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10F15">
      <w:pPr>
        <w:divId w:val="265162135"/>
        <w:rPr>
          <w:rFonts w:eastAsia="Times New Roman"/>
          <w:vanish/>
        </w:rPr>
      </w:pPr>
      <w:r>
        <w:rPr>
          <w:rFonts w:eastAsia="Times New Roman"/>
          <w:vanish/>
        </w:rPr>
        <w:t>——falseFYP3Y———--12-3100018411560001841156us-gaap:SellingAndMarketingExpenseMember2021-01-012021-12-310001841156us-gaap:AutomobilesMember2020-12-310001841156pay:CommonStockClassUndefinedMember2021-12-310001841156</w:t>
      </w:r>
      <w:r>
        <w:rPr>
          <w:rFonts w:eastAsia="Times New Roman"/>
          <w:vanish/>
        </w:rPr>
        <w:t>us-gaap:AdditionalPaidInCapitalMember2020-12-310001841156pay:PaymentTransactionProcessingRevenueMember2021-01-012021-12-310001841156us-gaap:AdditionalPaidInCapitalMember2018-12-3100018411562021-01-012021-12-310001841156us-gaap:AdditionalPaidInCapitalMember</w:t>
      </w:r>
      <w:r>
        <w:rPr>
          <w:rFonts w:eastAsia="Times New Roman"/>
          <w:vanish/>
        </w:rPr>
        <w:t>2021-12-310001841156srt:VicePresidentMember2020-12-310001841156us-gaap:CommonClassAMember2021-01-012021-12-310001841156us-gaap:RetainedEarningsMember2020-12-310001841156us-gaap:TrademarksMember2020-12-310001841156srt:MaximumMember2020-01-012020-12-31000184</w:t>
      </w:r>
      <w:r>
        <w:rPr>
          <w:rFonts w:eastAsia="Times New Roman"/>
          <w:vanish/>
        </w:rPr>
        <w:t>1156us-gaap:AccumulatedOtherComprehensiveIncomeMember2020-12-310001841156us-gaap:SellingAndMarketingExpenseMember2020-01-012020-12-310001841156srt:MaximumMemberus-gaap:CustomerConcentrationRiskMemberus-gaap:AccountsReceivableMember2020-01-012020-12-3100018</w:t>
      </w:r>
      <w:r>
        <w:rPr>
          <w:rFonts w:eastAsia="Times New Roman"/>
          <w:vanish/>
        </w:rPr>
        <w:t>41156pay:OtherMember2021-01-012021-12-310001841156us-gaap:GeneralAndAdministrativeExpenseMember2020-01-012020-12-3100018411562019-01-012019-12-310001841156us-gaap:CommonClassAMember2021-12-310001841156us-gaap:CommonStockMember2021-12-310001841156us-gaap:Co</w:t>
      </w:r>
      <w:r>
        <w:rPr>
          <w:rFonts w:eastAsia="Times New Roman"/>
          <w:vanish/>
        </w:rPr>
        <w:t>mmonStockMemberus-gaap:IPOMember2021-01-012021-12-310001841156us-gaap:GeneralAndAdministrativeExpenseMember2019-01-012019-12-310001841156us-gaap:RetainedEarningsMember2021-12-3100018411562018-12-310001841156us-gaap:AdditionalPaidInCapitalMember2021-01-0120</w:t>
      </w:r>
      <w:r>
        <w:rPr>
          <w:rFonts w:eastAsia="Times New Roman"/>
          <w:vanish/>
        </w:rPr>
        <w:t>21-12-3100018411562021-12-310001841156us-gaap:CommonStockMember2011-08-072011-09-060001841156us-gaap:RestrictedStockUnitsRSUMember2020-12-310001841156us-gaap:SeriesAPreferredStockMember2021-01-012021-12-310001841156us-gaap:CommonClassAMember2020-12-3100018</w:t>
      </w:r>
      <w:r>
        <w:rPr>
          <w:rFonts w:eastAsia="Times New Roman"/>
          <w:vanish/>
        </w:rPr>
        <w:t>41156us-gaap:SellingAndMarketingExpenseMember2019-01-012019-12-310001841156pay:PayverisLLCMemberus-gaap:CommonClassAMember2021-09-010001841156us-gaap:ComputerEquipmentMember2020-12-310001841156us-gaap:CommonStockMemberus-gaap:IPOMemberus-gaap:CommonClassAM</w:t>
      </w:r>
      <w:r>
        <w:rPr>
          <w:rFonts w:eastAsia="Times New Roman"/>
          <w:vanish/>
        </w:rPr>
        <w:t>ember2021-01-012021-12-310001841156us-gaap:TreasuryStockMember2018-12-310001841156pay:PaymentTransactionProcessingRevenueMember2019-01-012019-12-310001841156us-gaap:CommonStockMember2019-12-310001841156pay:FinoveraIncMember2021-09-022021-09-020001841156srt</w:t>
      </w:r>
      <w:r>
        <w:rPr>
          <w:rFonts w:eastAsia="Times New Roman"/>
          <w:vanish/>
        </w:rPr>
        <w:t>:ChiefExecutiveOfficerMember2021-12-310001841156us-gaap:CustomerRelationshipsMember2021-01-012021-12-310001841156us-gaap:AutomobilesMember2021-12-310001841156pay:OtherMember2019-01-012019-12-310001841156pay:FinoveraIncMemberus-gaap:DevelopedTechnologyRight</w:t>
      </w:r>
      <w:r>
        <w:rPr>
          <w:rFonts w:eastAsia="Times New Roman"/>
          <w:vanish/>
        </w:rPr>
        <w:t>sMember2021-01-012021-12-310001841156pay:PayverisLLCMember2021-12-310001841156pay:OtherGeographicalAreaMember2021-01-012021-12-310001841156srt:MinimumMember2020-01-012020-12-310001841156srt:MaximumMember2021-01-012021-12-310001841156pay:RestrictedFundsMemb</w:t>
      </w:r>
      <w:r>
        <w:rPr>
          <w:rFonts w:eastAsia="Times New Roman"/>
          <w:vanish/>
        </w:rPr>
        <w:t>er2021-12-310001841156us-gaap:AccumulatedOtherComprehensiveIncomeMember2018-12-310001841156us-gaap:IPOMemberus-gaap:CommonClassAMember2021-05-310001841156pay:NonCompeteMember2020-12-310001841156us-gaap:RetainedEarningsMemberus-gaap:IPOMember2021-01-012021-</w:t>
      </w:r>
      <w:r>
        <w:rPr>
          <w:rFonts w:eastAsia="Times New Roman"/>
          <w:vanish/>
        </w:rPr>
        <w:t>12-310001841156pay:OtherGeographicalAreaMember2019-12-310001841156us-gaap:CommonClassBMember2022-02-280001841156us-gaap:CommonStockMember2020-12-310001841156us-gaap:SeriesAPreferredStockMember2018-12-310001841156country:US2020-12-310001841156us-gaap:Resear</w:t>
      </w:r>
      <w:r>
        <w:rPr>
          <w:rFonts w:eastAsia="Times New Roman"/>
          <w:vanish/>
        </w:rPr>
        <w:t>chAndDevelopmentExpenseMember2019-01-012019-12-310001841156country:US2021-01-012021-12-310001841156us-gaap:LeaseholdImprovementsMember2021-12-310001841156country:US2019-12-310001841156pay:FinoveraIncMemberus-gaap:CommonClassAMember2021-09-022021-09-0200018</w:t>
      </w:r>
      <w:r>
        <w:rPr>
          <w:rFonts w:eastAsia="Times New Roman"/>
          <w:vanish/>
        </w:rPr>
        <w:t>41156us-gaap:AdditionalPaidInCapitalMemberus-gaap:IPOMember2021-01-012021-12-310001841156pay:FinoveraIncMember2021-12-310001841156pay:EquityIncentivePlanMember2021-12-310001841156us-gaap:SalesRevenueNetMembersrt:MinimumMemberus-gaap:CustomerConcentrationRi</w:t>
      </w:r>
      <w:r>
        <w:rPr>
          <w:rFonts w:eastAsia="Times New Roman"/>
          <w:vanish/>
        </w:rPr>
        <w:t>skMember2020-01-012020-12-310001841156us-gaap:TreasuryStockMember2019-12-310001841156us-gaap:CommonClassAMember2020-01-012020-12-310001841156pay:TechnologyMember2020-01-012020-12-3100018411562019-12-310001841156us-gaap:LicenseMember2020-12-310001841156pay:</w:t>
      </w:r>
      <w:r>
        <w:rPr>
          <w:rFonts w:eastAsia="Times New Roman"/>
          <w:vanish/>
        </w:rPr>
        <w:t>PayverisLLCMember2021-01-012021-12-310001841156us-gaap:OtherNoncurrentAssetsMember2021-12-310001841156pay:PaymentTransactionProcessingRevenueMember2020-12-310001841156us-gaap:SalesRevenueNetMembersrt:MinimumMemberus-gaap:CustomerConcentrationRiskMember2019</w:t>
      </w:r>
      <w:r>
        <w:rPr>
          <w:rFonts w:eastAsia="Times New Roman"/>
          <w:vanish/>
        </w:rPr>
        <w:t>-01-012019-12-310001841156us-gaap:PrivatePlacementMemberus-gaap:CommonClassAMember2021-05-012021-05-310001841156pay:AutomobileMember2021-01-012021-12-310001841156us-gaap:FurnitureAndFixturesMember2021-12-310001841156pay:ClassAAndClassBCommonStockMember2021</w:t>
      </w:r>
      <w:r>
        <w:rPr>
          <w:rFonts w:eastAsia="Times New Roman"/>
          <w:vanish/>
        </w:rPr>
        <w:t>-12-310001841156pay:PayverisLLCMemberus-gaap:AccountsPayableAndAccruedLiabilitiesMemberus-gaap:CommonClassAMember2021-09-012021-09-010001841156us-gaap:SeriesAPreferredStockMember2019-12-310001841156pay:RestrictedFundsMember2020-12-310001841156us-gaap:Trade</w:t>
      </w:r>
      <w:r>
        <w:rPr>
          <w:rFonts w:eastAsia="Times New Roman"/>
          <w:vanish/>
        </w:rPr>
        <w:t>marksMember2021-12-310001841156pay:EquityIncentivePlanMember2021-01-012021-12-310001841156us-gaap:SeriesAPreferredStockMember2021-12-3100018411562021-05-130001841156us-gaap:LicenseMember2021-12-310001841156pay:OtherGeographicalAreaMember2020-12-31000184115</w:t>
      </w:r>
      <w:r>
        <w:rPr>
          <w:rFonts w:eastAsia="Times New Roman"/>
          <w:vanish/>
        </w:rPr>
        <w:t>6us-gaap:IPOMemberus-gaap:CommonClassAMember2021-05-012021-05-310001841156us-gaap:CommonStockMember2019-01-012019-12-310001841156us-gaap:NonUsMember2021-12-310001841156us-gaap:OverAllotmentOptionMemberus-gaap:CommonClassAMember2021-05-012021-05-31000184115</w:t>
      </w:r>
      <w:r>
        <w:rPr>
          <w:rFonts w:eastAsia="Times New Roman"/>
          <w:vanish/>
        </w:rPr>
        <w:t>6country:US2021-12-310001841156us-gaap:PrepaidExpensesAndOtherCurrentAssetsMember2021-12-310001841156us-gaap:TreasuryStockMember2020-12-310001841156us-gaap:RestrictedStockUnitsRSUMember2021-12-310001841156us-gaap:NonUsMember2020-01-012020-12-310001841156us</w:t>
      </w:r>
      <w:r>
        <w:rPr>
          <w:rFonts w:eastAsia="Times New Roman"/>
          <w:vanish/>
        </w:rPr>
        <w:t>-gaap:GeneralAndAdministrativeExpenseMember2021-01-012021-12-310001841156srt:MaximumMemberus-gaap:RestrictedStockUnitsRSUMember2021-01-012021-12-310001841156us-gaap:NonUsMember2020-12-310001841156us-gaap:CashAndCashEquivalentsMember2021-12-310001841156pay:</w:t>
      </w:r>
      <w:r>
        <w:rPr>
          <w:rFonts w:eastAsia="Times New Roman"/>
          <w:vanish/>
        </w:rPr>
        <w:t>SoftwareMember2021-12-310001841156us-gaap:SalesRevenueNetMembersrt:MinimumMemberus-gaap:CustomerConcentrationRiskMember2021-01-012021-12-310001841156us-gaap:NonUsMember2019-01-012019-12-310001841156pay:OtherGeographicalAreaMember2020-01-012020-12-310001841</w:t>
      </w:r>
      <w:r>
        <w:rPr>
          <w:rFonts w:eastAsia="Times New Roman"/>
          <w:vanish/>
        </w:rPr>
        <w:t>156us-gaap:NonUsMember2021-01-012021-12-310001841156pay:PayverisLLCMemberus-gaap:CommonClassAMember2021-09-012021-09-010001841156srt:ChiefExecutiveOfficerMember2019-12-310001841156us-gaap:CustomerRelationshipsMemberpay:FinoveraIncMember2021-01-012021-12-31</w:t>
      </w:r>
      <w:r>
        <w:rPr>
          <w:rFonts w:eastAsia="Times New Roman"/>
          <w:vanish/>
        </w:rPr>
        <w:t>0001841156pay:TechnologyMember2020-12-310001841156us-gaap:RestrictedStockUnitsRSUMember2021-01-012021-12-3100018411562021-05-092021-05-100001841156us-gaap:CommonClassBMemberus-gaap:IPOMember2021-05-310001841156pay:EquityIncentivePlanMemberus-gaap:CommonCla</w:t>
      </w:r>
      <w:r>
        <w:rPr>
          <w:rFonts w:eastAsia="Times New Roman"/>
          <w:vanish/>
        </w:rPr>
        <w:t>ssAMember2021-05-310001841156us-gaap:TrademarksMember2021-01-012021-12-310001841156us-gaap:AdditionalPaidInCapitalMember2019-12-310001841156us-gaap:ResearchAndDevelopmentExpenseMember2021-01-012021-12-310001841156pay:RestrictedFundsMember2019-12-3100018411</w:t>
      </w:r>
      <w:r>
        <w:rPr>
          <w:rFonts w:eastAsia="Times New Roman"/>
          <w:vanish/>
        </w:rPr>
        <w:t>56us-gaap:RetainedEarningsMember2021-01-012021-12-310001841156us-gaap:EmployeeStockOptionMember2021-01-012021-12-3100018411562021-01-012021-09-300001841156us-gaap:AccumulatedOtherComprehensiveIncomeMember2021-01-012021-12-310001841156us-gaap:SeriesAPreferr</w:t>
      </w:r>
      <w:r>
        <w:rPr>
          <w:rFonts w:eastAsia="Times New Roman"/>
          <w:vanish/>
        </w:rPr>
        <w:t>edStockMember2019-01-012019-12-310001841156us-gaap:LeaseholdImprovementsMember2020-12-310001841156us-gaap:CashAndCashEquivalentsMember2019-12-310001841156us-gaap:RetainedEarningsMember2019-12-310001841156us-gaap:ResearchAndDevelopmentExpenseMember2020-01-0</w:t>
      </w:r>
      <w:r>
        <w:rPr>
          <w:rFonts w:eastAsia="Times New Roman"/>
          <w:vanish/>
        </w:rPr>
        <w:t>12020-12-310001841156us-gaap:AccumulatedOtherComprehensiveIncomeMember2019-01-012019-12-310001841156us-gaap:CommonClassBMember2021-12-310001841156pay:PaymentTransactionProcessingRevenueMember2020-01-012020-12-310001841156us-gaap:FurnitureAndFixturesMember2</w:t>
      </w:r>
      <w:r>
        <w:rPr>
          <w:rFonts w:eastAsia="Times New Roman"/>
          <w:vanish/>
        </w:rPr>
        <w:t>020-12-310001841156us-gaap:FurnitureAndFixturesMember2021-01-012021-12-310001841156us-gaap:IPOMemberus-gaap:SeriesAPreferredStockMember2021-01-012021-12-310001841156pay:PayverisLLCMember2021-09-012021-09-010001841156us-gaap:SeriesOfIndividuallyImmaterialBu</w:t>
      </w:r>
      <w:r>
        <w:rPr>
          <w:rFonts w:eastAsia="Times New Roman"/>
          <w:vanish/>
        </w:rPr>
        <w:t>sinessAcquisitionsMember2021-12-310001841156us-gaap:SeriesAPreferredStockMember2020-01-012020-12-310001841156us-gaap:ComputerEquipmentMember2021-12-310001841156us-gaap:CashAndCashEquivalentsMember2020-12-310001841156pay:CostOfRevenueMember2020-01-012020-12</w:t>
      </w:r>
      <w:r>
        <w:rPr>
          <w:rFonts w:eastAsia="Times New Roman"/>
          <w:vanish/>
        </w:rPr>
        <w:t>-310001841156us-gaap:TreasuryStockMemberus-gaap:IPOMember2021-01-012021-12-310001841156us-gaap:SeriesAPreferredStockMember2020-12-310001841156country:US2019-01-012019-12-310001841156us-gaap:ComputerEquipmentMember2021-01-012021-12-310001841156srt:ChiefExec</w:t>
      </w:r>
      <w:r>
        <w:rPr>
          <w:rFonts w:eastAsia="Times New Roman"/>
          <w:vanish/>
        </w:rPr>
        <w:t>utiveOfficerMember2020-12-310001841156srt:MinimumMemberus-gaap:RestrictedStockUnitsRSUMember2021-01-012021-12-310001841156pay:CostOfRevenueMember2021-01-012021-12-310001841156us-gaap:AccountsPayableAndAccruedLiabilitiesMemberpay:FinoveraIncMember2021-09-02</w:t>
      </w:r>
      <w:r>
        <w:rPr>
          <w:rFonts w:eastAsia="Times New Roman"/>
          <w:vanish/>
        </w:rPr>
        <w:t>2021-09-020001841156us-gaap:AdditionalPaidInCapitalMember2019-01-012019-12-310001841156srt:VicePresidentMember2019-12-310001841156us-gaap:IPOMemberus-gaap:SeriesAPreferredStockMember2021-12-310001841156us-gaap:AccumulatedOtherComprehensiveIncomeMember2019-</w:t>
      </w:r>
      <w:r>
        <w:rPr>
          <w:rFonts w:eastAsia="Times New Roman"/>
          <w:vanish/>
        </w:rPr>
        <w:t>12-310001841156us-gaap:CustomerRelationshipsMember2020-12-310001841156us-gaap:WarrantMember2021-01-012021-12-310001841156pay:CostOfRevenueMember2019-01-012019-12-310001841156us-gaap:RestrictedStockUnitsRSUMember2021-01-012021-12-310001841156us-gaap:Tradema</w:t>
      </w:r>
      <w:r>
        <w:rPr>
          <w:rFonts w:eastAsia="Times New Roman"/>
          <w:vanish/>
        </w:rPr>
        <w:t>rksMemberpay:PayverisLLCMember2021-01-012021-12-310001841156us-gaap:CommonClassBMember2020-12-310001841156pay:TechnologyMember2021-12-310001841156us-gaap:SeriesAPreferredStockMember2011-08-072011-09-060001841156us-gaap:CustomerRelationshipsMember2021-12-31</w:t>
      </w:r>
      <w:r>
        <w:rPr>
          <w:rFonts w:eastAsia="Times New Roman"/>
          <w:vanish/>
        </w:rPr>
        <w:t>00018411562021-10-012021-12-3100018411562021-06-300001841156us-gaap:CustomerRelationshipsMemberpay:PayverisLLCMember2021-01-012021-12-310001841156us-gaap:StateAndLocalJurisdictionMember2021-12-310001841156pay:SoftwareMember2021-01-012021-12-310001841156us-</w:t>
      </w:r>
      <w:r>
        <w:rPr>
          <w:rFonts w:eastAsia="Times New Roman"/>
          <w:vanish/>
        </w:rPr>
        <w:t>gaap:AdditionalPaidInCapitalMember2020-01-012020-12-310001841156us-gaap:IPOMemberus-gaap:CommonClassAMember2021-01-012021-12-310001841156pay:SoftwareMember2020-01-012020-12-310001841156country:US2020-01-012020-12-310001841156us-gaap:SubsequentEventMemberus</w:t>
      </w:r>
      <w:r>
        <w:rPr>
          <w:rFonts w:eastAsia="Times New Roman"/>
          <w:vanish/>
        </w:rPr>
        <w:t>-gaap:CommonClassAMember2022-01-010001841156us-gaap:RetainedEarningsMember2020-01-012020-12-310001841156pay:PayverisLLCMemberus-gaap:DevelopedTechnologyRightsMember2021-01-012021-12-310001841156pay:CommonStockClassUndefinedMember2020-12-310001841156us-gaap</w:t>
      </w:r>
      <w:r>
        <w:rPr>
          <w:rFonts w:eastAsia="Times New Roman"/>
          <w:vanish/>
        </w:rPr>
        <w:t>:AccumulatedOtherComprehensiveIncomeMember2020-01-012020-12-310001841156srt:ChiefExecutiveOfficerMember2011-09-060001841156srt:ChiefExecutiveOfficerMember2021-03-160001841156us-gaap:CommonStockMemberus-gaap:CommonClassAMember2021-01-012021-12-310001841156u</w:t>
      </w:r>
      <w:r>
        <w:rPr>
          <w:rFonts w:eastAsia="Times New Roman"/>
          <w:vanish/>
        </w:rPr>
        <w:t>s-gaap:AccumulatedOtherComprehensiveIncomeMember2021-12-3100018411562021-03-160001841156pay:OtherMember2020-01-012020-12-310001841156us-gaap:RetainedEarningsMember2018-12-310001841156us-gaap:PrivatePlacementMemberus-gaap:CommonClassAMember2021-05-310001841</w:t>
      </w:r>
      <w:r>
        <w:rPr>
          <w:rFonts w:eastAsia="Times New Roman"/>
          <w:vanish/>
        </w:rPr>
        <w:t>156srt:MinimumMember2021-01-012021-12-310001841156us-gaap:CommonClassAMember2022-02-280001841156us-gaap:AdditionalPaidInCapitalMemberus-gaap:IPOMemberus-gaap:CommonClassAMember2021-01-012021-12-310001841156us-gaap:IPOMember2021-01-012021-12-310001841156pay</w:t>
      </w:r>
      <w:r>
        <w:rPr>
          <w:rFonts w:eastAsia="Times New Roman"/>
          <w:vanish/>
        </w:rPr>
        <w:t>:FinoveraIncMember2021-01-012021-12-310001841156pay:EquityIncentivePlanMemberus-gaap:CommonClassAMember2021-05-012021-05-310001841156us-gaap:CommonClassAMember2019-01-012019-12-310001841156us-gaap:CommonClassBMember2021-01-012021-12-310001841156pay:Finover</w:t>
      </w:r>
      <w:r>
        <w:rPr>
          <w:rFonts w:eastAsia="Times New Roman"/>
          <w:vanish/>
        </w:rPr>
        <w:t>aIncMember2021-09-020001841156pay:PaymentTransactionProcessingRevenueMember2021-12-3100018411562020-12-310001841156pay:OtherGeographicalAreaMember2021-12-310001841156us-gaap:CommonStockMember2018-12-310001841156srt:MaximumMember2021-12-310001841156pay:Tech</w:t>
      </w:r>
      <w:r>
        <w:rPr>
          <w:rFonts w:eastAsia="Times New Roman"/>
          <w:vanish/>
        </w:rPr>
        <w:t>nologyMember2021-01-012021-12-310001841156us-gaap:AdditionalPaidInCapitalMemberus-gaap:CommonClassAMember2021-01-012021-12-310001841156us-gaap:RetainedEarningsMember2019-01-012019-12-310001841156pay:SoftwareMember2020-12-310001841156us-gaap:CommonStockMemb</w:t>
      </w:r>
      <w:r>
        <w:rPr>
          <w:rFonts w:eastAsia="Times New Roman"/>
          <w:vanish/>
        </w:rPr>
        <w:t>er2011-09-060001841156srt:VicePresidentMember2021-12-310001841156srt:MinimumMemberus-gaap:CustomerConcentrationRiskMemberus-gaap:AccountsReceivableMember2021-01-012021-12-310001841156srt:MinimumMember2021-12-3100018411562020-01-012020-12-31iso4217:USDxbrli</w:t>
      </w:r>
      <w:r>
        <w:rPr>
          <w:rFonts w:eastAsia="Times New Roman"/>
          <w:vanish/>
        </w:rPr>
        <w:t>:sharesxbrli:purepay:Segmentxbrli:sharesiso4217:USD</w:t>
      </w:r>
    </w:p>
    <w:p w:rsidR="00000000" w:rsidRDefault="00010F15">
      <w:pPr>
        <w:pStyle w:val="a3"/>
        <w:spacing w:before="0" w:beforeAutospacing="0" w:after="0" w:afterAutospacing="0"/>
        <w:rPr>
          <w:sz w:val="20"/>
          <w:szCs w:val="20"/>
        </w:rPr>
      </w:pPr>
      <w:r>
        <w:rPr>
          <w:rFonts w:ascii="Arial" w:hAnsi="Arial" w:cs="Arial"/>
          <w:sz w:val="20"/>
          <w:szCs w:val="20"/>
        </w:rPr>
        <w:t> </w:t>
      </w:r>
    </w:p>
    <w:p w:rsidR="00000000" w:rsidRDefault="00010F15">
      <w:pPr>
        <w:pStyle w:val="a3"/>
        <w:spacing w:before="120" w:beforeAutospacing="0" w:after="0" w:afterAutospacing="0"/>
        <w:jc w:val="center"/>
        <w:rPr>
          <w:sz w:val="20"/>
          <w:szCs w:val="20"/>
        </w:rPr>
      </w:pPr>
      <w:r>
        <w:rPr>
          <w:rFonts w:ascii="Arial" w:hAnsi="Arial" w:cs="Arial"/>
          <w:sz w:val="20"/>
          <w:szCs w:val="20"/>
        </w:rPr>
        <w:t> </w:t>
      </w:r>
    </w:p>
    <w:p w:rsidR="00000000" w:rsidRDefault="00010F15">
      <w:pPr>
        <w:pStyle w:val="a3"/>
        <w:spacing w:before="120" w:beforeAutospacing="0" w:after="0" w:afterAutospacing="0"/>
        <w:jc w:val="center"/>
        <w:rPr>
          <w:sz w:val="20"/>
          <w:szCs w:val="20"/>
        </w:rPr>
      </w:pPr>
      <w:r>
        <w:rPr>
          <w:rFonts w:ascii="Arial" w:hAnsi="Arial" w:cs="Arial"/>
          <w:b/>
          <w:bCs/>
        </w:rPr>
        <w:t>UNITED STATE</w:t>
      </w:r>
      <w:r>
        <w:rPr>
          <w:rFonts w:ascii="Arial" w:hAnsi="Arial" w:cs="Arial"/>
          <w:b/>
          <w:bCs/>
        </w:rPr>
        <w:t>S</w:t>
      </w:r>
    </w:p>
    <w:p w:rsidR="00000000" w:rsidRDefault="00010F15">
      <w:pPr>
        <w:pStyle w:val="a3"/>
        <w:spacing w:before="0" w:beforeAutospacing="0" w:after="0" w:afterAutospacing="0"/>
        <w:jc w:val="center"/>
        <w:rPr>
          <w:sz w:val="20"/>
          <w:szCs w:val="20"/>
        </w:rPr>
      </w:pPr>
      <w:r>
        <w:rPr>
          <w:rFonts w:ascii="Arial" w:hAnsi="Arial" w:cs="Arial"/>
          <w:b/>
          <w:bCs/>
        </w:rPr>
        <w:t>SECURITIES AND EXCHANGE COMMISSIO</w:t>
      </w:r>
      <w:r>
        <w:rPr>
          <w:rFonts w:ascii="Arial" w:hAnsi="Arial" w:cs="Arial"/>
          <w:b/>
          <w:bCs/>
        </w:rPr>
        <w:t>N</w:t>
      </w:r>
    </w:p>
    <w:p w:rsidR="00000000" w:rsidRDefault="00010F15">
      <w:pPr>
        <w:pStyle w:val="a3"/>
        <w:spacing w:before="0" w:beforeAutospacing="0" w:after="0" w:afterAutospacing="0"/>
        <w:jc w:val="center"/>
        <w:rPr>
          <w:sz w:val="20"/>
          <w:szCs w:val="20"/>
        </w:rPr>
      </w:pPr>
      <w:r>
        <w:rPr>
          <w:rFonts w:ascii="Arial" w:hAnsi="Arial" w:cs="Arial"/>
          <w:b/>
          <w:bCs/>
        </w:rPr>
        <w:t>WASHINGTON, D.C. 2054</w:t>
      </w:r>
      <w:r>
        <w:rPr>
          <w:rFonts w:ascii="Arial" w:hAnsi="Arial" w:cs="Arial"/>
          <w:b/>
          <w:bCs/>
        </w:rPr>
        <w:t>9</w:t>
      </w:r>
    </w:p>
    <w:p w:rsidR="00000000" w:rsidRDefault="00010F15">
      <w:pPr>
        <w:pStyle w:val="a3"/>
        <w:spacing w:before="0" w:beforeAutospacing="0" w:after="0" w:afterAutospacing="0"/>
        <w:jc w:val="center"/>
        <w:rPr>
          <w:sz w:val="20"/>
          <w:szCs w:val="20"/>
        </w:rPr>
      </w:pPr>
      <w:r>
        <w:rPr>
          <w:rFonts w:ascii="Arial" w:hAnsi="Arial" w:cs="Arial"/>
          <w:sz w:val="20"/>
          <w:szCs w:val="20"/>
        </w:rPr>
        <w:t> </w:t>
      </w:r>
    </w:p>
    <w:p w:rsidR="00000000" w:rsidRDefault="00010F15">
      <w:pPr>
        <w:pStyle w:val="a3"/>
        <w:spacing w:before="0" w:beforeAutospacing="0" w:after="0" w:afterAutospacing="0"/>
        <w:jc w:val="center"/>
        <w:rPr>
          <w:sz w:val="20"/>
          <w:szCs w:val="20"/>
        </w:rPr>
      </w:pPr>
      <w:r>
        <w:rPr>
          <w:rFonts w:ascii="Arial" w:hAnsi="Arial" w:cs="Arial"/>
          <w:b/>
          <w:bCs/>
        </w:rPr>
        <w:t>FORM</w:t>
      </w:r>
      <w:r>
        <w:rPr>
          <w:rFonts w:ascii="Arial" w:hAnsi="Arial" w:cs="Arial"/>
          <w:b/>
          <w:bCs/>
        </w:rPr>
        <w:t xml:space="preserve"> </w:t>
      </w:r>
      <w:r>
        <w:rPr>
          <w:rFonts w:ascii="Arial" w:hAnsi="Arial" w:cs="Arial"/>
          <w:b/>
          <w:bCs/>
        </w:rPr>
        <w:t>10-</w:t>
      </w:r>
      <w:r>
        <w:rPr>
          <w:rFonts w:ascii="Arial" w:hAnsi="Arial" w:cs="Arial"/>
          <w:b/>
          <w:bCs/>
        </w:rPr>
        <w:t>K</w:t>
      </w:r>
    </w:p>
    <w:p w:rsidR="00000000" w:rsidRDefault="00010F15">
      <w:pPr>
        <w:pStyle w:val="a3"/>
        <w:spacing w:before="0" w:beforeAutospacing="0" w:after="0" w:afterAutospacing="0"/>
        <w:jc w:val="center"/>
        <w:rPr>
          <w:sz w:val="20"/>
          <w:szCs w:val="20"/>
        </w:rPr>
      </w:pPr>
      <w:r>
        <w:rPr>
          <w:sz w:val="20"/>
          <w:szCs w:val="20"/>
        </w:rPr>
        <w:t> </w:t>
      </w:r>
    </w:p>
    <w:p w:rsidR="00000000" w:rsidRDefault="00010F15">
      <w:pPr>
        <w:pStyle w:val="a3"/>
        <w:spacing w:before="0" w:beforeAutospacing="0" w:after="0" w:afterAutospacing="0"/>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
        <w:gridCol w:w="7932"/>
      </w:tblGrid>
      <w:tr w:rsidR="00000000">
        <w:trPr>
          <w:tblCellSpacing w:w="15" w:type="dxa"/>
        </w:trPr>
        <w:tc>
          <w:tcPr>
            <w:tcW w:w="200" w:type="pct"/>
            <w:vAlign w:val="center"/>
            <w:hideMark/>
          </w:tcPr>
          <w:p w:rsidR="00000000" w:rsidRDefault="00010F15">
            <w:pPr>
              <w:rPr>
                <w:sz w:val="20"/>
                <w:szCs w:val="20"/>
              </w:rPr>
            </w:pPr>
          </w:p>
        </w:tc>
        <w:tc>
          <w:tcPr>
            <w:tcW w:w="4800" w:type="pct"/>
            <w:vAlign w:val="center"/>
            <w:hideMark/>
          </w:tcPr>
          <w:p w:rsidR="00000000" w:rsidRDefault="00010F15">
            <w:pPr>
              <w:rPr>
                <w:rFonts w:eastAsia="Times New Roman"/>
                <w:sz w:val="20"/>
                <w:szCs w:val="20"/>
              </w:rPr>
            </w:pPr>
          </w:p>
        </w:tc>
      </w:tr>
      <w:tr w:rsidR="00000000">
        <w:trPr>
          <w:trHeight w:val="180"/>
          <w:tblCellSpacing w:w="15" w:type="dxa"/>
        </w:trPr>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r>
              <w:rPr>
                <w:rFonts w:ascii="Segoe UI Symbol" w:hAnsi="Segoe UI Symbol" w:cs="Segoe UI Symbol"/>
                <w:b/>
                <w:bCs/>
                <w:sz w:val="18"/>
                <w:szCs w:val="18"/>
              </w:rPr>
              <w:t>☒</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18"/>
                <w:szCs w:val="18"/>
              </w:rPr>
            </w:pPr>
            <w:r>
              <w:rPr>
                <w:rFonts w:ascii="Arial" w:hAnsi="Arial" w:cs="Arial"/>
                <w:b/>
                <w:bCs/>
                <w:sz w:val="18"/>
                <w:szCs w:val="18"/>
              </w:rPr>
              <w:t>ANNUAL REPORT PURSUANT TO SECTION 13 OR 15(d) OF THE SECURITIES EXCHANGE ACT OF 193</w:t>
            </w:r>
            <w:r>
              <w:rPr>
                <w:rFonts w:ascii="Arial" w:hAnsi="Arial" w:cs="Arial"/>
                <w:b/>
                <w:bCs/>
                <w:sz w:val="18"/>
                <w:szCs w:val="18"/>
              </w:rPr>
              <w:t>4</w:t>
            </w:r>
          </w:p>
        </w:tc>
      </w:tr>
    </w:tbl>
    <w:p w:rsidR="00000000" w:rsidRDefault="00010F15">
      <w:pPr>
        <w:pStyle w:val="a3"/>
        <w:spacing w:before="0" w:beforeAutospacing="0" w:after="0" w:afterAutospacing="0"/>
        <w:jc w:val="center"/>
        <w:rPr>
          <w:sz w:val="20"/>
          <w:szCs w:val="20"/>
        </w:rPr>
      </w:pPr>
      <w:r>
        <w:rPr>
          <w:rFonts w:ascii="Arial" w:hAnsi="Arial" w:cs="Arial"/>
          <w:b/>
          <w:bCs/>
          <w:sz w:val="18"/>
          <w:szCs w:val="18"/>
        </w:rPr>
        <w:t>For the fiscal year ended</w:t>
      </w:r>
      <w:r>
        <w:rPr>
          <w:rFonts w:ascii="Arial" w:hAnsi="Arial" w:cs="Arial"/>
          <w:b/>
          <w:bCs/>
          <w:sz w:val="18"/>
          <w:szCs w:val="18"/>
        </w:rPr>
        <w:t xml:space="preserve"> </w:t>
      </w:r>
      <w:r>
        <w:rPr>
          <w:rFonts w:ascii="Arial" w:hAnsi="Arial" w:cs="Arial"/>
          <w:b/>
          <w:bCs/>
          <w:sz w:val="18"/>
          <w:szCs w:val="18"/>
        </w:rPr>
        <w:t>December 31,</w:t>
      </w:r>
      <w:r>
        <w:rPr>
          <w:rFonts w:ascii="Arial" w:hAnsi="Arial" w:cs="Arial"/>
          <w:b/>
          <w:bCs/>
          <w:sz w:val="18"/>
          <w:szCs w:val="18"/>
        </w:rPr>
        <w:t xml:space="preserve"> </w:t>
      </w:r>
      <w:r>
        <w:rPr>
          <w:rFonts w:ascii="Arial" w:hAnsi="Arial" w:cs="Arial"/>
          <w:b/>
          <w:bCs/>
          <w:sz w:val="18"/>
          <w:szCs w:val="18"/>
        </w:rPr>
        <w:t>202</w:t>
      </w:r>
      <w:r>
        <w:rPr>
          <w:rFonts w:ascii="Arial" w:hAnsi="Arial" w:cs="Arial"/>
          <w:b/>
          <w:bCs/>
          <w:sz w:val="18"/>
          <w:szCs w:val="18"/>
        </w:rPr>
        <w:t>1</w:t>
      </w:r>
    </w:p>
    <w:p w:rsidR="00000000" w:rsidRDefault="00010F15">
      <w:pPr>
        <w:pStyle w:val="a3"/>
        <w:spacing w:before="0" w:beforeAutospacing="0" w:after="0" w:afterAutospacing="0"/>
        <w:jc w:val="center"/>
        <w:rPr>
          <w:sz w:val="20"/>
          <w:szCs w:val="20"/>
        </w:rPr>
      </w:pPr>
      <w:r>
        <w:rPr>
          <w:rFonts w:ascii="Arial" w:hAnsi="Arial" w:cs="Arial"/>
          <w:b/>
          <w:bCs/>
          <w:sz w:val="18"/>
          <w:szCs w:val="18"/>
        </w:rPr>
        <w:t>O</w:t>
      </w:r>
      <w:r>
        <w:rPr>
          <w:rFonts w:ascii="Arial" w:hAnsi="Arial" w:cs="Arial"/>
          <w:b/>
          <w:bCs/>
          <w:sz w:val="18"/>
          <w:szCs w:val="18"/>
        </w:rPr>
        <w:t>R</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
        <w:gridCol w:w="7932"/>
      </w:tblGrid>
      <w:tr w:rsidR="00000000">
        <w:trPr>
          <w:tblCellSpacing w:w="15" w:type="dxa"/>
        </w:trPr>
        <w:tc>
          <w:tcPr>
            <w:tcW w:w="200" w:type="pct"/>
            <w:vAlign w:val="center"/>
            <w:hideMark/>
          </w:tcPr>
          <w:p w:rsidR="00000000" w:rsidRDefault="00010F15">
            <w:pPr>
              <w:rPr>
                <w:sz w:val="20"/>
                <w:szCs w:val="20"/>
              </w:rPr>
            </w:pPr>
          </w:p>
        </w:tc>
        <w:tc>
          <w:tcPr>
            <w:tcW w:w="4800" w:type="pct"/>
            <w:vAlign w:val="center"/>
            <w:hideMark/>
          </w:tcPr>
          <w:p w:rsidR="00000000" w:rsidRDefault="00010F15">
            <w:pPr>
              <w:rPr>
                <w:rFonts w:eastAsia="Times New Roman"/>
                <w:sz w:val="20"/>
                <w:szCs w:val="20"/>
              </w:rPr>
            </w:pPr>
          </w:p>
        </w:tc>
      </w:tr>
      <w:tr w:rsidR="00000000">
        <w:trPr>
          <w:trHeight w:val="180"/>
          <w:tblCellSpacing w:w="15" w:type="dxa"/>
        </w:trPr>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r>
              <w:rPr>
                <w:rFonts w:ascii="Segoe UI Symbol" w:hAnsi="Segoe UI Symbol" w:cs="Segoe UI Symbol"/>
                <w:b/>
                <w:bCs/>
                <w:sz w:val="18"/>
                <w:szCs w:val="18"/>
              </w:rPr>
              <w:t>☐</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18"/>
                <w:szCs w:val="18"/>
              </w:rPr>
            </w:pPr>
            <w:r>
              <w:rPr>
                <w:rFonts w:ascii="Arial" w:hAnsi="Arial" w:cs="Arial"/>
                <w:b/>
                <w:bCs/>
                <w:sz w:val="18"/>
                <w:szCs w:val="18"/>
              </w:rPr>
              <w:t>TRANSITION REPORT PURSUANT TO SECTION 13 OR 15(d) OF THE SECURITIES EXCHANGE ACT OF 193</w:t>
            </w:r>
            <w:r>
              <w:rPr>
                <w:rFonts w:ascii="Arial" w:hAnsi="Arial" w:cs="Arial"/>
                <w:b/>
                <w:bCs/>
                <w:sz w:val="18"/>
                <w:szCs w:val="18"/>
              </w:rPr>
              <w:t>4</w:t>
            </w:r>
          </w:p>
        </w:tc>
      </w:tr>
    </w:tbl>
    <w:p w:rsidR="00000000" w:rsidRDefault="00010F15">
      <w:pPr>
        <w:pStyle w:val="a3"/>
        <w:spacing w:before="0" w:beforeAutospacing="0" w:after="0" w:afterAutospacing="0"/>
        <w:jc w:val="center"/>
        <w:rPr>
          <w:sz w:val="20"/>
          <w:szCs w:val="20"/>
        </w:rPr>
      </w:pPr>
      <w:r>
        <w:rPr>
          <w:rFonts w:ascii="Arial" w:hAnsi="Arial" w:cs="Arial"/>
          <w:b/>
          <w:bCs/>
          <w:sz w:val="18"/>
          <w:szCs w:val="18"/>
        </w:rPr>
        <w:t>For the transition period from t</w:t>
      </w:r>
      <w:r>
        <w:rPr>
          <w:rFonts w:ascii="Arial" w:hAnsi="Arial" w:cs="Arial"/>
          <w:b/>
          <w:bCs/>
          <w:sz w:val="18"/>
          <w:szCs w:val="18"/>
        </w:rPr>
        <w:t>o</w:t>
      </w:r>
      <w:r>
        <w:rPr>
          <w:rFonts w:ascii="Arial" w:hAnsi="Arial" w:cs="Arial"/>
          <w:b/>
          <w:bCs/>
          <w:sz w:val="18"/>
          <w:szCs w:val="18"/>
        </w:rPr>
        <w:t xml:space="preserve"> </w:t>
      </w:r>
    </w:p>
    <w:p w:rsidR="00000000" w:rsidRDefault="00010F15">
      <w:pPr>
        <w:pStyle w:val="a3"/>
        <w:spacing w:before="0" w:beforeAutospacing="0" w:after="0" w:afterAutospacing="0"/>
        <w:jc w:val="center"/>
        <w:rPr>
          <w:sz w:val="20"/>
          <w:szCs w:val="20"/>
        </w:rPr>
      </w:pPr>
      <w:r>
        <w:rPr>
          <w:rFonts w:ascii="Arial" w:hAnsi="Arial" w:cs="Arial"/>
          <w:b/>
          <w:bCs/>
          <w:sz w:val="18"/>
          <w:szCs w:val="18"/>
        </w:rPr>
        <w:t>Commission File Number:</w:t>
      </w:r>
      <w:r>
        <w:rPr>
          <w:rFonts w:ascii="Arial" w:hAnsi="Arial" w:cs="Arial"/>
          <w:b/>
          <w:bCs/>
          <w:sz w:val="18"/>
          <w:szCs w:val="18"/>
        </w:rPr>
        <w:t xml:space="preserve"> </w:t>
      </w:r>
      <w:r>
        <w:rPr>
          <w:rFonts w:ascii="Arial" w:hAnsi="Arial" w:cs="Arial"/>
          <w:b/>
          <w:bCs/>
          <w:sz w:val="18"/>
          <w:szCs w:val="18"/>
        </w:rPr>
        <w:t>001-4042</w:t>
      </w:r>
      <w:r>
        <w:rPr>
          <w:rFonts w:ascii="Arial" w:hAnsi="Arial" w:cs="Arial"/>
          <w:b/>
          <w:bCs/>
          <w:sz w:val="18"/>
          <w:szCs w:val="18"/>
        </w:rPr>
        <w:t>9</w:t>
      </w:r>
    </w:p>
    <w:p w:rsidR="00000000" w:rsidRDefault="00010F15">
      <w:pPr>
        <w:pStyle w:val="a3"/>
        <w:spacing w:before="0" w:beforeAutospacing="0" w:after="0" w:afterAutospacing="0"/>
        <w:jc w:val="center"/>
        <w:rPr>
          <w:sz w:val="20"/>
          <w:szCs w:val="20"/>
        </w:rPr>
      </w:pPr>
      <w:r>
        <w:rPr>
          <w:sz w:val="20"/>
          <w:szCs w:val="20"/>
        </w:rPr>
        <w:t> </w:t>
      </w:r>
    </w:p>
    <w:p w:rsidR="00000000" w:rsidRDefault="00010F15">
      <w:pPr>
        <w:pStyle w:val="a3"/>
        <w:spacing w:before="0" w:beforeAutospacing="0" w:after="0" w:afterAutospacing="0"/>
        <w:jc w:val="center"/>
        <w:rPr>
          <w:sz w:val="20"/>
          <w:szCs w:val="20"/>
        </w:rPr>
      </w:pPr>
      <w:r>
        <w:rPr>
          <w:rFonts w:ascii="Arial" w:hAnsi="Arial" w:cs="Arial"/>
          <w:b/>
          <w:bCs/>
        </w:rPr>
        <w:t>Paymentus Holdings, Inc</w:t>
      </w:r>
      <w:r>
        <w:rPr>
          <w:rFonts w:ascii="Arial" w:hAnsi="Arial" w:cs="Arial"/>
          <w:b/>
          <w:bCs/>
        </w:rPr>
        <w:t>.</w:t>
      </w:r>
    </w:p>
    <w:p w:rsidR="00000000" w:rsidRDefault="00010F15">
      <w:pPr>
        <w:pStyle w:val="a3"/>
        <w:spacing w:before="0" w:beforeAutospacing="0" w:after="0" w:afterAutospacing="0"/>
        <w:jc w:val="center"/>
        <w:rPr>
          <w:sz w:val="20"/>
          <w:szCs w:val="20"/>
        </w:rPr>
      </w:pPr>
      <w:r>
        <w:rPr>
          <w:rFonts w:ascii="Arial" w:hAnsi="Arial" w:cs="Arial"/>
          <w:sz w:val="20"/>
          <w:szCs w:val="20"/>
        </w:rPr>
        <w:t>(Exact Name of Reg</w:t>
      </w:r>
      <w:r>
        <w:rPr>
          <w:rFonts w:ascii="Arial" w:hAnsi="Arial" w:cs="Arial"/>
          <w:sz w:val="20"/>
          <w:szCs w:val="20"/>
        </w:rPr>
        <w:t>istrant as Specified in its Charter</w:t>
      </w:r>
      <w:r>
        <w:rPr>
          <w:rFonts w:ascii="Arial" w:hAnsi="Arial" w:cs="Arial"/>
          <w:sz w:val="20"/>
          <w:szCs w:val="20"/>
        </w:rPr>
        <w:t>)</w:t>
      </w:r>
    </w:p>
    <w:p w:rsidR="00000000" w:rsidRDefault="00010F15">
      <w:pPr>
        <w:pStyle w:val="a3"/>
        <w:spacing w:before="0" w:beforeAutospacing="0" w:after="0" w:afterAutospacing="0"/>
        <w:jc w:val="center"/>
        <w:rPr>
          <w:sz w:val="20"/>
          <w:szCs w:val="20"/>
        </w:rPr>
      </w:pPr>
      <w:r>
        <w:rPr>
          <w:rFonts w:ascii="Arial" w:hAnsi="Arial" w:cs="Arial"/>
          <w:sz w:val="20"/>
          <w:szCs w:val="20"/>
        </w:rPr>
        <w:t> </w:t>
      </w:r>
    </w:p>
    <w:p w:rsidR="00000000" w:rsidRDefault="00010F15">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3"/>
        <w:gridCol w:w="4153"/>
      </w:tblGrid>
      <w:tr w:rsidR="00000000">
        <w:trPr>
          <w:tblCellSpacing w:w="15" w:type="dxa"/>
        </w:trPr>
        <w:tc>
          <w:tcPr>
            <w:tcW w:w="2500" w:type="pct"/>
            <w:vAlign w:val="center"/>
            <w:hideMark/>
          </w:tcPr>
          <w:p w:rsidR="00000000" w:rsidRDefault="00010F15">
            <w:pPr>
              <w:rPr>
                <w:sz w:val="20"/>
                <w:szCs w:val="20"/>
              </w:rPr>
            </w:pPr>
          </w:p>
        </w:tc>
        <w:tc>
          <w:tcPr>
            <w:tcW w:w="2500" w:type="pct"/>
            <w:vAlign w:val="center"/>
            <w:hideMark/>
          </w:tcPr>
          <w:p w:rsidR="00000000" w:rsidRDefault="00010F15">
            <w:pPr>
              <w:rPr>
                <w:rFonts w:eastAsia="Times New Roman"/>
                <w:sz w:val="20"/>
                <w:szCs w:val="20"/>
              </w:rPr>
            </w:pPr>
          </w:p>
        </w:tc>
      </w:tr>
      <w:tr w:rsidR="00000000">
        <w:trPr>
          <w:trHeight w:val="180"/>
          <w:tblCellSpacing w:w="15" w:type="dxa"/>
        </w:trPr>
        <w:tc>
          <w:tcPr>
            <w:tcW w:w="0" w:type="auto"/>
            <w:tcMar>
              <w:top w:w="14" w:type="dxa"/>
              <w:left w:w="15" w:type="dxa"/>
              <w:bottom w:w="15" w:type="dxa"/>
              <w:right w:w="14" w:type="dxa"/>
            </w:tcMar>
            <w:hideMark/>
          </w:tcPr>
          <w:p w:rsidR="00000000" w:rsidRDefault="00010F15">
            <w:pPr>
              <w:pStyle w:val="a3"/>
              <w:spacing w:before="0" w:beforeAutospacing="0" w:after="120" w:afterAutospacing="0"/>
              <w:jc w:val="center"/>
              <w:rPr>
                <w:sz w:val="20"/>
                <w:szCs w:val="20"/>
              </w:rPr>
            </w:pPr>
            <w:r>
              <w:rPr>
                <w:rFonts w:ascii="Arial" w:hAnsi="Arial" w:cs="Arial"/>
                <w:b/>
                <w:bCs/>
                <w:sz w:val="18"/>
                <w:szCs w:val="18"/>
              </w:rPr>
              <w:t>Delawar</w:t>
            </w:r>
            <w:r>
              <w:rPr>
                <w:rFonts w:ascii="Arial" w:hAnsi="Arial" w:cs="Arial"/>
                <w:b/>
                <w:bCs/>
                <w:sz w:val="18"/>
                <w:szCs w:val="18"/>
              </w:rPr>
              <w:t>e</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jc w:val="center"/>
              <w:rPr>
                <w:sz w:val="20"/>
                <w:szCs w:val="20"/>
              </w:rPr>
            </w:pPr>
            <w:r>
              <w:rPr>
                <w:rFonts w:ascii="Arial" w:hAnsi="Arial" w:cs="Arial"/>
                <w:b/>
                <w:bCs/>
                <w:sz w:val="18"/>
                <w:szCs w:val="18"/>
              </w:rPr>
              <w:t>45-318825</w:t>
            </w:r>
            <w:r>
              <w:rPr>
                <w:rFonts w:ascii="Arial" w:hAnsi="Arial" w:cs="Arial"/>
                <w:b/>
                <w:bCs/>
                <w:sz w:val="18"/>
                <w:szCs w:val="18"/>
              </w:rPr>
              <w:t>1</w:t>
            </w:r>
          </w:p>
        </w:tc>
      </w:tr>
      <w:tr w:rsidR="00000000">
        <w:trPr>
          <w:trHeight w:val="180"/>
          <w:tblCellSpacing w:w="15" w:type="dxa"/>
        </w:trPr>
        <w:tc>
          <w:tcPr>
            <w:tcW w:w="0" w:type="auto"/>
            <w:tcMar>
              <w:top w:w="14" w:type="dxa"/>
              <w:left w:w="15" w:type="dxa"/>
              <w:bottom w:w="15" w:type="dxa"/>
              <w:right w:w="14" w:type="dxa"/>
            </w:tcMar>
            <w:hideMark/>
          </w:tcPr>
          <w:p w:rsidR="00000000" w:rsidRDefault="00010F15">
            <w:pPr>
              <w:pStyle w:val="a3"/>
              <w:spacing w:before="0" w:beforeAutospacing="0" w:after="0" w:afterAutospacing="0"/>
              <w:jc w:val="center"/>
              <w:rPr>
                <w:sz w:val="18"/>
                <w:szCs w:val="18"/>
              </w:rPr>
            </w:pPr>
            <w:r>
              <w:rPr>
                <w:rFonts w:ascii="Arial" w:hAnsi="Arial" w:cs="Arial"/>
                <w:sz w:val="18"/>
                <w:szCs w:val="18"/>
              </w:rPr>
              <w:t>(State or other jurisdiction of incorporation or organization</w:t>
            </w:r>
            <w:r>
              <w:rPr>
                <w:rFonts w:ascii="Arial" w:hAnsi="Arial" w:cs="Arial"/>
                <w:sz w:val="18"/>
                <w:szCs w:val="18"/>
              </w:rPr>
              <w:t>)</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jc w:val="center"/>
              <w:rPr>
                <w:sz w:val="18"/>
                <w:szCs w:val="18"/>
              </w:rPr>
            </w:pPr>
            <w:r>
              <w:rPr>
                <w:rFonts w:ascii="Arial" w:hAnsi="Arial" w:cs="Arial"/>
                <w:sz w:val="18"/>
                <w:szCs w:val="18"/>
              </w:rPr>
              <w:t>(I.R.S. Employer Identification No.</w:t>
            </w:r>
            <w:r>
              <w:rPr>
                <w:rFonts w:ascii="Arial" w:hAnsi="Arial" w:cs="Arial"/>
                <w:sz w:val="18"/>
                <w:szCs w:val="18"/>
              </w:rPr>
              <w:t>)</w:t>
            </w:r>
          </w:p>
        </w:tc>
      </w:tr>
      <w:tr w:rsidR="00000000">
        <w:trPr>
          <w:trHeight w:val="180"/>
          <w:tblCellSpacing w:w="15" w:type="dxa"/>
        </w:trPr>
        <w:tc>
          <w:tcPr>
            <w:tcW w:w="0" w:type="auto"/>
            <w:tcMar>
              <w:top w:w="14" w:type="dxa"/>
              <w:left w:w="15" w:type="dxa"/>
              <w:bottom w:w="15" w:type="dxa"/>
              <w:right w:w="14" w:type="dxa"/>
            </w:tcMar>
            <w:hideMark/>
          </w:tcPr>
          <w:p w:rsidR="00000000" w:rsidRDefault="00010F15">
            <w:pPr>
              <w:pStyle w:val="a3"/>
              <w:spacing w:before="0" w:beforeAutospacing="0" w:after="0" w:afterAutospacing="0"/>
              <w:jc w:val="center"/>
              <w:rPr>
                <w:sz w:val="18"/>
                <w:szCs w:val="18"/>
              </w:rPr>
            </w:pPr>
            <w:r>
              <w:rPr>
                <w:rFonts w:ascii="Arial" w:hAnsi="Arial" w:cs="Arial"/>
                <w:b/>
                <w:bCs/>
                <w:sz w:val="18"/>
                <w:szCs w:val="18"/>
              </w:rPr>
              <w:t>18390 N</w:t>
            </w:r>
            <w:r>
              <w:rPr>
                <w:rFonts w:ascii="Arial" w:hAnsi="Arial" w:cs="Arial"/>
                <w:b/>
                <w:bCs/>
                <w:sz w:val="18"/>
                <w:szCs w:val="18"/>
              </w:rPr>
              <w:t>E</w:t>
            </w:r>
            <w:r>
              <w:rPr>
                <w:rFonts w:ascii="Arial" w:hAnsi="Arial" w:cs="Arial"/>
                <w:b/>
                <w:bCs/>
                <w:sz w:val="18"/>
                <w:szCs w:val="18"/>
              </w:rPr>
              <w:t xml:space="preserve"> </w:t>
            </w:r>
            <w:r>
              <w:rPr>
                <w:rFonts w:ascii="Arial" w:hAnsi="Arial" w:cs="Arial"/>
                <w:b/>
                <w:bCs/>
                <w:sz w:val="18"/>
                <w:szCs w:val="18"/>
              </w:rPr>
              <w:t>6</w:t>
            </w:r>
            <w:r>
              <w:rPr>
                <w:rFonts w:ascii="Arial" w:hAnsi="Arial" w:cs="Arial"/>
                <w:b/>
                <w:bCs/>
                <w:sz w:val="18"/>
                <w:szCs w:val="18"/>
              </w:rPr>
              <w:t>8</w:t>
            </w:r>
            <w:r>
              <w:rPr>
                <w:rFonts w:ascii="Arial" w:hAnsi="Arial" w:cs="Arial"/>
                <w:b/>
                <w:bCs/>
                <w:sz w:val="12"/>
                <w:szCs w:val="12"/>
              </w:rPr>
              <w:t>t</w:t>
            </w:r>
            <w:r>
              <w:rPr>
                <w:rFonts w:ascii="Arial" w:hAnsi="Arial" w:cs="Arial"/>
                <w:b/>
                <w:bCs/>
                <w:sz w:val="12"/>
                <w:szCs w:val="12"/>
              </w:rPr>
              <w:t>h</w:t>
            </w:r>
            <w:r>
              <w:rPr>
                <w:rFonts w:ascii="Arial" w:hAnsi="Arial" w:cs="Arial"/>
                <w:b/>
                <w:bCs/>
                <w:sz w:val="18"/>
                <w:szCs w:val="18"/>
              </w:rPr>
              <w:t xml:space="preserve"> St</w:t>
            </w:r>
            <w:r>
              <w:rPr>
                <w:rFonts w:ascii="Arial" w:hAnsi="Arial" w:cs="Arial"/>
                <w:b/>
                <w:bCs/>
                <w:sz w:val="18"/>
                <w:szCs w:val="18"/>
              </w:rPr>
              <w:t>.</w:t>
            </w:r>
          </w:p>
          <w:p w:rsidR="00000000" w:rsidRDefault="00010F15">
            <w:pPr>
              <w:pStyle w:val="a3"/>
              <w:spacing w:before="0" w:beforeAutospacing="0" w:after="0" w:afterAutospacing="0"/>
              <w:jc w:val="center"/>
              <w:rPr>
                <w:sz w:val="20"/>
                <w:szCs w:val="20"/>
              </w:rPr>
            </w:pPr>
            <w:r>
              <w:rPr>
                <w:rFonts w:ascii="Arial" w:hAnsi="Arial" w:cs="Arial"/>
                <w:b/>
                <w:bCs/>
                <w:sz w:val="18"/>
                <w:szCs w:val="18"/>
              </w:rPr>
              <w:t>Redmon</w:t>
            </w:r>
            <w:r>
              <w:rPr>
                <w:rFonts w:ascii="Arial" w:hAnsi="Arial" w:cs="Arial"/>
                <w:b/>
                <w:bCs/>
                <w:sz w:val="18"/>
                <w:szCs w:val="18"/>
              </w:rPr>
              <w:t>d</w:t>
            </w:r>
            <w:r>
              <w:rPr>
                <w:rFonts w:ascii="Arial" w:hAnsi="Arial" w:cs="Arial"/>
                <w:b/>
                <w:bCs/>
                <w:sz w:val="18"/>
                <w:szCs w:val="18"/>
              </w:rPr>
              <w:t>,</w:t>
            </w:r>
            <w:r>
              <w:rPr>
                <w:rFonts w:ascii="Arial" w:hAnsi="Arial" w:cs="Arial"/>
                <w:b/>
                <w:bCs/>
                <w:sz w:val="18"/>
                <w:szCs w:val="18"/>
              </w:rPr>
              <w:t xml:space="preserve"> </w:t>
            </w:r>
            <w:r>
              <w:rPr>
                <w:rFonts w:ascii="Arial" w:hAnsi="Arial" w:cs="Arial"/>
                <w:b/>
                <w:bCs/>
                <w:sz w:val="18"/>
                <w:szCs w:val="18"/>
              </w:rPr>
              <w:t>W</w:t>
            </w:r>
            <w:r>
              <w:rPr>
                <w:rFonts w:ascii="Arial" w:hAnsi="Arial" w:cs="Arial"/>
                <w:b/>
                <w:bCs/>
                <w:sz w:val="18"/>
                <w:szCs w:val="18"/>
              </w:rPr>
              <w:t>A</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b/>
                <w:bCs/>
                <w:sz w:val="18"/>
                <w:szCs w:val="18"/>
              </w:rPr>
              <w:t>9805</w:t>
            </w:r>
            <w:r>
              <w:rPr>
                <w:rFonts w:ascii="Arial" w:hAnsi="Arial" w:cs="Arial"/>
                <w:b/>
                <w:bCs/>
                <w:sz w:val="18"/>
                <w:szCs w:val="18"/>
              </w:rPr>
              <w:t>2</w:t>
            </w:r>
          </w:p>
        </w:tc>
      </w:tr>
      <w:tr w:rsidR="00000000">
        <w:trPr>
          <w:trHeight w:val="180"/>
          <w:tblCellSpacing w:w="15" w:type="dxa"/>
        </w:trPr>
        <w:tc>
          <w:tcPr>
            <w:tcW w:w="0" w:type="auto"/>
            <w:tcMar>
              <w:top w:w="14" w:type="dxa"/>
              <w:left w:w="15" w:type="dxa"/>
              <w:bottom w:w="15" w:type="dxa"/>
              <w:right w:w="14" w:type="dxa"/>
            </w:tcMar>
            <w:hideMark/>
          </w:tcPr>
          <w:p w:rsidR="00000000" w:rsidRDefault="00010F15">
            <w:pPr>
              <w:pStyle w:val="a3"/>
              <w:spacing w:before="0" w:beforeAutospacing="0" w:after="0" w:afterAutospacing="0"/>
              <w:jc w:val="center"/>
              <w:rPr>
                <w:sz w:val="18"/>
                <w:szCs w:val="18"/>
              </w:rPr>
            </w:pPr>
            <w:r>
              <w:rPr>
                <w:rFonts w:ascii="Arial" w:hAnsi="Arial" w:cs="Arial"/>
                <w:sz w:val="18"/>
                <w:szCs w:val="18"/>
              </w:rPr>
              <w:t>(Address of principal executive offices</w:t>
            </w:r>
            <w:r>
              <w:rPr>
                <w:rFonts w:ascii="Arial" w:hAnsi="Arial" w:cs="Arial"/>
                <w:sz w:val="18"/>
                <w:szCs w:val="18"/>
              </w:rPr>
              <w:t>)</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jc w:val="center"/>
              <w:rPr>
                <w:sz w:val="18"/>
                <w:szCs w:val="18"/>
              </w:rPr>
            </w:pPr>
            <w:r>
              <w:rPr>
                <w:rFonts w:ascii="Arial" w:hAnsi="Arial" w:cs="Arial"/>
                <w:sz w:val="18"/>
                <w:szCs w:val="18"/>
              </w:rPr>
              <w:t>(Zip Code</w:t>
            </w:r>
            <w:r>
              <w:rPr>
                <w:rFonts w:ascii="Arial" w:hAnsi="Arial" w:cs="Arial"/>
                <w:sz w:val="18"/>
                <w:szCs w:val="18"/>
              </w:rPr>
              <w:t>)</w:t>
            </w:r>
          </w:p>
        </w:tc>
      </w:tr>
    </w:tbl>
    <w:p w:rsidR="00000000" w:rsidRDefault="00010F15">
      <w:pPr>
        <w:pStyle w:val="a3"/>
        <w:spacing w:before="0" w:beforeAutospacing="0" w:after="0" w:afterAutospacing="0"/>
        <w:jc w:val="center"/>
        <w:rPr>
          <w:sz w:val="20"/>
          <w:szCs w:val="20"/>
        </w:rPr>
      </w:pPr>
      <w:r>
        <w:rPr>
          <w:rFonts w:ascii="Arial" w:hAnsi="Arial" w:cs="Arial"/>
          <w:b/>
          <w:bCs/>
          <w:sz w:val="18"/>
          <w:szCs w:val="18"/>
        </w:rPr>
        <w:t>(</w:t>
      </w:r>
      <w:r>
        <w:rPr>
          <w:rFonts w:ascii="Arial" w:hAnsi="Arial" w:cs="Arial"/>
          <w:b/>
          <w:bCs/>
          <w:sz w:val="18"/>
          <w:szCs w:val="18"/>
        </w:rPr>
        <w:t>88</w:t>
      </w:r>
      <w:r>
        <w:rPr>
          <w:rFonts w:ascii="Arial" w:hAnsi="Arial" w:cs="Arial"/>
          <w:b/>
          <w:bCs/>
          <w:sz w:val="18"/>
          <w:szCs w:val="18"/>
        </w:rPr>
        <w:t>8</w:t>
      </w:r>
      <w:r>
        <w:rPr>
          <w:rFonts w:ascii="Arial" w:hAnsi="Arial" w:cs="Arial"/>
          <w:b/>
          <w:bCs/>
          <w:sz w:val="18"/>
          <w:szCs w:val="18"/>
        </w:rPr>
        <w:t>)</w:t>
      </w:r>
      <w:r>
        <w:rPr>
          <w:rFonts w:ascii="Arial" w:hAnsi="Arial" w:cs="Arial"/>
          <w:b/>
          <w:bCs/>
          <w:sz w:val="18"/>
          <w:szCs w:val="18"/>
        </w:rPr>
        <w:t xml:space="preserve"> </w:t>
      </w:r>
      <w:r>
        <w:rPr>
          <w:rFonts w:ascii="Arial" w:hAnsi="Arial" w:cs="Arial"/>
          <w:b/>
          <w:bCs/>
          <w:sz w:val="18"/>
          <w:szCs w:val="18"/>
        </w:rPr>
        <w:t>440-482</w:t>
      </w:r>
      <w:r>
        <w:rPr>
          <w:rFonts w:ascii="Arial" w:hAnsi="Arial" w:cs="Arial"/>
          <w:b/>
          <w:bCs/>
          <w:sz w:val="18"/>
          <w:szCs w:val="18"/>
        </w:rPr>
        <w:t>6</w:t>
      </w:r>
    </w:p>
    <w:p w:rsidR="00000000" w:rsidRDefault="00010F15">
      <w:pPr>
        <w:pStyle w:val="a3"/>
        <w:spacing w:before="0" w:beforeAutospacing="0" w:after="0" w:afterAutospacing="0"/>
        <w:jc w:val="center"/>
        <w:rPr>
          <w:sz w:val="20"/>
          <w:szCs w:val="20"/>
        </w:rPr>
      </w:pPr>
      <w:r>
        <w:rPr>
          <w:rFonts w:ascii="Arial" w:hAnsi="Arial" w:cs="Arial"/>
          <w:sz w:val="18"/>
          <w:szCs w:val="18"/>
        </w:rPr>
        <w:t>(Registrant’s telephone number, including area code</w:t>
      </w:r>
      <w:r>
        <w:rPr>
          <w:rFonts w:ascii="Arial" w:hAnsi="Arial" w:cs="Arial"/>
          <w:sz w:val="18"/>
          <w:szCs w:val="18"/>
        </w:rPr>
        <w:t>)</w:t>
      </w:r>
      <w:r>
        <w:rPr>
          <w:rFonts w:ascii="Arial" w:hAnsi="Arial" w:cs="Arial"/>
          <w:sz w:val="18"/>
          <w:szCs w:val="18"/>
        </w:rPr>
        <w:t xml:space="preserve"> </w:t>
      </w:r>
    </w:p>
    <w:p w:rsidR="00000000" w:rsidRDefault="00010F15">
      <w:pPr>
        <w:pStyle w:val="a3"/>
        <w:spacing w:before="120" w:beforeAutospacing="0" w:after="120" w:afterAutospacing="0"/>
        <w:jc w:val="center"/>
        <w:rPr>
          <w:sz w:val="20"/>
          <w:szCs w:val="20"/>
        </w:rPr>
      </w:pPr>
      <w:r>
        <w:rPr>
          <w:rFonts w:ascii="Arial" w:hAnsi="Arial" w:cs="Arial"/>
          <w:sz w:val="16"/>
          <w:szCs w:val="16"/>
        </w:rPr>
        <w:t>Securities registered pursuant to Section 12(b) of the Act</w:t>
      </w:r>
      <w:r>
        <w:rPr>
          <w:rFonts w:ascii="Arial" w:hAnsi="Arial" w:cs="Arial"/>
          <w:sz w:val="16"/>
          <w:szCs w:val="16"/>
        </w:rPr>
        <w:t>:</w:t>
      </w:r>
      <w:r>
        <w:rPr>
          <w:rFonts w:ascii="Arial" w:hAnsi="Arial" w:cs="Arial"/>
          <w:sz w:val="16"/>
          <w:szCs w:val="16"/>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36"/>
        <w:gridCol w:w="119"/>
        <w:gridCol w:w="1306"/>
        <w:gridCol w:w="119"/>
        <w:gridCol w:w="3626"/>
      </w:tblGrid>
      <w:tr w:rsidR="00000000">
        <w:trPr>
          <w:tblCellSpacing w:w="15" w:type="dxa"/>
        </w:trPr>
        <w:tc>
          <w:tcPr>
            <w:tcW w:w="1905" w:type="pct"/>
            <w:vAlign w:val="center"/>
            <w:hideMark/>
          </w:tcPr>
          <w:p w:rsidR="00000000" w:rsidRDefault="00010F15">
            <w:pPr>
              <w:rPr>
                <w:sz w:val="20"/>
                <w:szCs w:val="20"/>
              </w:rPr>
            </w:pPr>
          </w:p>
        </w:tc>
        <w:tc>
          <w:tcPr>
            <w:tcW w:w="50" w:type="pct"/>
            <w:vAlign w:val="center"/>
            <w:hideMark/>
          </w:tcPr>
          <w:p w:rsidR="00000000" w:rsidRDefault="00010F15">
            <w:pPr>
              <w:rPr>
                <w:rFonts w:eastAsia="Times New Roman"/>
                <w:sz w:val="20"/>
                <w:szCs w:val="20"/>
              </w:rPr>
            </w:pPr>
          </w:p>
        </w:tc>
        <w:tc>
          <w:tcPr>
            <w:tcW w:w="788" w:type="pct"/>
            <w:vAlign w:val="center"/>
            <w:hideMark/>
          </w:tcPr>
          <w:p w:rsidR="00000000" w:rsidRDefault="00010F15">
            <w:pPr>
              <w:rPr>
                <w:rFonts w:eastAsia="Times New Roman"/>
                <w:sz w:val="20"/>
                <w:szCs w:val="20"/>
              </w:rPr>
            </w:pPr>
          </w:p>
        </w:tc>
        <w:tc>
          <w:tcPr>
            <w:tcW w:w="50" w:type="pct"/>
            <w:vAlign w:val="center"/>
            <w:hideMark/>
          </w:tcPr>
          <w:p w:rsidR="00000000" w:rsidRDefault="00010F15">
            <w:pPr>
              <w:rPr>
                <w:rFonts w:eastAsia="Times New Roman"/>
                <w:sz w:val="20"/>
                <w:szCs w:val="20"/>
              </w:rPr>
            </w:pPr>
          </w:p>
        </w:tc>
        <w:tc>
          <w:tcPr>
            <w:tcW w:w="2206" w:type="pct"/>
            <w:vAlign w:val="center"/>
            <w:hideMark/>
          </w:tcPr>
          <w:p w:rsidR="00000000" w:rsidRDefault="00010F15">
            <w:pPr>
              <w:rPr>
                <w:rFonts w:eastAsia="Times New Roman"/>
                <w:sz w:val="20"/>
                <w:szCs w:val="20"/>
              </w:rPr>
            </w:pPr>
          </w:p>
        </w:tc>
      </w:tr>
      <w:tr w:rsidR="00000000">
        <w:trPr>
          <w:trHeight w:val="160"/>
          <w:tblCellSpacing w:w="15" w:type="dxa"/>
        </w:trPr>
        <w:tc>
          <w:tcPr>
            <w:tcW w:w="0" w:type="auto"/>
            <w:tcBorders>
              <w:top w:val="single" w:sz="8" w:space="0" w:color="auto"/>
              <w:left w:val="single" w:sz="8" w:space="0" w:color="auto"/>
              <w:right w:val="single" w:sz="8" w:space="0" w:color="auto"/>
            </w:tcBorders>
            <w:tcMar>
              <w:top w:w="14" w:type="dxa"/>
              <w:left w:w="15" w:type="dxa"/>
              <w:bottom w:w="15" w:type="dxa"/>
              <w:right w:w="14" w:type="dxa"/>
            </w:tcMar>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Title of each clas</w:t>
            </w:r>
            <w:r>
              <w:rPr>
                <w:rFonts w:ascii="Arial" w:hAnsi="Arial" w:cs="Arial"/>
                <w:b/>
                <w:bCs/>
                <w:sz w:val="16"/>
                <w:szCs w:val="16"/>
              </w:rPr>
              <w:t>s</w:t>
            </w:r>
          </w:p>
        </w:tc>
        <w:tc>
          <w:tcPr>
            <w:tcW w:w="0" w:type="auto"/>
            <w:tcBorders>
              <w:top w:val="single" w:sz="8" w:space="0" w:color="auto"/>
              <w:right w:val="single" w:sz="8" w:space="0" w:color="auto"/>
            </w:tcBorders>
            <w:tcMar>
              <w:top w:w="14" w:type="dxa"/>
              <w:left w:w="15" w:type="dxa"/>
              <w:bottom w:w="15" w:type="dxa"/>
              <w:right w:w="14" w:type="dxa"/>
            </w:tcMar>
            <w:hideMark/>
          </w:tcPr>
          <w:p w:rsidR="00000000" w:rsidRDefault="00010F15">
            <w:pPr>
              <w:pStyle w:val="a3"/>
              <w:spacing w:before="0" w:beforeAutospacing="0" w:after="0" w:afterAutospacing="0"/>
              <w:jc w:val="center"/>
              <w:rPr>
                <w:sz w:val="16"/>
                <w:szCs w:val="16"/>
              </w:rPr>
            </w:pPr>
            <w:r>
              <w:rPr>
                <w:sz w:val="16"/>
                <w:szCs w:val="16"/>
              </w:rPr>
              <w:t> </w:t>
            </w:r>
          </w:p>
        </w:tc>
        <w:tc>
          <w:tcPr>
            <w:tcW w:w="0" w:type="auto"/>
            <w:tcBorders>
              <w:top w:val="single" w:sz="8" w:space="0" w:color="auto"/>
              <w:right w:val="single" w:sz="8" w:space="0" w:color="auto"/>
            </w:tcBorders>
            <w:tcMar>
              <w:top w:w="14" w:type="dxa"/>
              <w:left w:w="15" w:type="dxa"/>
              <w:bottom w:w="15" w:type="dxa"/>
              <w:right w:w="14" w:type="dxa"/>
            </w:tcMar>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Trading Symbol(s</w:t>
            </w:r>
            <w:r>
              <w:rPr>
                <w:rFonts w:ascii="Arial" w:hAnsi="Arial" w:cs="Arial"/>
                <w:b/>
                <w:bCs/>
                <w:sz w:val="16"/>
                <w:szCs w:val="16"/>
              </w:rPr>
              <w:t>)</w:t>
            </w:r>
          </w:p>
        </w:tc>
        <w:tc>
          <w:tcPr>
            <w:tcW w:w="0" w:type="auto"/>
            <w:tcBorders>
              <w:top w:val="single" w:sz="8" w:space="0" w:color="auto"/>
              <w:right w:val="single" w:sz="8" w:space="0" w:color="auto"/>
            </w:tcBorders>
            <w:tcMar>
              <w:top w:w="14" w:type="dxa"/>
              <w:left w:w="15" w:type="dxa"/>
              <w:bottom w:w="15" w:type="dxa"/>
              <w:right w:w="14" w:type="dxa"/>
            </w:tcMar>
            <w:hideMark/>
          </w:tcPr>
          <w:p w:rsidR="00000000" w:rsidRDefault="00010F15">
            <w:pPr>
              <w:pStyle w:val="a3"/>
              <w:spacing w:before="0" w:beforeAutospacing="0" w:after="0" w:afterAutospacing="0"/>
              <w:jc w:val="center"/>
              <w:rPr>
                <w:sz w:val="16"/>
                <w:szCs w:val="16"/>
              </w:rPr>
            </w:pPr>
            <w:r>
              <w:rPr>
                <w:sz w:val="16"/>
                <w:szCs w:val="16"/>
              </w:rPr>
              <w:t> </w:t>
            </w:r>
          </w:p>
        </w:tc>
        <w:tc>
          <w:tcPr>
            <w:tcW w:w="0" w:type="auto"/>
            <w:tcBorders>
              <w:top w:val="single" w:sz="8" w:space="0" w:color="auto"/>
              <w:right w:val="single" w:sz="8" w:space="0" w:color="auto"/>
            </w:tcBorders>
            <w:tcMar>
              <w:top w:w="14" w:type="dxa"/>
              <w:left w:w="15" w:type="dxa"/>
              <w:bottom w:w="15" w:type="dxa"/>
              <w:right w:w="14" w:type="dxa"/>
            </w:tcMar>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Name of each exchange on which registere</w:t>
            </w:r>
            <w:r>
              <w:rPr>
                <w:rFonts w:ascii="Arial" w:hAnsi="Arial" w:cs="Arial"/>
                <w:b/>
                <w:bCs/>
                <w:sz w:val="16"/>
                <w:szCs w:val="16"/>
              </w:rPr>
              <w:t>d</w:t>
            </w:r>
          </w:p>
        </w:tc>
      </w:tr>
      <w:tr w:rsidR="00000000">
        <w:trPr>
          <w:trHeight w:val="160"/>
          <w:tblCellSpacing w:w="15" w:type="dxa"/>
        </w:trPr>
        <w:tc>
          <w:tcPr>
            <w:tcW w:w="0" w:type="auto"/>
            <w:tcBorders>
              <w:left w:val="single" w:sz="8" w:space="0" w:color="auto"/>
              <w:bottom w:val="single" w:sz="8" w:space="0" w:color="auto"/>
              <w:right w:val="single" w:sz="8" w:space="0" w:color="auto"/>
            </w:tcBorders>
            <w:tcMar>
              <w:top w:w="14" w:type="dxa"/>
              <w:left w:w="15" w:type="dxa"/>
              <w:bottom w:w="15" w:type="dxa"/>
              <w:right w:w="14" w:type="dxa"/>
            </w:tcMar>
            <w:hideMark/>
          </w:tcPr>
          <w:p w:rsidR="00000000" w:rsidRDefault="00010F15">
            <w:pPr>
              <w:pStyle w:val="a3"/>
              <w:spacing w:before="0" w:beforeAutospacing="0" w:after="0" w:afterAutospacing="0"/>
              <w:rPr>
                <w:sz w:val="20"/>
                <w:szCs w:val="20"/>
              </w:rPr>
            </w:pPr>
            <w:r>
              <w:rPr>
                <w:rFonts w:ascii="Arial" w:hAnsi="Arial" w:cs="Arial"/>
                <w:sz w:val="16"/>
                <w:szCs w:val="16"/>
              </w:rPr>
              <w:t>Class A Common Stock, par value $0.0001 per shar</w:t>
            </w:r>
            <w:r>
              <w:rPr>
                <w:rFonts w:ascii="Arial" w:hAnsi="Arial" w:cs="Arial"/>
                <w:sz w:val="16"/>
                <w:szCs w:val="16"/>
              </w:rPr>
              <w:t>e</w:t>
            </w:r>
          </w:p>
        </w:tc>
        <w:tc>
          <w:tcPr>
            <w:tcW w:w="0" w:type="auto"/>
            <w:tcBorders>
              <w:bottom w:val="single" w:sz="8" w:space="0" w:color="auto"/>
              <w:right w:val="single" w:sz="8" w:space="0" w:color="auto"/>
            </w:tcBorders>
            <w:tcMar>
              <w:top w:w="14" w:type="dxa"/>
              <w:left w:w="15" w:type="dxa"/>
              <w:bottom w:w="15" w:type="dxa"/>
              <w:right w:w="14" w:type="dxa"/>
            </w:tcMar>
            <w:hideMark/>
          </w:tcPr>
          <w:p w:rsidR="00000000" w:rsidRDefault="00010F15">
            <w:pPr>
              <w:pStyle w:val="a3"/>
              <w:spacing w:before="0" w:beforeAutospacing="0" w:after="0" w:afterAutospacing="0"/>
              <w:jc w:val="center"/>
              <w:rPr>
                <w:sz w:val="16"/>
                <w:szCs w:val="16"/>
              </w:rPr>
            </w:pPr>
            <w:r>
              <w:rPr>
                <w:sz w:val="16"/>
                <w:szCs w:val="16"/>
              </w:rPr>
              <w:t> </w:t>
            </w:r>
          </w:p>
        </w:tc>
        <w:tc>
          <w:tcPr>
            <w:tcW w:w="0" w:type="auto"/>
            <w:tcBorders>
              <w:bottom w:val="single" w:sz="8" w:space="0" w:color="auto"/>
              <w:right w:val="single" w:sz="8" w:space="0" w:color="auto"/>
            </w:tcBorders>
            <w:tcMar>
              <w:top w:w="14" w:type="dxa"/>
              <w:left w:w="15" w:type="dxa"/>
              <w:bottom w:w="15" w:type="dxa"/>
              <w:right w:w="14" w:type="dxa"/>
            </w:tcMar>
            <w:hideMark/>
          </w:tcPr>
          <w:p w:rsidR="00000000" w:rsidRDefault="00010F15">
            <w:pPr>
              <w:pStyle w:val="a3"/>
              <w:spacing w:before="0" w:beforeAutospacing="0" w:after="0" w:afterAutospacing="0"/>
              <w:jc w:val="center"/>
              <w:rPr>
                <w:sz w:val="20"/>
                <w:szCs w:val="20"/>
              </w:rPr>
            </w:pPr>
            <w:r>
              <w:rPr>
                <w:rFonts w:ascii="Arial" w:hAnsi="Arial" w:cs="Arial"/>
                <w:sz w:val="16"/>
                <w:szCs w:val="16"/>
              </w:rPr>
              <w:t>PA</w:t>
            </w:r>
            <w:r>
              <w:rPr>
                <w:rFonts w:ascii="Arial" w:hAnsi="Arial" w:cs="Arial"/>
                <w:sz w:val="16"/>
                <w:szCs w:val="16"/>
              </w:rPr>
              <w:t>Y</w:t>
            </w:r>
          </w:p>
        </w:tc>
        <w:tc>
          <w:tcPr>
            <w:tcW w:w="0" w:type="auto"/>
            <w:tcBorders>
              <w:bottom w:val="single" w:sz="8" w:space="0" w:color="auto"/>
              <w:right w:val="single" w:sz="8" w:space="0" w:color="auto"/>
            </w:tcBorders>
            <w:tcMar>
              <w:top w:w="14" w:type="dxa"/>
              <w:left w:w="15" w:type="dxa"/>
              <w:bottom w:w="15" w:type="dxa"/>
              <w:right w:w="14" w:type="dxa"/>
            </w:tcMar>
            <w:hideMark/>
          </w:tcPr>
          <w:p w:rsidR="00000000" w:rsidRDefault="00010F15">
            <w:pPr>
              <w:pStyle w:val="a3"/>
              <w:spacing w:before="0" w:beforeAutospacing="0" w:after="0" w:afterAutospacing="0"/>
              <w:jc w:val="center"/>
              <w:rPr>
                <w:sz w:val="16"/>
                <w:szCs w:val="16"/>
              </w:rPr>
            </w:pPr>
            <w:r>
              <w:rPr>
                <w:sz w:val="16"/>
                <w:szCs w:val="16"/>
              </w:rPr>
              <w:t> </w:t>
            </w:r>
          </w:p>
        </w:tc>
        <w:tc>
          <w:tcPr>
            <w:tcW w:w="0" w:type="auto"/>
            <w:tcBorders>
              <w:bottom w:val="single" w:sz="8" w:space="0" w:color="auto"/>
              <w:right w:val="single" w:sz="8" w:space="0" w:color="auto"/>
            </w:tcBorders>
            <w:tcMar>
              <w:top w:w="14" w:type="dxa"/>
              <w:left w:w="15" w:type="dxa"/>
              <w:bottom w:w="15" w:type="dxa"/>
              <w:right w:w="14" w:type="dxa"/>
            </w:tcMar>
            <w:hideMark/>
          </w:tcPr>
          <w:p w:rsidR="00000000" w:rsidRDefault="00010F15">
            <w:pPr>
              <w:pStyle w:val="a3"/>
              <w:spacing w:before="0" w:beforeAutospacing="0" w:after="0" w:afterAutospacing="0"/>
              <w:jc w:val="center"/>
              <w:rPr>
                <w:sz w:val="20"/>
                <w:szCs w:val="20"/>
              </w:rPr>
            </w:pPr>
            <w:r>
              <w:rPr>
                <w:rFonts w:ascii="Arial" w:hAnsi="Arial" w:cs="Arial"/>
                <w:sz w:val="16"/>
                <w:szCs w:val="16"/>
              </w:rPr>
              <w:t>New York Stock Exchang</w:t>
            </w:r>
            <w:r>
              <w:rPr>
                <w:rFonts w:ascii="Arial" w:hAnsi="Arial" w:cs="Arial"/>
                <w:sz w:val="16"/>
                <w:szCs w:val="16"/>
              </w:rPr>
              <w:t>e</w:t>
            </w:r>
          </w:p>
        </w:tc>
      </w:tr>
    </w:tbl>
    <w:p w:rsidR="00000000" w:rsidRDefault="00010F15">
      <w:pPr>
        <w:pStyle w:val="a3"/>
        <w:spacing w:before="0" w:beforeAutospacing="0" w:after="0" w:afterAutospacing="0"/>
        <w:rPr>
          <w:sz w:val="20"/>
          <w:szCs w:val="20"/>
        </w:rPr>
      </w:pPr>
      <w:r>
        <w:rPr>
          <w:sz w:val="16"/>
          <w:szCs w:val="16"/>
        </w:rPr>
        <w:t> </w:t>
      </w:r>
    </w:p>
    <w:p w:rsidR="00000000" w:rsidRDefault="00010F15">
      <w:pPr>
        <w:pStyle w:val="a3"/>
        <w:spacing w:before="0" w:beforeAutospacing="0" w:after="120" w:afterAutospacing="0"/>
        <w:rPr>
          <w:sz w:val="20"/>
          <w:szCs w:val="20"/>
        </w:rPr>
      </w:pPr>
      <w:r>
        <w:rPr>
          <w:rFonts w:ascii="Arial" w:hAnsi="Arial" w:cs="Arial"/>
          <w:sz w:val="15"/>
          <w:szCs w:val="15"/>
        </w:rPr>
        <w:t>Securities registered pursuant to Section 12(g) of the Act: Non</w:t>
      </w:r>
      <w:r>
        <w:rPr>
          <w:rFonts w:ascii="Arial" w:hAnsi="Arial" w:cs="Arial"/>
          <w:sz w:val="15"/>
          <w:szCs w:val="15"/>
        </w:rPr>
        <w:t>e</w:t>
      </w:r>
    </w:p>
    <w:p w:rsidR="00000000" w:rsidRDefault="00010F15">
      <w:pPr>
        <w:pStyle w:val="a3"/>
        <w:spacing w:before="0" w:beforeAutospacing="0" w:after="120" w:afterAutospacing="0"/>
        <w:rPr>
          <w:sz w:val="20"/>
          <w:szCs w:val="20"/>
        </w:rPr>
      </w:pPr>
      <w:r>
        <w:rPr>
          <w:rFonts w:ascii="Arial" w:hAnsi="Arial" w:cs="Arial"/>
          <w:sz w:val="15"/>
          <w:szCs w:val="15"/>
        </w:rPr>
        <w:t xml:space="preserve">Indicate by check mark if the Registrant is a well-known seasoned issuer, as defined in Rule 405 of the Securities Act. Yes </w:t>
      </w:r>
      <w:r>
        <w:rPr>
          <w:rFonts w:ascii="Segoe UI Symbol" w:hAnsi="Segoe UI Symbol" w:cs="Segoe UI Symbol"/>
          <w:sz w:val="15"/>
          <w:szCs w:val="15"/>
        </w:rPr>
        <w:t>☐</w:t>
      </w:r>
      <w:r>
        <w:rPr>
          <w:rFonts w:ascii="Arial" w:hAnsi="Arial" w:cs="Arial"/>
          <w:sz w:val="15"/>
          <w:szCs w:val="15"/>
        </w:rPr>
        <w:t xml:space="preserve"> </w:t>
      </w:r>
      <w:r>
        <w:rPr>
          <w:rFonts w:ascii="Arial" w:hAnsi="Arial" w:cs="Arial"/>
          <w:sz w:val="15"/>
          <w:szCs w:val="15"/>
        </w:rPr>
        <w:t>N</w:t>
      </w:r>
      <w:r>
        <w:rPr>
          <w:rFonts w:ascii="Arial" w:hAnsi="Arial" w:cs="Arial"/>
          <w:sz w:val="15"/>
          <w:szCs w:val="15"/>
        </w:rPr>
        <w:t>o</w:t>
      </w:r>
      <w:r>
        <w:rPr>
          <w:rFonts w:ascii="Arial" w:hAnsi="Arial" w:cs="Arial"/>
          <w:sz w:val="15"/>
          <w:szCs w:val="15"/>
        </w:rPr>
        <w:t xml:space="preserve"> </w:t>
      </w:r>
      <w:r>
        <w:rPr>
          <w:rFonts w:ascii="Segoe UI Symbol" w:hAnsi="Segoe UI Symbol" w:cs="Segoe UI Symbol"/>
          <w:sz w:val="15"/>
          <w:szCs w:val="15"/>
        </w:rPr>
        <w:t>☒</w:t>
      </w:r>
    </w:p>
    <w:p w:rsidR="00000000" w:rsidRDefault="00010F15">
      <w:pPr>
        <w:pStyle w:val="a3"/>
        <w:spacing w:before="0" w:beforeAutospacing="0" w:after="120" w:afterAutospacing="0"/>
        <w:rPr>
          <w:sz w:val="20"/>
          <w:szCs w:val="20"/>
        </w:rPr>
      </w:pPr>
      <w:r>
        <w:rPr>
          <w:rFonts w:ascii="Arial" w:hAnsi="Arial" w:cs="Arial"/>
          <w:sz w:val="15"/>
          <w:szCs w:val="15"/>
        </w:rPr>
        <w:t xml:space="preserve">Indicate by check mark if the Registrant is not required to file reports pursuant to Section 13 or 15(d) of the Act. Yes </w:t>
      </w:r>
      <w:r>
        <w:rPr>
          <w:rFonts w:ascii="Segoe UI Symbol" w:hAnsi="Segoe UI Symbol" w:cs="Segoe UI Symbol"/>
          <w:sz w:val="15"/>
          <w:szCs w:val="15"/>
        </w:rPr>
        <w:t>☐</w:t>
      </w:r>
      <w:r>
        <w:rPr>
          <w:rFonts w:ascii="Arial" w:hAnsi="Arial" w:cs="Arial"/>
          <w:sz w:val="15"/>
          <w:szCs w:val="15"/>
        </w:rPr>
        <w:t xml:space="preserve"> </w:t>
      </w:r>
      <w:r>
        <w:rPr>
          <w:rFonts w:ascii="Arial" w:hAnsi="Arial" w:cs="Arial"/>
          <w:sz w:val="15"/>
          <w:szCs w:val="15"/>
        </w:rPr>
        <w:t>N</w:t>
      </w:r>
      <w:r>
        <w:rPr>
          <w:rFonts w:ascii="Arial" w:hAnsi="Arial" w:cs="Arial"/>
          <w:sz w:val="15"/>
          <w:szCs w:val="15"/>
        </w:rPr>
        <w:t>o</w:t>
      </w:r>
      <w:r>
        <w:rPr>
          <w:rFonts w:ascii="Arial" w:hAnsi="Arial" w:cs="Arial"/>
          <w:sz w:val="15"/>
          <w:szCs w:val="15"/>
        </w:rPr>
        <w:t xml:space="preserve"> </w:t>
      </w:r>
      <w:r>
        <w:rPr>
          <w:rFonts w:ascii="Segoe UI Symbol" w:hAnsi="Segoe UI Symbol" w:cs="Segoe UI Symbol"/>
          <w:sz w:val="15"/>
          <w:szCs w:val="15"/>
        </w:rPr>
        <w:t>☒</w:t>
      </w:r>
    </w:p>
    <w:p w:rsidR="00000000" w:rsidRDefault="00010F15">
      <w:pPr>
        <w:pStyle w:val="a3"/>
        <w:spacing w:before="0" w:beforeAutospacing="0" w:after="120" w:afterAutospacing="0"/>
        <w:rPr>
          <w:sz w:val="20"/>
          <w:szCs w:val="20"/>
        </w:rPr>
      </w:pPr>
      <w:r>
        <w:rPr>
          <w:rFonts w:ascii="Arial" w:hAnsi="Arial" w:cs="Arial"/>
          <w:sz w:val="15"/>
          <w:szCs w:val="15"/>
        </w:rPr>
        <w:t>Indicate by check mark whether the Registrant: (1) has filed all reports required to be filed by Section 13 or 15(d) of the Securities Exchange Act of 1934 during the preceding 12 months (or for such shorter period that the Registrant was required to fi</w:t>
      </w:r>
      <w:r>
        <w:rPr>
          <w:rFonts w:ascii="Arial" w:hAnsi="Arial" w:cs="Arial"/>
          <w:sz w:val="15"/>
          <w:szCs w:val="15"/>
        </w:rPr>
        <w:t>le such reports), and (2) has been subject to such filing requirements for the past 90 days.</w:t>
      </w:r>
      <w:r>
        <w:rPr>
          <w:rFonts w:ascii="Arial" w:hAnsi="Arial" w:cs="Arial"/>
          <w:sz w:val="15"/>
          <w:szCs w:val="15"/>
        </w:rPr>
        <w:t xml:space="preserve"> </w:t>
      </w:r>
      <w:r>
        <w:rPr>
          <w:rFonts w:ascii="Arial" w:hAnsi="Arial" w:cs="Arial"/>
          <w:sz w:val="15"/>
          <w:szCs w:val="15"/>
        </w:rPr>
        <w:t>Ye</w:t>
      </w:r>
      <w:r>
        <w:rPr>
          <w:rFonts w:ascii="Arial" w:hAnsi="Arial" w:cs="Arial"/>
          <w:sz w:val="15"/>
          <w:szCs w:val="15"/>
        </w:rPr>
        <w:t>s</w:t>
      </w:r>
      <w:r>
        <w:rPr>
          <w:rFonts w:ascii="Arial" w:hAnsi="Arial" w:cs="Arial"/>
          <w:sz w:val="15"/>
          <w:szCs w:val="15"/>
        </w:rPr>
        <w:t xml:space="preserve"> </w:t>
      </w:r>
      <w:r>
        <w:rPr>
          <w:rFonts w:ascii="Segoe UI Symbol" w:hAnsi="Segoe UI Symbol" w:cs="Segoe UI Symbol"/>
          <w:sz w:val="15"/>
          <w:szCs w:val="15"/>
        </w:rPr>
        <w:t>☒</w:t>
      </w:r>
      <w:r>
        <w:rPr>
          <w:rFonts w:ascii="Arial" w:hAnsi="Arial" w:cs="Arial"/>
          <w:sz w:val="15"/>
          <w:szCs w:val="15"/>
        </w:rPr>
        <w:t xml:space="preserve"> No </w:t>
      </w:r>
      <w:r>
        <w:rPr>
          <w:rFonts w:ascii="Segoe UI Symbol" w:hAnsi="Segoe UI Symbol" w:cs="Segoe UI Symbol"/>
          <w:sz w:val="15"/>
          <w:szCs w:val="15"/>
        </w:rPr>
        <w:t>☐</w:t>
      </w:r>
    </w:p>
    <w:p w:rsidR="00000000" w:rsidRDefault="00010F15">
      <w:pPr>
        <w:pStyle w:val="a3"/>
        <w:spacing w:before="0" w:beforeAutospacing="0" w:after="120" w:afterAutospacing="0"/>
        <w:rPr>
          <w:sz w:val="20"/>
          <w:szCs w:val="20"/>
        </w:rPr>
      </w:pPr>
      <w:r>
        <w:rPr>
          <w:rFonts w:ascii="Arial" w:hAnsi="Arial" w:cs="Arial"/>
          <w:sz w:val="15"/>
          <w:szCs w:val="15"/>
        </w:rPr>
        <w:t xml:space="preserve">Indicate by check mark whether the Registrant has submitted electronically every Interactive Data File required to be submitted pursuant to Rule 405 of </w:t>
      </w:r>
      <w:r>
        <w:rPr>
          <w:rFonts w:ascii="Arial" w:hAnsi="Arial" w:cs="Arial"/>
          <w:sz w:val="15"/>
          <w:szCs w:val="15"/>
        </w:rPr>
        <w:t>Regulation S-T (§232.405 of this chapter) during the preceding 12 months (or for such shorter period that the Registrant was required to submit such files).</w:t>
      </w:r>
      <w:r>
        <w:rPr>
          <w:rFonts w:ascii="Arial" w:hAnsi="Arial" w:cs="Arial"/>
          <w:sz w:val="15"/>
          <w:szCs w:val="15"/>
        </w:rPr>
        <w:t xml:space="preserve"> </w:t>
      </w:r>
      <w:r>
        <w:rPr>
          <w:rFonts w:ascii="Arial" w:hAnsi="Arial" w:cs="Arial"/>
          <w:sz w:val="15"/>
          <w:szCs w:val="15"/>
        </w:rPr>
        <w:t>Ye</w:t>
      </w:r>
      <w:r>
        <w:rPr>
          <w:rFonts w:ascii="Arial" w:hAnsi="Arial" w:cs="Arial"/>
          <w:sz w:val="15"/>
          <w:szCs w:val="15"/>
        </w:rPr>
        <w:t>s</w:t>
      </w:r>
      <w:r>
        <w:rPr>
          <w:rFonts w:ascii="Arial" w:hAnsi="Arial" w:cs="Arial"/>
          <w:sz w:val="15"/>
          <w:szCs w:val="15"/>
        </w:rPr>
        <w:t xml:space="preserve"> </w:t>
      </w:r>
      <w:r>
        <w:rPr>
          <w:rFonts w:ascii="Segoe UI Symbol" w:hAnsi="Segoe UI Symbol" w:cs="Segoe UI Symbol"/>
          <w:sz w:val="15"/>
          <w:szCs w:val="15"/>
        </w:rPr>
        <w:t>☒</w:t>
      </w:r>
      <w:r>
        <w:rPr>
          <w:rFonts w:ascii="Arial" w:hAnsi="Arial" w:cs="Arial"/>
          <w:sz w:val="15"/>
          <w:szCs w:val="15"/>
        </w:rPr>
        <w:t xml:space="preserve"> No </w:t>
      </w:r>
      <w:r>
        <w:rPr>
          <w:rFonts w:ascii="Segoe UI Symbol" w:hAnsi="Segoe UI Symbol" w:cs="Segoe UI Symbol"/>
          <w:sz w:val="15"/>
          <w:szCs w:val="15"/>
        </w:rPr>
        <w:t>☐</w:t>
      </w:r>
    </w:p>
    <w:p w:rsidR="00000000" w:rsidRDefault="00010F15">
      <w:pPr>
        <w:pStyle w:val="a3"/>
        <w:spacing w:before="0" w:beforeAutospacing="0" w:after="0" w:afterAutospacing="0"/>
        <w:rPr>
          <w:sz w:val="20"/>
          <w:szCs w:val="20"/>
        </w:rPr>
      </w:pPr>
      <w:r>
        <w:rPr>
          <w:rFonts w:ascii="Arial" w:hAnsi="Arial" w:cs="Arial"/>
          <w:sz w:val="15"/>
          <w:szCs w:val="15"/>
        </w:rPr>
        <w:t>Indicate by check mark whether the registrant is a large accelerated filer, an accelerat</w:t>
      </w:r>
      <w:r>
        <w:rPr>
          <w:rFonts w:ascii="Arial" w:hAnsi="Arial" w:cs="Arial"/>
          <w:sz w:val="15"/>
          <w:szCs w:val="15"/>
        </w:rPr>
        <w:t>ed filer, a non-accelerated filer, a smaller reporting company, or an emerging growth company. See the definitions of “large accelerated filer,” “accelerated filer,” “smaller reporting company,” and “emerging growth company” in Rule 12b-2 of the Exchange A</w:t>
      </w:r>
      <w:r>
        <w:rPr>
          <w:rFonts w:ascii="Arial" w:hAnsi="Arial" w:cs="Arial"/>
          <w:sz w:val="15"/>
          <w:szCs w:val="15"/>
        </w:rPr>
        <w:t>ct</w:t>
      </w:r>
      <w:r>
        <w:rPr>
          <w:rFonts w:ascii="Arial" w:hAnsi="Arial" w:cs="Arial"/>
          <w:sz w:val="15"/>
          <w:szCs w:val="15"/>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78"/>
        <w:gridCol w:w="107"/>
        <w:gridCol w:w="4315"/>
        <w:gridCol w:w="107"/>
        <w:gridCol w:w="1888"/>
        <w:gridCol w:w="107"/>
        <w:gridCol w:w="204"/>
      </w:tblGrid>
      <w:tr w:rsidR="00000000">
        <w:trPr>
          <w:tblCellSpacing w:w="15" w:type="dxa"/>
        </w:trPr>
        <w:tc>
          <w:tcPr>
            <w:tcW w:w="952" w:type="pct"/>
            <w:vAlign w:val="center"/>
            <w:hideMark/>
          </w:tcPr>
          <w:p w:rsidR="00000000" w:rsidRDefault="00010F15">
            <w:pPr>
              <w:rPr>
                <w:sz w:val="20"/>
                <w:szCs w:val="20"/>
              </w:rPr>
            </w:pPr>
          </w:p>
        </w:tc>
        <w:tc>
          <w:tcPr>
            <w:tcW w:w="50" w:type="pct"/>
            <w:vAlign w:val="center"/>
            <w:hideMark/>
          </w:tcPr>
          <w:p w:rsidR="00000000" w:rsidRDefault="00010F15">
            <w:pPr>
              <w:rPr>
                <w:rFonts w:eastAsia="Times New Roman"/>
                <w:sz w:val="20"/>
                <w:szCs w:val="20"/>
              </w:rPr>
            </w:pPr>
          </w:p>
        </w:tc>
        <w:tc>
          <w:tcPr>
            <w:tcW w:w="2657" w:type="pct"/>
            <w:vAlign w:val="center"/>
            <w:hideMark/>
          </w:tcPr>
          <w:p w:rsidR="00000000" w:rsidRDefault="00010F15">
            <w:pPr>
              <w:rPr>
                <w:rFonts w:eastAsia="Times New Roman"/>
                <w:sz w:val="20"/>
                <w:szCs w:val="20"/>
              </w:rPr>
            </w:pPr>
          </w:p>
        </w:tc>
        <w:tc>
          <w:tcPr>
            <w:tcW w:w="50" w:type="pct"/>
            <w:vAlign w:val="center"/>
            <w:hideMark/>
          </w:tcPr>
          <w:p w:rsidR="00000000" w:rsidRDefault="00010F15">
            <w:pPr>
              <w:rPr>
                <w:rFonts w:eastAsia="Times New Roman"/>
                <w:sz w:val="20"/>
                <w:szCs w:val="20"/>
              </w:rPr>
            </w:pPr>
          </w:p>
        </w:tc>
        <w:tc>
          <w:tcPr>
            <w:tcW w:w="1153" w:type="pct"/>
            <w:vAlign w:val="center"/>
            <w:hideMark/>
          </w:tcPr>
          <w:p w:rsidR="00000000" w:rsidRDefault="00010F15">
            <w:pPr>
              <w:rPr>
                <w:rFonts w:eastAsia="Times New Roman"/>
                <w:sz w:val="20"/>
                <w:szCs w:val="20"/>
              </w:rPr>
            </w:pPr>
          </w:p>
        </w:tc>
        <w:tc>
          <w:tcPr>
            <w:tcW w:w="50" w:type="pct"/>
            <w:vAlign w:val="center"/>
            <w:hideMark/>
          </w:tcPr>
          <w:p w:rsidR="00000000" w:rsidRDefault="00010F15">
            <w:pPr>
              <w:rPr>
                <w:rFonts w:eastAsia="Times New Roman"/>
                <w:sz w:val="20"/>
                <w:szCs w:val="20"/>
              </w:rPr>
            </w:pPr>
          </w:p>
        </w:tc>
        <w:tc>
          <w:tcPr>
            <w:tcW w:w="85" w:type="pct"/>
            <w:vAlign w:val="center"/>
            <w:hideMark/>
          </w:tcPr>
          <w:p w:rsidR="00000000" w:rsidRDefault="00010F15">
            <w:pPr>
              <w:rPr>
                <w:rFonts w:eastAsia="Times New Roman"/>
                <w:sz w:val="20"/>
                <w:szCs w:val="20"/>
              </w:rPr>
            </w:pPr>
          </w:p>
        </w:tc>
      </w:tr>
      <w:tr w:rsidR="00000000">
        <w:trPr>
          <w:trHeight w:val="140"/>
          <w:tblCellSpacing w:w="15" w:type="dxa"/>
        </w:trPr>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15"/>
                <w:szCs w:val="15"/>
              </w:rPr>
            </w:pPr>
            <w:r>
              <w:rPr>
                <w:rFonts w:ascii="Arial" w:hAnsi="Arial" w:cs="Arial"/>
                <w:sz w:val="15"/>
                <w:szCs w:val="15"/>
              </w:rPr>
              <w:t>Large accelerated file</w:t>
            </w:r>
            <w:r>
              <w:rPr>
                <w:rFonts w:ascii="Arial" w:hAnsi="Arial" w:cs="Arial"/>
                <w:sz w:val="15"/>
                <w:szCs w:val="15"/>
              </w:rPr>
              <w:t>r</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15"/>
                <w:szCs w:val="15"/>
              </w:rPr>
            </w:pPr>
            <w:r>
              <w:rPr>
                <w:sz w:val="15"/>
                <w:szCs w:val="15"/>
              </w:rPr>
              <w:t> </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15"/>
                <w:szCs w:val="15"/>
              </w:rPr>
            </w:pPr>
            <w:r>
              <w:rPr>
                <w:rFonts w:ascii="Segoe UI Symbol" w:hAnsi="Segoe UI Symbol" w:cs="Segoe UI Symbol"/>
                <w:sz w:val="15"/>
                <w:szCs w:val="15"/>
              </w:rPr>
              <w:t>☐</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15"/>
                <w:szCs w:val="15"/>
              </w:rPr>
            </w:pPr>
            <w:r>
              <w:rPr>
                <w:sz w:val="15"/>
                <w:szCs w:val="15"/>
              </w:rPr>
              <w:t> </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15"/>
                <w:szCs w:val="15"/>
              </w:rPr>
            </w:pPr>
            <w:r>
              <w:rPr>
                <w:rFonts w:ascii="Arial" w:hAnsi="Arial" w:cs="Arial"/>
                <w:sz w:val="15"/>
                <w:szCs w:val="15"/>
              </w:rPr>
              <w:t>Accelerated file</w:t>
            </w:r>
            <w:r>
              <w:rPr>
                <w:rFonts w:ascii="Arial" w:hAnsi="Arial" w:cs="Arial"/>
                <w:sz w:val="15"/>
                <w:szCs w:val="15"/>
              </w:rPr>
              <w:t>r</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15"/>
                <w:szCs w:val="15"/>
              </w:rPr>
            </w:pPr>
            <w:r>
              <w:rPr>
                <w:sz w:val="15"/>
                <w:szCs w:val="15"/>
              </w:rPr>
              <w:t> </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15"/>
                <w:szCs w:val="15"/>
              </w:rPr>
            </w:pPr>
            <w:r>
              <w:rPr>
                <w:rFonts w:ascii="Segoe UI Symbol" w:hAnsi="Segoe UI Symbol" w:cs="Segoe UI Symbol"/>
                <w:sz w:val="15"/>
                <w:szCs w:val="15"/>
              </w:rPr>
              <w:t>☐</w:t>
            </w:r>
          </w:p>
        </w:tc>
      </w:tr>
      <w:tr w:rsidR="00000000">
        <w:trPr>
          <w:trHeight w:val="140"/>
          <w:tblCellSpacing w:w="15" w:type="dxa"/>
        </w:trPr>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r>
              <w:rPr>
                <w:rFonts w:ascii="Arial" w:hAnsi="Arial" w:cs="Arial"/>
                <w:sz w:val="15"/>
                <w:szCs w:val="15"/>
              </w:rPr>
              <w:t>Non-accelerated file</w:t>
            </w:r>
            <w:r>
              <w:rPr>
                <w:rFonts w:ascii="Arial" w:hAnsi="Arial" w:cs="Arial"/>
                <w:sz w:val="15"/>
                <w:szCs w:val="15"/>
              </w:rPr>
              <w:t>r</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15"/>
                <w:szCs w:val="15"/>
              </w:rPr>
            </w:pPr>
            <w:r>
              <w:rPr>
                <w:sz w:val="15"/>
                <w:szCs w:val="15"/>
              </w:rPr>
              <w:t> </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15"/>
                <w:szCs w:val="15"/>
              </w:rPr>
            </w:pPr>
            <w:r>
              <w:rPr>
                <w:rFonts w:ascii="Segoe UI Symbol" w:hAnsi="Segoe UI Symbol" w:cs="Segoe UI Symbol"/>
                <w:sz w:val="15"/>
                <w:szCs w:val="15"/>
              </w:rPr>
              <w:t>☒</w:t>
            </w:r>
            <w:r>
              <w:rPr>
                <w:rFonts w:ascii="Arial" w:hAnsi="Arial" w:cs="Arial"/>
                <w:sz w:val="15"/>
                <w:szCs w:val="15"/>
              </w:rPr>
              <w:t xml:space="preserve"> </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15"/>
                <w:szCs w:val="15"/>
              </w:rPr>
            </w:pPr>
            <w:r>
              <w:rPr>
                <w:sz w:val="15"/>
                <w:szCs w:val="15"/>
              </w:rPr>
              <w:t> </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15"/>
                <w:szCs w:val="15"/>
              </w:rPr>
            </w:pPr>
            <w:r>
              <w:rPr>
                <w:rFonts w:ascii="Arial" w:hAnsi="Arial" w:cs="Arial"/>
                <w:sz w:val="15"/>
                <w:szCs w:val="15"/>
              </w:rPr>
              <w:t>Smaller reporting compan</w:t>
            </w:r>
            <w:r>
              <w:rPr>
                <w:rFonts w:ascii="Arial" w:hAnsi="Arial" w:cs="Arial"/>
                <w:sz w:val="15"/>
                <w:szCs w:val="15"/>
              </w:rPr>
              <w:t>y</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15"/>
                <w:szCs w:val="15"/>
              </w:rPr>
            </w:pPr>
            <w:r>
              <w:rPr>
                <w:sz w:val="15"/>
                <w:szCs w:val="15"/>
              </w:rPr>
              <w:t> </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r>
              <w:rPr>
                <w:rFonts w:ascii="Segoe UI Symbol" w:hAnsi="Segoe UI Symbol" w:cs="Segoe UI Symbol"/>
                <w:sz w:val="15"/>
                <w:szCs w:val="15"/>
              </w:rPr>
              <w:t>☐</w:t>
            </w:r>
          </w:p>
        </w:tc>
      </w:tr>
      <w:tr w:rsidR="00000000">
        <w:trPr>
          <w:trHeight w:val="140"/>
          <w:tblCellSpacing w:w="15" w:type="dxa"/>
        </w:trPr>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15"/>
                <w:szCs w:val="15"/>
              </w:rPr>
            </w:pPr>
            <w:r>
              <w:rPr>
                <w:rFonts w:ascii="Arial" w:hAnsi="Arial" w:cs="Arial"/>
                <w:sz w:val="15"/>
                <w:szCs w:val="15"/>
              </w:rPr>
              <w:t>Emerging growth compan</w:t>
            </w:r>
            <w:r>
              <w:rPr>
                <w:rFonts w:ascii="Arial" w:hAnsi="Arial" w:cs="Arial"/>
                <w:sz w:val="15"/>
                <w:szCs w:val="15"/>
              </w:rPr>
              <w:t>y</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15"/>
                <w:szCs w:val="15"/>
              </w:rPr>
            </w:pPr>
            <w:r>
              <w:rPr>
                <w:sz w:val="15"/>
                <w:szCs w:val="15"/>
              </w:rPr>
              <w:t> </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r>
              <w:rPr>
                <w:rFonts w:ascii="Segoe UI Symbol" w:hAnsi="Segoe UI Symbol" w:cs="Segoe UI Symbol"/>
                <w:sz w:val="15"/>
                <w:szCs w:val="15"/>
              </w:rPr>
              <w:t>☒</w:t>
            </w:r>
            <w:r>
              <w:rPr>
                <w:rFonts w:ascii="Arial" w:hAnsi="Arial" w:cs="Arial"/>
                <w:sz w:val="15"/>
                <w:szCs w:val="15"/>
              </w:rPr>
              <w:t xml:space="preserve"> </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15"/>
                <w:szCs w:val="15"/>
              </w:rPr>
            </w:pPr>
            <w:r>
              <w:rPr>
                <w:sz w:val="15"/>
                <w:szCs w:val="15"/>
              </w:rPr>
              <w:t> </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15"/>
                <w:szCs w:val="15"/>
              </w:rPr>
            </w:pPr>
            <w:r>
              <w:rPr>
                <w:sz w:val="15"/>
                <w:szCs w:val="15"/>
              </w:rPr>
              <w:t> </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15"/>
                <w:szCs w:val="15"/>
              </w:rPr>
            </w:pPr>
            <w:r>
              <w:rPr>
                <w:sz w:val="15"/>
                <w:szCs w:val="15"/>
              </w:rPr>
              <w:t> </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15"/>
                <w:szCs w:val="15"/>
              </w:rPr>
            </w:pPr>
            <w:r>
              <w:rPr>
                <w:sz w:val="15"/>
                <w:szCs w:val="15"/>
              </w:rPr>
              <w:t> </w:t>
            </w:r>
          </w:p>
        </w:tc>
      </w:tr>
    </w:tbl>
    <w:p w:rsidR="00000000" w:rsidRDefault="00010F15">
      <w:pPr>
        <w:pStyle w:val="a3"/>
        <w:spacing w:before="120" w:beforeAutospacing="0" w:after="120" w:afterAutospacing="0"/>
        <w:rPr>
          <w:sz w:val="20"/>
          <w:szCs w:val="20"/>
        </w:rPr>
      </w:pPr>
      <w:r>
        <w:rPr>
          <w:rFonts w:ascii="Arial" w:hAnsi="Arial" w:cs="Arial"/>
          <w:sz w:val="15"/>
          <w:szCs w:val="15"/>
        </w:rPr>
        <w:lastRenderedPageBreak/>
        <w:t>If an emerging growth company, indicate by check mark if the registrant has elected not to use the extended transition period for complying with any new or revised financial accounting standards provided pursuant to Section 13(a) of the Exchange Act.</w:t>
      </w:r>
      <w:r>
        <w:rPr>
          <w:rFonts w:ascii="Arial" w:hAnsi="Arial" w:cs="Arial"/>
          <w:sz w:val="15"/>
          <w:szCs w:val="15"/>
        </w:rPr>
        <w:t xml:space="preserve"> </w:t>
      </w:r>
      <w:r>
        <w:rPr>
          <w:rFonts w:ascii="Segoe UI Symbol" w:hAnsi="Segoe UI Symbol" w:cs="Segoe UI Symbol"/>
          <w:sz w:val="15"/>
          <w:szCs w:val="15"/>
        </w:rPr>
        <w:t>☐</w:t>
      </w:r>
    </w:p>
    <w:p w:rsidR="00000000" w:rsidRDefault="00010F15">
      <w:pPr>
        <w:pStyle w:val="a3"/>
        <w:spacing w:before="0" w:beforeAutospacing="0" w:after="120" w:afterAutospacing="0"/>
        <w:rPr>
          <w:sz w:val="20"/>
          <w:szCs w:val="20"/>
        </w:rPr>
      </w:pPr>
      <w:r>
        <w:rPr>
          <w:rFonts w:ascii="Arial" w:hAnsi="Arial" w:cs="Arial"/>
          <w:sz w:val="15"/>
          <w:szCs w:val="15"/>
        </w:rPr>
        <w:t>Ind</w:t>
      </w:r>
      <w:r>
        <w:rPr>
          <w:rFonts w:ascii="Arial" w:hAnsi="Arial" w:cs="Arial"/>
          <w:sz w:val="15"/>
          <w:szCs w:val="15"/>
        </w:rPr>
        <w:t xml:space="preserve">icate by check mark whether the registrant has filed a report on and attestation to its management’s assessment of the effectiveness of its internal control over financial reporting under Section 404(b) of the Sarbanes-Oxley Act (15 U.S.C. 7262(b)) by the </w:t>
      </w:r>
      <w:r>
        <w:rPr>
          <w:rFonts w:ascii="Arial" w:hAnsi="Arial" w:cs="Arial"/>
          <w:sz w:val="15"/>
          <w:szCs w:val="15"/>
        </w:rPr>
        <w:t>registered public accounting firm that prepared or issued its audit report.</w:t>
      </w:r>
      <w:r>
        <w:rPr>
          <w:rFonts w:ascii="Arial" w:hAnsi="Arial" w:cs="Arial"/>
          <w:sz w:val="15"/>
          <w:szCs w:val="15"/>
        </w:rPr>
        <w:t xml:space="preserve"> </w:t>
      </w:r>
      <w:r>
        <w:rPr>
          <w:rFonts w:ascii="Segoe UI Symbol" w:hAnsi="Segoe UI Symbol" w:cs="Segoe UI Symbol"/>
          <w:sz w:val="15"/>
          <w:szCs w:val="15"/>
        </w:rPr>
        <w:t>☐</w:t>
      </w:r>
    </w:p>
    <w:p w:rsidR="00000000" w:rsidRDefault="00010F15">
      <w:pPr>
        <w:pStyle w:val="a3"/>
        <w:spacing w:before="0" w:beforeAutospacing="0" w:after="120" w:afterAutospacing="0"/>
        <w:rPr>
          <w:sz w:val="20"/>
          <w:szCs w:val="20"/>
        </w:rPr>
      </w:pPr>
      <w:r>
        <w:rPr>
          <w:rFonts w:ascii="Arial" w:hAnsi="Arial" w:cs="Arial"/>
          <w:sz w:val="15"/>
          <w:szCs w:val="15"/>
        </w:rPr>
        <w:t>Indicate by check mark whether the Registrant is a shell company (as defined in Rule 12b-2 of the Exchange Act). Yes</w:t>
      </w:r>
      <w:r>
        <w:rPr>
          <w:rFonts w:ascii="Arial" w:hAnsi="Arial" w:cs="Arial"/>
          <w:sz w:val="15"/>
          <w:szCs w:val="15"/>
        </w:rPr>
        <w:t xml:space="preserve"> </w:t>
      </w:r>
      <w:r>
        <w:rPr>
          <w:rFonts w:ascii="Segoe UI Symbol" w:hAnsi="Segoe UI Symbol" w:cs="Segoe UI Symbol"/>
          <w:sz w:val="15"/>
          <w:szCs w:val="15"/>
        </w:rPr>
        <w:t>☐</w:t>
      </w:r>
      <w:r>
        <w:rPr>
          <w:rFonts w:ascii="Arial" w:hAnsi="Arial" w:cs="Arial"/>
          <w:sz w:val="15"/>
          <w:szCs w:val="15"/>
        </w:rPr>
        <w:t xml:space="preserve"> No </w:t>
      </w:r>
      <w:r>
        <w:rPr>
          <w:rFonts w:ascii="Segoe UI Symbol" w:hAnsi="Segoe UI Symbol" w:cs="Segoe UI Symbol"/>
          <w:sz w:val="15"/>
          <w:szCs w:val="15"/>
        </w:rPr>
        <w:t>☒</w:t>
      </w:r>
    </w:p>
    <w:p w:rsidR="00000000" w:rsidRDefault="00010F15">
      <w:pPr>
        <w:pStyle w:val="a3"/>
        <w:spacing w:before="0" w:beforeAutospacing="0" w:after="120" w:afterAutospacing="0"/>
        <w:rPr>
          <w:sz w:val="20"/>
          <w:szCs w:val="20"/>
        </w:rPr>
      </w:pPr>
      <w:r>
        <w:rPr>
          <w:rFonts w:ascii="Arial" w:hAnsi="Arial" w:cs="Arial"/>
          <w:sz w:val="15"/>
          <w:szCs w:val="15"/>
        </w:rPr>
        <w:t>As of February 28, 2022, there were</w:t>
      </w:r>
      <w:r>
        <w:rPr>
          <w:rFonts w:ascii="Arial" w:hAnsi="Arial" w:cs="Arial"/>
          <w:sz w:val="15"/>
          <w:szCs w:val="15"/>
        </w:rPr>
        <w:t xml:space="preserve"> </w:t>
      </w:r>
      <w:r>
        <w:rPr>
          <w:rFonts w:ascii="Arial" w:hAnsi="Arial" w:cs="Arial"/>
          <w:sz w:val="15"/>
          <w:szCs w:val="15"/>
        </w:rPr>
        <w:t>17,679,54</w:t>
      </w:r>
      <w:r>
        <w:rPr>
          <w:rFonts w:ascii="Arial" w:hAnsi="Arial" w:cs="Arial"/>
          <w:sz w:val="15"/>
          <w:szCs w:val="15"/>
        </w:rPr>
        <w:t>6</w:t>
      </w:r>
      <w:r>
        <w:rPr>
          <w:rFonts w:ascii="Arial" w:hAnsi="Arial" w:cs="Arial"/>
          <w:sz w:val="15"/>
          <w:szCs w:val="15"/>
        </w:rPr>
        <w:t xml:space="preserve"> shares </w:t>
      </w:r>
      <w:r>
        <w:rPr>
          <w:rFonts w:ascii="Arial" w:hAnsi="Arial" w:cs="Arial"/>
          <w:sz w:val="15"/>
          <w:szCs w:val="15"/>
        </w:rPr>
        <w:t>of the Registrant’s Class A common stock outstanding and</w:t>
      </w:r>
      <w:r>
        <w:rPr>
          <w:rFonts w:ascii="Arial" w:hAnsi="Arial" w:cs="Arial"/>
          <w:sz w:val="15"/>
          <w:szCs w:val="15"/>
        </w:rPr>
        <w:t xml:space="preserve"> </w:t>
      </w:r>
      <w:r>
        <w:rPr>
          <w:rFonts w:ascii="Arial" w:hAnsi="Arial" w:cs="Arial"/>
          <w:sz w:val="15"/>
          <w:szCs w:val="15"/>
        </w:rPr>
        <w:t>103,336,33</w:t>
      </w:r>
      <w:r>
        <w:rPr>
          <w:rFonts w:ascii="Arial" w:hAnsi="Arial" w:cs="Arial"/>
          <w:sz w:val="15"/>
          <w:szCs w:val="15"/>
        </w:rPr>
        <w:t>7</w:t>
      </w:r>
      <w:r>
        <w:rPr>
          <w:rFonts w:ascii="Arial" w:hAnsi="Arial" w:cs="Arial"/>
          <w:sz w:val="15"/>
          <w:szCs w:val="15"/>
        </w:rPr>
        <w:t xml:space="preserve"> shares of the Registrant’s Class B common stock outstanding. The aggregate market value of the Class A common stock held by non-affiliates of the Registrant as of the last business day of</w:t>
      </w:r>
      <w:r>
        <w:rPr>
          <w:rFonts w:ascii="Arial" w:hAnsi="Arial" w:cs="Arial"/>
          <w:sz w:val="15"/>
          <w:szCs w:val="15"/>
        </w:rPr>
        <w:t xml:space="preserve"> the Registrant’s most recently completed second fiscal quarter was approximately </w:t>
      </w:r>
      <w:r>
        <w:rPr>
          <w:rFonts w:ascii="Arial" w:hAnsi="Arial" w:cs="Arial"/>
          <w:sz w:val="15"/>
          <w:szCs w:val="15"/>
        </w:rPr>
        <w:t>$</w:t>
      </w:r>
      <w:r>
        <w:rPr>
          <w:rFonts w:ascii="Arial" w:hAnsi="Arial" w:cs="Arial"/>
          <w:sz w:val="15"/>
          <w:szCs w:val="15"/>
        </w:rPr>
        <w:t>403.</w:t>
      </w:r>
      <w:r>
        <w:rPr>
          <w:rFonts w:ascii="Arial" w:hAnsi="Arial" w:cs="Arial"/>
          <w:sz w:val="15"/>
          <w:szCs w:val="15"/>
        </w:rPr>
        <w:t>4</w:t>
      </w:r>
      <w:r>
        <w:rPr>
          <w:rFonts w:ascii="Arial" w:hAnsi="Arial" w:cs="Arial"/>
          <w:sz w:val="15"/>
          <w:szCs w:val="15"/>
        </w:rPr>
        <w:t xml:space="preserve"> million based on the closing sale price of the Class A common stock as reported by the New York Stock Exchange on that date of </w:t>
      </w:r>
      <w:r>
        <w:rPr>
          <w:rFonts w:ascii="Arial" w:hAnsi="Arial" w:cs="Arial"/>
          <w:sz w:val="15"/>
          <w:szCs w:val="15"/>
        </w:rPr>
        <w:t>$</w:t>
      </w:r>
      <w:r>
        <w:rPr>
          <w:rFonts w:ascii="Arial" w:hAnsi="Arial" w:cs="Arial"/>
          <w:sz w:val="15"/>
          <w:szCs w:val="15"/>
        </w:rPr>
        <w:t>35.5</w:t>
      </w:r>
      <w:r>
        <w:rPr>
          <w:rFonts w:ascii="Arial" w:hAnsi="Arial" w:cs="Arial"/>
          <w:sz w:val="15"/>
          <w:szCs w:val="15"/>
        </w:rPr>
        <w:t>0</w:t>
      </w:r>
      <w:r>
        <w:rPr>
          <w:rFonts w:ascii="Arial" w:hAnsi="Arial" w:cs="Arial"/>
          <w:sz w:val="15"/>
          <w:szCs w:val="15"/>
        </w:rPr>
        <w:t xml:space="preserve"> per share</w:t>
      </w:r>
      <w:r>
        <w:rPr>
          <w:rFonts w:ascii="Arial" w:hAnsi="Arial" w:cs="Arial"/>
          <w:sz w:val="15"/>
          <w:szCs w:val="15"/>
        </w:rPr>
        <w:t>.</w:t>
      </w:r>
    </w:p>
    <w:p w:rsidR="00000000" w:rsidRDefault="00010F15">
      <w:pPr>
        <w:pStyle w:val="a3"/>
        <w:spacing w:before="0" w:beforeAutospacing="0" w:after="0" w:afterAutospacing="0"/>
        <w:jc w:val="center"/>
        <w:rPr>
          <w:sz w:val="20"/>
          <w:szCs w:val="20"/>
        </w:rPr>
      </w:pPr>
      <w:r>
        <w:rPr>
          <w:rFonts w:ascii="Arial" w:hAnsi="Arial" w:cs="Arial"/>
          <w:b/>
          <w:bCs/>
          <w:sz w:val="15"/>
          <w:szCs w:val="15"/>
        </w:rPr>
        <w:t>DOCUMENTS INCORPORATED</w:t>
      </w:r>
      <w:r>
        <w:rPr>
          <w:rFonts w:ascii="Arial" w:hAnsi="Arial" w:cs="Arial"/>
          <w:b/>
          <w:bCs/>
          <w:sz w:val="15"/>
          <w:szCs w:val="15"/>
        </w:rPr>
        <w:t xml:space="preserve"> BY REFERENC</w:t>
      </w:r>
      <w:r>
        <w:rPr>
          <w:rFonts w:ascii="Arial" w:hAnsi="Arial" w:cs="Arial"/>
          <w:b/>
          <w:bCs/>
          <w:sz w:val="15"/>
          <w:szCs w:val="15"/>
        </w:rPr>
        <w:t>E</w:t>
      </w:r>
    </w:p>
    <w:p w:rsidR="00000000" w:rsidRDefault="00010F15">
      <w:pPr>
        <w:pStyle w:val="a3"/>
        <w:spacing w:before="0" w:beforeAutospacing="0" w:after="120" w:afterAutospacing="0"/>
        <w:divId w:val="90396836"/>
        <w:rPr>
          <w:sz w:val="20"/>
          <w:szCs w:val="20"/>
        </w:rPr>
      </w:pPr>
      <w:r>
        <w:rPr>
          <w:rFonts w:ascii="Arial" w:hAnsi="Arial" w:cs="Arial"/>
          <w:sz w:val="15"/>
          <w:szCs w:val="15"/>
        </w:rPr>
        <w:t>Portions of the Registrant’</w:t>
      </w:r>
      <w:r>
        <w:rPr>
          <w:rFonts w:ascii="Arial" w:hAnsi="Arial" w:cs="Arial"/>
          <w:sz w:val="15"/>
          <w:szCs w:val="15"/>
        </w:rPr>
        <w:t>s Definitive Proxy Statement for the 2022 Annual Meeting of Stockholders, which is expected to be filed within 120 days after the Registrant's fiscal year ended December 31, 2021, are incorporated by reference into Part III of this Annual Report on Form 10</w:t>
      </w:r>
      <w:r>
        <w:rPr>
          <w:rFonts w:ascii="Arial" w:hAnsi="Arial" w:cs="Arial"/>
          <w:sz w:val="15"/>
          <w:szCs w:val="15"/>
        </w:rPr>
        <w:t>-K to the extent stated herein</w:t>
      </w:r>
      <w:r>
        <w:rPr>
          <w:rFonts w:ascii="Arial" w:hAnsi="Arial" w:cs="Arial"/>
          <w:sz w:val="15"/>
          <w:szCs w:val="15"/>
        </w:rPr>
        <w:t>.</w: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0" w:beforeAutospacing="0" w:after="0" w:afterAutospacing="0"/>
        <w:rPr>
          <w:sz w:val="20"/>
          <w:szCs w:val="20"/>
        </w:rPr>
      </w:pPr>
      <w:r>
        <w:rPr>
          <w:sz w:val="20"/>
          <w:szCs w:val="20"/>
        </w:rPr>
        <w:t> </w:t>
      </w:r>
    </w:p>
    <w:p w:rsidR="00000000" w:rsidRDefault="00010F15">
      <w:pPr>
        <w:rPr>
          <w:rFonts w:eastAsia="Times New Roman"/>
        </w:rPr>
      </w:pPr>
      <w:r>
        <w:rPr>
          <w:rFonts w:eastAsia="Times New Roman"/>
        </w:rPr>
        <w:pict>
          <v:rect id="_x0000_i1025" style="width:0;height:1.5pt" o:hralign="center" o:hrstd="t" o:hr="t" fillcolor="#a0a0a0" stroked="f"/>
        </w:pict>
      </w:r>
    </w:p>
    <w:p w:rsidR="00000000" w:rsidRDefault="00010F15">
      <w:pPr>
        <w:pStyle w:val="a3"/>
        <w:spacing w:before="0" w:beforeAutospacing="0" w:after="0" w:afterAutospacing="0"/>
        <w:rPr>
          <w:sz w:val="20"/>
          <w:szCs w:val="20"/>
        </w:rPr>
      </w:pPr>
      <w:r>
        <w:rPr>
          <w:rFonts w:ascii="Arial" w:hAnsi="Arial" w:cs="Arial"/>
          <w:sz w:val="20"/>
          <w:szCs w:val="20"/>
        </w:rPr>
        <w:t> </w:t>
      </w:r>
    </w:p>
    <w:p w:rsidR="00000000" w:rsidRDefault="00010F15">
      <w:pPr>
        <w:pStyle w:val="a3"/>
        <w:spacing w:before="0" w:beforeAutospacing="0" w:after="0" w:afterAutospacing="0"/>
        <w:jc w:val="center"/>
        <w:rPr>
          <w:sz w:val="20"/>
          <w:szCs w:val="20"/>
        </w:rPr>
      </w:pPr>
      <w:r>
        <w:rPr>
          <w:rFonts w:ascii="Arial" w:hAnsi="Arial" w:cs="Arial"/>
          <w:b/>
          <w:bCs/>
          <w:sz w:val="20"/>
          <w:szCs w:val="20"/>
        </w:rPr>
        <w:t>Table of Content</w:t>
      </w:r>
      <w:r>
        <w:rPr>
          <w:rFonts w:ascii="Arial" w:hAnsi="Arial" w:cs="Arial"/>
          <w:b/>
          <w:bCs/>
          <w:sz w:val="20"/>
          <w:szCs w:val="20"/>
        </w:rPr>
        <w:t>s</w:t>
      </w:r>
    </w:p>
    <w:p w:rsidR="00000000" w:rsidRDefault="00010F15">
      <w:pPr>
        <w:pStyle w:val="a3"/>
        <w:spacing w:before="0" w:beforeAutospacing="0" w:after="0" w:afterAutospacing="0"/>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3"/>
        <w:gridCol w:w="6738"/>
        <w:gridCol w:w="625"/>
      </w:tblGrid>
      <w:tr w:rsidR="00000000">
        <w:trPr>
          <w:tblCellSpacing w:w="15" w:type="dxa"/>
        </w:trPr>
        <w:tc>
          <w:tcPr>
            <w:tcW w:w="549" w:type="pct"/>
            <w:vAlign w:val="center"/>
            <w:hideMark/>
          </w:tcPr>
          <w:p w:rsidR="00000000" w:rsidRDefault="00010F15">
            <w:pPr>
              <w:rPr>
                <w:sz w:val="20"/>
                <w:szCs w:val="20"/>
              </w:rPr>
            </w:pPr>
          </w:p>
        </w:tc>
        <w:tc>
          <w:tcPr>
            <w:tcW w:w="4096" w:type="pct"/>
            <w:vAlign w:val="center"/>
            <w:hideMark/>
          </w:tcPr>
          <w:p w:rsidR="00000000" w:rsidRDefault="00010F15">
            <w:pPr>
              <w:rPr>
                <w:rFonts w:eastAsia="Times New Roman"/>
                <w:sz w:val="20"/>
                <w:szCs w:val="20"/>
              </w:rPr>
            </w:pPr>
          </w:p>
        </w:tc>
        <w:tc>
          <w:tcPr>
            <w:tcW w:w="354" w:type="pct"/>
            <w:vAlign w:val="center"/>
            <w:hideMark/>
          </w:tcPr>
          <w:p w:rsidR="00000000" w:rsidRDefault="00010F15">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jc w:val="center"/>
              <w:rPr>
                <w:sz w:val="20"/>
                <w:szCs w:val="20"/>
              </w:rPr>
            </w:pPr>
            <w:r>
              <w:rPr>
                <w:rFonts w:ascii="Arial" w:hAnsi="Arial" w:cs="Arial"/>
                <w:sz w:val="20"/>
                <w:szCs w:val="20"/>
              </w:rPr>
              <w:t>Pag</w:t>
            </w:r>
            <w:r>
              <w:rPr>
                <w:rFonts w:ascii="Arial" w:hAnsi="Arial" w:cs="Arial"/>
                <w:sz w:val="20"/>
                <w:szCs w:val="20"/>
              </w:rPr>
              <w:t>e</w:t>
            </w:r>
          </w:p>
        </w:tc>
      </w:tr>
      <w:tr w:rsidR="00000000">
        <w:trPr>
          <w:trHeight w:val="200"/>
          <w:tblCellSpacing w:w="15" w:type="dxa"/>
        </w:trPr>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r>
              <w:rPr>
                <w:rFonts w:ascii="Arial" w:hAnsi="Arial" w:cs="Arial"/>
                <w:sz w:val="20"/>
                <w:szCs w:val="20"/>
              </w:rPr>
              <w:t xml:space="preserve">PART </w:t>
            </w:r>
            <w:r>
              <w:rPr>
                <w:rFonts w:ascii="Arial" w:hAnsi="Arial" w:cs="Arial"/>
                <w:sz w:val="20"/>
                <w:szCs w:val="20"/>
              </w:rPr>
              <w:t>I</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r>
              <w:rPr>
                <w:rFonts w:ascii="Arial" w:hAnsi="Arial" w:cs="Arial"/>
                <w:sz w:val="20"/>
                <w:szCs w:val="20"/>
              </w:rPr>
              <w:t>Item 1</w:t>
            </w:r>
            <w:r>
              <w:rPr>
                <w:rFonts w:ascii="Arial" w:hAnsi="Arial" w:cs="Arial"/>
                <w:sz w:val="20"/>
                <w:szCs w:val="20"/>
              </w:rPr>
              <w:t>.</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hyperlink w:anchor="item_1_business" w:history="1">
              <w:r>
                <w:rPr>
                  <w:rStyle w:val="a4"/>
                  <w:rFonts w:ascii="Arial" w:hAnsi="Arial" w:cs="Arial"/>
                  <w:sz w:val="20"/>
                  <w:szCs w:val="20"/>
                </w:rPr>
                <w:t>Busines</w:t>
              </w:r>
              <w:r>
                <w:rPr>
                  <w:rStyle w:val="a4"/>
                  <w:rFonts w:ascii="Arial" w:hAnsi="Arial" w:cs="Arial"/>
                  <w:sz w:val="20"/>
                  <w:szCs w:val="20"/>
                </w:rPr>
                <w:t>s</w:t>
              </w:r>
            </w:hyperlink>
          </w:p>
        </w:tc>
        <w:tc>
          <w:tcPr>
            <w:tcW w:w="0" w:type="auto"/>
            <w:tcMar>
              <w:top w:w="14" w:type="dxa"/>
              <w:left w:w="15" w:type="dxa"/>
              <w:bottom w:w="15" w:type="dxa"/>
              <w:right w:w="14" w:type="dxa"/>
            </w:tcMar>
            <w:hideMark/>
          </w:tcPr>
          <w:p w:rsidR="00000000" w:rsidRDefault="00010F15">
            <w:pPr>
              <w:pStyle w:val="a3"/>
              <w:spacing w:before="0" w:beforeAutospacing="0" w:after="0" w:afterAutospacing="0"/>
              <w:jc w:val="right"/>
              <w:rPr>
                <w:sz w:val="20"/>
                <w:szCs w:val="20"/>
              </w:rPr>
            </w:pPr>
            <w:r>
              <w:rPr>
                <w:rFonts w:ascii="Arial" w:hAnsi="Arial" w:cs="Arial"/>
                <w:sz w:val="20"/>
                <w:szCs w:val="20"/>
              </w:rPr>
              <w:t>7</w:t>
            </w:r>
          </w:p>
        </w:tc>
      </w:tr>
      <w:tr w:rsidR="00000000">
        <w:trPr>
          <w:trHeight w:val="200"/>
          <w:tblCellSpacing w:w="15" w:type="dxa"/>
        </w:trPr>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r>
              <w:rPr>
                <w:rFonts w:ascii="Arial" w:hAnsi="Arial" w:cs="Arial"/>
                <w:sz w:val="20"/>
                <w:szCs w:val="20"/>
              </w:rPr>
              <w:t>Item 1A</w:t>
            </w:r>
            <w:r>
              <w:rPr>
                <w:rFonts w:ascii="Arial" w:hAnsi="Arial" w:cs="Arial"/>
                <w:sz w:val="20"/>
                <w:szCs w:val="20"/>
              </w:rPr>
              <w:t>.</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hyperlink w:anchor="item_1a_risk_factors" w:history="1">
              <w:r>
                <w:rPr>
                  <w:rStyle w:val="a4"/>
                  <w:rFonts w:ascii="Arial" w:hAnsi="Arial" w:cs="Arial"/>
                  <w:sz w:val="20"/>
                  <w:szCs w:val="20"/>
                </w:rPr>
                <w:t>Risk Factor</w:t>
              </w:r>
              <w:r>
                <w:rPr>
                  <w:rStyle w:val="a4"/>
                  <w:rFonts w:ascii="Arial" w:hAnsi="Arial" w:cs="Arial"/>
                  <w:sz w:val="20"/>
                  <w:szCs w:val="20"/>
                </w:rPr>
                <w:t>s</w:t>
              </w:r>
            </w:hyperlink>
          </w:p>
        </w:tc>
        <w:tc>
          <w:tcPr>
            <w:tcW w:w="0" w:type="auto"/>
            <w:tcMar>
              <w:top w:w="14" w:type="dxa"/>
              <w:left w:w="15" w:type="dxa"/>
              <w:bottom w:w="15" w:type="dxa"/>
              <w:right w:w="14" w:type="dxa"/>
            </w:tcMar>
            <w:hideMark/>
          </w:tcPr>
          <w:p w:rsidR="00000000" w:rsidRDefault="00010F15">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9</w:t>
            </w:r>
          </w:p>
        </w:tc>
      </w:tr>
      <w:tr w:rsidR="00000000">
        <w:trPr>
          <w:trHeight w:val="200"/>
          <w:tblCellSpacing w:w="15" w:type="dxa"/>
        </w:trPr>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r>
              <w:rPr>
                <w:rFonts w:ascii="Arial" w:hAnsi="Arial" w:cs="Arial"/>
                <w:sz w:val="20"/>
                <w:szCs w:val="20"/>
              </w:rPr>
              <w:t>Item 1B</w:t>
            </w:r>
            <w:r>
              <w:rPr>
                <w:rFonts w:ascii="Arial" w:hAnsi="Arial" w:cs="Arial"/>
                <w:sz w:val="20"/>
                <w:szCs w:val="20"/>
              </w:rPr>
              <w:t>.</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hyperlink w:anchor="item_1b" w:history="1">
              <w:r>
                <w:rPr>
                  <w:rStyle w:val="a4"/>
                  <w:rFonts w:ascii="Arial" w:hAnsi="Arial" w:cs="Arial"/>
                  <w:sz w:val="20"/>
                  <w:szCs w:val="20"/>
                </w:rPr>
                <w:t>Unresolved Staff Comment</w:t>
              </w:r>
              <w:r>
                <w:rPr>
                  <w:rStyle w:val="a4"/>
                  <w:rFonts w:ascii="Arial" w:hAnsi="Arial" w:cs="Arial"/>
                  <w:sz w:val="20"/>
                  <w:szCs w:val="20"/>
                </w:rPr>
                <w:t>s</w:t>
              </w:r>
            </w:hyperlink>
          </w:p>
        </w:tc>
        <w:tc>
          <w:tcPr>
            <w:tcW w:w="0" w:type="auto"/>
            <w:tcMar>
              <w:top w:w="14" w:type="dxa"/>
              <w:left w:w="15" w:type="dxa"/>
              <w:bottom w:w="15" w:type="dxa"/>
              <w:right w:w="14" w:type="dxa"/>
            </w:tcMar>
            <w:hideMark/>
          </w:tcPr>
          <w:p w:rsidR="00000000" w:rsidRDefault="00010F15">
            <w:pPr>
              <w:pStyle w:val="a3"/>
              <w:spacing w:before="0" w:beforeAutospacing="0" w:after="0" w:afterAutospacing="0"/>
              <w:jc w:val="right"/>
              <w:rPr>
                <w:sz w:val="20"/>
                <w:szCs w:val="20"/>
              </w:rPr>
            </w:pPr>
            <w:r>
              <w:rPr>
                <w:rFonts w:ascii="Arial" w:hAnsi="Arial" w:cs="Arial"/>
                <w:sz w:val="20"/>
                <w:szCs w:val="20"/>
              </w:rPr>
              <w:t>5</w:t>
            </w:r>
            <w:r>
              <w:rPr>
                <w:rFonts w:ascii="Arial" w:hAnsi="Arial" w:cs="Arial"/>
                <w:sz w:val="20"/>
                <w:szCs w:val="20"/>
              </w:rPr>
              <w:t>2</w:t>
            </w:r>
          </w:p>
        </w:tc>
      </w:tr>
      <w:tr w:rsidR="00000000">
        <w:trPr>
          <w:trHeight w:val="200"/>
          <w:tblCellSpacing w:w="15" w:type="dxa"/>
        </w:trPr>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r>
              <w:rPr>
                <w:rFonts w:ascii="Arial" w:hAnsi="Arial" w:cs="Arial"/>
                <w:sz w:val="20"/>
                <w:szCs w:val="20"/>
              </w:rPr>
              <w:t>Item 2</w:t>
            </w:r>
            <w:r>
              <w:rPr>
                <w:rFonts w:ascii="Arial" w:hAnsi="Arial" w:cs="Arial"/>
                <w:sz w:val="20"/>
                <w:szCs w:val="20"/>
              </w:rPr>
              <w:t>.</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hyperlink w:anchor="item_2_properties" w:history="1">
              <w:r>
                <w:rPr>
                  <w:rStyle w:val="a4"/>
                  <w:rFonts w:ascii="Arial" w:hAnsi="Arial" w:cs="Arial"/>
                  <w:sz w:val="20"/>
                  <w:szCs w:val="20"/>
                </w:rPr>
                <w:t>Propertie</w:t>
              </w:r>
              <w:r>
                <w:rPr>
                  <w:rStyle w:val="a4"/>
                  <w:rFonts w:ascii="Arial" w:hAnsi="Arial" w:cs="Arial"/>
                  <w:sz w:val="20"/>
                  <w:szCs w:val="20"/>
                </w:rPr>
                <w:t>s</w:t>
              </w:r>
            </w:hyperlink>
          </w:p>
        </w:tc>
        <w:tc>
          <w:tcPr>
            <w:tcW w:w="0" w:type="auto"/>
            <w:tcMar>
              <w:top w:w="14" w:type="dxa"/>
              <w:left w:w="15" w:type="dxa"/>
              <w:bottom w:w="15" w:type="dxa"/>
              <w:right w:w="14" w:type="dxa"/>
            </w:tcMar>
            <w:hideMark/>
          </w:tcPr>
          <w:p w:rsidR="00000000" w:rsidRDefault="00010F15">
            <w:pPr>
              <w:pStyle w:val="a3"/>
              <w:spacing w:before="0" w:beforeAutospacing="0" w:after="0" w:afterAutospacing="0"/>
              <w:jc w:val="right"/>
              <w:rPr>
                <w:sz w:val="20"/>
                <w:szCs w:val="20"/>
              </w:rPr>
            </w:pPr>
            <w:r>
              <w:rPr>
                <w:rFonts w:ascii="Arial" w:hAnsi="Arial" w:cs="Arial"/>
                <w:sz w:val="20"/>
                <w:szCs w:val="20"/>
              </w:rPr>
              <w:t>5</w:t>
            </w:r>
            <w:r>
              <w:rPr>
                <w:rFonts w:ascii="Arial" w:hAnsi="Arial" w:cs="Arial"/>
                <w:sz w:val="20"/>
                <w:szCs w:val="20"/>
              </w:rPr>
              <w:t>2</w:t>
            </w:r>
          </w:p>
        </w:tc>
      </w:tr>
      <w:tr w:rsidR="00000000">
        <w:trPr>
          <w:trHeight w:val="200"/>
          <w:tblCellSpacing w:w="15" w:type="dxa"/>
        </w:trPr>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r>
              <w:rPr>
                <w:rFonts w:ascii="Arial" w:hAnsi="Arial" w:cs="Arial"/>
                <w:sz w:val="20"/>
                <w:szCs w:val="20"/>
              </w:rPr>
              <w:t>Item 3</w:t>
            </w:r>
            <w:r>
              <w:rPr>
                <w:rFonts w:ascii="Arial" w:hAnsi="Arial" w:cs="Arial"/>
                <w:sz w:val="20"/>
                <w:szCs w:val="20"/>
              </w:rPr>
              <w:t>.</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hyperlink w:anchor="item_3_legal_proceedings" w:history="1">
              <w:r>
                <w:rPr>
                  <w:rStyle w:val="a4"/>
                  <w:rFonts w:ascii="Arial" w:hAnsi="Arial" w:cs="Arial"/>
                  <w:sz w:val="20"/>
                  <w:szCs w:val="20"/>
                </w:rPr>
                <w:t>Legal Proceeding</w:t>
              </w:r>
              <w:r>
                <w:rPr>
                  <w:rStyle w:val="a4"/>
                  <w:rFonts w:ascii="Arial" w:hAnsi="Arial" w:cs="Arial"/>
                  <w:sz w:val="20"/>
                  <w:szCs w:val="20"/>
                </w:rPr>
                <w:t>s</w:t>
              </w:r>
            </w:hyperlink>
          </w:p>
        </w:tc>
        <w:tc>
          <w:tcPr>
            <w:tcW w:w="0" w:type="auto"/>
            <w:tcMar>
              <w:top w:w="14" w:type="dxa"/>
              <w:left w:w="15" w:type="dxa"/>
              <w:bottom w:w="15" w:type="dxa"/>
              <w:right w:w="14" w:type="dxa"/>
            </w:tcMar>
            <w:hideMark/>
          </w:tcPr>
          <w:p w:rsidR="00000000" w:rsidRDefault="00010F15">
            <w:pPr>
              <w:pStyle w:val="a3"/>
              <w:spacing w:before="0" w:beforeAutospacing="0" w:after="0" w:afterAutospacing="0"/>
              <w:jc w:val="right"/>
              <w:rPr>
                <w:sz w:val="20"/>
                <w:szCs w:val="20"/>
              </w:rPr>
            </w:pPr>
            <w:r>
              <w:rPr>
                <w:rFonts w:ascii="Arial" w:hAnsi="Arial" w:cs="Arial"/>
                <w:sz w:val="20"/>
                <w:szCs w:val="20"/>
              </w:rPr>
              <w:t>5</w:t>
            </w:r>
            <w:r>
              <w:rPr>
                <w:rFonts w:ascii="Arial" w:hAnsi="Arial" w:cs="Arial"/>
                <w:sz w:val="20"/>
                <w:szCs w:val="20"/>
              </w:rPr>
              <w:t>3</w:t>
            </w:r>
          </w:p>
        </w:tc>
      </w:tr>
      <w:tr w:rsidR="00000000">
        <w:trPr>
          <w:trHeight w:val="200"/>
          <w:tblCellSpacing w:w="15" w:type="dxa"/>
        </w:trPr>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r>
              <w:rPr>
                <w:rFonts w:ascii="Arial" w:hAnsi="Arial" w:cs="Arial"/>
                <w:sz w:val="20"/>
                <w:szCs w:val="20"/>
              </w:rPr>
              <w:t>Item 4</w:t>
            </w:r>
            <w:r>
              <w:rPr>
                <w:rFonts w:ascii="Arial" w:hAnsi="Arial" w:cs="Arial"/>
                <w:sz w:val="20"/>
                <w:szCs w:val="20"/>
              </w:rPr>
              <w:t>.</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hyperlink w:anchor="item_4_mine_safety_disclosures" w:history="1">
              <w:r>
                <w:rPr>
                  <w:rStyle w:val="a4"/>
                  <w:rFonts w:ascii="Arial" w:hAnsi="Arial" w:cs="Arial"/>
                  <w:sz w:val="20"/>
                  <w:szCs w:val="20"/>
                </w:rPr>
                <w:t>Mine Safety Disclosure</w:t>
              </w:r>
              <w:r>
                <w:rPr>
                  <w:rStyle w:val="a4"/>
                  <w:rFonts w:ascii="Arial" w:hAnsi="Arial" w:cs="Arial"/>
                  <w:sz w:val="20"/>
                  <w:szCs w:val="20"/>
                </w:rPr>
                <w:t>s</w:t>
              </w:r>
            </w:hyperlink>
          </w:p>
        </w:tc>
        <w:tc>
          <w:tcPr>
            <w:tcW w:w="0" w:type="auto"/>
            <w:tcMar>
              <w:top w:w="14" w:type="dxa"/>
              <w:left w:w="15" w:type="dxa"/>
              <w:bottom w:w="15" w:type="dxa"/>
              <w:right w:w="14" w:type="dxa"/>
            </w:tcMar>
            <w:hideMark/>
          </w:tcPr>
          <w:p w:rsidR="00000000" w:rsidRDefault="00010F15">
            <w:pPr>
              <w:pStyle w:val="a3"/>
              <w:spacing w:before="0" w:beforeAutospacing="0" w:after="0" w:afterAutospacing="0"/>
              <w:jc w:val="right"/>
              <w:rPr>
                <w:sz w:val="20"/>
                <w:szCs w:val="20"/>
              </w:rPr>
            </w:pPr>
            <w:r>
              <w:rPr>
                <w:rFonts w:ascii="Arial" w:hAnsi="Arial" w:cs="Arial"/>
                <w:sz w:val="20"/>
                <w:szCs w:val="20"/>
              </w:rPr>
              <w:t>5</w:t>
            </w:r>
            <w:r>
              <w:rPr>
                <w:rFonts w:ascii="Arial" w:hAnsi="Arial" w:cs="Arial"/>
                <w:sz w:val="20"/>
                <w:szCs w:val="20"/>
              </w:rPr>
              <w:t>3</w:t>
            </w:r>
          </w:p>
        </w:tc>
      </w:tr>
      <w:tr w:rsidR="00000000">
        <w:trPr>
          <w:trHeight w:val="200"/>
          <w:tblCellSpacing w:w="15" w:type="dxa"/>
        </w:trPr>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r>
              <w:rPr>
                <w:rFonts w:ascii="Arial" w:hAnsi="Arial" w:cs="Arial"/>
                <w:sz w:val="20"/>
                <w:szCs w:val="20"/>
              </w:rPr>
              <w:t>PART I</w:t>
            </w:r>
            <w:r>
              <w:rPr>
                <w:rFonts w:ascii="Arial" w:hAnsi="Arial" w:cs="Arial"/>
                <w:sz w:val="20"/>
                <w:szCs w:val="20"/>
              </w:rPr>
              <w:t>I</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r>
              <w:rPr>
                <w:rFonts w:ascii="Arial" w:hAnsi="Arial" w:cs="Arial"/>
                <w:sz w:val="20"/>
                <w:szCs w:val="20"/>
              </w:rPr>
              <w:t>Item 5</w:t>
            </w:r>
            <w:r>
              <w:rPr>
                <w:rFonts w:ascii="Arial" w:hAnsi="Arial" w:cs="Arial"/>
                <w:sz w:val="20"/>
                <w:szCs w:val="20"/>
              </w:rPr>
              <w:t>.</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hyperlink w:anchor="item_5_market_for_registrants_equity" w:history="1">
              <w:r>
                <w:rPr>
                  <w:rStyle w:val="a4"/>
                  <w:rFonts w:ascii="Arial" w:hAnsi="Arial" w:cs="Arial"/>
                  <w:sz w:val="20"/>
                  <w:szCs w:val="20"/>
                </w:rPr>
                <w:t>Market for Registrant’s Common Equity, Related Stockholder Matters and Issuer Purchases of Equity Securitie</w:t>
              </w:r>
              <w:r>
                <w:rPr>
                  <w:rStyle w:val="a4"/>
                  <w:rFonts w:ascii="Arial" w:hAnsi="Arial" w:cs="Arial"/>
                  <w:sz w:val="20"/>
                  <w:szCs w:val="20"/>
                </w:rPr>
                <w:t>s</w:t>
              </w:r>
            </w:hyperlink>
          </w:p>
        </w:tc>
        <w:tc>
          <w:tcPr>
            <w:tcW w:w="0" w:type="auto"/>
            <w:tcMar>
              <w:top w:w="14" w:type="dxa"/>
              <w:left w:w="15" w:type="dxa"/>
              <w:bottom w:w="15" w:type="dxa"/>
              <w:right w:w="14" w:type="dxa"/>
            </w:tcMar>
            <w:hideMark/>
          </w:tcPr>
          <w:p w:rsidR="00000000" w:rsidRDefault="00010F15">
            <w:pPr>
              <w:pStyle w:val="a3"/>
              <w:spacing w:before="0" w:beforeAutospacing="0" w:after="0" w:afterAutospacing="0"/>
              <w:jc w:val="right"/>
              <w:rPr>
                <w:sz w:val="20"/>
                <w:szCs w:val="20"/>
              </w:rPr>
            </w:pPr>
            <w:r>
              <w:rPr>
                <w:rFonts w:ascii="Arial" w:hAnsi="Arial" w:cs="Arial"/>
                <w:sz w:val="20"/>
                <w:szCs w:val="20"/>
              </w:rPr>
              <w:t>5</w:t>
            </w:r>
            <w:r>
              <w:rPr>
                <w:rFonts w:ascii="Arial" w:hAnsi="Arial" w:cs="Arial"/>
                <w:sz w:val="20"/>
                <w:szCs w:val="20"/>
              </w:rPr>
              <w:t>3</w:t>
            </w:r>
          </w:p>
        </w:tc>
      </w:tr>
      <w:tr w:rsidR="00000000">
        <w:trPr>
          <w:trHeight w:val="200"/>
          <w:tblCellSpacing w:w="15" w:type="dxa"/>
        </w:trPr>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r>
              <w:rPr>
                <w:rFonts w:ascii="Arial" w:hAnsi="Arial" w:cs="Arial"/>
                <w:sz w:val="20"/>
                <w:szCs w:val="20"/>
              </w:rPr>
              <w:t>Item 6</w:t>
            </w:r>
            <w:r>
              <w:rPr>
                <w:rFonts w:ascii="Arial" w:hAnsi="Arial" w:cs="Arial"/>
                <w:sz w:val="20"/>
                <w:szCs w:val="20"/>
              </w:rPr>
              <w:t>.</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hyperlink w:anchor="item_6" w:history="1">
              <w:r>
                <w:rPr>
                  <w:rStyle w:val="a4"/>
                  <w:rFonts w:ascii="Arial" w:hAnsi="Arial" w:cs="Arial"/>
                  <w:sz w:val="20"/>
                  <w:szCs w:val="20"/>
                </w:rPr>
                <w:t>[Reserved</w:t>
              </w:r>
              <w:r>
                <w:rPr>
                  <w:rStyle w:val="a4"/>
                  <w:rFonts w:ascii="Arial" w:hAnsi="Arial" w:cs="Arial"/>
                  <w:sz w:val="20"/>
                  <w:szCs w:val="20"/>
                </w:rPr>
                <w:t>]</w:t>
              </w:r>
            </w:hyperlink>
          </w:p>
        </w:tc>
        <w:tc>
          <w:tcPr>
            <w:tcW w:w="0" w:type="auto"/>
            <w:tcMar>
              <w:top w:w="14" w:type="dxa"/>
              <w:left w:w="15" w:type="dxa"/>
              <w:bottom w:w="15" w:type="dxa"/>
              <w:right w:w="14" w:type="dxa"/>
            </w:tcMar>
            <w:hideMark/>
          </w:tcPr>
          <w:p w:rsidR="00000000" w:rsidRDefault="00010F15">
            <w:pPr>
              <w:pStyle w:val="a3"/>
              <w:spacing w:before="0" w:beforeAutospacing="0" w:after="0" w:afterAutospacing="0"/>
              <w:jc w:val="right"/>
              <w:rPr>
                <w:sz w:val="20"/>
                <w:szCs w:val="20"/>
              </w:rPr>
            </w:pPr>
            <w:r>
              <w:rPr>
                <w:rFonts w:ascii="Arial" w:hAnsi="Arial" w:cs="Arial"/>
                <w:sz w:val="20"/>
                <w:szCs w:val="20"/>
              </w:rPr>
              <w:t>5</w:t>
            </w:r>
            <w:r>
              <w:rPr>
                <w:rFonts w:ascii="Arial" w:hAnsi="Arial" w:cs="Arial"/>
                <w:sz w:val="20"/>
                <w:szCs w:val="20"/>
              </w:rPr>
              <w:t>5</w:t>
            </w:r>
          </w:p>
        </w:tc>
      </w:tr>
      <w:tr w:rsidR="00000000">
        <w:trPr>
          <w:trHeight w:val="200"/>
          <w:tblCellSpacing w:w="15" w:type="dxa"/>
        </w:trPr>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r>
              <w:rPr>
                <w:rFonts w:ascii="Arial" w:hAnsi="Arial" w:cs="Arial"/>
                <w:sz w:val="20"/>
                <w:szCs w:val="20"/>
              </w:rPr>
              <w:t>Item 7</w:t>
            </w:r>
            <w:r>
              <w:rPr>
                <w:rFonts w:ascii="Arial" w:hAnsi="Arial" w:cs="Arial"/>
                <w:sz w:val="20"/>
                <w:szCs w:val="20"/>
              </w:rPr>
              <w:t>.</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hyperlink w:anchor="item_7" w:history="1">
              <w:r>
                <w:rPr>
                  <w:rStyle w:val="a4"/>
                  <w:rFonts w:ascii="Arial" w:hAnsi="Arial" w:cs="Arial"/>
                  <w:sz w:val="20"/>
                  <w:szCs w:val="20"/>
                </w:rPr>
                <w:t>Management’s Discussion and Analysis of Financial Condition and Results of Operation</w:t>
              </w:r>
              <w:r>
                <w:rPr>
                  <w:rStyle w:val="a4"/>
                  <w:rFonts w:ascii="Arial" w:hAnsi="Arial" w:cs="Arial"/>
                  <w:sz w:val="20"/>
                  <w:szCs w:val="20"/>
                </w:rPr>
                <w:t>s</w:t>
              </w:r>
            </w:hyperlink>
          </w:p>
        </w:tc>
        <w:tc>
          <w:tcPr>
            <w:tcW w:w="0" w:type="auto"/>
            <w:tcMar>
              <w:top w:w="14" w:type="dxa"/>
              <w:left w:w="15" w:type="dxa"/>
              <w:bottom w:w="15" w:type="dxa"/>
              <w:right w:w="14" w:type="dxa"/>
            </w:tcMar>
            <w:hideMark/>
          </w:tcPr>
          <w:p w:rsidR="00000000" w:rsidRDefault="00010F15">
            <w:pPr>
              <w:pStyle w:val="a3"/>
              <w:spacing w:before="0" w:beforeAutospacing="0" w:after="0" w:afterAutospacing="0"/>
              <w:jc w:val="right"/>
              <w:rPr>
                <w:sz w:val="20"/>
                <w:szCs w:val="20"/>
              </w:rPr>
            </w:pPr>
            <w:r>
              <w:rPr>
                <w:rFonts w:ascii="Arial" w:hAnsi="Arial" w:cs="Arial"/>
                <w:sz w:val="20"/>
                <w:szCs w:val="20"/>
              </w:rPr>
              <w:t>5</w:t>
            </w:r>
            <w:r>
              <w:rPr>
                <w:rFonts w:ascii="Arial" w:hAnsi="Arial" w:cs="Arial"/>
                <w:sz w:val="20"/>
                <w:szCs w:val="20"/>
              </w:rPr>
              <w:t>5</w:t>
            </w:r>
          </w:p>
        </w:tc>
      </w:tr>
      <w:tr w:rsidR="00000000">
        <w:trPr>
          <w:trHeight w:val="200"/>
          <w:tblCellSpacing w:w="15" w:type="dxa"/>
        </w:trPr>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r>
              <w:rPr>
                <w:rFonts w:ascii="Arial" w:hAnsi="Arial" w:cs="Arial"/>
                <w:sz w:val="20"/>
                <w:szCs w:val="20"/>
              </w:rPr>
              <w:t>Item 7A</w:t>
            </w:r>
            <w:r>
              <w:rPr>
                <w:rFonts w:ascii="Arial" w:hAnsi="Arial" w:cs="Arial"/>
                <w:sz w:val="20"/>
                <w:szCs w:val="20"/>
              </w:rPr>
              <w:t>.</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hyperlink w:anchor="item_7a" w:history="1">
              <w:r>
                <w:rPr>
                  <w:rStyle w:val="a4"/>
                  <w:rFonts w:ascii="Arial" w:hAnsi="Arial" w:cs="Arial"/>
                  <w:sz w:val="20"/>
                  <w:szCs w:val="20"/>
                </w:rPr>
                <w:t>Quantitative and Qualitative Disclosures About Market Ris</w:t>
              </w:r>
              <w:r>
                <w:rPr>
                  <w:rStyle w:val="a4"/>
                  <w:rFonts w:ascii="Arial" w:hAnsi="Arial" w:cs="Arial"/>
                  <w:sz w:val="20"/>
                  <w:szCs w:val="20"/>
                </w:rPr>
                <w:t>k</w:t>
              </w:r>
            </w:hyperlink>
          </w:p>
        </w:tc>
        <w:tc>
          <w:tcPr>
            <w:tcW w:w="0" w:type="auto"/>
            <w:tcMar>
              <w:top w:w="14" w:type="dxa"/>
              <w:left w:w="15" w:type="dxa"/>
              <w:bottom w:w="15" w:type="dxa"/>
              <w:right w:w="14" w:type="dxa"/>
            </w:tcMar>
            <w:hideMark/>
          </w:tcPr>
          <w:p w:rsidR="00000000" w:rsidRDefault="00010F15">
            <w:pPr>
              <w:pStyle w:val="a3"/>
              <w:spacing w:before="0" w:beforeAutospacing="0" w:after="0" w:afterAutospacing="0"/>
              <w:jc w:val="right"/>
              <w:rPr>
                <w:sz w:val="20"/>
                <w:szCs w:val="20"/>
              </w:rPr>
            </w:pPr>
            <w:r>
              <w:rPr>
                <w:rFonts w:ascii="Arial" w:hAnsi="Arial" w:cs="Arial"/>
                <w:sz w:val="20"/>
                <w:szCs w:val="20"/>
              </w:rPr>
              <w:t>6</w:t>
            </w:r>
            <w:r>
              <w:rPr>
                <w:rFonts w:ascii="Arial" w:hAnsi="Arial" w:cs="Arial"/>
                <w:sz w:val="20"/>
                <w:szCs w:val="20"/>
              </w:rPr>
              <w:t>9</w:t>
            </w:r>
          </w:p>
        </w:tc>
      </w:tr>
      <w:tr w:rsidR="00000000">
        <w:trPr>
          <w:trHeight w:val="200"/>
          <w:tblCellSpacing w:w="15" w:type="dxa"/>
        </w:trPr>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r>
              <w:rPr>
                <w:rFonts w:ascii="Arial" w:hAnsi="Arial" w:cs="Arial"/>
                <w:sz w:val="20"/>
                <w:szCs w:val="20"/>
              </w:rPr>
              <w:t>Item 8</w:t>
            </w:r>
            <w:r>
              <w:rPr>
                <w:rFonts w:ascii="Arial" w:hAnsi="Arial" w:cs="Arial"/>
                <w:sz w:val="20"/>
                <w:szCs w:val="20"/>
              </w:rPr>
              <w:t>.</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hyperlink w:anchor="item_8" w:history="1">
              <w:r>
                <w:rPr>
                  <w:rStyle w:val="a4"/>
                  <w:rFonts w:ascii="Arial" w:hAnsi="Arial" w:cs="Arial"/>
                  <w:sz w:val="20"/>
                  <w:szCs w:val="20"/>
                </w:rPr>
                <w:t>Financial Statements and Supplementary Dat</w:t>
              </w:r>
              <w:r>
                <w:rPr>
                  <w:rStyle w:val="a4"/>
                  <w:rFonts w:ascii="Arial" w:hAnsi="Arial" w:cs="Arial"/>
                  <w:sz w:val="20"/>
                  <w:szCs w:val="20"/>
                </w:rPr>
                <w:t>a</w:t>
              </w:r>
            </w:hyperlink>
          </w:p>
        </w:tc>
        <w:tc>
          <w:tcPr>
            <w:tcW w:w="0" w:type="auto"/>
            <w:tcMar>
              <w:top w:w="14" w:type="dxa"/>
              <w:left w:w="15" w:type="dxa"/>
              <w:bottom w:w="15" w:type="dxa"/>
              <w:right w:w="14" w:type="dxa"/>
            </w:tcMar>
            <w:hideMark/>
          </w:tcPr>
          <w:p w:rsidR="00000000" w:rsidRDefault="00010F15">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0</w:t>
            </w:r>
          </w:p>
        </w:tc>
      </w:tr>
      <w:tr w:rsidR="00000000">
        <w:trPr>
          <w:trHeight w:val="200"/>
          <w:tblCellSpacing w:w="15" w:type="dxa"/>
        </w:trPr>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r>
              <w:rPr>
                <w:rFonts w:ascii="Arial" w:hAnsi="Arial" w:cs="Arial"/>
                <w:sz w:val="20"/>
                <w:szCs w:val="20"/>
              </w:rPr>
              <w:t>Item 9</w:t>
            </w:r>
            <w:r>
              <w:rPr>
                <w:rFonts w:ascii="Arial" w:hAnsi="Arial" w:cs="Arial"/>
                <w:sz w:val="20"/>
                <w:szCs w:val="20"/>
              </w:rPr>
              <w:t>.</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hyperlink w:anchor="item_9" w:history="1">
              <w:r>
                <w:rPr>
                  <w:rStyle w:val="a4"/>
                  <w:rFonts w:ascii="Arial" w:hAnsi="Arial" w:cs="Arial"/>
                  <w:sz w:val="20"/>
                  <w:szCs w:val="20"/>
                </w:rPr>
                <w:t>Changes in and Disagreements With Accountants on Accounting and Financial Disclosur</w:t>
              </w:r>
              <w:r>
                <w:rPr>
                  <w:rStyle w:val="a4"/>
                  <w:rFonts w:ascii="Arial" w:hAnsi="Arial" w:cs="Arial"/>
                  <w:sz w:val="20"/>
                  <w:szCs w:val="20"/>
                </w:rPr>
                <w:t>e</w:t>
              </w:r>
            </w:hyperlink>
          </w:p>
        </w:tc>
        <w:tc>
          <w:tcPr>
            <w:tcW w:w="0" w:type="auto"/>
            <w:tcMar>
              <w:top w:w="14" w:type="dxa"/>
              <w:left w:w="15" w:type="dxa"/>
              <w:bottom w:w="15" w:type="dxa"/>
              <w:right w:w="14" w:type="dxa"/>
            </w:tcMar>
            <w:hideMark/>
          </w:tcPr>
          <w:p w:rsidR="00000000" w:rsidRDefault="00010F15">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0</w:t>
            </w:r>
          </w:p>
        </w:tc>
      </w:tr>
      <w:tr w:rsidR="00000000">
        <w:trPr>
          <w:trHeight w:val="200"/>
          <w:tblCellSpacing w:w="15" w:type="dxa"/>
        </w:trPr>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r>
              <w:rPr>
                <w:rFonts w:ascii="Arial" w:hAnsi="Arial" w:cs="Arial"/>
                <w:sz w:val="20"/>
                <w:szCs w:val="20"/>
              </w:rPr>
              <w:t>Item 9A</w:t>
            </w:r>
            <w:r>
              <w:rPr>
                <w:rFonts w:ascii="Arial" w:hAnsi="Arial" w:cs="Arial"/>
                <w:sz w:val="20"/>
                <w:szCs w:val="20"/>
              </w:rPr>
              <w:t>.</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hyperlink w:anchor="item_9a" w:history="1">
              <w:r>
                <w:rPr>
                  <w:rStyle w:val="a4"/>
                  <w:rFonts w:ascii="Arial" w:hAnsi="Arial" w:cs="Arial"/>
                  <w:sz w:val="20"/>
                  <w:szCs w:val="20"/>
                </w:rPr>
                <w:t>Controls and Procedure</w:t>
              </w:r>
              <w:r>
                <w:rPr>
                  <w:rStyle w:val="a4"/>
                  <w:rFonts w:ascii="Arial" w:hAnsi="Arial" w:cs="Arial"/>
                  <w:sz w:val="20"/>
                  <w:szCs w:val="20"/>
                </w:rPr>
                <w:t>s</w:t>
              </w:r>
            </w:hyperlink>
          </w:p>
        </w:tc>
        <w:tc>
          <w:tcPr>
            <w:tcW w:w="0" w:type="auto"/>
            <w:tcMar>
              <w:top w:w="14" w:type="dxa"/>
              <w:left w:w="15" w:type="dxa"/>
              <w:bottom w:w="15" w:type="dxa"/>
              <w:right w:w="14" w:type="dxa"/>
            </w:tcMar>
            <w:hideMark/>
          </w:tcPr>
          <w:p w:rsidR="00000000" w:rsidRDefault="00010F15">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0</w:t>
            </w:r>
          </w:p>
        </w:tc>
      </w:tr>
      <w:tr w:rsidR="00000000">
        <w:trPr>
          <w:trHeight w:val="200"/>
          <w:tblCellSpacing w:w="15" w:type="dxa"/>
        </w:trPr>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r>
              <w:rPr>
                <w:rFonts w:ascii="Arial" w:hAnsi="Arial" w:cs="Arial"/>
                <w:sz w:val="20"/>
                <w:szCs w:val="20"/>
              </w:rPr>
              <w:t>Item 9B</w:t>
            </w:r>
            <w:r>
              <w:rPr>
                <w:rFonts w:ascii="Arial" w:hAnsi="Arial" w:cs="Arial"/>
                <w:sz w:val="20"/>
                <w:szCs w:val="20"/>
              </w:rPr>
              <w:t>.</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hyperlink w:anchor="item_9b" w:history="1">
              <w:r>
                <w:rPr>
                  <w:rStyle w:val="a4"/>
                  <w:rFonts w:ascii="Arial" w:hAnsi="Arial" w:cs="Arial"/>
                  <w:sz w:val="20"/>
                  <w:szCs w:val="20"/>
                </w:rPr>
                <w:t>Other Informatio</w:t>
              </w:r>
              <w:r>
                <w:rPr>
                  <w:rStyle w:val="a4"/>
                  <w:rFonts w:ascii="Arial" w:hAnsi="Arial" w:cs="Arial"/>
                  <w:sz w:val="20"/>
                  <w:szCs w:val="20"/>
                </w:rPr>
                <w:t>n</w:t>
              </w:r>
            </w:hyperlink>
          </w:p>
        </w:tc>
        <w:tc>
          <w:tcPr>
            <w:tcW w:w="0" w:type="auto"/>
            <w:tcMar>
              <w:top w:w="14" w:type="dxa"/>
              <w:left w:w="15" w:type="dxa"/>
              <w:bottom w:w="15" w:type="dxa"/>
              <w:right w:w="14" w:type="dxa"/>
            </w:tcMar>
            <w:hideMark/>
          </w:tcPr>
          <w:p w:rsidR="00000000" w:rsidRDefault="00010F15">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1</w:t>
            </w:r>
          </w:p>
        </w:tc>
      </w:tr>
      <w:tr w:rsidR="00000000">
        <w:trPr>
          <w:trHeight w:val="200"/>
          <w:tblCellSpacing w:w="15" w:type="dxa"/>
        </w:trPr>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r>
              <w:rPr>
                <w:rFonts w:ascii="Arial" w:hAnsi="Arial" w:cs="Arial"/>
                <w:sz w:val="20"/>
                <w:szCs w:val="20"/>
              </w:rPr>
              <w:t>Item 9C</w:t>
            </w:r>
            <w:r>
              <w:rPr>
                <w:rFonts w:ascii="Arial" w:hAnsi="Arial" w:cs="Arial"/>
                <w:sz w:val="20"/>
                <w:szCs w:val="20"/>
              </w:rPr>
              <w:t>.</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hyperlink w:anchor="item_9c" w:history="1">
              <w:r>
                <w:rPr>
                  <w:rStyle w:val="a4"/>
                  <w:rFonts w:ascii="Arial" w:hAnsi="Arial" w:cs="Arial"/>
                  <w:sz w:val="20"/>
                  <w:szCs w:val="20"/>
                </w:rPr>
                <w:t>Disclosure Regarding Foreign Jurisdictions that Prevent Inspection</w:t>
              </w:r>
              <w:r>
                <w:rPr>
                  <w:rStyle w:val="a4"/>
                  <w:rFonts w:ascii="Arial" w:hAnsi="Arial" w:cs="Arial"/>
                  <w:sz w:val="20"/>
                  <w:szCs w:val="20"/>
                </w:rPr>
                <w:t>s</w:t>
              </w:r>
            </w:hyperlink>
          </w:p>
        </w:tc>
        <w:tc>
          <w:tcPr>
            <w:tcW w:w="0" w:type="auto"/>
            <w:tcMar>
              <w:top w:w="14" w:type="dxa"/>
              <w:left w:w="15" w:type="dxa"/>
              <w:bottom w:w="15" w:type="dxa"/>
              <w:right w:w="14" w:type="dxa"/>
            </w:tcMar>
            <w:hideMark/>
          </w:tcPr>
          <w:p w:rsidR="00000000" w:rsidRDefault="00010F15">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1</w:t>
            </w:r>
          </w:p>
        </w:tc>
      </w:tr>
      <w:tr w:rsidR="00000000">
        <w:trPr>
          <w:trHeight w:val="200"/>
          <w:tblCellSpacing w:w="15" w:type="dxa"/>
        </w:trPr>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r>
              <w:rPr>
                <w:rFonts w:ascii="Arial" w:hAnsi="Arial" w:cs="Arial"/>
                <w:sz w:val="20"/>
                <w:szCs w:val="20"/>
              </w:rPr>
              <w:t>PART II</w:t>
            </w:r>
            <w:r>
              <w:rPr>
                <w:rFonts w:ascii="Arial" w:hAnsi="Arial" w:cs="Arial"/>
                <w:sz w:val="20"/>
                <w:szCs w:val="20"/>
              </w:rPr>
              <w:t>I</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r>
              <w:rPr>
                <w:rFonts w:ascii="Arial" w:hAnsi="Arial" w:cs="Arial"/>
                <w:sz w:val="20"/>
                <w:szCs w:val="20"/>
              </w:rPr>
              <w:t>Item 10</w:t>
            </w:r>
            <w:r>
              <w:rPr>
                <w:rFonts w:ascii="Arial" w:hAnsi="Arial" w:cs="Arial"/>
                <w:sz w:val="20"/>
                <w:szCs w:val="20"/>
              </w:rPr>
              <w:t>.</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hyperlink w:anchor="item_10" w:history="1">
              <w:r>
                <w:rPr>
                  <w:rStyle w:val="a4"/>
                  <w:rFonts w:ascii="Arial" w:hAnsi="Arial" w:cs="Arial"/>
                  <w:sz w:val="20"/>
                  <w:szCs w:val="20"/>
                </w:rPr>
                <w:t>Directors, Executive Officers and Corporate Governanc</w:t>
              </w:r>
              <w:r>
                <w:rPr>
                  <w:rStyle w:val="a4"/>
                  <w:rFonts w:ascii="Arial" w:hAnsi="Arial" w:cs="Arial"/>
                  <w:sz w:val="20"/>
                  <w:szCs w:val="20"/>
                </w:rPr>
                <w:t>e</w:t>
              </w:r>
            </w:hyperlink>
          </w:p>
        </w:tc>
        <w:tc>
          <w:tcPr>
            <w:tcW w:w="0" w:type="auto"/>
            <w:tcMar>
              <w:top w:w="14" w:type="dxa"/>
              <w:left w:w="15" w:type="dxa"/>
              <w:bottom w:w="15" w:type="dxa"/>
              <w:right w:w="14" w:type="dxa"/>
            </w:tcMar>
            <w:hideMark/>
          </w:tcPr>
          <w:p w:rsidR="00000000" w:rsidRDefault="00010F15">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2</w:t>
            </w:r>
          </w:p>
        </w:tc>
      </w:tr>
      <w:tr w:rsidR="00000000">
        <w:trPr>
          <w:trHeight w:val="200"/>
          <w:tblCellSpacing w:w="15" w:type="dxa"/>
        </w:trPr>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r>
              <w:rPr>
                <w:rFonts w:ascii="Arial" w:hAnsi="Arial" w:cs="Arial"/>
                <w:sz w:val="20"/>
                <w:szCs w:val="20"/>
              </w:rPr>
              <w:t>Item 11</w:t>
            </w:r>
            <w:r>
              <w:rPr>
                <w:rFonts w:ascii="Arial" w:hAnsi="Arial" w:cs="Arial"/>
                <w:sz w:val="20"/>
                <w:szCs w:val="20"/>
              </w:rPr>
              <w:t>.</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hyperlink w:anchor="item_11" w:history="1">
              <w:r>
                <w:rPr>
                  <w:rStyle w:val="a4"/>
                  <w:rFonts w:ascii="Arial" w:hAnsi="Arial" w:cs="Arial"/>
                  <w:sz w:val="20"/>
                  <w:szCs w:val="20"/>
                </w:rPr>
                <w:t>Executive Compensatio</w:t>
              </w:r>
              <w:r>
                <w:rPr>
                  <w:rStyle w:val="a4"/>
                  <w:rFonts w:ascii="Arial" w:hAnsi="Arial" w:cs="Arial"/>
                  <w:sz w:val="20"/>
                  <w:szCs w:val="20"/>
                </w:rPr>
                <w:t>n</w:t>
              </w:r>
            </w:hyperlink>
          </w:p>
        </w:tc>
        <w:tc>
          <w:tcPr>
            <w:tcW w:w="0" w:type="auto"/>
            <w:tcMar>
              <w:top w:w="14" w:type="dxa"/>
              <w:left w:w="15" w:type="dxa"/>
              <w:bottom w:w="15" w:type="dxa"/>
              <w:right w:w="14" w:type="dxa"/>
            </w:tcMar>
            <w:hideMark/>
          </w:tcPr>
          <w:p w:rsidR="00000000" w:rsidRDefault="00010F15">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2</w:t>
            </w:r>
          </w:p>
        </w:tc>
      </w:tr>
      <w:tr w:rsidR="00000000">
        <w:trPr>
          <w:trHeight w:val="200"/>
          <w:tblCellSpacing w:w="15" w:type="dxa"/>
        </w:trPr>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r>
              <w:rPr>
                <w:rFonts w:ascii="Arial" w:hAnsi="Arial" w:cs="Arial"/>
                <w:sz w:val="20"/>
                <w:szCs w:val="20"/>
              </w:rPr>
              <w:t>Item 12</w:t>
            </w:r>
            <w:r>
              <w:rPr>
                <w:rFonts w:ascii="Arial" w:hAnsi="Arial" w:cs="Arial"/>
                <w:sz w:val="20"/>
                <w:szCs w:val="20"/>
              </w:rPr>
              <w:t>.</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hyperlink w:anchor="item_12" w:history="1">
              <w:r>
                <w:rPr>
                  <w:rStyle w:val="a4"/>
                  <w:rFonts w:ascii="Arial" w:hAnsi="Arial" w:cs="Arial"/>
                  <w:sz w:val="20"/>
                  <w:szCs w:val="20"/>
                </w:rPr>
                <w:t>Security Ownership of Certain Beneficial Owners and Manageme</w:t>
              </w:r>
              <w:r>
                <w:rPr>
                  <w:rStyle w:val="a4"/>
                  <w:rFonts w:ascii="Arial" w:hAnsi="Arial" w:cs="Arial"/>
                  <w:sz w:val="20"/>
                  <w:szCs w:val="20"/>
                </w:rPr>
                <w:t>nt and Related Stockholder Matter</w:t>
              </w:r>
              <w:r>
                <w:rPr>
                  <w:rStyle w:val="a4"/>
                  <w:rFonts w:ascii="Arial" w:hAnsi="Arial" w:cs="Arial"/>
                  <w:sz w:val="20"/>
                  <w:szCs w:val="20"/>
                </w:rPr>
                <w:t>s</w:t>
              </w:r>
            </w:hyperlink>
          </w:p>
        </w:tc>
        <w:tc>
          <w:tcPr>
            <w:tcW w:w="0" w:type="auto"/>
            <w:tcMar>
              <w:top w:w="14" w:type="dxa"/>
              <w:left w:w="15" w:type="dxa"/>
              <w:bottom w:w="15" w:type="dxa"/>
              <w:right w:w="14" w:type="dxa"/>
            </w:tcMar>
            <w:hideMark/>
          </w:tcPr>
          <w:p w:rsidR="00000000" w:rsidRDefault="00010F15">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2</w:t>
            </w:r>
          </w:p>
        </w:tc>
      </w:tr>
      <w:tr w:rsidR="00000000">
        <w:trPr>
          <w:trHeight w:val="200"/>
          <w:tblCellSpacing w:w="15" w:type="dxa"/>
        </w:trPr>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r>
              <w:rPr>
                <w:rFonts w:ascii="Arial" w:hAnsi="Arial" w:cs="Arial"/>
                <w:sz w:val="20"/>
                <w:szCs w:val="20"/>
              </w:rPr>
              <w:t>Item 13</w:t>
            </w:r>
            <w:r>
              <w:rPr>
                <w:rFonts w:ascii="Arial" w:hAnsi="Arial" w:cs="Arial"/>
                <w:sz w:val="20"/>
                <w:szCs w:val="20"/>
              </w:rPr>
              <w:t>.</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hyperlink w:anchor="item_13" w:history="1">
              <w:r>
                <w:rPr>
                  <w:rStyle w:val="a4"/>
                  <w:rFonts w:ascii="Arial" w:hAnsi="Arial" w:cs="Arial"/>
                  <w:sz w:val="20"/>
                  <w:szCs w:val="20"/>
                </w:rPr>
                <w:t>Certain Relationships and Related Transactions, and Director Independenc</w:t>
              </w:r>
              <w:r>
                <w:rPr>
                  <w:rStyle w:val="a4"/>
                  <w:rFonts w:ascii="Arial" w:hAnsi="Arial" w:cs="Arial"/>
                  <w:sz w:val="20"/>
                  <w:szCs w:val="20"/>
                </w:rPr>
                <w:t>e</w:t>
              </w:r>
            </w:hyperlink>
          </w:p>
        </w:tc>
        <w:tc>
          <w:tcPr>
            <w:tcW w:w="0" w:type="auto"/>
            <w:tcMar>
              <w:top w:w="14" w:type="dxa"/>
              <w:left w:w="15" w:type="dxa"/>
              <w:bottom w:w="15" w:type="dxa"/>
              <w:right w:w="14" w:type="dxa"/>
            </w:tcMar>
            <w:hideMark/>
          </w:tcPr>
          <w:p w:rsidR="00000000" w:rsidRDefault="00010F15">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2</w:t>
            </w:r>
          </w:p>
        </w:tc>
      </w:tr>
      <w:tr w:rsidR="00000000">
        <w:trPr>
          <w:trHeight w:val="200"/>
          <w:tblCellSpacing w:w="15" w:type="dxa"/>
        </w:trPr>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r>
              <w:rPr>
                <w:rFonts w:ascii="Arial" w:hAnsi="Arial" w:cs="Arial"/>
                <w:sz w:val="20"/>
                <w:szCs w:val="20"/>
              </w:rPr>
              <w:t>Item 14</w:t>
            </w:r>
            <w:r>
              <w:rPr>
                <w:rFonts w:ascii="Arial" w:hAnsi="Arial" w:cs="Arial"/>
                <w:sz w:val="20"/>
                <w:szCs w:val="20"/>
              </w:rPr>
              <w:t>.</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hyperlink w:anchor="item_14" w:history="1">
              <w:r>
                <w:rPr>
                  <w:rStyle w:val="a4"/>
                  <w:rFonts w:ascii="Arial" w:hAnsi="Arial" w:cs="Arial"/>
                  <w:sz w:val="20"/>
                  <w:szCs w:val="20"/>
                </w:rPr>
                <w:t>Principal Accounting Fees and Service</w:t>
              </w:r>
              <w:r>
                <w:rPr>
                  <w:rStyle w:val="a4"/>
                  <w:rFonts w:ascii="Arial" w:hAnsi="Arial" w:cs="Arial"/>
                  <w:sz w:val="20"/>
                  <w:szCs w:val="20"/>
                </w:rPr>
                <w:t>s</w:t>
              </w:r>
            </w:hyperlink>
          </w:p>
        </w:tc>
        <w:tc>
          <w:tcPr>
            <w:tcW w:w="0" w:type="auto"/>
            <w:tcMar>
              <w:top w:w="14" w:type="dxa"/>
              <w:left w:w="15" w:type="dxa"/>
              <w:bottom w:w="15" w:type="dxa"/>
              <w:right w:w="14" w:type="dxa"/>
            </w:tcMar>
            <w:hideMark/>
          </w:tcPr>
          <w:p w:rsidR="00000000" w:rsidRDefault="00010F15">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2</w:t>
            </w:r>
          </w:p>
        </w:tc>
      </w:tr>
      <w:tr w:rsidR="00000000">
        <w:trPr>
          <w:trHeight w:val="200"/>
          <w:tblCellSpacing w:w="15" w:type="dxa"/>
        </w:trPr>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r>
              <w:rPr>
                <w:sz w:val="20"/>
                <w:szCs w:val="20"/>
              </w:rPr>
              <w:lastRenderedPageBreak/>
              <w:t> </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r>
              <w:rPr>
                <w:rFonts w:ascii="Arial" w:hAnsi="Arial" w:cs="Arial"/>
                <w:sz w:val="20"/>
                <w:szCs w:val="20"/>
              </w:rPr>
              <w:t>PART I</w:t>
            </w:r>
            <w:r>
              <w:rPr>
                <w:rFonts w:ascii="Arial" w:hAnsi="Arial" w:cs="Arial"/>
                <w:sz w:val="20"/>
                <w:szCs w:val="20"/>
              </w:rPr>
              <w:t>V</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r>
              <w:rPr>
                <w:rFonts w:ascii="Arial" w:hAnsi="Arial" w:cs="Arial"/>
                <w:sz w:val="20"/>
                <w:szCs w:val="20"/>
              </w:rPr>
              <w:t>Item 15</w:t>
            </w:r>
            <w:r>
              <w:rPr>
                <w:rFonts w:ascii="Arial" w:hAnsi="Arial" w:cs="Arial"/>
                <w:sz w:val="20"/>
                <w:szCs w:val="20"/>
              </w:rPr>
              <w:t>.</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hyperlink w:anchor="item_15_1" w:history="1">
              <w:r>
                <w:rPr>
                  <w:rStyle w:val="a4"/>
                  <w:rFonts w:ascii="Arial" w:hAnsi="Arial" w:cs="Arial"/>
                  <w:sz w:val="20"/>
                  <w:szCs w:val="20"/>
                </w:rPr>
                <w:t>Exhibits and Financial Statement Schedule</w:t>
              </w:r>
              <w:r>
                <w:rPr>
                  <w:rStyle w:val="a4"/>
                  <w:rFonts w:ascii="Arial" w:hAnsi="Arial" w:cs="Arial"/>
                  <w:sz w:val="20"/>
                  <w:szCs w:val="20"/>
                </w:rPr>
                <w:t>s</w:t>
              </w:r>
            </w:hyperlink>
          </w:p>
        </w:tc>
        <w:tc>
          <w:tcPr>
            <w:tcW w:w="0" w:type="auto"/>
            <w:tcMar>
              <w:top w:w="14" w:type="dxa"/>
              <w:left w:w="15" w:type="dxa"/>
              <w:bottom w:w="15" w:type="dxa"/>
              <w:right w:w="14" w:type="dxa"/>
            </w:tcMar>
            <w:hideMark/>
          </w:tcPr>
          <w:p w:rsidR="00000000" w:rsidRDefault="00010F15">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3</w:t>
            </w:r>
          </w:p>
        </w:tc>
      </w:tr>
      <w:tr w:rsidR="00000000">
        <w:trPr>
          <w:trHeight w:val="200"/>
          <w:tblCellSpacing w:w="15" w:type="dxa"/>
        </w:trPr>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r>
              <w:rPr>
                <w:rFonts w:ascii="Arial" w:hAnsi="Arial" w:cs="Arial"/>
                <w:sz w:val="20"/>
                <w:szCs w:val="20"/>
              </w:rPr>
              <w:t>Item 16</w:t>
            </w:r>
            <w:r>
              <w:rPr>
                <w:rFonts w:ascii="Arial" w:hAnsi="Arial" w:cs="Arial"/>
                <w:sz w:val="20"/>
                <w:szCs w:val="20"/>
              </w:rPr>
              <w:t>.</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hyperlink w:anchor="item_16" w:history="1">
              <w:r>
                <w:rPr>
                  <w:rStyle w:val="a4"/>
                  <w:rFonts w:ascii="Arial" w:hAnsi="Arial" w:cs="Arial"/>
                  <w:sz w:val="20"/>
                  <w:szCs w:val="20"/>
                </w:rPr>
                <w:t>Form 10-K Summar</w:t>
              </w:r>
              <w:r>
                <w:rPr>
                  <w:rStyle w:val="a4"/>
                  <w:rFonts w:ascii="Arial" w:hAnsi="Arial" w:cs="Arial"/>
                  <w:sz w:val="20"/>
                  <w:szCs w:val="20"/>
                </w:rPr>
                <w:t>y</w:t>
              </w:r>
            </w:hyperlink>
          </w:p>
        </w:tc>
        <w:tc>
          <w:tcPr>
            <w:tcW w:w="0" w:type="auto"/>
            <w:tcMar>
              <w:top w:w="14" w:type="dxa"/>
              <w:left w:w="15" w:type="dxa"/>
              <w:bottom w:w="15" w:type="dxa"/>
              <w:right w:w="14" w:type="dxa"/>
            </w:tcMar>
            <w:hideMark/>
          </w:tcPr>
          <w:p w:rsidR="00000000" w:rsidRDefault="00010F15">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6</w:t>
            </w:r>
          </w:p>
        </w:tc>
      </w:tr>
      <w:tr w:rsidR="00000000">
        <w:trPr>
          <w:trHeight w:val="200"/>
          <w:tblCellSpacing w:w="15" w:type="dxa"/>
        </w:trPr>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hyperlink w:anchor="signatures" w:history="1">
              <w:r>
                <w:rPr>
                  <w:rStyle w:val="a4"/>
                  <w:rFonts w:ascii="Arial" w:hAnsi="Arial" w:cs="Arial"/>
                  <w:sz w:val="20"/>
                  <w:szCs w:val="20"/>
                </w:rPr>
                <w:t>Signature</w:t>
              </w:r>
              <w:r>
                <w:rPr>
                  <w:rStyle w:val="a4"/>
                  <w:rFonts w:ascii="Arial" w:hAnsi="Arial" w:cs="Arial"/>
                  <w:sz w:val="20"/>
                  <w:szCs w:val="20"/>
                </w:rPr>
                <w:t>s</w:t>
              </w:r>
            </w:hyperlink>
          </w:p>
        </w:tc>
        <w:tc>
          <w:tcPr>
            <w:tcW w:w="0" w:type="auto"/>
            <w:tcMar>
              <w:top w:w="14" w:type="dxa"/>
              <w:left w:w="15" w:type="dxa"/>
              <w:bottom w:w="15" w:type="dxa"/>
              <w:right w:w="14" w:type="dxa"/>
            </w:tcMar>
            <w:hideMark/>
          </w:tcPr>
          <w:p w:rsidR="00000000" w:rsidRDefault="00010F15">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7</w:t>
            </w:r>
          </w:p>
        </w:tc>
      </w:tr>
    </w:tbl>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0" w:beforeAutospacing="0" w:after="0" w:afterAutospacing="0"/>
        <w:jc w:val="center"/>
        <w:rPr>
          <w:sz w:val="20"/>
          <w:szCs w:val="20"/>
        </w:rPr>
      </w:pPr>
      <w:r>
        <w:rPr>
          <w:rFonts w:ascii="Arial" w:hAnsi="Arial" w:cs="Arial"/>
          <w:sz w:val="20"/>
          <w:szCs w:val="20"/>
        </w:rPr>
        <w:t> </w:t>
      </w:r>
    </w:p>
    <w:p w:rsidR="00000000" w:rsidRDefault="00010F15">
      <w:pPr>
        <w:rPr>
          <w:rFonts w:eastAsia="Times New Roman"/>
        </w:rPr>
      </w:pPr>
      <w:r>
        <w:rPr>
          <w:rFonts w:eastAsia="Times New Roman"/>
        </w:rPr>
        <w:pict>
          <v:rect id="_x0000_i1026"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120" w:beforeAutospacing="0" w:after="0" w:afterAutospacing="0"/>
        <w:jc w:val="center"/>
        <w:rPr>
          <w:sz w:val="20"/>
          <w:szCs w:val="20"/>
        </w:rPr>
      </w:pPr>
      <w:r>
        <w:rPr>
          <w:rFonts w:ascii="Arial" w:hAnsi="Arial" w:cs="Arial"/>
          <w:b/>
          <w:bCs/>
          <w:caps/>
          <w:sz w:val="20"/>
          <w:szCs w:val="20"/>
        </w:rPr>
        <w:t>Summary of Risk Factor</w:t>
      </w:r>
      <w:r>
        <w:rPr>
          <w:rFonts w:ascii="Arial" w:hAnsi="Arial" w:cs="Arial"/>
          <w:b/>
          <w:bCs/>
          <w:caps/>
          <w:sz w:val="20"/>
          <w:szCs w:val="20"/>
        </w:rPr>
        <w:t>s</w:t>
      </w:r>
    </w:p>
    <w:p w:rsidR="00000000" w:rsidRDefault="00010F15">
      <w:pPr>
        <w:pStyle w:val="a3"/>
        <w:spacing w:before="120" w:beforeAutospacing="0" w:after="0" w:afterAutospacing="0"/>
        <w:ind w:firstLine="539"/>
        <w:rPr>
          <w:sz w:val="20"/>
          <w:szCs w:val="20"/>
        </w:rPr>
      </w:pPr>
      <w:r>
        <w:rPr>
          <w:rFonts w:ascii="Arial" w:hAnsi="Arial" w:cs="Arial"/>
          <w:sz w:val="20"/>
          <w:szCs w:val="20"/>
        </w:rPr>
        <w:t>Our business is subject to numerous risks and uncertainties, including those highlighted in the section of this report titled “Risk Factors.</w:t>
      </w:r>
      <w:r>
        <w:rPr>
          <w:rFonts w:ascii="Arial" w:hAnsi="Arial" w:cs="Arial"/>
          <w:sz w:val="20"/>
          <w:szCs w:val="20"/>
        </w:rPr>
        <w:t>” The following is a summary of the principal risks we face, any of which could adversely affect our business, operating results, financial condition or prospects</w:t>
      </w:r>
      <w:r>
        <w:rPr>
          <w:rFonts w:ascii="Arial" w:hAnsi="Arial" w:cs="Arial"/>
          <w:sz w:val="20"/>
          <w:szCs w:val="20"/>
        </w:rPr>
        <w:t>:</w:t>
      </w:r>
    </w:p>
    <w:p w:rsidR="00000000" w:rsidRDefault="00010F15">
      <w:pPr>
        <w:divId w:val="1137986545"/>
        <w:rPr>
          <w:rFonts w:eastAsia="Times New Roman"/>
        </w:rPr>
      </w:pPr>
      <w:r>
        <w:rPr>
          <w:rFonts w:eastAsia="Times New Roman"/>
          <w:sz w:val="20"/>
          <w:szCs w:val="20"/>
        </w:rPr>
        <w:t>•</w:t>
      </w:r>
    </w:p>
    <w:p w:rsidR="00000000" w:rsidRDefault="00010F15">
      <w:pPr>
        <w:divId w:val="1360549332"/>
        <w:rPr>
          <w:rFonts w:eastAsia="Times New Roman"/>
        </w:rPr>
      </w:pPr>
      <w:r>
        <w:rPr>
          <w:rFonts w:ascii="Arial" w:eastAsia="Times New Roman" w:hAnsi="Arial" w:cs="Arial"/>
          <w:sz w:val="20"/>
          <w:szCs w:val="20"/>
        </w:rPr>
        <w:t>Our rapid growth may not be sustainable or indicative of future growth, and our business c</w:t>
      </w:r>
      <w:r>
        <w:rPr>
          <w:rFonts w:ascii="Arial" w:eastAsia="Times New Roman" w:hAnsi="Arial" w:cs="Arial"/>
          <w:sz w:val="20"/>
          <w:szCs w:val="20"/>
        </w:rPr>
        <w:t>ould be harmed if we fail to manage our infrastructure to support future growth</w:t>
      </w:r>
      <w:r>
        <w:rPr>
          <w:rFonts w:ascii="Arial" w:eastAsia="Times New Roman" w:hAnsi="Arial" w:cs="Arial"/>
          <w:sz w:val="20"/>
          <w:szCs w:val="20"/>
        </w:rPr>
        <w:t>.</w:t>
      </w:r>
    </w:p>
    <w:p w:rsidR="00000000" w:rsidRDefault="00010F15">
      <w:pPr>
        <w:divId w:val="463357327"/>
        <w:rPr>
          <w:rFonts w:eastAsia="Times New Roman"/>
        </w:rPr>
      </w:pPr>
      <w:r>
        <w:rPr>
          <w:rFonts w:eastAsia="Times New Roman"/>
          <w:sz w:val="20"/>
          <w:szCs w:val="20"/>
        </w:rPr>
        <w:t>•</w:t>
      </w:r>
    </w:p>
    <w:p w:rsidR="00000000" w:rsidRDefault="00010F15">
      <w:pPr>
        <w:divId w:val="32849785"/>
        <w:rPr>
          <w:rFonts w:eastAsia="Times New Roman"/>
        </w:rPr>
      </w:pPr>
      <w:r>
        <w:rPr>
          <w:rFonts w:ascii="Arial" w:eastAsia="Times New Roman" w:hAnsi="Arial" w:cs="Arial"/>
          <w:sz w:val="20"/>
          <w:szCs w:val="20"/>
        </w:rPr>
        <w:t>If we are unsuccessful in establishing, growing or maintaining partnerships, our ability to compete could be impaired, and our operating results may suffer</w:t>
      </w:r>
      <w:r>
        <w:rPr>
          <w:rFonts w:ascii="Arial" w:eastAsia="Times New Roman" w:hAnsi="Arial" w:cs="Arial"/>
          <w:sz w:val="20"/>
          <w:szCs w:val="20"/>
        </w:rPr>
        <w:t>.</w:t>
      </w:r>
    </w:p>
    <w:p w:rsidR="00000000" w:rsidRDefault="00010F15">
      <w:pPr>
        <w:divId w:val="1200245045"/>
        <w:rPr>
          <w:rFonts w:eastAsia="Times New Roman"/>
        </w:rPr>
      </w:pPr>
      <w:r>
        <w:rPr>
          <w:rFonts w:eastAsia="Times New Roman"/>
          <w:sz w:val="20"/>
          <w:szCs w:val="20"/>
        </w:rPr>
        <w:t>•</w:t>
      </w:r>
    </w:p>
    <w:p w:rsidR="00000000" w:rsidRDefault="00010F15">
      <w:pPr>
        <w:divId w:val="450325884"/>
        <w:rPr>
          <w:rFonts w:eastAsia="Times New Roman"/>
        </w:rPr>
      </w:pPr>
      <w:r>
        <w:rPr>
          <w:rFonts w:ascii="Arial" w:eastAsia="Times New Roman" w:hAnsi="Arial" w:cs="Arial"/>
          <w:sz w:val="20"/>
          <w:szCs w:val="20"/>
        </w:rPr>
        <w:t>If we are unable to increase our revenue at a rate sufficient to offset expected increases in our</w:t>
      </w:r>
      <w:r>
        <w:rPr>
          <w:rFonts w:ascii="Arial" w:eastAsia="Times New Roman" w:hAnsi="Arial" w:cs="Arial"/>
          <w:sz w:val="20"/>
          <w:szCs w:val="20"/>
        </w:rPr>
        <w:t xml:space="preserve"> costs, or if the investments we make in our business fail to generate the expected benefits, our business, operating results and financial condition will be harmed and we may not be able to maintain profitability over the long term</w:t>
      </w:r>
      <w:r>
        <w:rPr>
          <w:rFonts w:ascii="Arial" w:eastAsia="Times New Roman" w:hAnsi="Arial" w:cs="Arial"/>
          <w:sz w:val="20"/>
          <w:szCs w:val="20"/>
        </w:rPr>
        <w:t>.</w:t>
      </w:r>
    </w:p>
    <w:p w:rsidR="00000000" w:rsidRDefault="00010F15">
      <w:pPr>
        <w:divId w:val="1463040455"/>
        <w:rPr>
          <w:rFonts w:eastAsia="Times New Roman"/>
        </w:rPr>
      </w:pPr>
      <w:r>
        <w:rPr>
          <w:rFonts w:eastAsia="Times New Roman"/>
          <w:sz w:val="20"/>
          <w:szCs w:val="20"/>
        </w:rPr>
        <w:t>•</w:t>
      </w:r>
    </w:p>
    <w:p w:rsidR="00000000" w:rsidRDefault="00010F15">
      <w:pPr>
        <w:divId w:val="225801356"/>
        <w:rPr>
          <w:rFonts w:eastAsia="Times New Roman"/>
        </w:rPr>
      </w:pPr>
      <w:r>
        <w:rPr>
          <w:rFonts w:ascii="Arial" w:eastAsia="Times New Roman" w:hAnsi="Arial" w:cs="Arial"/>
          <w:sz w:val="20"/>
          <w:szCs w:val="20"/>
        </w:rPr>
        <w:t>Our sales efforts to</w:t>
      </w:r>
      <w:r>
        <w:rPr>
          <w:rFonts w:ascii="Arial" w:eastAsia="Times New Roman" w:hAnsi="Arial" w:cs="Arial"/>
          <w:sz w:val="20"/>
          <w:szCs w:val="20"/>
        </w:rPr>
        <w:t xml:space="preserve"> large enterprises and large financial institutions involve considerable time and expense with long and unpredictable sales cycles</w:t>
      </w:r>
      <w:r>
        <w:rPr>
          <w:rFonts w:ascii="Arial" w:eastAsia="Times New Roman" w:hAnsi="Arial" w:cs="Arial"/>
          <w:sz w:val="20"/>
          <w:szCs w:val="20"/>
        </w:rPr>
        <w:t>.</w:t>
      </w:r>
    </w:p>
    <w:p w:rsidR="00000000" w:rsidRDefault="00010F15">
      <w:pPr>
        <w:divId w:val="942692538"/>
        <w:rPr>
          <w:rFonts w:eastAsia="Times New Roman"/>
        </w:rPr>
      </w:pPr>
      <w:r>
        <w:rPr>
          <w:rFonts w:eastAsia="Times New Roman"/>
          <w:sz w:val="20"/>
          <w:szCs w:val="20"/>
        </w:rPr>
        <w:t>•</w:t>
      </w:r>
    </w:p>
    <w:p w:rsidR="00000000" w:rsidRDefault="00010F15">
      <w:pPr>
        <w:divId w:val="377901246"/>
        <w:rPr>
          <w:rFonts w:eastAsia="Times New Roman"/>
        </w:rPr>
      </w:pPr>
      <w:r>
        <w:rPr>
          <w:rFonts w:ascii="Arial" w:eastAsia="Times New Roman" w:hAnsi="Arial" w:cs="Arial"/>
          <w:sz w:val="20"/>
          <w:szCs w:val="20"/>
        </w:rPr>
        <w:t>The COVID-19 pandemic, including existing and future variants, could have a material adverse impact on our employees, bill</w:t>
      </w:r>
      <w:r>
        <w:rPr>
          <w:rFonts w:ascii="Arial" w:eastAsia="Times New Roman" w:hAnsi="Arial" w:cs="Arial"/>
          <w:sz w:val="20"/>
          <w:szCs w:val="20"/>
        </w:rPr>
        <w:t>ers, financial institutions, partners, consumers and other key stakeholders, which could materially and adversely impact our business, operating results and financial condition</w:t>
      </w:r>
      <w:r>
        <w:rPr>
          <w:rFonts w:ascii="Arial" w:eastAsia="Times New Roman" w:hAnsi="Arial" w:cs="Arial"/>
          <w:sz w:val="20"/>
          <w:szCs w:val="20"/>
        </w:rPr>
        <w:t>.</w:t>
      </w:r>
    </w:p>
    <w:p w:rsidR="00000000" w:rsidRDefault="00010F15">
      <w:pPr>
        <w:divId w:val="472063553"/>
        <w:rPr>
          <w:rFonts w:eastAsia="Times New Roman"/>
        </w:rPr>
      </w:pPr>
      <w:r>
        <w:rPr>
          <w:rFonts w:eastAsia="Times New Roman"/>
          <w:sz w:val="20"/>
          <w:szCs w:val="20"/>
        </w:rPr>
        <w:t>•</w:t>
      </w:r>
    </w:p>
    <w:p w:rsidR="00000000" w:rsidRDefault="00010F15">
      <w:pPr>
        <w:divId w:val="89397023"/>
        <w:rPr>
          <w:rFonts w:eastAsia="Times New Roman"/>
        </w:rPr>
      </w:pPr>
      <w:r>
        <w:rPr>
          <w:rFonts w:ascii="Arial" w:eastAsia="Times New Roman" w:hAnsi="Arial" w:cs="Arial"/>
          <w:sz w:val="20"/>
          <w:szCs w:val="20"/>
        </w:rPr>
        <w:t>We are subject to economic and geopolitical risk, the business cycles and credit risk of our billers, financial institutions and partners and their consumers, and the overall level of consumer, business and government spending, which could negatively affec</w:t>
      </w:r>
      <w:r>
        <w:rPr>
          <w:rFonts w:ascii="Arial" w:eastAsia="Times New Roman" w:hAnsi="Arial" w:cs="Arial"/>
          <w:sz w:val="20"/>
          <w:szCs w:val="20"/>
        </w:rPr>
        <w:t>t our business, operating results and financial condition</w:t>
      </w:r>
      <w:r>
        <w:rPr>
          <w:rFonts w:ascii="Arial" w:eastAsia="Times New Roman" w:hAnsi="Arial" w:cs="Arial"/>
          <w:sz w:val="20"/>
          <w:szCs w:val="20"/>
        </w:rPr>
        <w:t>.</w:t>
      </w:r>
    </w:p>
    <w:p w:rsidR="00000000" w:rsidRDefault="00010F15">
      <w:pPr>
        <w:divId w:val="1897205428"/>
        <w:rPr>
          <w:rFonts w:eastAsia="Times New Roman"/>
        </w:rPr>
      </w:pPr>
      <w:r>
        <w:rPr>
          <w:rFonts w:eastAsia="Times New Roman"/>
          <w:sz w:val="20"/>
          <w:szCs w:val="20"/>
        </w:rPr>
        <w:t>•</w:t>
      </w:r>
    </w:p>
    <w:p w:rsidR="00000000" w:rsidRDefault="00010F15">
      <w:pPr>
        <w:divId w:val="1180701270"/>
        <w:rPr>
          <w:rFonts w:eastAsia="Times New Roman"/>
        </w:rPr>
      </w:pPr>
      <w:r>
        <w:rPr>
          <w:rFonts w:ascii="Arial" w:eastAsia="Times New Roman" w:hAnsi="Arial" w:cs="Arial"/>
          <w:sz w:val="20"/>
          <w:szCs w:val="20"/>
        </w:rPr>
        <w:t>The markets in which we participate are competitive, and if we do not compete effectively, our business, operating results and financial condition could be harmed.</w:t>
      </w:r>
      <w:r>
        <w:rPr>
          <w:rFonts w:ascii="Arial" w:eastAsia="Times New Roman" w:hAnsi="Arial" w:cs="Arial"/>
          <w:sz w:val="20"/>
          <w:szCs w:val="20"/>
        </w:rPr>
        <w:t xml:space="preserve"> </w:t>
      </w:r>
    </w:p>
    <w:p w:rsidR="00000000" w:rsidRDefault="00010F15">
      <w:pPr>
        <w:divId w:val="948706581"/>
        <w:rPr>
          <w:rFonts w:eastAsia="Times New Roman"/>
        </w:rPr>
      </w:pPr>
      <w:r>
        <w:rPr>
          <w:rFonts w:eastAsia="Times New Roman"/>
          <w:sz w:val="20"/>
          <w:szCs w:val="20"/>
        </w:rPr>
        <w:t>•</w:t>
      </w:r>
    </w:p>
    <w:p w:rsidR="00000000" w:rsidRDefault="00010F15">
      <w:pPr>
        <w:divId w:val="664816773"/>
        <w:rPr>
          <w:rFonts w:eastAsia="Times New Roman"/>
        </w:rPr>
      </w:pPr>
      <w:r>
        <w:rPr>
          <w:rFonts w:ascii="Arial" w:eastAsia="Times New Roman" w:hAnsi="Arial" w:cs="Arial"/>
          <w:sz w:val="20"/>
          <w:szCs w:val="20"/>
        </w:rPr>
        <w:t xml:space="preserve">Our revenue is sensitive to </w:t>
      </w:r>
      <w:r>
        <w:rPr>
          <w:rFonts w:ascii="Arial" w:eastAsia="Times New Roman" w:hAnsi="Arial" w:cs="Arial"/>
          <w:sz w:val="20"/>
          <w:szCs w:val="20"/>
        </w:rPr>
        <w:t>shifts in payment mix and if more consumers start paying their bills by payment methods with lower transaction fees, it could materially impact our operating results</w:t>
      </w:r>
      <w:r>
        <w:rPr>
          <w:rFonts w:ascii="Arial" w:eastAsia="Times New Roman" w:hAnsi="Arial" w:cs="Arial"/>
          <w:sz w:val="20"/>
          <w:szCs w:val="20"/>
        </w:rPr>
        <w:t>.</w:t>
      </w:r>
    </w:p>
    <w:p w:rsidR="00000000" w:rsidRDefault="00010F15">
      <w:pPr>
        <w:divId w:val="1267494803"/>
        <w:rPr>
          <w:rFonts w:eastAsia="Times New Roman"/>
        </w:rPr>
      </w:pPr>
      <w:r>
        <w:rPr>
          <w:rFonts w:eastAsia="Times New Roman"/>
          <w:sz w:val="20"/>
          <w:szCs w:val="20"/>
        </w:rPr>
        <w:t>•</w:t>
      </w:r>
    </w:p>
    <w:p w:rsidR="00000000" w:rsidRDefault="00010F15">
      <w:pPr>
        <w:divId w:val="981034036"/>
        <w:rPr>
          <w:rFonts w:eastAsia="Times New Roman"/>
        </w:rPr>
      </w:pPr>
      <w:r>
        <w:rPr>
          <w:rFonts w:ascii="Arial" w:eastAsia="Times New Roman" w:hAnsi="Arial" w:cs="Arial"/>
          <w:sz w:val="20"/>
          <w:szCs w:val="20"/>
        </w:rPr>
        <w:t>We expect fluctuations in our operating results, which will make it difficult to projec</w:t>
      </w:r>
      <w:r>
        <w:rPr>
          <w:rFonts w:ascii="Arial" w:eastAsia="Times New Roman" w:hAnsi="Arial" w:cs="Arial"/>
          <w:sz w:val="20"/>
          <w:szCs w:val="20"/>
        </w:rPr>
        <w:t>t future results and may cause the market price of our Class A common stock to decline</w:t>
      </w:r>
      <w:r>
        <w:rPr>
          <w:rFonts w:ascii="Arial" w:eastAsia="Times New Roman" w:hAnsi="Arial" w:cs="Arial"/>
          <w:sz w:val="20"/>
          <w:szCs w:val="20"/>
        </w:rPr>
        <w:t>.</w:t>
      </w:r>
    </w:p>
    <w:p w:rsidR="00000000" w:rsidRDefault="00010F15">
      <w:pPr>
        <w:divId w:val="1614555709"/>
        <w:rPr>
          <w:rFonts w:eastAsia="Times New Roman"/>
        </w:rPr>
      </w:pPr>
      <w:r>
        <w:rPr>
          <w:rFonts w:eastAsia="Times New Roman"/>
          <w:sz w:val="20"/>
          <w:szCs w:val="20"/>
        </w:rPr>
        <w:t>•</w:t>
      </w:r>
    </w:p>
    <w:p w:rsidR="00000000" w:rsidRDefault="00010F15">
      <w:pPr>
        <w:divId w:val="210656638"/>
        <w:rPr>
          <w:rFonts w:eastAsia="Times New Roman"/>
        </w:rPr>
      </w:pPr>
      <w:r>
        <w:rPr>
          <w:rFonts w:ascii="Arial" w:eastAsia="Times New Roman" w:hAnsi="Arial" w:cs="Arial"/>
          <w:sz w:val="20"/>
          <w:szCs w:val="20"/>
        </w:rPr>
        <w:t>We depend on payment processors, sponsor banks and third-party printers to process bill payments made on our platform and our business, operating results and reputati</w:t>
      </w:r>
      <w:r>
        <w:rPr>
          <w:rFonts w:ascii="Arial" w:eastAsia="Times New Roman" w:hAnsi="Arial" w:cs="Arial"/>
          <w:sz w:val="20"/>
          <w:szCs w:val="20"/>
        </w:rPr>
        <w:t>on could be harmed if we experience service interruptions related to these processors</w:t>
      </w:r>
      <w:r>
        <w:rPr>
          <w:rFonts w:ascii="Arial" w:eastAsia="Times New Roman" w:hAnsi="Arial" w:cs="Arial"/>
          <w:sz w:val="20"/>
          <w:szCs w:val="20"/>
        </w:rPr>
        <w:t>.</w:t>
      </w:r>
    </w:p>
    <w:p w:rsidR="00000000" w:rsidRDefault="00010F15">
      <w:pPr>
        <w:divId w:val="715272374"/>
        <w:rPr>
          <w:rFonts w:eastAsia="Times New Roman"/>
        </w:rPr>
      </w:pPr>
      <w:r>
        <w:rPr>
          <w:rFonts w:eastAsia="Times New Roman"/>
          <w:sz w:val="20"/>
          <w:szCs w:val="20"/>
        </w:rPr>
        <w:lastRenderedPageBreak/>
        <w:t>•</w:t>
      </w:r>
    </w:p>
    <w:p w:rsidR="00000000" w:rsidRDefault="00010F15">
      <w:pPr>
        <w:divId w:val="59864874"/>
        <w:rPr>
          <w:rFonts w:eastAsia="Times New Roman"/>
        </w:rPr>
      </w:pPr>
      <w:r>
        <w:rPr>
          <w:rFonts w:ascii="Arial" w:eastAsia="Times New Roman" w:hAnsi="Arial" w:cs="Arial"/>
          <w:sz w:val="20"/>
          <w:szCs w:val="20"/>
        </w:rPr>
        <w:t>We operate in an emerging and evolving market, which may develop more slowly or differently than we expect. If our market does not grow as we expect, or if we cannot e</w:t>
      </w:r>
      <w:r>
        <w:rPr>
          <w:rFonts w:ascii="Arial" w:eastAsia="Times New Roman" w:hAnsi="Arial" w:cs="Arial"/>
          <w:sz w:val="20"/>
          <w:szCs w:val="20"/>
        </w:rPr>
        <w:t>xpand our platform to meet the demands of this market, our revenue may decline or fail to grow</w:t>
      </w:r>
      <w:r>
        <w:rPr>
          <w:rFonts w:ascii="Arial" w:eastAsia="Times New Roman" w:hAnsi="Arial" w:cs="Arial"/>
          <w:sz w:val="20"/>
          <w:szCs w:val="20"/>
        </w:rPr>
        <w:t>.</w:t>
      </w:r>
    </w:p>
    <w:p w:rsidR="00000000" w:rsidRDefault="00010F15">
      <w:pPr>
        <w:divId w:val="1149981681"/>
        <w:rPr>
          <w:rFonts w:eastAsia="Times New Roman"/>
        </w:rPr>
      </w:pPr>
      <w:r>
        <w:rPr>
          <w:rFonts w:eastAsia="Times New Roman"/>
          <w:sz w:val="20"/>
          <w:szCs w:val="20"/>
        </w:rPr>
        <w:t>•</w:t>
      </w:r>
    </w:p>
    <w:p w:rsidR="00000000" w:rsidRDefault="00010F15">
      <w:pPr>
        <w:divId w:val="1175997160"/>
        <w:rPr>
          <w:rFonts w:eastAsia="Times New Roman"/>
        </w:rPr>
      </w:pPr>
      <w:r>
        <w:rPr>
          <w:rFonts w:ascii="Arial" w:eastAsia="Times New Roman" w:hAnsi="Arial" w:cs="Arial"/>
          <w:sz w:val="20"/>
          <w:szCs w:val="20"/>
        </w:rPr>
        <w:t>Our risk management efforts may not be effective to prevent fraudulent activities, which could expose us to material financial losses and liability and otherw</w:t>
      </w:r>
      <w:r>
        <w:rPr>
          <w:rFonts w:ascii="Arial" w:eastAsia="Times New Roman" w:hAnsi="Arial" w:cs="Arial"/>
          <w:sz w:val="20"/>
          <w:szCs w:val="20"/>
        </w:rPr>
        <w:t>ise harm our business.</w:t>
      </w:r>
      <w:r>
        <w:rPr>
          <w:rFonts w:ascii="Arial" w:eastAsia="Times New Roman" w:hAnsi="Arial" w:cs="Arial"/>
          <w:sz w:val="20"/>
          <w:szCs w:val="20"/>
        </w:rPr>
        <w:t xml:space="preserve"> </w:t>
      </w:r>
    </w:p>
    <w:p w:rsidR="00000000" w:rsidRDefault="00010F15">
      <w:pPr>
        <w:divId w:val="1046830694"/>
        <w:rPr>
          <w:rFonts w:eastAsia="Times New Roman"/>
        </w:rPr>
      </w:pPr>
      <w:r>
        <w:rPr>
          <w:rFonts w:eastAsia="Times New Roman"/>
          <w:sz w:val="20"/>
          <w:szCs w:val="20"/>
        </w:rPr>
        <w:t>•</w:t>
      </w:r>
    </w:p>
    <w:p w:rsidR="00000000" w:rsidRDefault="00010F15">
      <w:pPr>
        <w:divId w:val="1952932132"/>
        <w:rPr>
          <w:rFonts w:eastAsia="Times New Roman"/>
        </w:rPr>
      </w:pPr>
      <w:r>
        <w:rPr>
          <w:rFonts w:ascii="Arial" w:eastAsia="Times New Roman" w:hAnsi="Arial" w:cs="Arial"/>
          <w:sz w:val="20"/>
          <w:szCs w:val="20"/>
        </w:rPr>
        <w:t xml:space="preserve">If we fail to comply with extensive, complex, overlapping and frequently changing rules, regulations, standards and legal interpretations, including those related to payments, card network operations and other financial services, </w:t>
      </w:r>
      <w:r>
        <w:rPr>
          <w:rFonts w:ascii="Arial" w:eastAsia="Times New Roman" w:hAnsi="Arial" w:cs="Arial"/>
          <w:sz w:val="20"/>
          <w:szCs w:val="20"/>
        </w:rPr>
        <w:t>privacy, data protection and information security, our business could be materially harmed</w:t>
      </w:r>
      <w:r>
        <w:rPr>
          <w:rFonts w:ascii="Arial" w:eastAsia="Times New Roman" w:hAnsi="Arial" w:cs="Arial"/>
          <w:sz w:val="20"/>
          <w:szCs w:val="20"/>
        </w:rPr>
        <w:t>.</w:t>
      </w:r>
    </w:p>
    <w:p w:rsidR="00000000" w:rsidRDefault="00010F15">
      <w:pPr>
        <w:divId w:val="1362705304"/>
        <w:rPr>
          <w:rFonts w:eastAsia="Times New Roman"/>
        </w:rPr>
      </w:pPr>
      <w:r>
        <w:rPr>
          <w:rFonts w:eastAsia="Times New Roman"/>
          <w:sz w:val="20"/>
          <w:szCs w:val="20"/>
        </w:rPr>
        <w:t>•</w:t>
      </w:r>
    </w:p>
    <w:p w:rsidR="00000000" w:rsidRDefault="00010F15">
      <w:pPr>
        <w:divId w:val="453403837"/>
        <w:rPr>
          <w:rFonts w:eastAsia="Times New Roman"/>
        </w:rPr>
      </w:pPr>
      <w:r>
        <w:rPr>
          <w:rFonts w:ascii="Arial" w:eastAsia="Times New Roman" w:hAnsi="Arial" w:cs="Arial"/>
          <w:sz w:val="20"/>
          <w:szCs w:val="20"/>
        </w:rPr>
        <w:t xml:space="preserve">We identified material weaknesses in our internal control over financial reporting, and if we fail to remediate these material weaknesses or if we otherwise fail </w:t>
      </w:r>
      <w:r>
        <w:rPr>
          <w:rFonts w:ascii="Arial" w:eastAsia="Times New Roman" w:hAnsi="Arial" w:cs="Arial"/>
          <w:sz w:val="20"/>
          <w:szCs w:val="20"/>
        </w:rPr>
        <w:t>to establish and maintain effective internal control over financial reporting, our ability to accurately and timely report our financial results could be adversely affected</w:t>
      </w:r>
      <w:r>
        <w:rPr>
          <w:rFonts w:ascii="Arial" w:eastAsia="Times New Roman" w:hAnsi="Arial" w:cs="Arial"/>
          <w:sz w:val="20"/>
          <w:szCs w:val="20"/>
        </w:rPr>
        <w:t>.</w:t>
      </w:r>
    </w:p>
    <w:p w:rsidR="00000000" w:rsidRDefault="00010F15">
      <w:pPr>
        <w:divId w:val="680618513"/>
        <w:rPr>
          <w:rFonts w:eastAsia="Times New Roman"/>
        </w:rPr>
      </w:pPr>
      <w:r>
        <w:rPr>
          <w:rFonts w:eastAsia="Times New Roman"/>
          <w:sz w:val="20"/>
          <w:szCs w:val="20"/>
        </w:rPr>
        <w:t>•</w:t>
      </w:r>
    </w:p>
    <w:p w:rsidR="00000000" w:rsidRDefault="00010F15">
      <w:pPr>
        <w:divId w:val="1104884944"/>
        <w:rPr>
          <w:rFonts w:eastAsia="Times New Roman"/>
        </w:rPr>
      </w:pPr>
      <w:r>
        <w:rPr>
          <w:rFonts w:ascii="Arial" w:eastAsia="Times New Roman" w:hAnsi="Arial" w:cs="Arial"/>
          <w:sz w:val="20"/>
          <w:szCs w:val="20"/>
        </w:rPr>
        <w:t>We may experience software and technology defects, undetected errors, developmen</w:t>
      </w:r>
      <w:r>
        <w:rPr>
          <w:rFonts w:ascii="Arial" w:eastAsia="Times New Roman" w:hAnsi="Arial" w:cs="Arial"/>
          <w:sz w:val="20"/>
          <w:szCs w:val="20"/>
        </w:rPr>
        <w:t>t delays or other performance problems in our software and other technology used as part of our platform, which could damage biller, financial institution and partner relations, harm our reputation, result in significant costs to us, decrease our potential</w:t>
      </w:r>
      <w:r>
        <w:rPr>
          <w:rFonts w:ascii="Arial" w:eastAsia="Times New Roman" w:hAnsi="Arial" w:cs="Arial"/>
          <w:sz w:val="20"/>
          <w:szCs w:val="20"/>
        </w:rPr>
        <w:t xml:space="preserve"> profitability and expose us to substantial liability</w:t>
      </w:r>
      <w:r>
        <w:rPr>
          <w:rFonts w:ascii="Arial" w:eastAsia="Times New Roman" w:hAnsi="Arial" w:cs="Arial"/>
          <w:sz w:val="20"/>
          <w:szCs w:val="20"/>
        </w:rPr>
        <w:t>.</w:t>
      </w:r>
    </w:p>
    <w:p w:rsidR="00000000" w:rsidRDefault="00010F15">
      <w:pPr>
        <w:divId w:val="118033514"/>
        <w:rPr>
          <w:rFonts w:eastAsia="Times New Roman"/>
        </w:rPr>
      </w:pPr>
      <w:r>
        <w:rPr>
          <w:rFonts w:eastAsia="Times New Roman"/>
          <w:sz w:val="20"/>
          <w:szCs w:val="20"/>
        </w:rPr>
        <w:t>•</w:t>
      </w:r>
    </w:p>
    <w:p w:rsidR="00000000" w:rsidRDefault="00010F15">
      <w:pPr>
        <w:divId w:val="1160923468"/>
        <w:rPr>
          <w:rFonts w:eastAsia="Times New Roman"/>
        </w:rPr>
      </w:pPr>
      <w:r>
        <w:rPr>
          <w:rFonts w:ascii="Arial" w:eastAsia="Times New Roman" w:hAnsi="Arial" w:cs="Arial"/>
          <w:sz w:val="20"/>
          <w:szCs w:val="20"/>
        </w:rPr>
        <w:t>If we fail to adequately obtain, maintain, protect or enforce our intellectual property and proprietary rights, our competitive position could be impaired, our reputation could be harmed and we may l</w:t>
      </w:r>
      <w:r>
        <w:rPr>
          <w:rFonts w:ascii="Arial" w:eastAsia="Times New Roman" w:hAnsi="Arial" w:cs="Arial"/>
          <w:sz w:val="20"/>
          <w:szCs w:val="20"/>
        </w:rPr>
        <w:t>ose valuable assets, generate less revenue and incur costly litigation to protect our rights</w:t>
      </w:r>
      <w:r>
        <w:rPr>
          <w:rFonts w:ascii="Arial" w:eastAsia="Times New Roman" w:hAnsi="Arial" w:cs="Arial"/>
          <w:sz w:val="20"/>
          <w:szCs w:val="20"/>
        </w:rPr>
        <w:t>.</w:t>
      </w:r>
    </w:p>
    <w:p w:rsidR="00000000" w:rsidRDefault="00010F15">
      <w:pPr>
        <w:divId w:val="752238423"/>
        <w:rPr>
          <w:rFonts w:eastAsia="Times New Roman"/>
        </w:rPr>
      </w:pPr>
      <w:r>
        <w:rPr>
          <w:rFonts w:eastAsia="Times New Roman"/>
          <w:sz w:val="20"/>
          <w:szCs w:val="20"/>
        </w:rPr>
        <w:t>•</w:t>
      </w:r>
    </w:p>
    <w:p w:rsidR="00000000" w:rsidRDefault="00010F15">
      <w:pPr>
        <w:divId w:val="1189641943"/>
        <w:rPr>
          <w:rFonts w:eastAsia="Times New Roman"/>
        </w:rPr>
      </w:pPr>
      <w:r>
        <w:rPr>
          <w:rFonts w:ascii="Arial" w:eastAsia="Times New Roman" w:hAnsi="Arial" w:cs="Arial"/>
          <w:sz w:val="20"/>
          <w:szCs w:val="20"/>
        </w:rPr>
        <w:t>We and our billers, financial institutions and partners and their consumers and other third parties that use our platform obtain, provide and process a large am</w:t>
      </w:r>
      <w:r>
        <w:rPr>
          <w:rFonts w:ascii="Arial" w:eastAsia="Times New Roman" w:hAnsi="Arial" w:cs="Arial"/>
          <w:sz w:val="20"/>
          <w:szCs w:val="20"/>
        </w:rPr>
        <w:t>ount of sensitive and personal data. Any real or perceived</w:t>
      </w:r>
      <w:r>
        <w:rPr>
          <w:rFonts w:ascii="Arial" w:eastAsia="Times New Roman" w:hAnsi="Arial" w:cs="Arial"/>
          <w:sz w:val="20"/>
          <w:szCs w:val="20"/>
        </w:rPr>
        <w:t xml:space="preserve"> </w:t>
      </w:r>
    </w:p>
    <w:p w:rsidR="00000000" w:rsidRDefault="00010F15">
      <w:pPr>
        <w:pStyle w:val="a3"/>
        <w:spacing w:before="0" w:beforeAutospacing="0" w:after="0" w:afterAutospacing="0"/>
        <w:jc w:val="center"/>
        <w:rPr>
          <w:sz w:val="20"/>
          <w:szCs w:val="20"/>
        </w:rPr>
      </w:pPr>
      <w:r>
        <w:rPr>
          <w:rFonts w:ascii="Arial" w:hAnsi="Arial" w:cs="Arial"/>
          <w:sz w:val="20"/>
          <w:szCs w:val="20"/>
        </w:rPr>
        <w:t>3</w:t>
      </w:r>
    </w:p>
    <w:p w:rsidR="00000000" w:rsidRDefault="00010F15">
      <w:pPr>
        <w:rPr>
          <w:rFonts w:eastAsia="Times New Roman"/>
        </w:rPr>
      </w:pPr>
      <w:r>
        <w:rPr>
          <w:rFonts w:eastAsia="Times New Roman"/>
        </w:rPr>
        <w:pict>
          <v:rect id="_x0000_i1027"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divId w:val="311445952"/>
        <w:rPr>
          <w:rFonts w:eastAsia="Times New Roman"/>
        </w:rPr>
      </w:pPr>
      <w:r>
        <w:rPr>
          <w:rFonts w:ascii="Arial" w:eastAsia="Times New Roman" w:hAnsi="Arial" w:cs="Arial"/>
          <w:sz w:val="20"/>
          <w:szCs w:val="20"/>
        </w:rPr>
        <w:t>improper or unauthorized use of, disclosure of or access to such data could harm our reputation as a trusted brand, as well as have a material adverse effect on our business, operating results and financial condition</w:t>
      </w:r>
      <w:r>
        <w:rPr>
          <w:rFonts w:ascii="Arial" w:eastAsia="Times New Roman" w:hAnsi="Arial" w:cs="Arial"/>
          <w:sz w:val="20"/>
          <w:szCs w:val="20"/>
        </w:rPr>
        <w:t>.</w:t>
      </w:r>
    </w:p>
    <w:p w:rsidR="00000000" w:rsidRDefault="00010F15">
      <w:pPr>
        <w:divId w:val="1223517367"/>
        <w:rPr>
          <w:rFonts w:eastAsia="Times New Roman"/>
        </w:rPr>
      </w:pPr>
      <w:r>
        <w:rPr>
          <w:rFonts w:eastAsia="Times New Roman"/>
          <w:sz w:val="20"/>
          <w:szCs w:val="20"/>
        </w:rPr>
        <w:t>•</w:t>
      </w:r>
    </w:p>
    <w:p w:rsidR="00000000" w:rsidRDefault="00010F15">
      <w:pPr>
        <w:divId w:val="1580291663"/>
        <w:rPr>
          <w:rFonts w:eastAsia="Times New Roman"/>
        </w:rPr>
      </w:pPr>
      <w:r>
        <w:rPr>
          <w:rFonts w:ascii="Arial" w:eastAsia="Times New Roman" w:hAnsi="Arial" w:cs="Arial"/>
          <w:sz w:val="20"/>
          <w:szCs w:val="20"/>
        </w:rPr>
        <w:t>The dual class structure of our comm</w:t>
      </w:r>
      <w:r>
        <w:rPr>
          <w:rFonts w:ascii="Arial" w:eastAsia="Times New Roman" w:hAnsi="Arial" w:cs="Arial"/>
          <w:sz w:val="20"/>
          <w:szCs w:val="20"/>
        </w:rPr>
        <w:t>on stock and our stockholders agreement have the effect of concentrating voting control with Accel-KKR, or AKKR, and our founder and chief executive officer, which limits or precludes your ability to influence corporate matters for the foreseeable future a</w:t>
      </w:r>
      <w:r>
        <w:rPr>
          <w:rFonts w:ascii="Arial" w:eastAsia="Times New Roman" w:hAnsi="Arial" w:cs="Arial"/>
          <w:sz w:val="20"/>
          <w:szCs w:val="20"/>
        </w:rPr>
        <w:t>nd may depress the market price of our Class A common stock.</w:t>
      </w:r>
      <w:r>
        <w:rPr>
          <w:rFonts w:ascii="Arial" w:eastAsia="Times New Roman" w:hAnsi="Arial" w:cs="Arial"/>
          <w:sz w:val="20"/>
          <w:szCs w:val="20"/>
        </w:rPr>
        <w:t xml:space="preserve"> </w:t>
      </w:r>
    </w:p>
    <w:p w:rsidR="00000000" w:rsidRDefault="00010F15">
      <w:pPr>
        <w:divId w:val="1651444327"/>
        <w:rPr>
          <w:rFonts w:eastAsia="Times New Roman"/>
        </w:rPr>
      </w:pPr>
      <w:r>
        <w:rPr>
          <w:rFonts w:eastAsia="Times New Roman"/>
          <w:sz w:val="20"/>
          <w:szCs w:val="20"/>
        </w:rPr>
        <w:t>•</w:t>
      </w:r>
    </w:p>
    <w:p w:rsidR="00000000" w:rsidRDefault="00010F15">
      <w:pPr>
        <w:divId w:val="2013603962"/>
        <w:rPr>
          <w:rFonts w:eastAsia="Times New Roman"/>
        </w:rPr>
      </w:pPr>
      <w:r>
        <w:rPr>
          <w:rFonts w:ascii="Arial" w:eastAsia="Times New Roman" w:hAnsi="Arial" w:cs="Arial"/>
          <w:sz w:val="20"/>
          <w:szCs w:val="20"/>
        </w:rPr>
        <w:t>AKKR controls us and its interests may conflict with ours or yours in the future</w:t>
      </w:r>
      <w:r>
        <w:rPr>
          <w:rFonts w:ascii="Arial" w:eastAsia="Times New Roman" w:hAnsi="Arial" w:cs="Arial"/>
          <w:sz w:val="20"/>
          <w:szCs w:val="20"/>
        </w:rPr>
        <w:t>.</w:t>
      </w:r>
    </w:p>
    <w:p w:rsidR="00000000" w:rsidRDefault="00010F15">
      <w:pPr>
        <w:divId w:val="604382986"/>
        <w:rPr>
          <w:rFonts w:eastAsia="Times New Roman"/>
        </w:rPr>
      </w:pPr>
      <w:r>
        <w:rPr>
          <w:rFonts w:eastAsia="Times New Roman"/>
          <w:sz w:val="20"/>
          <w:szCs w:val="20"/>
        </w:rPr>
        <w:t>•</w:t>
      </w:r>
    </w:p>
    <w:p w:rsidR="00000000" w:rsidRDefault="00010F15">
      <w:pPr>
        <w:divId w:val="356349814"/>
        <w:rPr>
          <w:rFonts w:eastAsia="Times New Roman"/>
        </w:rPr>
      </w:pPr>
      <w:r>
        <w:rPr>
          <w:rFonts w:ascii="Arial" w:eastAsia="Times New Roman" w:hAnsi="Arial" w:cs="Arial"/>
          <w:sz w:val="20"/>
          <w:szCs w:val="20"/>
        </w:rPr>
        <w:t xml:space="preserve">Our certificate of incorporation contains provisions renouncing our interest and expectation to participate </w:t>
      </w:r>
      <w:r>
        <w:rPr>
          <w:rFonts w:ascii="Arial" w:eastAsia="Times New Roman" w:hAnsi="Arial" w:cs="Arial"/>
          <w:sz w:val="20"/>
          <w:szCs w:val="20"/>
        </w:rPr>
        <w:t>in certain corporate opportunities identified by, or presented to, AKKR or its affiliates, which could create conflicts of interest and have a material adverse effect on our business, results of operations, financial condition and prospects if attractive c</w:t>
      </w:r>
      <w:r>
        <w:rPr>
          <w:rFonts w:ascii="Arial" w:eastAsia="Times New Roman" w:hAnsi="Arial" w:cs="Arial"/>
          <w:sz w:val="20"/>
          <w:szCs w:val="20"/>
        </w:rPr>
        <w:t>orporate opportunities are allocated by AKKR to itself, its affiliates or third parties instead of to us</w:t>
      </w:r>
      <w:r>
        <w:rPr>
          <w:rFonts w:ascii="Arial" w:eastAsia="Times New Roman"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Our Risk Factors are not guarantees that no such conditions exist as of the date of this report and should not be interpreted as an affirmative statement that such risks or conditions have not materialized, in whole or in part</w:t>
      </w:r>
      <w:r>
        <w:rPr>
          <w:rFonts w:ascii="Arial" w:hAnsi="Arial" w:cs="Arial"/>
          <w:sz w:val="20"/>
          <w:szCs w:val="20"/>
        </w:rPr>
        <w:t>.</w:t>
      </w:r>
    </w:p>
    <w:p w:rsidR="00000000" w:rsidRDefault="00010F15">
      <w:pPr>
        <w:pStyle w:val="a3"/>
        <w:spacing w:before="0" w:beforeAutospacing="0" w:after="0" w:afterAutospacing="0"/>
        <w:rPr>
          <w:sz w:val="20"/>
          <w:szCs w:val="20"/>
        </w:rPr>
      </w:pPr>
      <w:r>
        <w:rPr>
          <w:sz w:val="20"/>
          <w:szCs w:val="20"/>
        </w:rPr>
        <w:lastRenderedPageBreak/>
        <w:t> </w:t>
      </w:r>
    </w:p>
    <w:p w:rsidR="00000000" w:rsidRDefault="00010F15">
      <w:pPr>
        <w:pStyle w:val="a3"/>
        <w:spacing w:before="0" w:beforeAutospacing="0" w:after="0" w:afterAutospacing="0"/>
        <w:jc w:val="center"/>
        <w:rPr>
          <w:sz w:val="20"/>
          <w:szCs w:val="20"/>
        </w:rPr>
      </w:pPr>
      <w:r>
        <w:rPr>
          <w:rFonts w:ascii="Arial" w:hAnsi="Arial" w:cs="Arial"/>
          <w:sz w:val="20"/>
          <w:szCs w:val="20"/>
        </w:rPr>
        <w:t>4</w:t>
      </w:r>
    </w:p>
    <w:p w:rsidR="00000000" w:rsidRDefault="00010F15">
      <w:pPr>
        <w:rPr>
          <w:rFonts w:eastAsia="Times New Roman"/>
        </w:rPr>
      </w:pPr>
      <w:r>
        <w:rPr>
          <w:rFonts w:eastAsia="Times New Roman"/>
        </w:rPr>
        <w:pict>
          <v:rect id="_x0000_i1028"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120" w:beforeAutospacing="0" w:after="0" w:afterAutospacing="0"/>
        <w:jc w:val="center"/>
        <w:rPr>
          <w:sz w:val="20"/>
          <w:szCs w:val="20"/>
        </w:rPr>
      </w:pPr>
      <w:r>
        <w:rPr>
          <w:rFonts w:ascii="Arial" w:hAnsi="Arial" w:cs="Arial"/>
          <w:b/>
          <w:bCs/>
          <w:i/>
          <w:iCs/>
          <w:sz w:val="20"/>
          <w:szCs w:val="20"/>
        </w:rPr>
        <w:t>Special Note Regarding Forward-Looking Statement</w:t>
      </w:r>
      <w:r>
        <w:rPr>
          <w:rFonts w:ascii="Arial" w:hAnsi="Arial" w:cs="Arial"/>
          <w:b/>
          <w:bCs/>
          <w:i/>
          <w:iCs/>
          <w:sz w:val="20"/>
          <w:szCs w:val="20"/>
        </w:rPr>
        <w:t>s</w:t>
      </w:r>
    </w:p>
    <w:p w:rsidR="00000000" w:rsidRDefault="00010F15">
      <w:pPr>
        <w:pStyle w:val="a3"/>
        <w:spacing w:before="120" w:beforeAutospacing="0" w:after="0" w:afterAutospacing="0"/>
        <w:ind w:firstLine="539"/>
        <w:rPr>
          <w:sz w:val="20"/>
          <w:szCs w:val="20"/>
        </w:rPr>
      </w:pPr>
      <w:r>
        <w:rPr>
          <w:rFonts w:ascii="Arial" w:hAnsi="Arial" w:cs="Arial"/>
          <w:sz w:val="20"/>
          <w:szCs w:val="20"/>
        </w:rPr>
        <w:t>This report contains forward-looking statements within the meaning of the federal securities laws, such as those under the heading "Risk Factors" and "Management's Discussion and Analysis of F</w:t>
      </w:r>
      <w:r>
        <w:rPr>
          <w:rFonts w:ascii="Arial" w:hAnsi="Arial" w:cs="Arial"/>
          <w:sz w:val="20"/>
          <w:szCs w:val="20"/>
        </w:rPr>
        <w:t>inancial Condition and Results of Operations", which statements involve substantial risks and uncertainties. Forward-looking statements may involve known and unknown risks, uncertainties and other factors that may cause our actual results, performance or a</w:t>
      </w:r>
      <w:r>
        <w:rPr>
          <w:rFonts w:ascii="Arial" w:hAnsi="Arial" w:cs="Arial"/>
          <w:sz w:val="20"/>
          <w:szCs w:val="20"/>
        </w:rPr>
        <w:t xml:space="preserve">chievements to be materially different from historical results or from any future results or projections expressed or implied by such forward-looking statements. In some cases, you can identify forward-looking statements because they contain words such as </w:t>
      </w:r>
      <w:r>
        <w:rPr>
          <w:rFonts w:ascii="Arial" w:hAnsi="Arial" w:cs="Arial"/>
          <w:sz w:val="20"/>
          <w:szCs w:val="20"/>
        </w:rPr>
        <w:t>“may,” “will,” “should,” “expect,” “plan,” “anticipate,” “could,” “intend,” “target,” “project,” “contemplate,” “believe,” “estimate,” “predict,” “potential” or “continue” or the negative of these words or other similar terms or expressions that concern ou</w:t>
      </w:r>
      <w:r>
        <w:rPr>
          <w:rFonts w:ascii="Arial" w:hAnsi="Arial" w:cs="Arial"/>
          <w:sz w:val="20"/>
          <w:szCs w:val="20"/>
        </w:rPr>
        <w:t>r expectations, strategy, plans or intentions. Forward-looking statements contained in this report include statements about</w:t>
      </w:r>
      <w:r>
        <w:rPr>
          <w:rFonts w:ascii="Arial" w:hAnsi="Arial" w:cs="Arial"/>
          <w:sz w:val="20"/>
          <w:szCs w:val="20"/>
        </w:rPr>
        <w:t>:</w:t>
      </w:r>
    </w:p>
    <w:p w:rsidR="00000000" w:rsidRDefault="00010F15">
      <w:pPr>
        <w:divId w:val="139420239"/>
        <w:rPr>
          <w:rFonts w:eastAsia="Times New Roman"/>
        </w:rPr>
      </w:pPr>
      <w:r>
        <w:rPr>
          <w:rFonts w:eastAsia="Times New Roman"/>
          <w:sz w:val="20"/>
          <w:szCs w:val="20"/>
        </w:rPr>
        <w:t>•</w:t>
      </w:r>
    </w:p>
    <w:p w:rsidR="00000000" w:rsidRDefault="00010F15">
      <w:pPr>
        <w:divId w:val="1304970185"/>
        <w:rPr>
          <w:rFonts w:eastAsia="Times New Roman"/>
        </w:rPr>
      </w:pPr>
      <w:r>
        <w:rPr>
          <w:rFonts w:ascii="Arial" w:eastAsia="Times New Roman" w:hAnsi="Arial" w:cs="Arial"/>
          <w:sz w:val="20"/>
          <w:szCs w:val="20"/>
        </w:rPr>
        <w:t>our ability to effectively manage our growth and expand our operations</w:t>
      </w:r>
      <w:r>
        <w:rPr>
          <w:rFonts w:ascii="Arial" w:eastAsia="Times New Roman" w:hAnsi="Arial" w:cs="Arial"/>
          <w:sz w:val="20"/>
          <w:szCs w:val="20"/>
        </w:rPr>
        <w:t>;</w:t>
      </w:r>
    </w:p>
    <w:p w:rsidR="00000000" w:rsidRDefault="00010F15">
      <w:pPr>
        <w:divId w:val="1260137097"/>
        <w:rPr>
          <w:rFonts w:eastAsia="Times New Roman"/>
        </w:rPr>
      </w:pPr>
      <w:r>
        <w:rPr>
          <w:rFonts w:eastAsia="Times New Roman"/>
          <w:sz w:val="20"/>
          <w:szCs w:val="20"/>
        </w:rPr>
        <w:t>•</w:t>
      </w:r>
    </w:p>
    <w:p w:rsidR="00000000" w:rsidRDefault="00010F15">
      <w:pPr>
        <w:divId w:val="203756377"/>
        <w:rPr>
          <w:rFonts w:eastAsia="Times New Roman"/>
        </w:rPr>
      </w:pPr>
      <w:r>
        <w:rPr>
          <w:rFonts w:ascii="Arial" w:eastAsia="Times New Roman" w:hAnsi="Arial" w:cs="Arial"/>
          <w:sz w:val="20"/>
          <w:szCs w:val="20"/>
        </w:rPr>
        <w:t>our ability to further attract, retain and expand our b</w:t>
      </w:r>
      <w:r>
        <w:rPr>
          <w:rFonts w:ascii="Arial" w:eastAsia="Times New Roman" w:hAnsi="Arial" w:cs="Arial"/>
          <w:sz w:val="20"/>
          <w:szCs w:val="20"/>
        </w:rPr>
        <w:t>iller, financial institutions, partner and consumer base;</w:t>
      </w:r>
      <w:r>
        <w:rPr>
          <w:rFonts w:ascii="Arial" w:eastAsia="Times New Roman" w:hAnsi="Arial" w:cs="Arial"/>
          <w:sz w:val="20"/>
          <w:szCs w:val="20"/>
        </w:rPr>
        <w:t xml:space="preserve"> </w:t>
      </w:r>
    </w:p>
    <w:p w:rsidR="00000000" w:rsidRDefault="00010F15">
      <w:pPr>
        <w:divId w:val="236521818"/>
        <w:rPr>
          <w:rFonts w:eastAsia="Times New Roman"/>
        </w:rPr>
      </w:pPr>
      <w:r>
        <w:rPr>
          <w:rFonts w:eastAsia="Times New Roman"/>
          <w:sz w:val="20"/>
          <w:szCs w:val="20"/>
        </w:rPr>
        <w:t>•</w:t>
      </w:r>
    </w:p>
    <w:p w:rsidR="00000000" w:rsidRDefault="00010F15">
      <w:pPr>
        <w:divId w:val="1727535079"/>
        <w:rPr>
          <w:rFonts w:eastAsia="Times New Roman"/>
        </w:rPr>
      </w:pPr>
      <w:r>
        <w:rPr>
          <w:rFonts w:ascii="Arial" w:eastAsia="Times New Roman" w:hAnsi="Arial" w:cs="Arial"/>
          <w:sz w:val="20"/>
          <w:szCs w:val="20"/>
        </w:rPr>
        <w:t>our expectations regarding our revenue, expenses and other operating results</w:t>
      </w:r>
      <w:r>
        <w:rPr>
          <w:rFonts w:ascii="Arial" w:eastAsia="Times New Roman" w:hAnsi="Arial" w:cs="Arial"/>
          <w:sz w:val="20"/>
          <w:szCs w:val="20"/>
        </w:rPr>
        <w:t>;</w:t>
      </w:r>
    </w:p>
    <w:p w:rsidR="00000000" w:rsidRDefault="00010F15">
      <w:pPr>
        <w:divId w:val="1298295442"/>
        <w:rPr>
          <w:rFonts w:eastAsia="Times New Roman"/>
        </w:rPr>
      </w:pPr>
      <w:r>
        <w:rPr>
          <w:rFonts w:eastAsia="Times New Roman"/>
          <w:sz w:val="20"/>
          <w:szCs w:val="20"/>
        </w:rPr>
        <w:t>•</w:t>
      </w:r>
    </w:p>
    <w:p w:rsidR="00000000" w:rsidRDefault="00010F15">
      <w:pPr>
        <w:divId w:val="1571574435"/>
        <w:rPr>
          <w:rFonts w:eastAsia="Times New Roman"/>
        </w:rPr>
      </w:pPr>
      <w:r>
        <w:rPr>
          <w:rFonts w:ascii="Arial" w:eastAsia="Times New Roman" w:hAnsi="Arial" w:cs="Arial"/>
          <w:sz w:val="20"/>
          <w:szCs w:val="20"/>
        </w:rPr>
        <w:t>the continued impact of the COVID-19 pandemic on our operating results, liquidity and financial condition and on ou</w:t>
      </w:r>
      <w:r>
        <w:rPr>
          <w:rFonts w:ascii="Arial" w:eastAsia="Times New Roman" w:hAnsi="Arial" w:cs="Arial"/>
          <w:sz w:val="20"/>
          <w:szCs w:val="20"/>
        </w:rPr>
        <w:t>r employees, billers, financial institutions, partners, consumers and other key stakeholders</w:t>
      </w:r>
      <w:r>
        <w:rPr>
          <w:rFonts w:ascii="Arial" w:eastAsia="Times New Roman" w:hAnsi="Arial" w:cs="Arial"/>
          <w:sz w:val="20"/>
          <w:szCs w:val="20"/>
        </w:rPr>
        <w:t>;</w:t>
      </w:r>
    </w:p>
    <w:p w:rsidR="00000000" w:rsidRDefault="00010F15">
      <w:pPr>
        <w:divId w:val="647445023"/>
        <w:rPr>
          <w:rFonts w:eastAsia="Times New Roman"/>
        </w:rPr>
      </w:pPr>
      <w:r>
        <w:rPr>
          <w:rFonts w:eastAsia="Times New Roman"/>
          <w:sz w:val="20"/>
          <w:szCs w:val="20"/>
        </w:rPr>
        <w:t>•</w:t>
      </w:r>
    </w:p>
    <w:p w:rsidR="00000000" w:rsidRDefault="00010F15">
      <w:pPr>
        <w:divId w:val="116678247"/>
        <w:rPr>
          <w:rFonts w:eastAsia="Times New Roman"/>
        </w:rPr>
      </w:pPr>
      <w:r>
        <w:rPr>
          <w:rFonts w:ascii="Arial" w:eastAsia="Times New Roman" w:hAnsi="Arial" w:cs="Arial"/>
          <w:sz w:val="20"/>
          <w:szCs w:val="20"/>
        </w:rPr>
        <w:t>our market opportunity and anticipated trends in our business and industry</w:t>
      </w:r>
      <w:r>
        <w:rPr>
          <w:rFonts w:ascii="Arial" w:eastAsia="Times New Roman" w:hAnsi="Arial" w:cs="Arial"/>
          <w:sz w:val="20"/>
          <w:szCs w:val="20"/>
        </w:rPr>
        <w:t>;</w:t>
      </w:r>
    </w:p>
    <w:p w:rsidR="00000000" w:rsidRDefault="00010F15">
      <w:pPr>
        <w:divId w:val="1506897117"/>
        <w:rPr>
          <w:rFonts w:eastAsia="Times New Roman"/>
        </w:rPr>
      </w:pPr>
      <w:r>
        <w:rPr>
          <w:rFonts w:eastAsia="Times New Roman"/>
          <w:sz w:val="20"/>
          <w:szCs w:val="20"/>
        </w:rPr>
        <w:t>•</w:t>
      </w:r>
    </w:p>
    <w:p w:rsidR="00000000" w:rsidRDefault="00010F15">
      <w:pPr>
        <w:divId w:val="1291327125"/>
        <w:rPr>
          <w:rFonts w:eastAsia="Times New Roman"/>
        </w:rPr>
      </w:pPr>
      <w:r>
        <w:rPr>
          <w:rFonts w:ascii="Arial" w:eastAsia="Times New Roman" w:hAnsi="Arial" w:cs="Arial"/>
          <w:sz w:val="20"/>
          <w:szCs w:val="20"/>
        </w:rPr>
        <w:t>our ability to remain competitive as we continue to scale our business</w:t>
      </w:r>
      <w:r>
        <w:rPr>
          <w:rFonts w:ascii="Arial" w:eastAsia="Times New Roman" w:hAnsi="Arial" w:cs="Arial"/>
          <w:sz w:val="20"/>
          <w:szCs w:val="20"/>
        </w:rPr>
        <w:t>;</w:t>
      </w:r>
    </w:p>
    <w:p w:rsidR="00000000" w:rsidRDefault="00010F15">
      <w:pPr>
        <w:divId w:val="1108892394"/>
        <w:rPr>
          <w:rFonts w:eastAsia="Times New Roman"/>
        </w:rPr>
      </w:pPr>
      <w:r>
        <w:rPr>
          <w:rFonts w:eastAsia="Times New Roman"/>
          <w:sz w:val="20"/>
          <w:szCs w:val="20"/>
        </w:rPr>
        <w:t>•</w:t>
      </w:r>
    </w:p>
    <w:p w:rsidR="00000000" w:rsidRDefault="00010F15">
      <w:pPr>
        <w:divId w:val="25179258"/>
        <w:rPr>
          <w:rFonts w:eastAsia="Times New Roman"/>
        </w:rPr>
      </w:pPr>
      <w:r>
        <w:rPr>
          <w:rFonts w:ascii="Arial" w:eastAsia="Times New Roman" w:hAnsi="Arial" w:cs="Arial"/>
          <w:sz w:val="20"/>
          <w:szCs w:val="20"/>
        </w:rPr>
        <w:t>our ability to develop new product features and enhance our platform</w:t>
      </w:r>
      <w:r>
        <w:rPr>
          <w:rFonts w:ascii="Arial" w:eastAsia="Times New Roman" w:hAnsi="Arial" w:cs="Arial"/>
          <w:sz w:val="20"/>
          <w:szCs w:val="20"/>
        </w:rPr>
        <w:t>;</w:t>
      </w:r>
    </w:p>
    <w:p w:rsidR="00000000" w:rsidRDefault="00010F15">
      <w:pPr>
        <w:divId w:val="1234586882"/>
        <w:rPr>
          <w:rFonts w:eastAsia="Times New Roman"/>
        </w:rPr>
      </w:pPr>
      <w:r>
        <w:rPr>
          <w:rFonts w:eastAsia="Times New Roman"/>
          <w:sz w:val="20"/>
          <w:szCs w:val="20"/>
        </w:rPr>
        <w:t>•</w:t>
      </w:r>
    </w:p>
    <w:p w:rsidR="00000000" w:rsidRDefault="00010F15">
      <w:pPr>
        <w:divId w:val="1945654160"/>
        <w:rPr>
          <w:rFonts w:eastAsia="Times New Roman"/>
        </w:rPr>
      </w:pPr>
      <w:r>
        <w:rPr>
          <w:rFonts w:ascii="Arial" w:eastAsia="Times New Roman" w:hAnsi="Arial" w:cs="Arial"/>
          <w:sz w:val="20"/>
          <w:szCs w:val="20"/>
        </w:rPr>
        <w:t>our ability to hire and retain experienced and talented employees as we grow our business</w:t>
      </w:r>
      <w:r>
        <w:rPr>
          <w:rFonts w:ascii="Arial" w:eastAsia="Times New Roman" w:hAnsi="Arial" w:cs="Arial"/>
          <w:sz w:val="20"/>
          <w:szCs w:val="20"/>
        </w:rPr>
        <w:t>;</w:t>
      </w:r>
    </w:p>
    <w:p w:rsidR="00000000" w:rsidRDefault="00010F15">
      <w:pPr>
        <w:divId w:val="20665331"/>
        <w:rPr>
          <w:rFonts w:eastAsia="Times New Roman"/>
        </w:rPr>
      </w:pPr>
      <w:r>
        <w:rPr>
          <w:rFonts w:eastAsia="Times New Roman"/>
          <w:sz w:val="20"/>
          <w:szCs w:val="20"/>
        </w:rPr>
        <w:t>•</w:t>
      </w:r>
    </w:p>
    <w:p w:rsidR="00000000" w:rsidRDefault="00010F15">
      <w:pPr>
        <w:divId w:val="1670669656"/>
        <w:rPr>
          <w:rFonts w:eastAsia="Times New Roman"/>
        </w:rPr>
      </w:pPr>
      <w:r>
        <w:rPr>
          <w:rFonts w:ascii="Arial" w:eastAsia="Times New Roman" w:hAnsi="Arial" w:cs="Arial"/>
          <w:sz w:val="20"/>
          <w:szCs w:val="20"/>
        </w:rPr>
        <w:t xml:space="preserve">general economic </w:t>
      </w:r>
      <w:r>
        <w:rPr>
          <w:rFonts w:ascii="Arial" w:eastAsia="Times New Roman" w:hAnsi="Arial" w:cs="Arial"/>
          <w:sz w:val="20"/>
          <w:szCs w:val="20"/>
        </w:rPr>
        <w:t>conditions and their impact on consumer demand</w:t>
      </w:r>
      <w:r>
        <w:rPr>
          <w:rFonts w:ascii="Arial" w:eastAsia="Times New Roman" w:hAnsi="Arial" w:cs="Arial"/>
          <w:sz w:val="20"/>
          <w:szCs w:val="20"/>
        </w:rPr>
        <w:t>;</w:t>
      </w:r>
    </w:p>
    <w:p w:rsidR="00000000" w:rsidRDefault="00010F15">
      <w:pPr>
        <w:divId w:val="377318637"/>
        <w:rPr>
          <w:rFonts w:eastAsia="Times New Roman"/>
        </w:rPr>
      </w:pPr>
      <w:r>
        <w:rPr>
          <w:rFonts w:eastAsia="Times New Roman"/>
          <w:sz w:val="20"/>
          <w:szCs w:val="20"/>
        </w:rPr>
        <w:t>•</w:t>
      </w:r>
    </w:p>
    <w:p w:rsidR="00000000" w:rsidRDefault="00010F15">
      <w:pPr>
        <w:divId w:val="1023095128"/>
        <w:rPr>
          <w:rFonts w:eastAsia="Times New Roman"/>
        </w:rPr>
      </w:pPr>
      <w:r>
        <w:rPr>
          <w:rFonts w:ascii="Arial" w:eastAsia="Times New Roman" w:hAnsi="Arial" w:cs="Arial"/>
          <w:sz w:val="20"/>
          <w:szCs w:val="20"/>
        </w:rPr>
        <w:t>the expected impact of our recent acquisitions of Payveris LLC, or Payveris and Finovera, Inc., or Finovera</w:t>
      </w:r>
      <w:r>
        <w:rPr>
          <w:rFonts w:ascii="Arial" w:eastAsia="Times New Roman" w:hAnsi="Arial" w:cs="Arial"/>
          <w:sz w:val="20"/>
          <w:szCs w:val="20"/>
        </w:rPr>
        <w:t>;</w:t>
      </w:r>
    </w:p>
    <w:p w:rsidR="00000000" w:rsidRDefault="00010F15">
      <w:pPr>
        <w:divId w:val="418869713"/>
        <w:rPr>
          <w:rFonts w:eastAsia="Times New Roman"/>
        </w:rPr>
      </w:pPr>
      <w:r>
        <w:rPr>
          <w:rFonts w:eastAsia="Times New Roman"/>
          <w:sz w:val="20"/>
          <w:szCs w:val="20"/>
        </w:rPr>
        <w:t>•</w:t>
      </w:r>
    </w:p>
    <w:p w:rsidR="00000000" w:rsidRDefault="00010F15">
      <w:pPr>
        <w:divId w:val="1836337958"/>
        <w:rPr>
          <w:rFonts w:eastAsia="Times New Roman"/>
        </w:rPr>
      </w:pPr>
      <w:r>
        <w:rPr>
          <w:rFonts w:ascii="Arial" w:eastAsia="Times New Roman" w:hAnsi="Arial" w:cs="Arial"/>
          <w:sz w:val="20"/>
          <w:szCs w:val="20"/>
        </w:rPr>
        <w:t>our future acquisitions or strategic investments in complementary companies, products or techno</w:t>
      </w:r>
      <w:r>
        <w:rPr>
          <w:rFonts w:ascii="Arial" w:eastAsia="Times New Roman" w:hAnsi="Arial" w:cs="Arial"/>
          <w:sz w:val="20"/>
          <w:szCs w:val="20"/>
        </w:rPr>
        <w:t>logies</w:t>
      </w:r>
      <w:r>
        <w:rPr>
          <w:rFonts w:ascii="Arial" w:eastAsia="Times New Roman" w:hAnsi="Arial" w:cs="Arial"/>
          <w:sz w:val="20"/>
          <w:szCs w:val="20"/>
        </w:rPr>
        <w:t>;</w:t>
      </w:r>
    </w:p>
    <w:p w:rsidR="00000000" w:rsidRDefault="00010F15">
      <w:pPr>
        <w:divId w:val="1255824398"/>
        <w:rPr>
          <w:rFonts w:eastAsia="Times New Roman"/>
        </w:rPr>
      </w:pPr>
      <w:r>
        <w:rPr>
          <w:rFonts w:eastAsia="Times New Roman"/>
          <w:sz w:val="20"/>
          <w:szCs w:val="20"/>
        </w:rPr>
        <w:t>•</w:t>
      </w:r>
    </w:p>
    <w:p w:rsidR="00000000" w:rsidRDefault="00010F15">
      <w:pPr>
        <w:divId w:val="192573259"/>
        <w:rPr>
          <w:rFonts w:eastAsia="Times New Roman"/>
        </w:rPr>
      </w:pPr>
      <w:r>
        <w:rPr>
          <w:rFonts w:ascii="Arial" w:eastAsia="Times New Roman" w:hAnsi="Arial" w:cs="Arial"/>
          <w:sz w:val="20"/>
          <w:szCs w:val="20"/>
        </w:rPr>
        <w:t>our ability to maintain and enhance our brand</w:t>
      </w:r>
      <w:r>
        <w:rPr>
          <w:rFonts w:ascii="Arial" w:eastAsia="Times New Roman" w:hAnsi="Arial" w:cs="Arial"/>
          <w:sz w:val="20"/>
          <w:szCs w:val="20"/>
        </w:rPr>
        <w:t>;</w:t>
      </w:r>
    </w:p>
    <w:p w:rsidR="00000000" w:rsidRDefault="00010F15">
      <w:pPr>
        <w:divId w:val="1627076569"/>
        <w:rPr>
          <w:rFonts w:eastAsia="Times New Roman"/>
        </w:rPr>
      </w:pPr>
      <w:r>
        <w:rPr>
          <w:rFonts w:eastAsia="Times New Roman"/>
          <w:sz w:val="20"/>
          <w:szCs w:val="20"/>
        </w:rPr>
        <w:t>•</w:t>
      </w:r>
    </w:p>
    <w:p w:rsidR="00000000" w:rsidRDefault="00010F15">
      <w:pPr>
        <w:divId w:val="582110399"/>
        <w:rPr>
          <w:rFonts w:eastAsia="Times New Roman"/>
        </w:rPr>
      </w:pPr>
      <w:r>
        <w:rPr>
          <w:rFonts w:ascii="Arial" w:eastAsia="Times New Roman" w:hAnsi="Arial" w:cs="Arial"/>
          <w:sz w:val="20"/>
          <w:szCs w:val="20"/>
        </w:rPr>
        <w:t>our plan to expand into new channels and industry verticals across different markets; an</w:t>
      </w:r>
      <w:r>
        <w:rPr>
          <w:rFonts w:ascii="Arial" w:eastAsia="Times New Roman" w:hAnsi="Arial" w:cs="Arial"/>
          <w:sz w:val="20"/>
          <w:szCs w:val="20"/>
        </w:rPr>
        <w:t>d</w:t>
      </w:r>
    </w:p>
    <w:p w:rsidR="00000000" w:rsidRDefault="00010F15">
      <w:pPr>
        <w:divId w:val="1362974108"/>
        <w:rPr>
          <w:rFonts w:eastAsia="Times New Roman"/>
        </w:rPr>
      </w:pPr>
      <w:r>
        <w:rPr>
          <w:rFonts w:eastAsia="Times New Roman"/>
          <w:sz w:val="20"/>
          <w:szCs w:val="20"/>
        </w:rPr>
        <w:t>•</w:t>
      </w:r>
    </w:p>
    <w:p w:rsidR="00000000" w:rsidRDefault="00010F15">
      <w:pPr>
        <w:divId w:val="196283488"/>
        <w:rPr>
          <w:rFonts w:eastAsia="Times New Roman"/>
        </w:rPr>
      </w:pPr>
      <w:r>
        <w:rPr>
          <w:rFonts w:ascii="Arial" w:eastAsia="Times New Roman" w:hAnsi="Arial" w:cs="Arial"/>
          <w:sz w:val="20"/>
          <w:szCs w:val="20"/>
        </w:rPr>
        <w:t>our international expansion plans and ability to expand internationally, an</w:t>
      </w:r>
      <w:r>
        <w:rPr>
          <w:rFonts w:ascii="Arial" w:eastAsia="Times New Roman" w:hAnsi="Arial" w:cs="Arial"/>
          <w:sz w:val="20"/>
          <w:szCs w:val="20"/>
        </w:rPr>
        <w:t>d</w:t>
      </w:r>
    </w:p>
    <w:p w:rsidR="00000000" w:rsidRDefault="00010F15">
      <w:pPr>
        <w:divId w:val="1641499786"/>
        <w:rPr>
          <w:rFonts w:eastAsia="Times New Roman"/>
        </w:rPr>
      </w:pPr>
      <w:r>
        <w:rPr>
          <w:rFonts w:eastAsia="Times New Roman"/>
          <w:sz w:val="20"/>
          <w:szCs w:val="20"/>
        </w:rPr>
        <w:t>•</w:t>
      </w:r>
    </w:p>
    <w:p w:rsidR="00000000" w:rsidRDefault="00010F15">
      <w:pPr>
        <w:divId w:val="1387533990"/>
        <w:rPr>
          <w:rFonts w:eastAsia="Times New Roman"/>
        </w:rPr>
      </w:pPr>
      <w:r>
        <w:rPr>
          <w:rFonts w:ascii="Arial" w:eastAsia="Times New Roman" w:hAnsi="Arial" w:cs="Arial"/>
          <w:sz w:val="20"/>
          <w:szCs w:val="20"/>
        </w:rPr>
        <w:lastRenderedPageBreak/>
        <w:t>the risk factors discussed</w:t>
      </w:r>
      <w:r>
        <w:rPr>
          <w:rFonts w:ascii="Arial" w:eastAsia="Times New Roman" w:hAnsi="Arial" w:cs="Arial"/>
          <w:sz w:val="20"/>
          <w:szCs w:val="20"/>
        </w:rPr>
        <w:t xml:space="preserve"> under the heading "Risk Factors" in Item 1A herein</w:t>
      </w:r>
      <w:r>
        <w:rPr>
          <w:rFonts w:ascii="Arial" w:eastAsia="Times New Roman"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We caution you that the foregoing list may not contain all of the forward-looking statements made in this report</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You should not place undue reliance on our forward-looking statements as predictions of f</w:t>
      </w:r>
      <w:r>
        <w:rPr>
          <w:rFonts w:ascii="Arial" w:hAnsi="Arial" w:cs="Arial"/>
          <w:sz w:val="20"/>
          <w:szCs w:val="20"/>
        </w:rPr>
        <w:t>uture events. We have based the forward-looking statements primarily on our current expectations and projections about future events and trends that we believe may affect our business, operating results, financial condition and prospects. The outcome of th</w:t>
      </w:r>
      <w:r>
        <w:rPr>
          <w:rFonts w:ascii="Arial" w:hAnsi="Arial" w:cs="Arial"/>
          <w:sz w:val="20"/>
          <w:szCs w:val="20"/>
        </w:rPr>
        <w:t>e events described in these forward-looking statements is subject to risks, uncertainties and other factors, including those described in the section titled “Risk Factors” and elsewhere in this report. Moreover, we operate in a very competitive and rapidly</w:t>
      </w:r>
      <w:r>
        <w:rPr>
          <w:rFonts w:ascii="Arial" w:hAnsi="Arial" w:cs="Arial"/>
          <w:sz w:val="20"/>
          <w:szCs w:val="20"/>
        </w:rPr>
        <w:t xml:space="preserve"> changing environment. New risks and uncertainties emerge from time to time and it is not possible for us to predict all risks and uncertainties that could have an impact on the forward-looking statements contained in this report. We cannot assure you that</w:t>
      </w:r>
      <w:r>
        <w:rPr>
          <w:rFonts w:ascii="Arial" w:hAnsi="Arial" w:cs="Arial"/>
          <w:sz w:val="20"/>
          <w:szCs w:val="20"/>
        </w:rPr>
        <w:t xml:space="preserve"> the results, events and circumstances reflected in the forward-looking statements will be achieved or occur, and actual results, events or circumstances could differ materially from those described in the forward-looking statements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 xml:space="preserve">Neither we nor any other person assumes responsibility for the ultimate outcome of any of these forward-looking statements. Moreover, the forward-looking statements made in this report relate only to events as of the date on which the statements are made. </w:t>
      </w:r>
      <w:r>
        <w:rPr>
          <w:rFonts w:ascii="Arial" w:hAnsi="Arial" w:cs="Arial"/>
          <w:sz w:val="20"/>
          <w:szCs w:val="20"/>
        </w:rPr>
        <w:t>We undertake no obligation to update any forward-looking statements made in this report to reflect events or circumstances after the date of this report or to reflect new information or the occurrence of unanticipated events, except as required by law. You</w:t>
      </w:r>
      <w:r>
        <w:rPr>
          <w:rFonts w:ascii="Arial" w:hAnsi="Arial" w:cs="Arial"/>
          <w:sz w:val="20"/>
          <w:szCs w:val="20"/>
        </w:rPr>
        <w:t xml:space="preserve"> should not place undue reliance on our forward-looking statements</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In addition, statements that “we believe” and similar statements reflect our beliefs and opinions on the relevant subject. These statements are based upon information available to us as o</w:t>
      </w:r>
      <w:r>
        <w:rPr>
          <w:rFonts w:ascii="Arial" w:hAnsi="Arial" w:cs="Arial"/>
          <w:sz w:val="20"/>
          <w:szCs w:val="20"/>
        </w:rPr>
        <w:t>f the date of this report, and while we believe such information forms a reasonable basis for such statements, such information may be limited or incomplete, and our statements should not be read to indicate that we have conducted an exhaustive inquiry int</w:t>
      </w:r>
      <w:r>
        <w:rPr>
          <w:rFonts w:ascii="Arial" w:hAnsi="Arial" w:cs="Arial"/>
          <w:sz w:val="20"/>
          <w:szCs w:val="20"/>
        </w:rPr>
        <w:t>o, or review of, all potentially available relevant information. These statements are inherently uncertain and investors are cautioned not to unduly rely upon these statements</w:t>
      </w:r>
      <w:r>
        <w:rPr>
          <w:rFonts w:ascii="Arial" w:hAnsi="Arial" w:cs="Arial"/>
          <w:sz w:val="20"/>
          <w:szCs w:val="20"/>
        </w:rPr>
        <w:t>.</w:t>
      </w:r>
    </w:p>
    <w:p w:rsidR="00000000" w:rsidRDefault="00010F15">
      <w:pPr>
        <w:pStyle w:val="a3"/>
        <w:spacing w:before="0" w:beforeAutospacing="0" w:after="0" w:afterAutospacing="0"/>
        <w:jc w:val="center"/>
        <w:rPr>
          <w:sz w:val="20"/>
          <w:szCs w:val="20"/>
        </w:rPr>
      </w:pPr>
      <w:r>
        <w:rPr>
          <w:rFonts w:ascii="Arial" w:hAnsi="Arial" w:cs="Arial"/>
          <w:sz w:val="20"/>
          <w:szCs w:val="20"/>
        </w:rPr>
        <w:t>5</w:t>
      </w:r>
    </w:p>
    <w:p w:rsidR="00000000" w:rsidRDefault="00010F15">
      <w:pPr>
        <w:rPr>
          <w:rFonts w:eastAsia="Times New Roman"/>
        </w:rPr>
      </w:pPr>
      <w:r>
        <w:rPr>
          <w:rFonts w:eastAsia="Times New Roman"/>
        </w:rPr>
        <w:pict>
          <v:rect id="_x0000_i1029"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120" w:beforeAutospacing="0" w:after="0" w:afterAutospacing="0"/>
        <w:rPr>
          <w:sz w:val="20"/>
          <w:szCs w:val="20"/>
        </w:rPr>
      </w:pPr>
      <w:r>
        <w:rPr>
          <w:rFonts w:ascii="Arial" w:hAnsi="Arial" w:cs="Arial"/>
          <w:b/>
          <w:bCs/>
          <w:i/>
          <w:iCs/>
          <w:sz w:val="20"/>
          <w:szCs w:val="20"/>
        </w:rPr>
        <w:t>Certain Definition</w:t>
      </w:r>
      <w:r>
        <w:rPr>
          <w:rFonts w:ascii="Arial" w:hAnsi="Arial" w:cs="Arial"/>
          <w:b/>
          <w:bCs/>
          <w:i/>
          <w:iCs/>
          <w:sz w:val="20"/>
          <w:szCs w:val="20"/>
        </w:rPr>
        <w:t>s</w:t>
      </w:r>
    </w:p>
    <w:p w:rsidR="00000000" w:rsidRDefault="00010F15">
      <w:pPr>
        <w:pStyle w:val="a3"/>
        <w:spacing w:before="120" w:beforeAutospacing="0" w:after="0" w:afterAutospacing="0"/>
        <w:ind w:firstLine="539"/>
        <w:rPr>
          <w:sz w:val="20"/>
          <w:szCs w:val="20"/>
        </w:rPr>
      </w:pPr>
      <w:r>
        <w:rPr>
          <w:rFonts w:ascii="Arial" w:hAnsi="Arial" w:cs="Arial"/>
          <w:sz w:val="20"/>
          <w:szCs w:val="20"/>
        </w:rPr>
        <w:t>In this report, unless the context requires otherwise, all references to “we,” “our,” “us,” “Paymentus,” and the “Company” refer to Paymentus Holdings, Inc., and where appropriate its consolidated subsidiaries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 </w: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0" w:beforeAutospacing="0" w:after="0" w:afterAutospacing="0"/>
        <w:jc w:val="center"/>
        <w:rPr>
          <w:sz w:val="20"/>
          <w:szCs w:val="20"/>
        </w:rPr>
      </w:pPr>
      <w:r>
        <w:rPr>
          <w:rFonts w:ascii="Arial" w:hAnsi="Arial" w:cs="Arial"/>
          <w:sz w:val="20"/>
          <w:szCs w:val="20"/>
        </w:rPr>
        <w:t>6</w:t>
      </w:r>
    </w:p>
    <w:p w:rsidR="00000000" w:rsidRDefault="00010F15">
      <w:pPr>
        <w:rPr>
          <w:rFonts w:eastAsia="Times New Roman"/>
        </w:rPr>
      </w:pPr>
      <w:r>
        <w:rPr>
          <w:rFonts w:eastAsia="Times New Roman"/>
        </w:rPr>
        <w:pict>
          <v:rect id="_x0000_i1030"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120" w:beforeAutospacing="0" w:after="0" w:afterAutospacing="0"/>
        <w:jc w:val="center"/>
        <w:rPr>
          <w:sz w:val="20"/>
          <w:szCs w:val="20"/>
        </w:rPr>
      </w:pPr>
      <w:r>
        <w:rPr>
          <w:rFonts w:ascii="Arial" w:hAnsi="Arial" w:cs="Arial"/>
          <w:sz w:val="20"/>
          <w:szCs w:val="20"/>
        </w:rPr>
        <w:t> </w: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360" w:beforeAutospacing="0" w:after="0" w:afterAutospacing="0"/>
        <w:jc w:val="center"/>
        <w:rPr>
          <w:sz w:val="20"/>
          <w:szCs w:val="20"/>
        </w:rPr>
      </w:pPr>
      <w:r>
        <w:rPr>
          <w:rFonts w:ascii="Arial" w:hAnsi="Arial" w:cs="Arial"/>
          <w:b/>
          <w:bCs/>
          <w:sz w:val="20"/>
          <w:szCs w:val="20"/>
        </w:rPr>
        <w:t xml:space="preserve">PART </w:t>
      </w:r>
      <w:r>
        <w:rPr>
          <w:rFonts w:ascii="Arial" w:hAnsi="Arial" w:cs="Arial"/>
          <w:b/>
          <w:bCs/>
          <w:sz w:val="20"/>
          <w:szCs w:val="20"/>
        </w:rPr>
        <w:t>I</w:t>
      </w:r>
    </w:p>
    <w:p w:rsidR="00000000" w:rsidRDefault="00010F15">
      <w:pPr>
        <w:pStyle w:val="a3"/>
        <w:spacing w:before="360" w:beforeAutospacing="0" w:after="120" w:afterAutospacing="0"/>
        <w:rPr>
          <w:sz w:val="20"/>
          <w:szCs w:val="20"/>
        </w:rPr>
      </w:pPr>
      <w:hyperlink w:anchor="item_1_business" w:history="1">
        <w:r>
          <w:rPr>
            <w:rStyle w:val="a4"/>
            <w:rFonts w:ascii="Arial" w:hAnsi="Arial" w:cs="Arial"/>
            <w:b/>
            <w:bCs/>
            <w:sz w:val="20"/>
            <w:szCs w:val="20"/>
          </w:rPr>
          <w:t>Item 1. Busines</w:t>
        </w:r>
        <w:r>
          <w:rPr>
            <w:rStyle w:val="a4"/>
            <w:rFonts w:ascii="Arial" w:hAnsi="Arial" w:cs="Arial"/>
            <w:b/>
            <w:bCs/>
            <w:sz w:val="20"/>
            <w:szCs w:val="20"/>
          </w:rPr>
          <w:t>s</w:t>
        </w:r>
      </w:hyperlink>
    </w:p>
    <w:p w:rsidR="00000000" w:rsidRDefault="00010F15">
      <w:pPr>
        <w:pStyle w:val="a3"/>
        <w:spacing w:before="0" w:beforeAutospacing="0" w:after="0" w:afterAutospacing="0"/>
        <w:jc w:val="center"/>
        <w:rPr>
          <w:sz w:val="20"/>
          <w:szCs w:val="20"/>
        </w:rPr>
      </w:pPr>
      <w:r>
        <w:rPr>
          <w:rFonts w:ascii="Arial" w:hAnsi="Arial" w:cs="Arial"/>
          <w:b/>
          <w:bCs/>
          <w:sz w:val="20"/>
          <w:szCs w:val="20"/>
        </w:rPr>
        <w:t>Overvie</w:t>
      </w:r>
      <w:r>
        <w:rPr>
          <w:rFonts w:ascii="Arial" w:hAnsi="Arial" w:cs="Arial"/>
          <w:b/>
          <w:bCs/>
          <w:sz w:val="20"/>
          <w:szCs w:val="20"/>
        </w:rPr>
        <w:t>w</w:t>
      </w:r>
    </w:p>
    <w:p w:rsidR="00000000" w:rsidRDefault="00010F15">
      <w:pPr>
        <w:pStyle w:val="a3"/>
        <w:spacing w:before="120" w:beforeAutospacing="0" w:after="0" w:afterAutospacing="0"/>
        <w:ind w:firstLine="539"/>
        <w:rPr>
          <w:sz w:val="20"/>
          <w:szCs w:val="20"/>
        </w:rPr>
      </w:pPr>
      <w:r>
        <w:rPr>
          <w:rFonts w:ascii="Arial" w:hAnsi="Arial" w:cs="Arial"/>
          <w:sz w:val="20"/>
          <w:szCs w:val="20"/>
        </w:rPr>
        <w:t>We are a leading provider of cloud-based bill payment technology and solutions. We deliver our next-generation product suite through a modern technology stack to more than 1,700 bil</w:t>
      </w:r>
      <w:r>
        <w:rPr>
          <w:rFonts w:ascii="Arial" w:hAnsi="Arial" w:cs="Arial"/>
          <w:sz w:val="20"/>
          <w:szCs w:val="20"/>
        </w:rPr>
        <w:t>ler business and financial institution clients. Our platform was used by approximately 21 million consumers and businesses in North America in December 2021 to pay their bills, make money movements and engage with our clients. We serve billers of all sizes</w:t>
      </w:r>
      <w:r>
        <w:rPr>
          <w:rFonts w:ascii="Arial" w:hAnsi="Arial" w:cs="Arial"/>
          <w:sz w:val="20"/>
          <w:szCs w:val="20"/>
        </w:rPr>
        <w:t xml:space="preserve"> that primarily provide non-discretionary services across a variety of industry verticals, including utilities, financial services, insurance, government, telecommunications and healthcare. We also serve financial institutions by providing them with a mode</w:t>
      </w:r>
      <w:r>
        <w:rPr>
          <w:rFonts w:ascii="Arial" w:hAnsi="Arial" w:cs="Arial"/>
          <w:sz w:val="20"/>
          <w:szCs w:val="20"/>
        </w:rPr>
        <w:t>rn platform that their customers use for bill payment, account-to-account transfers and person-to-person transfers. By powering this comprehensive network of billers and financial institutions, each with their own set of bill payment requirements, we belie</w:t>
      </w:r>
      <w:r>
        <w:rPr>
          <w:rFonts w:ascii="Arial" w:hAnsi="Arial" w:cs="Arial"/>
          <w:sz w:val="20"/>
          <w:szCs w:val="20"/>
        </w:rPr>
        <w:t>ve we have created an enviable feedback loop that enables us to continuously drive innovation, grow our business and uniquely improve the electronic bill payment experience for participants in the bill payment ecosystem</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Our platform provides our clients w</w:t>
      </w:r>
      <w:r>
        <w:rPr>
          <w:rFonts w:ascii="Arial" w:hAnsi="Arial" w:cs="Arial"/>
          <w:sz w:val="20"/>
          <w:szCs w:val="20"/>
        </w:rPr>
        <w:t xml:space="preserve">ith easy-to-use, flexible and secure electronic bill payment experiences powered by an omni-channel payment infrastructure that allows consumers to pay their bills using their preferred payment type and channel. Because our biller platform is developed on </w:t>
      </w:r>
      <w:r>
        <w:rPr>
          <w:rFonts w:ascii="Arial" w:hAnsi="Arial" w:cs="Arial"/>
          <w:sz w:val="20"/>
          <w:szCs w:val="20"/>
        </w:rPr>
        <w:t>a single code base and leverages a Software-as-a-Service, or SaaS, infrastructure, we can rapidly deploy new features and tools to our entire biller base simultaneously. Through a single point of integration to our billers’ core financial and operating sys</w:t>
      </w:r>
      <w:r>
        <w:rPr>
          <w:rFonts w:ascii="Arial" w:hAnsi="Arial" w:cs="Arial"/>
          <w:sz w:val="20"/>
          <w:szCs w:val="20"/>
        </w:rPr>
        <w:t>tems, our mission-critical solutions provide our billers with a payments operating system that helps them collect revenue faster and more profitably and empower their consumers with the information and transparency needed to control their finances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We exte</w:t>
      </w:r>
      <w:r>
        <w:rPr>
          <w:rFonts w:ascii="Arial" w:hAnsi="Arial" w:cs="Arial"/>
          <w:sz w:val="20"/>
          <w:szCs w:val="20"/>
        </w:rPr>
        <w:t>nd our platform’s reach through our Instant Payment Network®, or IPN. This is a proprietary network, consisting of tens of thousands of billers, that connects our integrated billing, payment and reconciliation capabilities with our IPN partners’ platforms.</w:t>
      </w:r>
      <w:r>
        <w:rPr>
          <w:rFonts w:ascii="Arial" w:hAnsi="Arial" w:cs="Arial"/>
          <w:sz w:val="20"/>
          <w:szCs w:val="20"/>
        </w:rPr>
        <w:t xml:space="preserve"> Our IPN enables our partners, which include leading consumer technology providers, retailers and financial institutions, to access our next-generation electronic bill payment technology using the same integrated platform we provide directly to our billers</w:t>
      </w:r>
      <w:r>
        <w:rPr>
          <w:rFonts w:ascii="Arial" w:hAnsi="Arial" w:cs="Arial"/>
          <w:sz w:val="20"/>
          <w:szCs w:val="20"/>
        </w:rPr>
        <w:t>. By being connected to our IPN, our IPN partners provide their consumers with the full capabilities of our next-generation product suite, including the ability to engage with and make payments to our large and growing base of billers. Those partners in tu</w:t>
      </w:r>
      <w:r>
        <w:rPr>
          <w:rFonts w:ascii="Arial" w:hAnsi="Arial" w:cs="Arial"/>
          <w:sz w:val="20"/>
          <w:szCs w:val="20"/>
        </w:rPr>
        <w:t>rn expand our platform’s reach to millions of additional consumers in the United States and globally</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Today, many billers and financial institutions rely on legacy bill payment systems that offer limited functionality, flexibility and extensibility. Bille</w:t>
      </w:r>
      <w:r>
        <w:rPr>
          <w:rFonts w:ascii="Arial" w:hAnsi="Arial" w:cs="Arial"/>
          <w:sz w:val="20"/>
          <w:szCs w:val="20"/>
        </w:rPr>
        <w:t xml:space="preserve">rs traditionally rely on non-integrated multi-vendor solutions, which force consumers into a decentralized and fragmented experience. Similarly, financial institutions often lack the ability to view billing details or obtain payment confirmation and limit </w:t>
      </w:r>
      <w:r>
        <w:rPr>
          <w:rFonts w:ascii="Arial" w:hAnsi="Arial" w:cs="Arial"/>
          <w:sz w:val="20"/>
          <w:szCs w:val="20"/>
        </w:rPr>
        <w:t>payment types to their own checking accounts. These legacy solutions result in inefficiencies in consumer communication, electronic bill presentment and payment capture, which we believe hinder a biller’s ability to create a holistic and accurate perspecti</w:t>
      </w:r>
      <w:r>
        <w:rPr>
          <w:rFonts w:ascii="Arial" w:hAnsi="Arial" w:cs="Arial"/>
          <w:sz w:val="20"/>
          <w:szCs w:val="20"/>
        </w:rPr>
        <w:t>ve on its cash flow. For financial institutions, the inadequacies of legacy solutions can have a negative impact on digital engagement, retention and cross-selling</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We address these inefficiencies through our cloud-native, integrated single-vendor solution</w:t>
      </w:r>
      <w:r>
        <w:rPr>
          <w:rFonts w:ascii="Arial" w:hAnsi="Arial" w:cs="Arial"/>
          <w:sz w:val="20"/>
          <w:szCs w:val="20"/>
        </w:rPr>
        <w:t>. Our platform supports omni-channel, electronic bill payments across multiple commerce channels, including online, mobile, interactive voice response, or IVR, call center, chatbot and voice-based assistants. As we do not charge development or implementati</w:t>
      </w:r>
      <w:r>
        <w:rPr>
          <w:rFonts w:ascii="Arial" w:hAnsi="Arial" w:cs="Arial"/>
          <w:sz w:val="20"/>
          <w:szCs w:val="20"/>
        </w:rPr>
        <w:t>on fees to billers, there is no minimum investment necessary for billers to achieve efficiencies from the use of our platform to replace some or all of their legacy bill payment systems or biller-direct solutions. We simplify how bills are paid and help bi</w:t>
      </w:r>
      <w:r>
        <w:rPr>
          <w:rFonts w:ascii="Arial" w:hAnsi="Arial" w:cs="Arial"/>
          <w:sz w:val="20"/>
          <w:szCs w:val="20"/>
        </w:rPr>
        <w:t>llers collect revenue faster and more profitably because our platform is</w:t>
      </w:r>
      <w:r>
        <w:rPr>
          <w:rFonts w:ascii="Arial" w:hAnsi="Arial" w:cs="Arial"/>
          <w:sz w:val="20"/>
          <w:szCs w:val="20"/>
        </w:rPr>
        <w:t>:</w:t>
      </w:r>
    </w:p>
    <w:p w:rsidR="00000000" w:rsidRDefault="00010F15">
      <w:pPr>
        <w:divId w:val="1370761974"/>
        <w:rPr>
          <w:rFonts w:eastAsia="Times New Roman"/>
        </w:rPr>
      </w:pPr>
      <w:r>
        <w:rPr>
          <w:rFonts w:eastAsia="Times New Roman"/>
          <w:sz w:val="20"/>
          <w:szCs w:val="20"/>
        </w:rPr>
        <w:t>•</w:t>
      </w:r>
    </w:p>
    <w:p w:rsidR="00000000" w:rsidRDefault="00010F15">
      <w:pPr>
        <w:divId w:val="1866752222"/>
        <w:rPr>
          <w:rFonts w:eastAsia="Times New Roman"/>
        </w:rPr>
      </w:pPr>
      <w:r>
        <w:rPr>
          <w:rFonts w:ascii="Arial" w:eastAsia="Times New Roman" w:hAnsi="Arial" w:cs="Arial"/>
          <w:sz w:val="20"/>
          <w:szCs w:val="20"/>
        </w:rPr>
        <w:t>Scalable: Enterprise-grade platform capable of supporting transaction growth for billers and financial institutions of all sizes across numerous industry verticals.</w:t>
      </w:r>
      <w:r>
        <w:rPr>
          <w:rFonts w:ascii="Arial" w:eastAsia="Times New Roman" w:hAnsi="Arial" w:cs="Arial"/>
          <w:sz w:val="20"/>
          <w:szCs w:val="20"/>
        </w:rPr>
        <w:t xml:space="preserve"> </w:t>
      </w:r>
    </w:p>
    <w:p w:rsidR="00000000" w:rsidRDefault="00010F15">
      <w:pPr>
        <w:divId w:val="2050105730"/>
        <w:rPr>
          <w:rFonts w:eastAsia="Times New Roman"/>
        </w:rPr>
      </w:pPr>
      <w:r>
        <w:rPr>
          <w:rFonts w:eastAsia="Times New Roman"/>
          <w:sz w:val="20"/>
          <w:szCs w:val="20"/>
        </w:rPr>
        <w:t>•</w:t>
      </w:r>
    </w:p>
    <w:p w:rsidR="00000000" w:rsidRDefault="00010F15">
      <w:pPr>
        <w:divId w:val="904415747"/>
        <w:rPr>
          <w:rFonts w:eastAsia="Times New Roman"/>
        </w:rPr>
      </w:pPr>
      <w:r>
        <w:rPr>
          <w:rFonts w:ascii="Arial" w:eastAsia="Times New Roman" w:hAnsi="Arial" w:cs="Arial"/>
          <w:sz w:val="20"/>
          <w:szCs w:val="20"/>
        </w:rPr>
        <w:t>Innovative: Artificial intelligence, or AI, and machine learning, or ML, algorithms power an omni-channel, end-to-end solution that adapts to new technologies and continuously learns from transaction activity</w:t>
      </w:r>
      <w:r>
        <w:rPr>
          <w:rFonts w:ascii="Arial" w:eastAsia="Times New Roman" w:hAnsi="Arial" w:cs="Arial"/>
          <w:sz w:val="20"/>
          <w:szCs w:val="20"/>
        </w:rPr>
        <w:t>.</w:t>
      </w:r>
    </w:p>
    <w:p w:rsidR="00000000" w:rsidRDefault="00010F15">
      <w:pPr>
        <w:divId w:val="1324964212"/>
        <w:rPr>
          <w:rFonts w:eastAsia="Times New Roman"/>
        </w:rPr>
      </w:pPr>
      <w:r>
        <w:rPr>
          <w:rFonts w:eastAsia="Times New Roman"/>
          <w:sz w:val="20"/>
          <w:szCs w:val="20"/>
        </w:rPr>
        <w:t>•</w:t>
      </w:r>
    </w:p>
    <w:p w:rsidR="00000000" w:rsidRDefault="00010F15">
      <w:pPr>
        <w:divId w:val="457382786"/>
        <w:rPr>
          <w:rFonts w:eastAsia="Times New Roman"/>
        </w:rPr>
      </w:pPr>
      <w:r>
        <w:rPr>
          <w:rFonts w:ascii="Arial" w:eastAsia="Times New Roman" w:hAnsi="Arial" w:cs="Arial"/>
          <w:sz w:val="20"/>
          <w:szCs w:val="20"/>
        </w:rPr>
        <w:t>Flexible: Platform accessible through an arr</w:t>
      </w:r>
      <w:r>
        <w:rPr>
          <w:rFonts w:ascii="Arial" w:eastAsia="Times New Roman" w:hAnsi="Arial" w:cs="Arial"/>
          <w:sz w:val="20"/>
          <w:szCs w:val="20"/>
        </w:rPr>
        <w:t>ay of application program interfaces, or APIs, software development kits, iFrames and fully hosted solutions that provide complete control over the user experience.</w:t>
      </w:r>
      <w:r>
        <w:rPr>
          <w:rFonts w:ascii="Arial" w:eastAsia="Times New Roman" w:hAnsi="Arial" w:cs="Arial"/>
          <w:sz w:val="20"/>
          <w:szCs w:val="20"/>
        </w:rPr>
        <w:t xml:space="preserve"> </w:t>
      </w:r>
    </w:p>
    <w:p w:rsidR="00000000" w:rsidRDefault="00010F15">
      <w:pPr>
        <w:divId w:val="2138646776"/>
        <w:rPr>
          <w:rFonts w:eastAsia="Times New Roman"/>
        </w:rPr>
      </w:pPr>
      <w:r>
        <w:rPr>
          <w:rFonts w:eastAsia="Times New Roman"/>
          <w:sz w:val="20"/>
          <w:szCs w:val="20"/>
        </w:rPr>
        <w:t>•</w:t>
      </w:r>
    </w:p>
    <w:p w:rsidR="00000000" w:rsidRDefault="00010F15">
      <w:pPr>
        <w:divId w:val="1519730252"/>
        <w:rPr>
          <w:rFonts w:eastAsia="Times New Roman"/>
        </w:rPr>
      </w:pPr>
      <w:r>
        <w:rPr>
          <w:rFonts w:ascii="Arial" w:eastAsia="Times New Roman" w:hAnsi="Arial" w:cs="Arial"/>
          <w:sz w:val="20"/>
          <w:szCs w:val="20"/>
        </w:rPr>
        <w:t>Configurable: Reconfigurable business logic that allows us to quickly implement new func</w:t>
      </w:r>
      <w:r>
        <w:rPr>
          <w:rFonts w:ascii="Arial" w:eastAsia="Times New Roman" w:hAnsi="Arial" w:cs="Arial"/>
          <w:sz w:val="20"/>
          <w:szCs w:val="20"/>
        </w:rPr>
        <w:t>tionality required by new and existing billers</w:t>
      </w:r>
      <w:r>
        <w:rPr>
          <w:rFonts w:ascii="Arial" w:eastAsia="Times New Roman" w:hAnsi="Arial" w:cs="Arial"/>
          <w:sz w:val="20"/>
          <w:szCs w:val="20"/>
        </w:rPr>
        <w:t>.</w:t>
      </w:r>
    </w:p>
    <w:p w:rsidR="00000000" w:rsidRDefault="00010F15">
      <w:pPr>
        <w:pStyle w:val="a3"/>
        <w:spacing w:before="0" w:beforeAutospacing="0" w:after="0" w:afterAutospacing="0"/>
        <w:jc w:val="center"/>
        <w:rPr>
          <w:sz w:val="20"/>
          <w:szCs w:val="20"/>
        </w:rPr>
      </w:pPr>
      <w:r>
        <w:rPr>
          <w:rFonts w:ascii="Arial" w:hAnsi="Arial" w:cs="Arial"/>
          <w:sz w:val="20"/>
          <w:szCs w:val="20"/>
        </w:rPr>
        <w:t>7</w:t>
      </w:r>
    </w:p>
    <w:p w:rsidR="00000000" w:rsidRDefault="00010F15">
      <w:pPr>
        <w:rPr>
          <w:rFonts w:eastAsia="Times New Roman"/>
        </w:rPr>
      </w:pPr>
      <w:r>
        <w:rPr>
          <w:rFonts w:eastAsia="Times New Roman"/>
        </w:rPr>
        <w:pict>
          <v:rect id="_x0000_i1031"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divId w:val="1776057116"/>
        <w:rPr>
          <w:rFonts w:eastAsia="Times New Roman"/>
        </w:rPr>
      </w:pPr>
      <w:r>
        <w:rPr>
          <w:rFonts w:eastAsia="Times New Roman"/>
          <w:sz w:val="20"/>
          <w:szCs w:val="20"/>
        </w:rPr>
        <w:t>•</w:t>
      </w:r>
    </w:p>
    <w:p w:rsidR="00000000" w:rsidRDefault="00010F15">
      <w:pPr>
        <w:divId w:val="1424229215"/>
        <w:rPr>
          <w:rFonts w:eastAsia="Times New Roman"/>
        </w:rPr>
      </w:pPr>
      <w:r>
        <w:rPr>
          <w:rFonts w:ascii="Arial" w:eastAsia="Times New Roman" w:hAnsi="Arial" w:cs="Arial"/>
          <w:sz w:val="20"/>
          <w:szCs w:val="20"/>
        </w:rPr>
        <w:t xml:space="preserve">Integrated: Our library of over 350 integrations to core accounting software systems, including customer information systems, or CIS (which are software systems used to efficiently manage customer processes and data </w:t>
      </w:r>
      <w:r>
        <w:rPr>
          <w:rFonts w:ascii="Arial" w:eastAsia="Times New Roman" w:hAnsi="Arial" w:cs="Arial"/>
          <w:sz w:val="20"/>
          <w:szCs w:val="20"/>
        </w:rPr>
        <w:t>and often include bill pay, customer service and forecasting and analytics tools), and enterprise resource planning, or ERP, systems (which are software systems used to collect, store, manage and interpret data from many business activities, typically incl</w:t>
      </w:r>
      <w:r>
        <w:rPr>
          <w:rFonts w:ascii="Arial" w:eastAsia="Times New Roman" w:hAnsi="Arial" w:cs="Arial"/>
          <w:sz w:val="20"/>
          <w:szCs w:val="20"/>
        </w:rPr>
        <w:t>uding accounting systems); as well as core financial institution processing platforms and certain digital banking providers, helps connect disparate systems across the electronic bill payment value chain</w:t>
      </w:r>
      <w:r>
        <w:rPr>
          <w:rFonts w:ascii="Arial" w:eastAsia="Times New Roman" w:hAnsi="Arial" w:cs="Arial"/>
          <w:sz w:val="20"/>
          <w:szCs w:val="20"/>
        </w:rPr>
        <w:t>.</w:t>
      </w:r>
    </w:p>
    <w:p w:rsidR="00000000" w:rsidRDefault="00010F15">
      <w:pPr>
        <w:divId w:val="629439251"/>
        <w:rPr>
          <w:rFonts w:eastAsia="Times New Roman"/>
        </w:rPr>
      </w:pPr>
      <w:r>
        <w:rPr>
          <w:rFonts w:eastAsia="Times New Roman"/>
          <w:sz w:val="20"/>
          <w:szCs w:val="20"/>
        </w:rPr>
        <w:t>•</w:t>
      </w:r>
    </w:p>
    <w:p w:rsidR="00000000" w:rsidRDefault="00010F15">
      <w:pPr>
        <w:divId w:val="541946472"/>
        <w:rPr>
          <w:rFonts w:eastAsia="Times New Roman"/>
        </w:rPr>
      </w:pPr>
      <w:r>
        <w:rPr>
          <w:rFonts w:ascii="Arial" w:eastAsia="Times New Roman" w:hAnsi="Arial" w:cs="Arial"/>
          <w:sz w:val="20"/>
          <w:szCs w:val="20"/>
        </w:rPr>
        <w:t>Extensible: Adaptable to new technologies and eme</w:t>
      </w:r>
      <w:r>
        <w:rPr>
          <w:rFonts w:ascii="Arial" w:eastAsia="Times New Roman" w:hAnsi="Arial" w:cs="Arial"/>
          <w:sz w:val="20"/>
          <w:szCs w:val="20"/>
        </w:rPr>
        <w:t>rging payment channels, such as pay-by-text, AI-based virtual assistants and social media payments</w:t>
      </w:r>
      <w:r>
        <w:rPr>
          <w:rFonts w:ascii="Arial" w:eastAsia="Times New Roman" w:hAnsi="Arial" w:cs="Arial"/>
          <w:sz w:val="20"/>
          <w:szCs w:val="20"/>
        </w:rPr>
        <w:t>.</w:t>
      </w:r>
    </w:p>
    <w:p w:rsidR="00000000" w:rsidRDefault="00010F15">
      <w:pPr>
        <w:divId w:val="611590847"/>
        <w:rPr>
          <w:rFonts w:eastAsia="Times New Roman"/>
        </w:rPr>
      </w:pPr>
      <w:r>
        <w:rPr>
          <w:rFonts w:eastAsia="Times New Roman"/>
          <w:sz w:val="20"/>
          <w:szCs w:val="20"/>
        </w:rPr>
        <w:t>•</w:t>
      </w:r>
    </w:p>
    <w:p w:rsidR="00000000" w:rsidRDefault="00010F15">
      <w:pPr>
        <w:divId w:val="833179748"/>
        <w:rPr>
          <w:rFonts w:eastAsia="Times New Roman"/>
        </w:rPr>
      </w:pPr>
      <w:r>
        <w:rPr>
          <w:rFonts w:ascii="Arial" w:eastAsia="Times New Roman" w:hAnsi="Arial" w:cs="Arial"/>
          <w:sz w:val="20"/>
          <w:szCs w:val="20"/>
        </w:rPr>
        <w:t>Secure: Multi-layer intrusion detection and prevention system, multi-factor authentication and encryption and tokenization designed for trust and security</w:t>
      </w:r>
      <w:r>
        <w:rPr>
          <w:rFonts w:ascii="Arial" w:eastAsia="Times New Roman" w:hAnsi="Arial" w:cs="Arial"/>
          <w:sz w:val="20"/>
          <w:szCs w:val="20"/>
        </w:rPr>
        <w:t xml:space="preserve"> of transaction activity and information</w:t>
      </w:r>
      <w:r>
        <w:rPr>
          <w:rFonts w:ascii="Arial" w:eastAsia="Times New Roman"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We seek to enhance our biller network to gain market share. We believe our ability to seamlessly serve billers, financial institutions, partners and consumers uniquely positions us at the center of a multi-sided ne</w:t>
      </w:r>
      <w:r>
        <w:rPr>
          <w:rFonts w:ascii="Arial" w:hAnsi="Arial" w:cs="Arial"/>
          <w:sz w:val="20"/>
          <w:szCs w:val="20"/>
        </w:rPr>
        <w:t>twork and enables us to drive a powerful, and accelerating, flywheel effect. Our robust platform attracts billers, financial institutions and partners seeking to build stronger relationships with their consumers. Adding more billers, financial institutions</w:t>
      </w:r>
      <w:r>
        <w:rPr>
          <w:rFonts w:ascii="Arial" w:hAnsi="Arial" w:cs="Arial"/>
          <w:sz w:val="20"/>
          <w:szCs w:val="20"/>
        </w:rPr>
        <w:t xml:space="preserve"> and partners extends our platform’s reach to more consumers. These consumers drive more transactions to our platform, which strengthens biller, financial institution and partner retention and in turn accelerates our organic growth. As we scale, we seek to</w:t>
      </w:r>
      <w:r>
        <w:rPr>
          <w:rFonts w:ascii="Arial" w:hAnsi="Arial" w:cs="Arial"/>
          <w:sz w:val="20"/>
          <w:szCs w:val="20"/>
        </w:rPr>
        <w:t xml:space="preserve"> drive increases in our operating leverage, which in turn is expected to enable higher profitability and more efficient biller, financial institution and partner acquisition</w:t>
      </w:r>
      <w:r>
        <w:rPr>
          <w:rFonts w:ascii="Arial" w:hAnsi="Arial" w:cs="Arial"/>
          <w:sz w:val="20"/>
          <w:szCs w:val="20"/>
        </w:rPr>
        <w:t>.</w:t>
      </w:r>
    </w:p>
    <w:p w:rsidR="00000000" w:rsidRDefault="00010F15">
      <w:pPr>
        <w:pStyle w:val="a3"/>
        <w:spacing w:before="240" w:beforeAutospacing="0" w:after="0" w:afterAutospacing="0"/>
        <w:ind w:firstLine="539"/>
        <w:rPr>
          <w:sz w:val="20"/>
          <w:szCs w:val="20"/>
        </w:rPr>
      </w:pPr>
      <w:r>
        <w:rPr>
          <w:rFonts w:ascii="Arial" w:hAnsi="Arial" w:cs="Arial"/>
          <w:sz w:val="20"/>
          <w:szCs w:val="20"/>
        </w:rPr>
        <w:t>We rely on a diversified go-to-market strategy including direct sales, software a</w:t>
      </w:r>
      <w:r>
        <w:rPr>
          <w:rFonts w:ascii="Arial" w:hAnsi="Arial" w:cs="Arial"/>
          <w:sz w:val="20"/>
          <w:szCs w:val="20"/>
        </w:rPr>
        <w:t>nd strategic partnerships, resellers and our IPN. While the direct sales channel is an important part of our business, we also rely on our software and strategic partners and resellers to deliver our solutions to our billers and financial institutions. Our</w:t>
      </w:r>
      <w:r>
        <w:rPr>
          <w:rFonts w:ascii="Arial" w:hAnsi="Arial" w:cs="Arial"/>
          <w:sz w:val="20"/>
          <w:szCs w:val="20"/>
        </w:rPr>
        <w:t xml:space="preserve"> software partners, such as Oracle, integrate our platform into their software products enabling us to power their bill payment capabilities. Our strategic partners, such as JPMorgan Chase, U.S. Bank, and a major payroll solutions provider, refer new bille</w:t>
      </w:r>
      <w:r>
        <w:rPr>
          <w:rFonts w:ascii="Arial" w:hAnsi="Arial" w:cs="Arial"/>
          <w:sz w:val="20"/>
          <w:szCs w:val="20"/>
        </w:rPr>
        <w:t>rs to our platform and in many cases we jointly sell to prospective customers with our strategic partners. Some of our strategic partners, particularly banks, also integrate our solutions into their platforms to provide an integrated bill presentment and o</w:t>
      </w:r>
      <w:r>
        <w:rPr>
          <w:rFonts w:ascii="Arial" w:hAnsi="Arial" w:cs="Arial"/>
          <w:sz w:val="20"/>
          <w:szCs w:val="20"/>
        </w:rPr>
        <w:t>mni-channel bill payment solution to their customers, and as such they are also IPN partners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Our IPN promotes more rapid adoption of our platform through partnerships with leading business networks, including</w:t>
      </w:r>
      <w:r>
        <w:rPr>
          <w:rFonts w:ascii="Arial" w:hAnsi="Arial" w:cs="Arial"/>
          <w:sz w:val="20"/>
          <w:szCs w:val="20"/>
        </w:rPr>
        <w:t>:</w:t>
      </w:r>
    </w:p>
    <w:p w:rsidR="00000000" w:rsidRDefault="00010F15">
      <w:pPr>
        <w:divId w:val="1592621453"/>
        <w:rPr>
          <w:rFonts w:eastAsia="Times New Roman"/>
        </w:rPr>
      </w:pPr>
      <w:r>
        <w:rPr>
          <w:rFonts w:eastAsia="Times New Roman"/>
          <w:sz w:val="20"/>
          <w:szCs w:val="20"/>
        </w:rPr>
        <w:t>•</w:t>
      </w:r>
    </w:p>
    <w:p w:rsidR="00000000" w:rsidRDefault="00010F15">
      <w:pPr>
        <w:divId w:val="161746807"/>
        <w:rPr>
          <w:rFonts w:eastAsia="Times New Roman"/>
        </w:rPr>
      </w:pPr>
      <w:r>
        <w:rPr>
          <w:rFonts w:ascii="Arial" w:eastAsia="Times New Roman" w:hAnsi="Arial" w:cs="Arial"/>
          <w:sz w:val="20"/>
          <w:szCs w:val="20"/>
        </w:rPr>
        <w:t>Banking Partners: We modernize the bill pay</w:t>
      </w:r>
      <w:r>
        <w:rPr>
          <w:rFonts w:ascii="Arial" w:eastAsia="Times New Roman" w:hAnsi="Arial" w:cs="Arial"/>
          <w:sz w:val="20"/>
          <w:szCs w:val="20"/>
        </w:rPr>
        <w:t>ment infrastructure of banks and credit unions of all sizes, empowering their digital banking consumers with fast, secure and omni-channel payment technology by seamlessly integrating our solution into their digital platforms</w:t>
      </w:r>
      <w:r>
        <w:rPr>
          <w:rFonts w:ascii="Arial" w:eastAsia="Times New Roman" w:hAnsi="Arial" w:cs="Arial"/>
          <w:sz w:val="20"/>
          <w:szCs w:val="20"/>
        </w:rPr>
        <w:t>.</w:t>
      </w:r>
    </w:p>
    <w:p w:rsidR="00000000" w:rsidRDefault="00010F15">
      <w:pPr>
        <w:divId w:val="349262123"/>
        <w:rPr>
          <w:rFonts w:eastAsia="Times New Roman"/>
        </w:rPr>
      </w:pPr>
      <w:r>
        <w:rPr>
          <w:rFonts w:eastAsia="Times New Roman"/>
          <w:sz w:val="20"/>
          <w:szCs w:val="20"/>
        </w:rPr>
        <w:t>•</w:t>
      </w:r>
    </w:p>
    <w:p w:rsidR="00000000" w:rsidRDefault="00010F15">
      <w:pPr>
        <w:divId w:val="1061555939"/>
        <w:rPr>
          <w:rFonts w:eastAsia="Times New Roman"/>
        </w:rPr>
      </w:pPr>
      <w:r>
        <w:rPr>
          <w:rFonts w:ascii="Arial" w:eastAsia="Times New Roman" w:hAnsi="Arial" w:cs="Arial"/>
          <w:sz w:val="20"/>
          <w:szCs w:val="20"/>
        </w:rPr>
        <w:t>eCommerce Partner: We power</w:t>
      </w:r>
      <w:r>
        <w:rPr>
          <w:rFonts w:ascii="Arial" w:eastAsia="Times New Roman" w:hAnsi="Arial" w:cs="Arial"/>
          <w:sz w:val="20"/>
          <w:szCs w:val="20"/>
        </w:rPr>
        <w:t xml:space="preserve"> electronic bill payments through the mobile app and AI-assistant voice service of a leading global ecommerce retailer, enabling millions of its users to retrieve information about, and pay, their bills for all billers on our network</w:t>
      </w:r>
      <w:r>
        <w:rPr>
          <w:rFonts w:ascii="Arial" w:eastAsia="Times New Roman" w:hAnsi="Arial" w:cs="Arial"/>
          <w:sz w:val="20"/>
          <w:szCs w:val="20"/>
        </w:rPr>
        <w:t>.</w:t>
      </w:r>
    </w:p>
    <w:p w:rsidR="00000000" w:rsidRDefault="00010F15">
      <w:pPr>
        <w:divId w:val="1626542423"/>
        <w:rPr>
          <w:rFonts w:eastAsia="Times New Roman"/>
        </w:rPr>
      </w:pPr>
      <w:r>
        <w:rPr>
          <w:rFonts w:eastAsia="Times New Roman"/>
          <w:sz w:val="20"/>
          <w:szCs w:val="20"/>
        </w:rPr>
        <w:t>•</w:t>
      </w:r>
    </w:p>
    <w:p w:rsidR="00000000" w:rsidRDefault="00010F15">
      <w:pPr>
        <w:divId w:val="277570129"/>
        <w:rPr>
          <w:rFonts w:eastAsia="Times New Roman"/>
        </w:rPr>
      </w:pPr>
      <w:r>
        <w:rPr>
          <w:rFonts w:ascii="Arial" w:eastAsia="Times New Roman" w:hAnsi="Arial" w:cs="Arial"/>
          <w:sz w:val="20"/>
          <w:szCs w:val="20"/>
        </w:rPr>
        <w:t>PayPal: We enable P</w:t>
      </w:r>
      <w:r>
        <w:rPr>
          <w:rFonts w:ascii="Arial" w:eastAsia="Times New Roman" w:hAnsi="Arial" w:cs="Arial"/>
          <w:sz w:val="20"/>
          <w:szCs w:val="20"/>
        </w:rPr>
        <w:t>ayPal’s U.S. consumers to pay their bills directly from PayPal apps</w:t>
      </w:r>
      <w:r>
        <w:rPr>
          <w:rFonts w:ascii="Arial" w:eastAsia="Times New Roman" w:hAnsi="Arial" w:cs="Arial"/>
          <w:sz w:val="20"/>
          <w:szCs w:val="20"/>
        </w:rPr>
        <w:t>.</w:t>
      </w:r>
    </w:p>
    <w:p w:rsidR="00000000" w:rsidRDefault="00010F15">
      <w:pPr>
        <w:divId w:val="1602375520"/>
        <w:rPr>
          <w:rFonts w:eastAsia="Times New Roman"/>
        </w:rPr>
      </w:pPr>
      <w:r>
        <w:rPr>
          <w:rFonts w:eastAsia="Times New Roman"/>
          <w:sz w:val="20"/>
          <w:szCs w:val="20"/>
        </w:rPr>
        <w:t>•</w:t>
      </w:r>
    </w:p>
    <w:p w:rsidR="00000000" w:rsidRDefault="00010F15">
      <w:pPr>
        <w:divId w:val="1095713015"/>
        <w:rPr>
          <w:rFonts w:eastAsia="Times New Roman"/>
        </w:rPr>
      </w:pPr>
      <w:r>
        <w:rPr>
          <w:rFonts w:ascii="Arial" w:eastAsia="Times New Roman" w:hAnsi="Arial" w:cs="Arial"/>
          <w:sz w:val="20"/>
          <w:szCs w:val="20"/>
        </w:rPr>
        <w:t>Other Partners: Other partners benefit from our IPN in a variety of ways, such as enabling bill payment for consumers at more than 70,000 retail locations. For example, we enable Walmart’s consumers to pay their bills either in-store at retail locations or</w:t>
      </w:r>
      <w:r>
        <w:rPr>
          <w:rFonts w:ascii="Arial" w:eastAsia="Times New Roman" w:hAnsi="Arial" w:cs="Arial"/>
          <w:sz w:val="20"/>
          <w:szCs w:val="20"/>
        </w:rPr>
        <w:t xml:space="preserve"> online via Walmart’s retail websites or mobile apps</w:t>
      </w:r>
      <w:r>
        <w:rPr>
          <w:rFonts w:ascii="Arial" w:eastAsia="Times New Roman" w:hAnsi="Arial" w:cs="Arial"/>
          <w:sz w:val="20"/>
          <w:szCs w:val="20"/>
        </w:rPr>
        <w:t>.</w:t>
      </w:r>
    </w:p>
    <w:p w:rsidR="00000000" w:rsidRDefault="00010F15">
      <w:pPr>
        <w:pStyle w:val="a3"/>
        <w:spacing w:before="240" w:beforeAutospacing="0" w:after="0" w:afterAutospacing="0"/>
        <w:jc w:val="center"/>
        <w:rPr>
          <w:sz w:val="20"/>
          <w:szCs w:val="20"/>
        </w:rPr>
      </w:pPr>
      <w:r>
        <w:rPr>
          <w:rFonts w:ascii="Arial" w:hAnsi="Arial" w:cs="Arial"/>
          <w:b/>
          <w:bCs/>
          <w:sz w:val="20"/>
          <w:szCs w:val="20"/>
        </w:rPr>
        <w:t>Industry Overvie</w:t>
      </w:r>
      <w:r>
        <w:rPr>
          <w:rFonts w:ascii="Arial" w:hAnsi="Arial" w:cs="Arial"/>
          <w:b/>
          <w:bCs/>
          <w:sz w:val="20"/>
          <w:szCs w:val="20"/>
        </w:rPr>
        <w:t>w</w:t>
      </w:r>
    </w:p>
    <w:p w:rsidR="00000000" w:rsidRDefault="00010F15">
      <w:pPr>
        <w:pStyle w:val="a3"/>
        <w:spacing w:before="120" w:beforeAutospacing="0" w:after="0" w:afterAutospacing="0"/>
        <w:ind w:firstLine="539"/>
        <w:rPr>
          <w:sz w:val="20"/>
          <w:szCs w:val="20"/>
        </w:rPr>
      </w:pPr>
      <w:r>
        <w:rPr>
          <w:rFonts w:ascii="Arial" w:hAnsi="Arial" w:cs="Arial"/>
          <w:sz w:val="20"/>
          <w:szCs w:val="20"/>
        </w:rPr>
        <w:t>We believe the bill payment industry is undergoing technological transformation as consumers, billers and financial institutions demand a straightforward and streamlined approach to el</w:t>
      </w:r>
      <w:r>
        <w:rPr>
          <w:rFonts w:ascii="Arial" w:hAnsi="Arial" w:cs="Arial"/>
          <w:sz w:val="20"/>
          <w:szCs w:val="20"/>
        </w:rPr>
        <w:t>ectronic bill presentment and payment and consumer engagement. The following key trends are currently defining the industry</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Electronic Bill Payment Requires an Integrated, Single-vendor Solutio</w:t>
      </w:r>
      <w:r>
        <w:rPr>
          <w:rFonts w:ascii="Arial" w:hAnsi="Arial" w:cs="Arial"/>
          <w:b/>
          <w:bCs/>
          <w:i/>
          <w:iCs/>
          <w:sz w:val="20"/>
          <w:szCs w:val="20"/>
        </w:rPr>
        <w:t>n</w:t>
      </w:r>
    </w:p>
    <w:p w:rsidR="00000000" w:rsidRDefault="00010F15">
      <w:pPr>
        <w:pStyle w:val="a3"/>
        <w:spacing w:before="120" w:beforeAutospacing="0" w:after="0" w:afterAutospacing="0"/>
        <w:ind w:firstLine="539"/>
        <w:rPr>
          <w:sz w:val="20"/>
          <w:szCs w:val="20"/>
        </w:rPr>
      </w:pPr>
      <w:r>
        <w:rPr>
          <w:rFonts w:ascii="Arial" w:hAnsi="Arial" w:cs="Arial"/>
          <w:sz w:val="20"/>
          <w:szCs w:val="20"/>
        </w:rPr>
        <w:t>As electronic bill payments continue to evolve with consumer</w:t>
      </w:r>
      <w:r>
        <w:rPr>
          <w:rFonts w:ascii="Arial" w:hAnsi="Arial" w:cs="Arial"/>
          <w:sz w:val="20"/>
          <w:szCs w:val="20"/>
        </w:rPr>
        <w:t xml:space="preserve"> preferences, billers and financial institutions demand an integrated single-vendor solution suite to remain competitive. A typical electronic bill payment experience requires the coordination of multiple vendors for bill notification, presentment, various</w:t>
      </w:r>
      <w:r>
        <w:rPr>
          <w:rFonts w:ascii="Arial" w:hAnsi="Arial" w:cs="Arial"/>
          <w:sz w:val="20"/>
          <w:szCs w:val="20"/>
        </w:rPr>
        <w:t xml:space="preserve"> payment channels, call center support, and data and analytics. These vendors lack integration, which results in a fragmented consumer experience and increased cost to the biller. Billers and financial institutions that are able to access a single, integra</w:t>
      </w:r>
      <w:r>
        <w:rPr>
          <w:rFonts w:ascii="Arial" w:hAnsi="Arial" w:cs="Arial"/>
          <w:sz w:val="20"/>
          <w:szCs w:val="20"/>
        </w:rPr>
        <w:t>ted end-to-end solution are able to provide a seamless experience for their consumers</w:t>
      </w:r>
      <w:r>
        <w:rPr>
          <w:rFonts w:ascii="Arial" w:hAnsi="Arial" w:cs="Arial"/>
          <w:sz w:val="20"/>
          <w:szCs w:val="20"/>
        </w:rPr>
        <w:t>.</w:t>
      </w:r>
    </w:p>
    <w:p w:rsidR="00000000" w:rsidRDefault="00010F15">
      <w:pPr>
        <w:pStyle w:val="a3"/>
        <w:spacing w:before="0" w:beforeAutospacing="0" w:after="0" w:afterAutospacing="0"/>
        <w:jc w:val="center"/>
        <w:rPr>
          <w:sz w:val="20"/>
          <w:szCs w:val="20"/>
        </w:rPr>
      </w:pPr>
      <w:r>
        <w:rPr>
          <w:rFonts w:ascii="Arial" w:hAnsi="Arial" w:cs="Arial"/>
          <w:sz w:val="20"/>
          <w:szCs w:val="20"/>
        </w:rPr>
        <w:t>8</w:t>
      </w:r>
    </w:p>
    <w:p w:rsidR="00000000" w:rsidRDefault="00010F15">
      <w:pPr>
        <w:rPr>
          <w:rFonts w:eastAsia="Times New Roman"/>
        </w:rPr>
      </w:pPr>
      <w:r>
        <w:rPr>
          <w:rFonts w:eastAsia="Times New Roman"/>
        </w:rPr>
        <w:pict>
          <v:rect id="_x0000_i1032"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240" w:beforeAutospacing="0" w:after="0" w:afterAutospacing="0"/>
        <w:rPr>
          <w:sz w:val="20"/>
          <w:szCs w:val="20"/>
        </w:rPr>
      </w:pPr>
      <w:r>
        <w:rPr>
          <w:rFonts w:ascii="Arial" w:hAnsi="Arial" w:cs="Arial"/>
          <w:b/>
          <w:bCs/>
          <w:i/>
          <w:iCs/>
          <w:sz w:val="20"/>
          <w:szCs w:val="20"/>
        </w:rPr>
        <w:t>Billers and Consumers Are Underserved by Financial Institution</w:t>
      </w:r>
      <w:r>
        <w:rPr>
          <w:rFonts w:ascii="Arial" w:hAnsi="Arial" w:cs="Arial"/>
          <w:b/>
          <w:bCs/>
          <w:i/>
          <w:iCs/>
          <w:sz w:val="20"/>
          <w:szCs w:val="20"/>
        </w:rPr>
        <w:t>s</w:t>
      </w:r>
      <w:r>
        <w:rPr>
          <w:rFonts w:ascii="Arial" w:hAnsi="Arial" w:cs="Arial"/>
          <w:i/>
          <w:iCs/>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Traditional financial institutions have been slow to adopt mode</w:t>
      </w:r>
      <w:r>
        <w:rPr>
          <w:rFonts w:ascii="Arial" w:hAnsi="Arial" w:cs="Arial"/>
          <w:sz w:val="20"/>
          <w:szCs w:val="20"/>
        </w:rPr>
        <w:t>rn digital bill payment technologies and the legacy providers which the financial institutions rely on have failed to innovate. Over the last decade, U.S. online consumer bill payment volume made through a bank’s bill payment solution has decreased from ap</w:t>
      </w:r>
      <w:r>
        <w:rPr>
          <w:rFonts w:ascii="Arial" w:hAnsi="Arial" w:cs="Arial"/>
          <w:sz w:val="20"/>
          <w:szCs w:val="20"/>
        </w:rPr>
        <w:t>proximately 40% to approximately 20%. We believe this reduction is driven by consistent under-investment by financial institutions and legacy providers in their bill payment platforms, resulting in a poor consumer experience. Generally, consumers must manu</w:t>
      </w:r>
      <w:r>
        <w:rPr>
          <w:rFonts w:ascii="Arial" w:hAnsi="Arial" w:cs="Arial"/>
          <w:sz w:val="20"/>
          <w:szCs w:val="20"/>
        </w:rPr>
        <w:t>ally add billers to a financial institution’s system and are generally limited to automated clearing house, or ACH, or other legacy payment channels rather than omni-channel payment capabilities. Ultimately, the lack of optionality and transparency inheren</w:t>
      </w:r>
      <w:r>
        <w:rPr>
          <w:rFonts w:ascii="Arial" w:hAnsi="Arial" w:cs="Arial"/>
          <w:sz w:val="20"/>
          <w:szCs w:val="20"/>
        </w:rPr>
        <w:t>t to a financial institution’s bill payment solutions creates an opportunity that we seek to address</w:t>
      </w:r>
      <w:r>
        <w:rPr>
          <w:rFonts w:ascii="Arial" w:hAnsi="Arial" w:cs="Arial"/>
          <w:sz w:val="20"/>
          <w:szCs w:val="20"/>
        </w:rPr>
        <w:t>.</w:t>
      </w:r>
      <w:r>
        <w:rPr>
          <w:rFonts w:ascii="Arial" w:hAnsi="Arial" w:cs="Arial"/>
          <w:sz w:val="20"/>
          <w:szCs w:val="20"/>
        </w:rPr>
        <w:t xml:space="preserve"> </w:t>
      </w:r>
    </w:p>
    <w:p w:rsidR="00000000" w:rsidRDefault="00010F15">
      <w:pPr>
        <w:pStyle w:val="a3"/>
        <w:spacing w:before="240" w:beforeAutospacing="0" w:after="0" w:afterAutospacing="0"/>
        <w:rPr>
          <w:sz w:val="20"/>
          <w:szCs w:val="20"/>
        </w:rPr>
      </w:pPr>
      <w:r>
        <w:rPr>
          <w:rFonts w:ascii="Arial" w:hAnsi="Arial" w:cs="Arial"/>
          <w:b/>
          <w:bCs/>
          <w:i/>
          <w:iCs/>
          <w:sz w:val="20"/>
          <w:szCs w:val="20"/>
        </w:rPr>
        <w:t>Emerging Payment Options Through Online and Mobile Channels Are Transforming the Marke</w:t>
      </w:r>
      <w:r>
        <w:rPr>
          <w:rFonts w:ascii="Arial" w:hAnsi="Arial" w:cs="Arial"/>
          <w:b/>
          <w:bCs/>
          <w:i/>
          <w:iCs/>
          <w:sz w:val="20"/>
          <w:szCs w:val="20"/>
        </w:rPr>
        <w:t>t</w:t>
      </w:r>
    </w:p>
    <w:p w:rsidR="00000000" w:rsidRDefault="00010F15">
      <w:pPr>
        <w:pStyle w:val="a3"/>
        <w:spacing w:before="120" w:beforeAutospacing="0" w:after="0" w:afterAutospacing="0"/>
        <w:ind w:firstLine="539"/>
        <w:rPr>
          <w:sz w:val="20"/>
          <w:szCs w:val="20"/>
        </w:rPr>
      </w:pPr>
      <w:r>
        <w:rPr>
          <w:rFonts w:ascii="Arial" w:hAnsi="Arial" w:cs="Arial"/>
          <w:sz w:val="20"/>
          <w:szCs w:val="20"/>
        </w:rPr>
        <w:t>Consumers are transacting anywhere and everywhere and through dif</w:t>
      </w:r>
      <w:r>
        <w:rPr>
          <w:rFonts w:ascii="Arial" w:hAnsi="Arial" w:cs="Arial"/>
          <w:sz w:val="20"/>
          <w:szCs w:val="20"/>
        </w:rPr>
        <w:t>ferent channels. With the widespread use of mobile phones and home computers, consumer devices are becoming the aggregation point for billing information. As consumers move beyond paper checks and adopt emerging payment technologies, we believe the continu</w:t>
      </w:r>
      <w:r>
        <w:rPr>
          <w:rFonts w:ascii="Arial" w:hAnsi="Arial" w:cs="Arial"/>
          <w:sz w:val="20"/>
          <w:szCs w:val="20"/>
        </w:rPr>
        <w:t>ed digitization of the bill payment industry will manifest through increased adoption of technologies such as pay by text, digital wallets and AI-based assistants. The emergence of these new technologies unlocks previously untapped opportunities to grow ou</w:t>
      </w:r>
      <w:r>
        <w:rPr>
          <w:rFonts w:ascii="Arial" w:hAnsi="Arial" w:cs="Arial"/>
          <w:sz w:val="20"/>
          <w:szCs w:val="20"/>
        </w:rPr>
        <w:t>r network</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Data Is Being Underutilize</w:t>
      </w:r>
      <w:r>
        <w:rPr>
          <w:rFonts w:ascii="Arial" w:hAnsi="Arial" w:cs="Arial"/>
          <w:b/>
          <w:bCs/>
          <w:i/>
          <w:iCs/>
          <w:sz w:val="20"/>
          <w:szCs w:val="20"/>
        </w:rPr>
        <w:t>d</w:t>
      </w:r>
    </w:p>
    <w:p w:rsidR="00000000" w:rsidRDefault="00010F15">
      <w:pPr>
        <w:pStyle w:val="a3"/>
        <w:spacing w:before="120" w:beforeAutospacing="0" w:after="0" w:afterAutospacing="0"/>
        <w:ind w:firstLine="539"/>
        <w:rPr>
          <w:sz w:val="20"/>
          <w:szCs w:val="20"/>
        </w:rPr>
      </w:pPr>
      <w:r>
        <w:rPr>
          <w:rFonts w:ascii="Arial" w:hAnsi="Arial" w:cs="Arial"/>
          <w:sz w:val="20"/>
          <w:szCs w:val="20"/>
        </w:rPr>
        <w:t>Consumer bill payment transactions are rich repositories of data that can be used to significantly im</w:t>
      </w:r>
      <w:r>
        <w:rPr>
          <w:rFonts w:ascii="Arial" w:hAnsi="Arial" w:cs="Arial"/>
          <w:sz w:val="20"/>
          <w:szCs w:val="20"/>
        </w:rPr>
        <w:t>prove the electronic bill payment experience. We believe the bill payment industry has under-invested in the technology required to capture and analyze this data. As the industry continues to evolve around changing consumer preferences and the emergence of</w:t>
      </w:r>
      <w:r>
        <w:rPr>
          <w:rFonts w:ascii="Arial" w:hAnsi="Arial" w:cs="Arial"/>
          <w:sz w:val="20"/>
          <w:szCs w:val="20"/>
        </w:rPr>
        <w:t xml:space="preserve"> new payment technologies, data and analytics plays an increasingly important role in improving the full transaction value chain. Our proprietary transactional data creates workflow efficiencies and provides insights (e.g., payment methods depending on bil</w:t>
      </w:r>
      <w:r>
        <w:rPr>
          <w:rFonts w:ascii="Arial" w:hAnsi="Arial" w:cs="Arial"/>
          <w:sz w:val="20"/>
          <w:szCs w:val="20"/>
        </w:rPr>
        <w:t>l size and bill type) that strengthen the connection between billers and consumers</w:t>
      </w:r>
      <w:r>
        <w:rPr>
          <w:rFonts w:ascii="Arial" w:hAnsi="Arial" w:cs="Arial"/>
          <w:sz w:val="20"/>
          <w:szCs w:val="20"/>
        </w:rPr>
        <w:t>.</w:t>
      </w:r>
    </w:p>
    <w:p w:rsidR="00000000" w:rsidRDefault="00010F15">
      <w:pPr>
        <w:pStyle w:val="a3"/>
        <w:spacing w:before="240" w:beforeAutospacing="0" w:after="0" w:afterAutospacing="0"/>
        <w:jc w:val="center"/>
        <w:rPr>
          <w:sz w:val="20"/>
          <w:szCs w:val="20"/>
        </w:rPr>
      </w:pPr>
      <w:r>
        <w:rPr>
          <w:rFonts w:ascii="Arial" w:hAnsi="Arial" w:cs="Arial"/>
          <w:b/>
          <w:bCs/>
          <w:sz w:val="20"/>
          <w:szCs w:val="20"/>
        </w:rPr>
        <w:t>Our Platform and Solution</w:t>
      </w:r>
      <w:r>
        <w:rPr>
          <w:rFonts w:ascii="Arial" w:hAnsi="Arial" w:cs="Arial"/>
          <w:b/>
          <w:bCs/>
          <w:sz w:val="20"/>
          <w:szCs w:val="20"/>
        </w:rPr>
        <w:t>s</w:t>
      </w:r>
    </w:p>
    <w:p w:rsidR="00000000" w:rsidRDefault="00010F15">
      <w:pPr>
        <w:pStyle w:val="a3"/>
        <w:spacing w:before="120" w:beforeAutospacing="0" w:after="0" w:afterAutospacing="0"/>
        <w:ind w:firstLine="539"/>
        <w:rPr>
          <w:sz w:val="20"/>
          <w:szCs w:val="20"/>
        </w:rPr>
      </w:pPr>
      <w:r>
        <w:rPr>
          <w:rFonts w:ascii="Arial" w:hAnsi="Arial" w:cs="Arial"/>
          <w:sz w:val="20"/>
          <w:szCs w:val="20"/>
        </w:rPr>
        <w:t xml:space="preserve">Our biller platform is purpose-built to transform the way billers get paid and engage with their consumers. Our AI-driven SaaS platform provides </w:t>
      </w:r>
      <w:r>
        <w:rPr>
          <w:rFonts w:ascii="Arial" w:hAnsi="Arial" w:cs="Arial"/>
          <w:sz w:val="20"/>
          <w:szCs w:val="20"/>
        </w:rPr>
        <w:t>a single-vendor solution that enhances the bill payment ecosystem with new functionality and added transparency. Our single code base architecture maximizes the inherent flexibility, extensibility and configurability of our solutions, which allows us to ra</w:t>
      </w:r>
      <w:r>
        <w:rPr>
          <w:rFonts w:ascii="Arial" w:hAnsi="Arial" w:cs="Arial"/>
          <w:sz w:val="20"/>
          <w:szCs w:val="20"/>
        </w:rPr>
        <w:t>pidly deploy our solutions to our billers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Our platform for financial institutions reconnects the financial institutions to their customers by providing a frictionless, real-time financial hub where consumers can consolidate their financial obligations, pa</w:t>
      </w:r>
      <w:r>
        <w:rPr>
          <w:rFonts w:ascii="Arial" w:hAnsi="Arial" w:cs="Arial"/>
          <w:sz w:val="20"/>
          <w:szCs w:val="20"/>
        </w:rPr>
        <w:t>y bills, move money in real time and deepen their understanding of their own financial position. Customers get a centralized viewpoint over all their money movement needs and the financial institutions get insights into their customers’ behavior than can i</w:t>
      </w:r>
      <w:r>
        <w:rPr>
          <w:rFonts w:ascii="Arial" w:hAnsi="Arial" w:cs="Arial"/>
          <w:sz w:val="20"/>
          <w:szCs w:val="20"/>
        </w:rPr>
        <w:t>nform a meaningful evolution of the customer experience</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Single Point of Acces</w:t>
      </w:r>
      <w:r>
        <w:rPr>
          <w:rFonts w:ascii="Arial" w:hAnsi="Arial" w:cs="Arial"/>
          <w:b/>
          <w:bCs/>
          <w:i/>
          <w:iCs/>
          <w:sz w:val="20"/>
          <w:szCs w:val="20"/>
        </w:rPr>
        <w:t>s</w:t>
      </w:r>
    </w:p>
    <w:p w:rsidR="00000000" w:rsidRDefault="00010F15">
      <w:pPr>
        <w:pStyle w:val="a3"/>
        <w:spacing w:before="120" w:beforeAutospacing="0" w:after="0" w:afterAutospacing="0"/>
        <w:ind w:firstLine="539"/>
        <w:rPr>
          <w:sz w:val="20"/>
          <w:szCs w:val="20"/>
        </w:rPr>
      </w:pPr>
      <w:r>
        <w:rPr>
          <w:rFonts w:ascii="Arial" w:hAnsi="Arial" w:cs="Arial"/>
          <w:sz w:val="20"/>
          <w:szCs w:val="20"/>
        </w:rPr>
        <w:t>APIs: Our easy-to-use APIs enable billers, financial institutions and partners to seamlessly access the entirety of our network through a single connection</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iFrames: Enables o</w:t>
      </w:r>
      <w:r>
        <w:rPr>
          <w:rFonts w:ascii="Arial" w:hAnsi="Arial" w:cs="Arial"/>
          <w:sz w:val="20"/>
          <w:szCs w:val="20"/>
        </w:rPr>
        <w:t>ur billers, financial institutions and partners to exercise more control over the user experience by customizing the business logic to meet their specific requirements. Many of our billers who use iFrames have in-house IT resources but use our infrastructu</w:t>
      </w:r>
      <w:r>
        <w:rPr>
          <w:rFonts w:ascii="Arial" w:hAnsi="Arial" w:cs="Arial"/>
          <w:sz w:val="20"/>
          <w:szCs w:val="20"/>
        </w:rPr>
        <w:t>re for payment processing and Payment Card Industry Data Security Standard, or PCI-DSS compliance</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Fully Hosted: We also provide a fully hosted alternative for our billers. In this option, our hosted platform provides our billers the full power of our plat</w:t>
      </w:r>
      <w:r>
        <w:rPr>
          <w:rFonts w:ascii="Arial" w:hAnsi="Arial" w:cs="Arial"/>
          <w:sz w:val="20"/>
          <w:szCs w:val="20"/>
        </w:rPr>
        <w:t>form without incurring the cost of using their own IT resources</w:t>
      </w:r>
      <w:r>
        <w:rPr>
          <w:rFonts w:ascii="Arial" w:hAnsi="Arial" w:cs="Arial"/>
          <w:sz w:val="20"/>
          <w:szCs w:val="20"/>
        </w:rPr>
        <w:t>.</w:t>
      </w:r>
      <w:r>
        <w:rPr>
          <w:rFonts w:ascii="Arial" w:hAnsi="Arial" w:cs="Arial"/>
          <w:sz w:val="20"/>
          <w:szCs w:val="20"/>
        </w:rPr>
        <w:t xml:space="preserve"> </w:t>
      </w:r>
    </w:p>
    <w:p w:rsidR="00000000" w:rsidRDefault="00010F15">
      <w:pPr>
        <w:pStyle w:val="a3"/>
        <w:spacing w:before="240" w:beforeAutospacing="0" w:after="0" w:afterAutospacing="0"/>
        <w:rPr>
          <w:sz w:val="20"/>
          <w:szCs w:val="20"/>
        </w:rPr>
      </w:pPr>
      <w:r>
        <w:rPr>
          <w:rFonts w:ascii="Arial" w:hAnsi="Arial" w:cs="Arial"/>
          <w:b/>
          <w:bCs/>
          <w:i/>
          <w:iCs/>
          <w:sz w:val="20"/>
          <w:szCs w:val="20"/>
        </w:rPr>
        <w:t>Technology Solution</w:t>
      </w:r>
      <w:r>
        <w:rPr>
          <w:rFonts w:ascii="Arial" w:hAnsi="Arial" w:cs="Arial"/>
          <w:b/>
          <w:bCs/>
          <w:i/>
          <w:iCs/>
          <w:sz w:val="20"/>
          <w:szCs w:val="20"/>
        </w:rPr>
        <w:t>s</w:t>
      </w:r>
    </w:p>
    <w:p w:rsidR="00000000" w:rsidRDefault="00010F15">
      <w:pPr>
        <w:pStyle w:val="a3"/>
        <w:spacing w:before="120" w:beforeAutospacing="0" w:after="0" w:afterAutospacing="0"/>
        <w:ind w:firstLine="539"/>
        <w:rPr>
          <w:sz w:val="20"/>
          <w:szCs w:val="20"/>
        </w:rPr>
      </w:pPr>
      <w:r>
        <w:rPr>
          <w:rFonts w:ascii="Arial" w:hAnsi="Arial" w:cs="Arial"/>
          <w:sz w:val="20"/>
          <w:szCs w:val="20"/>
        </w:rPr>
        <w:t>Engagement: We believe billers must regularly engage with their consumers using actionable and contextualized data. Our smart notifications and messaging tools enable billers to provide billing details to their consumers, such as account status, and direct</w:t>
      </w:r>
      <w:r>
        <w:rPr>
          <w:rFonts w:ascii="Arial" w:hAnsi="Arial" w:cs="Arial"/>
          <w:sz w:val="20"/>
          <w:szCs w:val="20"/>
        </w:rPr>
        <w:t>ly communicate with them over secure channels. Our response-time survey of hundreds of our billers’ unique consumers showed that billers who delivered billing reminders using the smart notifications and messaging tools on our platform, in addition to using</w:t>
      </w:r>
      <w:r>
        <w:rPr>
          <w:rFonts w:ascii="Arial" w:hAnsi="Arial" w:cs="Arial"/>
          <w:sz w:val="20"/>
          <w:szCs w:val="20"/>
        </w:rPr>
        <w:t xml:space="preserve"> outbound IVR phone calls that are also available without using our platform, received 30% more timely payments. Our engagement products help billers and financial institutions facilitate timely and secure bill payments, while driving digital adoption and </w:t>
      </w:r>
      <w:r>
        <w:rPr>
          <w:rFonts w:ascii="Arial" w:hAnsi="Arial" w:cs="Arial"/>
          <w:sz w:val="20"/>
          <w:szCs w:val="20"/>
        </w:rPr>
        <w:t>reducing cost to serve</w:t>
      </w:r>
      <w:r>
        <w:rPr>
          <w:rFonts w:ascii="Arial" w:hAnsi="Arial" w:cs="Arial"/>
          <w:sz w:val="20"/>
          <w:szCs w:val="20"/>
        </w:rPr>
        <w:t>.</w:t>
      </w:r>
    </w:p>
    <w:p w:rsidR="00000000" w:rsidRDefault="00010F15">
      <w:pPr>
        <w:pStyle w:val="a3"/>
        <w:spacing w:before="0" w:beforeAutospacing="0" w:after="0" w:afterAutospacing="0"/>
        <w:jc w:val="center"/>
        <w:rPr>
          <w:sz w:val="20"/>
          <w:szCs w:val="20"/>
        </w:rPr>
      </w:pPr>
      <w:r>
        <w:rPr>
          <w:rFonts w:ascii="Arial" w:hAnsi="Arial" w:cs="Arial"/>
          <w:sz w:val="20"/>
          <w:szCs w:val="20"/>
        </w:rPr>
        <w:t>9</w:t>
      </w:r>
    </w:p>
    <w:p w:rsidR="00000000" w:rsidRDefault="00010F15">
      <w:pPr>
        <w:rPr>
          <w:rFonts w:eastAsia="Times New Roman"/>
        </w:rPr>
      </w:pPr>
      <w:r>
        <w:rPr>
          <w:rFonts w:eastAsia="Times New Roman"/>
        </w:rPr>
        <w:pict>
          <v:rect id="_x0000_i1033"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120" w:beforeAutospacing="0" w:after="0" w:afterAutospacing="0"/>
        <w:ind w:firstLine="539"/>
        <w:rPr>
          <w:sz w:val="20"/>
          <w:szCs w:val="20"/>
        </w:rPr>
      </w:pPr>
      <w:r>
        <w:rPr>
          <w:rFonts w:ascii="Arial" w:hAnsi="Arial" w:cs="Arial"/>
          <w:sz w:val="20"/>
          <w:szCs w:val="20"/>
        </w:rPr>
        <w:t>Presentment: Consumers are increasingly demanding omni-channel access to their bills through their preferred engagement channels. Our solution offers electronic bill presentment across numerou</w:t>
      </w:r>
      <w:r>
        <w:rPr>
          <w:rFonts w:ascii="Arial" w:hAnsi="Arial" w:cs="Arial"/>
          <w:sz w:val="20"/>
          <w:szCs w:val="20"/>
        </w:rPr>
        <w:t>s channels including web, mobile, text, secure PDF, email, IVR, chatbot, social media and through our IPN partners. Our electronic bill presentment products help billers maximize their reach to accelerate revenue realization and engage consumers more effic</w:t>
      </w:r>
      <w:r>
        <w:rPr>
          <w:rFonts w:ascii="Arial" w:hAnsi="Arial" w:cs="Arial"/>
          <w:sz w:val="20"/>
          <w:szCs w:val="20"/>
        </w:rPr>
        <w:t>iently</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Empowerment: Our comprehensive suite of solutions empowers consumers and billers to customize, control and enhance the bill payment experience. Consumers can control communication preferences, multi-lingual capabilities, self-directed payment sched</w:t>
      </w:r>
      <w:r>
        <w:rPr>
          <w:rFonts w:ascii="Arial" w:hAnsi="Arial" w:cs="Arial"/>
          <w:sz w:val="20"/>
          <w:szCs w:val="20"/>
        </w:rPr>
        <w:t>uling, multi-account management and dispute management. Billers are able to use automated case management and configurable reporting to quickly and comprehensively provide high-quality customer service</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Payment: We believe consumers demand an omni-channel</w:t>
      </w:r>
      <w:r>
        <w:rPr>
          <w:rFonts w:ascii="Arial" w:hAnsi="Arial" w:cs="Arial"/>
          <w:sz w:val="20"/>
          <w:szCs w:val="20"/>
        </w:rPr>
        <w:t xml:space="preserve"> payment experience that enables use of their preferred payment type and channel. Our secure and comprehensive omni-channel payment platform supports traditional and emerging payment technologies across multiple currencies and languages. Our platform suppo</w:t>
      </w:r>
      <w:r>
        <w:rPr>
          <w:rFonts w:ascii="Arial" w:hAnsi="Arial" w:cs="Arial"/>
          <w:sz w:val="20"/>
          <w:szCs w:val="20"/>
        </w:rPr>
        <w:t>rts electronic bill payments using credit, debit, ACH and digital wallets across a variety of payment channels, including web, mobile, IVR, text, secure PDF, chatbot, agent-assisted (call center), in-person, the AI-assistant voice service of a leading glob</w:t>
      </w:r>
      <w:r>
        <w:rPr>
          <w:rFonts w:ascii="Arial" w:hAnsi="Arial" w:cs="Arial"/>
          <w:sz w:val="20"/>
          <w:szCs w:val="20"/>
        </w:rPr>
        <w:t>al ecommerce retailer, in Walmart and certain other retail stores, and through alternative payment rails such as PayPal. We support one-time payments, as well as future-dated, recurring and payment plan transactions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Intelligence: Electronic bill payment t</w:t>
      </w:r>
      <w:r>
        <w:rPr>
          <w:rFonts w:ascii="Arial" w:hAnsi="Arial" w:cs="Arial"/>
          <w:sz w:val="20"/>
          <w:szCs w:val="20"/>
        </w:rPr>
        <w:t>ransactions contain a rich volume of consumer and behavioral data that can improve the bill payment experience for billers and consumers. Our AI-powered analytics engine produces data-driven insights on consumer preferences, channel usage, bill lifecycles,</w:t>
      </w:r>
      <w:r>
        <w:rPr>
          <w:rFonts w:ascii="Arial" w:hAnsi="Arial" w:cs="Arial"/>
          <w:sz w:val="20"/>
          <w:szCs w:val="20"/>
        </w:rPr>
        <w:t xml:space="preserve"> messaging effectiveness and paper suppression and can be used by billers to improve the consumer experience. For example, our analytics engine can analyze frequently asked questions to call centers and enable billers to quickly predict answers to those qu</w:t>
      </w:r>
      <w:r>
        <w:rPr>
          <w:rFonts w:ascii="Arial" w:hAnsi="Arial" w:cs="Arial"/>
          <w:sz w:val="20"/>
          <w:szCs w:val="20"/>
        </w:rPr>
        <w:t>estions in the future, creating a better consumer experience with reduced cost to serve for the biller</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Technology Architectur</w:t>
      </w:r>
      <w:r>
        <w:rPr>
          <w:rFonts w:ascii="Arial" w:hAnsi="Arial" w:cs="Arial"/>
          <w:b/>
          <w:bCs/>
          <w:i/>
          <w:iCs/>
          <w:sz w:val="20"/>
          <w:szCs w:val="20"/>
        </w:rPr>
        <w:t>e</w:t>
      </w:r>
    </w:p>
    <w:p w:rsidR="00000000" w:rsidRDefault="00010F15">
      <w:pPr>
        <w:pStyle w:val="a3"/>
        <w:spacing w:before="120" w:beforeAutospacing="0" w:after="0" w:afterAutospacing="0"/>
        <w:ind w:firstLine="539"/>
        <w:rPr>
          <w:sz w:val="20"/>
          <w:szCs w:val="20"/>
        </w:rPr>
      </w:pPr>
      <w:r>
        <w:rPr>
          <w:rFonts w:ascii="Arial" w:hAnsi="Arial" w:cs="Arial"/>
          <w:sz w:val="20"/>
          <w:szCs w:val="20"/>
        </w:rPr>
        <w:t>Single Code Base: Our extensible, cloud-based payments platform was built from the ground-up on a single code base with no versi</w:t>
      </w:r>
      <w:r>
        <w:rPr>
          <w:rFonts w:ascii="Arial" w:hAnsi="Arial" w:cs="Arial"/>
          <w:sz w:val="20"/>
          <w:szCs w:val="20"/>
        </w:rPr>
        <w:t>oning, which enables rapid deployment of new features and tools in part because there is no need to manage and reconcile separate versions of our software code. This flexibility empowers billers, financial institutions and partners across our network to of</w:t>
      </w:r>
      <w:r>
        <w:rPr>
          <w:rFonts w:ascii="Arial" w:hAnsi="Arial" w:cs="Arial"/>
          <w:sz w:val="20"/>
          <w:szCs w:val="20"/>
        </w:rPr>
        <w:t>fer their consumers the strength of our platform without paying us development or implementation fees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AI / ML: Our biller platform uses AI and ML algorithms to increase efficiency and extract data-driven insights from transactions and interactions between</w:t>
      </w:r>
      <w:r>
        <w:rPr>
          <w:rFonts w:ascii="Arial" w:hAnsi="Arial" w:cs="Arial"/>
          <w:sz w:val="20"/>
          <w:szCs w:val="20"/>
        </w:rPr>
        <w:t xml:space="preserve"> consumers, billers, partners and our platform. These algorithms are embedded within, and enhance, each of our technology solutions to deliver a more intelligent and predictive consumer experience</w:t>
      </w:r>
      <w:r>
        <w:rPr>
          <w:rFonts w:ascii="Arial" w:hAnsi="Arial" w:cs="Arial"/>
          <w:sz w:val="20"/>
          <w:szCs w:val="20"/>
        </w:rPr>
        <w:t>.</w:t>
      </w:r>
      <w:r>
        <w:rPr>
          <w:rFonts w:ascii="Arial" w:hAnsi="Arial" w:cs="Arial"/>
          <w:sz w:val="20"/>
          <w:szCs w:val="20"/>
        </w:rPr>
        <w:t xml:space="preserve"> </w:t>
      </w:r>
    </w:p>
    <w:p w:rsidR="00000000" w:rsidRDefault="00010F15">
      <w:pPr>
        <w:pStyle w:val="a3"/>
        <w:spacing w:before="240" w:beforeAutospacing="0" w:after="0" w:afterAutospacing="0"/>
        <w:jc w:val="center"/>
        <w:rPr>
          <w:sz w:val="20"/>
          <w:szCs w:val="20"/>
        </w:rPr>
      </w:pPr>
      <w:r>
        <w:rPr>
          <w:rFonts w:ascii="Arial" w:hAnsi="Arial" w:cs="Arial"/>
          <w:b/>
          <w:bCs/>
          <w:sz w:val="20"/>
          <w:szCs w:val="20"/>
        </w:rPr>
        <w:t>Our Platform Feature</w:t>
      </w:r>
      <w:r>
        <w:rPr>
          <w:rFonts w:ascii="Arial" w:hAnsi="Arial" w:cs="Arial"/>
          <w:b/>
          <w:bCs/>
          <w:sz w:val="20"/>
          <w:szCs w:val="20"/>
        </w:rPr>
        <w:t>s</w:t>
      </w:r>
    </w:p>
    <w:p w:rsidR="00000000" w:rsidRDefault="00010F15">
      <w:pPr>
        <w:pStyle w:val="a3"/>
        <w:spacing w:before="120" w:beforeAutospacing="0" w:after="0" w:afterAutospacing="0"/>
        <w:ind w:firstLine="539"/>
        <w:rPr>
          <w:sz w:val="20"/>
          <w:szCs w:val="20"/>
        </w:rPr>
      </w:pPr>
      <w:r>
        <w:rPr>
          <w:rFonts w:ascii="Arial" w:hAnsi="Arial" w:cs="Arial"/>
          <w:sz w:val="20"/>
          <w:szCs w:val="20"/>
        </w:rPr>
        <w:t>The electronic bill payment process</w:t>
      </w:r>
      <w:r>
        <w:rPr>
          <w:rFonts w:ascii="Arial" w:hAnsi="Arial" w:cs="Arial"/>
          <w:sz w:val="20"/>
          <w:szCs w:val="20"/>
        </w:rPr>
        <w:t xml:space="preserve"> involves more than just a payment. It requires an end-to-end engagement mechanism that facilitates communication and payment between billers, partners and consumers to ensure timely and transparent payment through a frictionless consumer experience. Vario</w:t>
      </w:r>
      <w:r>
        <w:rPr>
          <w:rFonts w:ascii="Arial" w:hAnsi="Arial" w:cs="Arial"/>
          <w:sz w:val="20"/>
          <w:szCs w:val="20"/>
        </w:rPr>
        <w:t>us features of our platform support this</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Consumer Engagement: We enable our billers to improve their consumer engagement with targeted communications, such as smart notifications, broadcast messaging, inbound and outbound communications, and campaign man</w:t>
      </w:r>
      <w:r>
        <w:rPr>
          <w:rFonts w:ascii="Arial" w:hAnsi="Arial" w:cs="Arial"/>
          <w:sz w:val="20"/>
          <w:szCs w:val="20"/>
        </w:rPr>
        <w:t>agement, all of which are managed by our communications management tools. Our engagement modules allow billers to communicate with consumers based on desired characteristics such as regional location, due date, account status (such as late payment), or cus</w:t>
      </w:r>
      <w:r>
        <w:rPr>
          <w:rFonts w:ascii="Arial" w:hAnsi="Arial" w:cs="Arial"/>
          <w:sz w:val="20"/>
          <w:szCs w:val="20"/>
        </w:rPr>
        <w:t>tom logic. Our billers can also communicate new offerings, incentives for payment and new payment types (such as PayPal). In 2021, our billers sent approximately 135 million emails, sent 8 million text messages and had over 2 million IVR calls using our co</w:t>
      </w:r>
      <w:r>
        <w:rPr>
          <w:rFonts w:ascii="Arial" w:hAnsi="Arial" w:cs="Arial"/>
          <w:sz w:val="20"/>
          <w:szCs w:val="20"/>
        </w:rPr>
        <w:t>mmunications modules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Bill Presentment: Billers can present electronic bills and balance amounts through the biller’s own mobile app, text, secure PDFs, IVR, and chatbots or via alternative channels such as digital wallets, the AI-assistant voice service o</w:t>
      </w:r>
      <w:r>
        <w:rPr>
          <w:rFonts w:ascii="Arial" w:hAnsi="Arial" w:cs="Arial"/>
          <w:sz w:val="20"/>
          <w:szCs w:val="20"/>
        </w:rPr>
        <w:t>f a leading global ecommerce retailer, PayPal’s bill pay app, social media and our other IPN Partners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Consumer and Biller Employee Empowerment: We enable billers and financial institutions to empower both their consumers and employees, which significantly</w:t>
      </w:r>
      <w:r>
        <w:rPr>
          <w:rFonts w:ascii="Arial" w:hAnsi="Arial" w:cs="Arial"/>
          <w:sz w:val="20"/>
          <w:szCs w:val="20"/>
        </w:rPr>
        <w:t xml:space="preserve"> increases consumer satisfaction and on-time bill payment rates for many of our billers. Billers and financial institutions are able to empower consumers with an array of choices</w:t>
      </w:r>
      <w:r>
        <w:rPr>
          <w:rFonts w:ascii="Arial" w:hAnsi="Arial" w:cs="Arial"/>
          <w:sz w:val="20"/>
          <w:szCs w:val="20"/>
        </w:rPr>
        <w:t>:</w:t>
      </w:r>
    </w:p>
    <w:p w:rsidR="00000000" w:rsidRDefault="00010F15">
      <w:pPr>
        <w:divId w:val="163981934"/>
        <w:rPr>
          <w:rFonts w:eastAsia="Times New Roman"/>
        </w:rPr>
      </w:pPr>
      <w:r>
        <w:rPr>
          <w:rFonts w:eastAsia="Times New Roman"/>
          <w:sz w:val="20"/>
          <w:szCs w:val="20"/>
        </w:rPr>
        <w:t>•</w:t>
      </w:r>
    </w:p>
    <w:p w:rsidR="00000000" w:rsidRDefault="00010F15">
      <w:pPr>
        <w:divId w:val="993800616"/>
        <w:rPr>
          <w:rFonts w:eastAsia="Times New Roman"/>
        </w:rPr>
      </w:pPr>
      <w:r>
        <w:rPr>
          <w:rFonts w:ascii="Arial" w:eastAsia="Times New Roman" w:hAnsi="Arial" w:cs="Arial"/>
          <w:sz w:val="20"/>
          <w:szCs w:val="20"/>
        </w:rPr>
        <w:t>communications preferences – consumers can choose email, text, portal or o</w:t>
      </w:r>
      <w:r>
        <w:rPr>
          <w:rFonts w:ascii="Arial" w:eastAsia="Times New Roman" w:hAnsi="Arial" w:cs="Arial"/>
          <w:sz w:val="20"/>
          <w:szCs w:val="20"/>
        </w:rPr>
        <w:t>therwise</w:t>
      </w:r>
      <w:r>
        <w:rPr>
          <w:rFonts w:ascii="Arial" w:eastAsia="Times New Roman" w:hAnsi="Arial" w:cs="Arial"/>
          <w:sz w:val="20"/>
          <w:szCs w:val="20"/>
        </w:rPr>
        <w:t>;</w:t>
      </w:r>
    </w:p>
    <w:p w:rsidR="00000000" w:rsidRDefault="00010F15">
      <w:pPr>
        <w:divId w:val="841243933"/>
        <w:rPr>
          <w:rFonts w:eastAsia="Times New Roman"/>
        </w:rPr>
      </w:pPr>
      <w:r>
        <w:rPr>
          <w:rFonts w:eastAsia="Times New Roman"/>
          <w:sz w:val="20"/>
          <w:szCs w:val="20"/>
        </w:rPr>
        <w:t>•</w:t>
      </w:r>
    </w:p>
    <w:p w:rsidR="00000000" w:rsidRDefault="00010F15">
      <w:pPr>
        <w:divId w:val="1251619498"/>
        <w:rPr>
          <w:rFonts w:eastAsia="Times New Roman"/>
        </w:rPr>
      </w:pPr>
      <w:r>
        <w:rPr>
          <w:rFonts w:ascii="Arial" w:eastAsia="Times New Roman" w:hAnsi="Arial" w:cs="Arial"/>
          <w:sz w:val="20"/>
          <w:szCs w:val="20"/>
        </w:rPr>
        <w:t>language preferences – consumers can select their preferred language for receiving billing information and interact via IVR</w:t>
      </w:r>
      <w:r>
        <w:rPr>
          <w:rFonts w:ascii="Arial" w:eastAsia="Times New Roman" w:hAnsi="Arial" w:cs="Arial"/>
          <w:sz w:val="20"/>
          <w:szCs w:val="20"/>
        </w:rPr>
        <w:t>;</w:t>
      </w:r>
    </w:p>
    <w:p w:rsidR="00000000" w:rsidRDefault="00010F15">
      <w:pPr>
        <w:pStyle w:val="a3"/>
        <w:spacing w:before="0" w:beforeAutospacing="0" w:after="0" w:afterAutospacing="0"/>
        <w:jc w:val="center"/>
        <w:rPr>
          <w:sz w:val="20"/>
          <w:szCs w:val="20"/>
        </w:rPr>
      </w:pPr>
      <w:r>
        <w:rPr>
          <w:rFonts w:ascii="Arial" w:hAnsi="Arial" w:cs="Arial"/>
          <w:sz w:val="20"/>
          <w:szCs w:val="20"/>
        </w:rPr>
        <w:t>1</w:t>
      </w:r>
      <w:r>
        <w:rPr>
          <w:rFonts w:ascii="Arial" w:hAnsi="Arial" w:cs="Arial"/>
          <w:sz w:val="20"/>
          <w:szCs w:val="20"/>
        </w:rPr>
        <w:t>0</w:t>
      </w:r>
    </w:p>
    <w:p w:rsidR="00000000" w:rsidRDefault="00010F15">
      <w:pPr>
        <w:rPr>
          <w:rFonts w:eastAsia="Times New Roman"/>
        </w:rPr>
      </w:pPr>
      <w:r>
        <w:rPr>
          <w:rFonts w:eastAsia="Times New Roman"/>
        </w:rPr>
        <w:pict>
          <v:rect id="_x0000_i1034"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divId w:val="1144278542"/>
        <w:rPr>
          <w:rFonts w:eastAsia="Times New Roman"/>
        </w:rPr>
      </w:pPr>
      <w:r>
        <w:rPr>
          <w:rFonts w:eastAsia="Times New Roman"/>
          <w:sz w:val="20"/>
          <w:szCs w:val="20"/>
        </w:rPr>
        <w:t>•</w:t>
      </w:r>
    </w:p>
    <w:p w:rsidR="00000000" w:rsidRDefault="00010F15">
      <w:pPr>
        <w:divId w:val="917901288"/>
        <w:rPr>
          <w:rFonts w:eastAsia="Times New Roman"/>
        </w:rPr>
      </w:pPr>
      <w:r>
        <w:rPr>
          <w:rFonts w:ascii="Arial" w:eastAsia="Times New Roman" w:hAnsi="Arial" w:cs="Arial"/>
          <w:sz w:val="20"/>
          <w:szCs w:val="20"/>
        </w:rPr>
        <w:t xml:space="preserve">payment scheduling and type – </w:t>
      </w:r>
      <w:r>
        <w:rPr>
          <w:rFonts w:ascii="Arial" w:eastAsia="Times New Roman" w:hAnsi="Arial" w:cs="Arial"/>
          <w:sz w:val="20"/>
          <w:szCs w:val="20"/>
        </w:rPr>
        <w:t>consumers can schedule payments at specific times and use specific payment type to best suit their needs; an</w:t>
      </w:r>
      <w:r>
        <w:rPr>
          <w:rFonts w:ascii="Arial" w:eastAsia="Times New Roman" w:hAnsi="Arial" w:cs="Arial"/>
          <w:sz w:val="20"/>
          <w:szCs w:val="20"/>
        </w:rPr>
        <w:t>d</w:t>
      </w:r>
    </w:p>
    <w:p w:rsidR="00000000" w:rsidRDefault="00010F15">
      <w:pPr>
        <w:divId w:val="137769447"/>
        <w:rPr>
          <w:rFonts w:eastAsia="Times New Roman"/>
        </w:rPr>
      </w:pPr>
      <w:r>
        <w:rPr>
          <w:rFonts w:eastAsia="Times New Roman"/>
          <w:sz w:val="20"/>
          <w:szCs w:val="20"/>
        </w:rPr>
        <w:t>•</w:t>
      </w:r>
    </w:p>
    <w:p w:rsidR="00000000" w:rsidRDefault="00010F15">
      <w:pPr>
        <w:divId w:val="53160526"/>
        <w:rPr>
          <w:rFonts w:eastAsia="Times New Roman"/>
        </w:rPr>
      </w:pPr>
      <w:r>
        <w:rPr>
          <w:rFonts w:ascii="Arial" w:eastAsia="Times New Roman" w:hAnsi="Arial" w:cs="Arial"/>
          <w:sz w:val="20"/>
          <w:szCs w:val="20"/>
        </w:rPr>
        <w:t xml:space="preserve">multi-account management – </w:t>
      </w:r>
      <w:r>
        <w:rPr>
          <w:rFonts w:ascii="Arial" w:eastAsia="Times New Roman" w:hAnsi="Arial" w:cs="Arial"/>
          <w:sz w:val="20"/>
          <w:szCs w:val="20"/>
        </w:rPr>
        <w:t>consumers can manage multiple accounts with a single provider in one place.</w:t>
      </w:r>
      <w:r>
        <w:rPr>
          <w:rFonts w:ascii="Arial" w:eastAsia="Times New Roman"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We offer complementary features to our biller’s employees, including tools for automated case management, configurable reporting and “see what they see” where the customer service</w:t>
      </w:r>
      <w:r>
        <w:rPr>
          <w:rFonts w:ascii="Arial" w:hAnsi="Arial" w:cs="Arial"/>
          <w:sz w:val="20"/>
          <w:szCs w:val="20"/>
        </w:rPr>
        <w:t xml:space="preserve"> employees can see exactly what the consumer sees to quickly resolve problems</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We have also made significant investments in research and development, including in an automated, streamlined onboarding experience to help our billers and financial institutio</w:t>
      </w:r>
      <w:r>
        <w:rPr>
          <w:rFonts w:ascii="Arial" w:hAnsi="Arial" w:cs="Arial"/>
          <w:sz w:val="20"/>
          <w:szCs w:val="20"/>
        </w:rPr>
        <w:t>ns go live faster and in self-service features to help billers quickly adapt to consumer needs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Payment Types: We have significantly invested in innovative payment types to provide billers a seamless, omni-channel suite of tools. We believe no other provid</w:t>
      </w:r>
      <w:r>
        <w:rPr>
          <w:rFonts w:ascii="Arial" w:hAnsi="Arial" w:cs="Arial"/>
          <w:sz w:val="20"/>
          <w:szCs w:val="20"/>
        </w:rPr>
        <w:t>er in our markets offers a similar array of easy-to-implement options</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 xml:space="preserve">These features are seamlessly integrated with our engagement and empowerment tools to provide a superior consumer biller and financial institutions experience. Our platform supports a </w:t>
      </w:r>
      <w:r>
        <w:rPr>
          <w:rFonts w:ascii="Arial" w:hAnsi="Arial" w:cs="Arial"/>
          <w:sz w:val="20"/>
          <w:szCs w:val="20"/>
        </w:rPr>
        <w:t>variety of payment types, including</w:t>
      </w:r>
      <w:r>
        <w:rPr>
          <w:rFonts w:ascii="Arial" w:hAnsi="Arial" w:cs="Arial"/>
          <w:sz w:val="20"/>
          <w:szCs w:val="20"/>
        </w:rPr>
        <w:t>:</w:t>
      </w:r>
    </w:p>
    <w:p w:rsidR="00000000" w:rsidRDefault="00010F15">
      <w:pPr>
        <w:divId w:val="192698230"/>
        <w:rPr>
          <w:rFonts w:eastAsia="Times New Roman"/>
        </w:rPr>
      </w:pPr>
      <w:r>
        <w:rPr>
          <w:rFonts w:eastAsia="Times New Roman"/>
          <w:sz w:val="20"/>
          <w:szCs w:val="20"/>
        </w:rPr>
        <w:t>•</w:t>
      </w:r>
    </w:p>
    <w:p w:rsidR="00000000" w:rsidRDefault="00010F15">
      <w:pPr>
        <w:divId w:val="2071346094"/>
        <w:rPr>
          <w:rFonts w:eastAsia="Times New Roman"/>
        </w:rPr>
      </w:pPr>
      <w:r>
        <w:rPr>
          <w:rFonts w:ascii="Arial" w:eastAsia="Times New Roman" w:hAnsi="Arial" w:cs="Arial"/>
          <w:sz w:val="20"/>
          <w:szCs w:val="20"/>
        </w:rPr>
        <w:t>ACH and eCheck;</w:t>
      </w:r>
      <w:r>
        <w:rPr>
          <w:rFonts w:ascii="Arial" w:eastAsia="Times New Roman" w:hAnsi="Arial" w:cs="Arial"/>
          <w:sz w:val="20"/>
          <w:szCs w:val="20"/>
        </w:rPr>
        <w:t xml:space="preserve"> </w:t>
      </w:r>
    </w:p>
    <w:p w:rsidR="00000000" w:rsidRDefault="00010F15">
      <w:pPr>
        <w:divId w:val="467625131"/>
        <w:rPr>
          <w:rFonts w:eastAsia="Times New Roman"/>
        </w:rPr>
      </w:pPr>
      <w:r>
        <w:rPr>
          <w:rFonts w:eastAsia="Times New Roman"/>
          <w:sz w:val="20"/>
          <w:szCs w:val="20"/>
        </w:rPr>
        <w:t>•</w:t>
      </w:r>
    </w:p>
    <w:p w:rsidR="00000000" w:rsidRDefault="00010F15">
      <w:pPr>
        <w:divId w:val="1887138708"/>
        <w:rPr>
          <w:rFonts w:eastAsia="Times New Roman"/>
        </w:rPr>
      </w:pPr>
      <w:r>
        <w:rPr>
          <w:rFonts w:ascii="Arial" w:eastAsia="Times New Roman" w:hAnsi="Arial" w:cs="Arial"/>
          <w:sz w:val="20"/>
          <w:szCs w:val="20"/>
        </w:rPr>
        <w:t>debit card</w:t>
      </w:r>
      <w:r>
        <w:rPr>
          <w:rFonts w:ascii="Arial" w:eastAsia="Times New Roman" w:hAnsi="Arial" w:cs="Arial"/>
          <w:sz w:val="20"/>
          <w:szCs w:val="20"/>
        </w:rPr>
        <w:t>;</w:t>
      </w:r>
    </w:p>
    <w:p w:rsidR="00000000" w:rsidRDefault="00010F15">
      <w:pPr>
        <w:divId w:val="2107269966"/>
        <w:rPr>
          <w:rFonts w:eastAsia="Times New Roman"/>
        </w:rPr>
      </w:pPr>
      <w:r>
        <w:rPr>
          <w:rFonts w:eastAsia="Times New Roman"/>
          <w:sz w:val="20"/>
          <w:szCs w:val="20"/>
        </w:rPr>
        <w:t>•</w:t>
      </w:r>
    </w:p>
    <w:p w:rsidR="00000000" w:rsidRDefault="00010F15">
      <w:pPr>
        <w:divId w:val="569540387"/>
        <w:rPr>
          <w:rFonts w:eastAsia="Times New Roman"/>
        </w:rPr>
      </w:pPr>
      <w:r>
        <w:rPr>
          <w:rFonts w:ascii="Arial" w:eastAsia="Times New Roman" w:hAnsi="Arial" w:cs="Arial"/>
          <w:sz w:val="20"/>
          <w:szCs w:val="20"/>
        </w:rPr>
        <w:t>credit card; an</w:t>
      </w:r>
      <w:r>
        <w:rPr>
          <w:rFonts w:ascii="Arial" w:eastAsia="Times New Roman" w:hAnsi="Arial" w:cs="Arial"/>
          <w:sz w:val="20"/>
          <w:szCs w:val="20"/>
        </w:rPr>
        <w:t>d</w:t>
      </w:r>
    </w:p>
    <w:p w:rsidR="00000000" w:rsidRDefault="00010F15">
      <w:pPr>
        <w:divId w:val="782190794"/>
        <w:rPr>
          <w:rFonts w:eastAsia="Times New Roman"/>
        </w:rPr>
      </w:pPr>
      <w:r>
        <w:rPr>
          <w:rFonts w:eastAsia="Times New Roman"/>
          <w:sz w:val="20"/>
          <w:szCs w:val="20"/>
        </w:rPr>
        <w:t>•</w:t>
      </w:r>
    </w:p>
    <w:p w:rsidR="00000000" w:rsidRDefault="00010F15">
      <w:pPr>
        <w:divId w:val="1587836497"/>
        <w:rPr>
          <w:rFonts w:eastAsia="Times New Roman"/>
        </w:rPr>
      </w:pPr>
      <w:r>
        <w:rPr>
          <w:rFonts w:ascii="Arial" w:eastAsia="Times New Roman" w:hAnsi="Arial" w:cs="Arial"/>
          <w:sz w:val="20"/>
          <w:szCs w:val="20"/>
        </w:rPr>
        <w:t>emerging payment types</w:t>
      </w:r>
      <w:r>
        <w:rPr>
          <w:rFonts w:ascii="Arial" w:eastAsia="Times New Roman"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Emerging payment types include PayPal, Venmo, PayPal Credit, Apple Pay, Google Pay and Amazon Pay. These payment types are gaining increasing</w:t>
      </w:r>
      <w:r>
        <w:rPr>
          <w:rFonts w:ascii="Arial" w:hAnsi="Arial" w:cs="Arial"/>
          <w:sz w:val="20"/>
          <w:szCs w:val="20"/>
        </w:rPr>
        <w:t xml:space="preserve"> traction with consumers, and as a result, are viewed as increasingly important by billers and financial institutions</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 xml:space="preserve">Payment Channels: Our platform offers an omni-channel payment infrastructure, which means that it enables bill payments through all the </w:t>
      </w:r>
      <w:r>
        <w:rPr>
          <w:rFonts w:ascii="Arial" w:hAnsi="Arial" w:cs="Arial"/>
          <w:sz w:val="20"/>
          <w:szCs w:val="20"/>
        </w:rPr>
        <w:t>traditional payment channels billers and consumers expect, as well as many emerging payment channels. These include web portal, mobile, IVR, text, secure PDF, chatbot, agent-assisted (call center), in-person, the AI-assistant voice service of a leading glo</w:t>
      </w:r>
      <w:r>
        <w:rPr>
          <w:rFonts w:ascii="Arial" w:hAnsi="Arial" w:cs="Arial"/>
          <w:sz w:val="20"/>
          <w:szCs w:val="20"/>
        </w:rPr>
        <w:t>bal ecommerce retailer, in Walmart stores and through alternative payment rails such as PayPal. Key features and examples of several of these channels are described and illustrated in the following pages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Chatbot: Enable billers to engage with consumers th</w:t>
      </w:r>
      <w:r>
        <w:rPr>
          <w:rFonts w:ascii="Arial" w:hAnsi="Arial" w:cs="Arial"/>
          <w:sz w:val="20"/>
          <w:szCs w:val="20"/>
        </w:rPr>
        <w:t>rough an automated, AI-powered interface that constantly improves the customer service experience through data-driven insights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PayPal App: Leveraging our APIs, PayPal’s U.S. consumers can pay their bills directly from PayPal</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 xml:space="preserve">Secure Service: Our patented </w:t>
      </w:r>
      <w:r>
        <w:rPr>
          <w:rFonts w:ascii="Arial" w:hAnsi="Arial" w:cs="Arial"/>
          <w:sz w:val="20"/>
          <w:szCs w:val="20"/>
        </w:rPr>
        <w:t xml:space="preserve">Secure Service feature enables billers to accept payments over the phone while minimizing PCI-DSS compliance risk. Many billers avoid accepting payment information over the phone by directing consumers to websites or automated phone systems, which creates </w:t>
      </w:r>
      <w:r>
        <w:rPr>
          <w:rFonts w:ascii="Arial" w:hAnsi="Arial" w:cs="Arial"/>
          <w:sz w:val="20"/>
          <w:szCs w:val="20"/>
        </w:rPr>
        <w:t>poor experiences and results in abandoned payments. Our Secure Service allows the biller’s employee and the consumer to remain connected throughout the process, while removing the biller’s employee from PCI-DSS scope by concealing payment details. As a res</w:t>
      </w:r>
      <w:r>
        <w:rPr>
          <w:rFonts w:ascii="Arial" w:hAnsi="Arial" w:cs="Arial"/>
          <w:sz w:val="20"/>
          <w:szCs w:val="20"/>
        </w:rPr>
        <w:t>ult, the transaction is able to be completed securely and the consumer can be returned to the same employee directly on completion</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AI-assistant Voice Service: We power bill payments for the AI-assistant voice service of a leading global ecommerce retailer</w:t>
      </w:r>
      <w:r>
        <w:rPr>
          <w:rFonts w:ascii="Arial" w:hAnsi="Arial" w:cs="Arial"/>
          <w:sz w:val="20"/>
          <w:szCs w:val="20"/>
        </w:rPr>
        <w:t>, enabling millions of its users to retrieve information about, and pay, their bills for all billers on our network using voice commands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Text-based: Pay by text leverages our text based bill presentment technology for a text payment authorization, which t</w:t>
      </w:r>
      <w:r>
        <w:rPr>
          <w:rFonts w:ascii="Arial" w:hAnsi="Arial" w:cs="Arial"/>
          <w:sz w:val="20"/>
          <w:szCs w:val="20"/>
        </w:rPr>
        <w:t>hen uses stored payment types in the consumer’s account</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IVR: Interactive voice response is a powerful tool to make payments and check balances, and is available in multi-lingual options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Agent-assisted Call Center Payments: Our agent-assisted call center</w:t>
      </w:r>
      <w:r>
        <w:rPr>
          <w:rFonts w:ascii="Arial" w:hAnsi="Arial" w:cs="Arial"/>
          <w:sz w:val="20"/>
          <w:szCs w:val="20"/>
        </w:rPr>
        <w:t xml:space="preserve"> capability enables a biller to support and assist their consumers with bill payments and other related issues</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Portal: Our bill payment portal enables billers to provide advanced usage and consumption data to their consumers such as power use by day</w:t>
      </w:r>
      <w:r>
        <w:rPr>
          <w:rFonts w:ascii="Arial" w:hAnsi="Arial" w:cs="Arial"/>
          <w:sz w:val="20"/>
          <w:szCs w:val="20"/>
        </w:rPr>
        <w:t>.</w:t>
      </w:r>
    </w:p>
    <w:p w:rsidR="00000000" w:rsidRDefault="00010F15">
      <w:pPr>
        <w:pStyle w:val="a3"/>
        <w:spacing w:before="0" w:beforeAutospacing="0" w:after="0" w:afterAutospacing="0"/>
        <w:jc w:val="center"/>
        <w:rPr>
          <w:sz w:val="20"/>
          <w:szCs w:val="20"/>
        </w:rPr>
      </w:pPr>
      <w:r>
        <w:rPr>
          <w:rFonts w:ascii="Arial" w:hAnsi="Arial" w:cs="Arial"/>
          <w:sz w:val="20"/>
          <w:szCs w:val="20"/>
        </w:rPr>
        <w:t>1</w:t>
      </w:r>
      <w:r>
        <w:rPr>
          <w:rFonts w:ascii="Arial" w:hAnsi="Arial" w:cs="Arial"/>
          <w:sz w:val="20"/>
          <w:szCs w:val="20"/>
        </w:rPr>
        <w:t>1</w:t>
      </w:r>
    </w:p>
    <w:p w:rsidR="00000000" w:rsidRDefault="00010F15">
      <w:pPr>
        <w:rPr>
          <w:rFonts w:eastAsia="Times New Roman"/>
        </w:rPr>
      </w:pPr>
      <w:r>
        <w:rPr>
          <w:rFonts w:eastAsia="Times New Roman"/>
        </w:rPr>
        <w:pict>
          <v:rect id="_x0000_i1035"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120" w:beforeAutospacing="0" w:after="0" w:afterAutospacing="0"/>
        <w:ind w:firstLine="539"/>
        <w:rPr>
          <w:sz w:val="20"/>
          <w:szCs w:val="20"/>
        </w:rPr>
      </w:pPr>
      <w:r>
        <w:rPr>
          <w:rFonts w:ascii="Arial" w:hAnsi="Arial" w:cs="Arial"/>
          <w:sz w:val="20"/>
          <w:szCs w:val="20"/>
        </w:rPr>
        <w:t>In-person Payments: We also power in-person payments, which include payments at kiosks or a counter for point-of-sale transactions. This is particularly appealing for many billers who may have a local customer serv</w:t>
      </w:r>
      <w:r>
        <w:rPr>
          <w:rFonts w:ascii="Arial" w:hAnsi="Arial" w:cs="Arial"/>
          <w:sz w:val="20"/>
          <w:szCs w:val="20"/>
        </w:rPr>
        <w:t>ice center</w:t>
      </w:r>
      <w:r>
        <w:rPr>
          <w:rFonts w:ascii="Arial" w:hAnsi="Arial" w:cs="Arial"/>
          <w:sz w:val="20"/>
          <w:szCs w:val="20"/>
        </w:rPr>
        <w:t>.</w:t>
      </w:r>
    </w:p>
    <w:p w:rsidR="00000000" w:rsidRDefault="00010F15">
      <w:pPr>
        <w:pStyle w:val="a3"/>
        <w:spacing w:before="120" w:beforeAutospacing="0" w:after="240" w:afterAutospacing="0"/>
        <w:ind w:firstLine="539"/>
        <w:rPr>
          <w:sz w:val="20"/>
          <w:szCs w:val="20"/>
        </w:rPr>
      </w:pPr>
      <w:r>
        <w:rPr>
          <w:rFonts w:ascii="Arial" w:hAnsi="Arial" w:cs="Arial"/>
          <w:sz w:val="20"/>
          <w:szCs w:val="20"/>
        </w:rPr>
        <w:t>Payment Timing: We support an array of timing alternatives including one-time guest payments, recurring payments, future-dated payments, multiple payments and payment plans</w:t>
      </w:r>
      <w:r>
        <w:rPr>
          <w:rFonts w:ascii="Arial" w:hAnsi="Arial" w:cs="Arial"/>
          <w:sz w:val="20"/>
          <w:szCs w:val="20"/>
        </w:rPr>
        <w:t>.</w:t>
      </w:r>
    </w:p>
    <w:p w:rsidR="00000000" w:rsidRDefault="00010F15">
      <w:pPr>
        <w:pStyle w:val="a3"/>
        <w:spacing w:before="0" w:beforeAutospacing="0" w:after="0" w:afterAutospacing="0"/>
        <w:jc w:val="center"/>
        <w:rPr>
          <w:sz w:val="20"/>
          <w:szCs w:val="20"/>
        </w:rPr>
      </w:pPr>
      <w:r>
        <w:rPr>
          <w:rFonts w:ascii="Arial" w:hAnsi="Arial" w:cs="Arial"/>
          <w:b/>
          <w:bCs/>
          <w:sz w:val="20"/>
          <w:szCs w:val="20"/>
        </w:rPr>
        <w:t>What Sets Us Apar</w:t>
      </w:r>
      <w:r>
        <w:rPr>
          <w:rFonts w:ascii="Arial" w:hAnsi="Arial" w:cs="Arial"/>
          <w:b/>
          <w:bCs/>
          <w:sz w:val="20"/>
          <w:szCs w:val="20"/>
        </w:rPr>
        <w:t>t</w:t>
      </w:r>
    </w:p>
    <w:p w:rsidR="00000000" w:rsidRDefault="00010F15">
      <w:pPr>
        <w:pStyle w:val="a3"/>
        <w:spacing w:before="120" w:beforeAutospacing="0" w:after="0" w:afterAutospacing="0"/>
        <w:ind w:firstLine="539"/>
        <w:rPr>
          <w:sz w:val="20"/>
          <w:szCs w:val="20"/>
        </w:rPr>
      </w:pPr>
      <w:r>
        <w:rPr>
          <w:rFonts w:ascii="Arial" w:hAnsi="Arial" w:cs="Arial"/>
          <w:sz w:val="20"/>
          <w:szCs w:val="20"/>
        </w:rPr>
        <w:t>Paymentus was built on the notion that existing bil</w:t>
      </w:r>
      <w:r>
        <w:rPr>
          <w:rFonts w:ascii="Arial" w:hAnsi="Arial" w:cs="Arial"/>
          <w:sz w:val="20"/>
          <w:szCs w:val="20"/>
        </w:rPr>
        <w:t>l payment systems are not equipped to handle how bills will be paid in the future. Our platform is a cloud-native solution that automates the entire bill payments lifecycle between billers and financial institutions and consumers through a single integrati</w:t>
      </w:r>
      <w:r>
        <w:rPr>
          <w:rFonts w:ascii="Arial" w:hAnsi="Arial" w:cs="Arial"/>
          <w:sz w:val="20"/>
          <w:szCs w:val="20"/>
        </w:rPr>
        <w:t>on, simplifying how consumers pay bills and accelerating billers’ revenue recognition through the following characteristics</w:t>
      </w:r>
      <w:r>
        <w:rPr>
          <w:rFonts w:ascii="Arial" w:hAnsi="Arial" w:cs="Arial"/>
          <w:sz w:val="20"/>
          <w:szCs w:val="20"/>
        </w:rPr>
        <w:t>:</w:t>
      </w:r>
      <w:r>
        <w:rPr>
          <w:rFonts w:ascii="Arial" w:hAnsi="Arial" w:cs="Arial"/>
          <w:sz w:val="20"/>
          <w:szCs w:val="20"/>
        </w:rPr>
        <w:t xml:space="preserve"> </w:t>
      </w:r>
    </w:p>
    <w:p w:rsidR="00000000" w:rsidRDefault="00010F15">
      <w:pPr>
        <w:divId w:val="613095327"/>
        <w:rPr>
          <w:rFonts w:eastAsia="Times New Roman"/>
        </w:rPr>
      </w:pPr>
      <w:r>
        <w:rPr>
          <w:rFonts w:eastAsia="Times New Roman"/>
          <w:sz w:val="20"/>
          <w:szCs w:val="20"/>
        </w:rPr>
        <w:t>•</w:t>
      </w:r>
    </w:p>
    <w:p w:rsidR="00000000" w:rsidRDefault="00010F15">
      <w:pPr>
        <w:divId w:val="139083384"/>
        <w:rPr>
          <w:rFonts w:eastAsia="Times New Roman"/>
        </w:rPr>
      </w:pPr>
      <w:r>
        <w:rPr>
          <w:rFonts w:ascii="Arial" w:eastAsia="Times New Roman" w:hAnsi="Arial" w:cs="Arial"/>
          <w:sz w:val="20"/>
          <w:szCs w:val="20"/>
        </w:rPr>
        <w:t>Scalable: Our mission-critical platform is designed to support high velocity throughput of daily, non-discretionary consumer bil</w:t>
      </w:r>
      <w:r>
        <w:rPr>
          <w:rFonts w:ascii="Arial" w:eastAsia="Times New Roman" w:hAnsi="Arial" w:cs="Arial"/>
          <w:sz w:val="20"/>
          <w:szCs w:val="20"/>
        </w:rPr>
        <w:t>l payments. Our platform is capable of scaling up market to serve large billers, each processing payments for millions of bills per month, while also serving smaller billers, each processing payments for one bill per month. In 2021, we processed over 280 m</w:t>
      </w:r>
      <w:r>
        <w:rPr>
          <w:rFonts w:ascii="Arial" w:eastAsia="Times New Roman" w:hAnsi="Arial" w:cs="Arial"/>
          <w:sz w:val="20"/>
          <w:szCs w:val="20"/>
        </w:rPr>
        <w:t>illion bill payments and an average of over 750,000 bill payments were made each day using our platform</w:t>
      </w:r>
      <w:r>
        <w:rPr>
          <w:rFonts w:ascii="Arial" w:eastAsia="Times New Roman" w:hAnsi="Arial" w:cs="Arial"/>
          <w:sz w:val="20"/>
          <w:szCs w:val="20"/>
        </w:rPr>
        <w:t>.</w:t>
      </w:r>
    </w:p>
    <w:p w:rsidR="00000000" w:rsidRDefault="00010F15">
      <w:pPr>
        <w:divId w:val="1100831628"/>
        <w:rPr>
          <w:rFonts w:eastAsia="Times New Roman"/>
        </w:rPr>
      </w:pPr>
      <w:r>
        <w:rPr>
          <w:rFonts w:eastAsia="Times New Roman"/>
          <w:sz w:val="20"/>
          <w:szCs w:val="20"/>
        </w:rPr>
        <w:t>•</w:t>
      </w:r>
    </w:p>
    <w:p w:rsidR="00000000" w:rsidRDefault="00010F15">
      <w:pPr>
        <w:divId w:val="1156071710"/>
        <w:rPr>
          <w:rFonts w:eastAsia="Times New Roman"/>
        </w:rPr>
      </w:pPr>
      <w:r>
        <w:rPr>
          <w:rFonts w:ascii="Arial" w:eastAsia="Times New Roman" w:hAnsi="Arial" w:cs="Arial"/>
          <w:sz w:val="20"/>
          <w:szCs w:val="20"/>
        </w:rPr>
        <w:t>Innovative: Our AI-enabled, SaaS architecture is the foundation of our unified platform. Our ML algorithms continuously learn and self-improve from t</w:t>
      </w:r>
      <w:r>
        <w:rPr>
          <w:rFonts w:ascii="Arial" w:eastAsia="Times New Roman" w:hAnsi="Arial" w:cs="Arial"/>
          <w:sz w:val="20"/>
          <w:szCs w:val="20"/>
        </w:rPr>
        <w:t>ransaction activity on our platform. Our platform and our intensely client-centric approach inform our product development strategy, enabling us to offer new features and functionality that improve our value proposition to our billers.</w:t>
      </w:r>
      <w:r>
        <w:rPr>
          <w:rFonts w:ascii="Arial" w:eastAsia="Times New Roman" w:hAnsi="Arial" w:cs="Arial"/>
          <w:sz w:val="20"/>
          <w:szCs w:val="20"/>
        </w:rPr>
        <w:t xml:space="preserve"> </w:t>
      </w:r>
    </w:p>
    <w:p w:rsidR="00000000" w:rsidRDefault="00010F15">
      <w:pPr>
        <w:divId w:val="1569998662"/>
        <w:rPr>
          <w:rFonts w:eastAsia="Times New Roman"/>
        </w:rPr>
      </w:pPr>
      <w:r>
        <w:rPr>
          <w:rFonts w:eastAsia="Times New Roman"/>
          <w:sz w:val="20"/>
          <w:szCs w:val="20"/>
        </w:rPr>
        <w:t>•</w:t>
      </w:r>
    </w:p>
    <w:p w:rsidR="00000000" w:rsidRDefault="00010F15">
      <w:pPr>
        <w:divId w:val="612904525"/>
        <w:rPr>
          <w:rFonts w:eastAsia="Times New Roman"/>
        </w:rPr>
      </w:pPr>
      <w:r>
        <w:rPr>
          <w:rFonts w:ascii="Arial" w:eastAsia="Times New Roman" w:hAnsi="Arial" w:cs="Arial"/>
          <w:sz w:val="20"/>
          <w:szCs w:val="20"/>
        </w:rPr>
        <w:t>Flexible: We supp</w:t>
      </w:r>
      <w:r>
        <w:rPr>
          <w:rFonts w:ascii="Arial" w:eastAsia="Times New Roman" w:hAnsi="Arial" w:cs="Arial"/>
          <w:sz w:val="20"/>
          <w:szCs w:val="20"/>
        </w:rPr>
        <w:t>ort multiple integration modalities to enhance our billers’ and financial institutions' ability to consume the full breadth of our platform. Some of our billers and financial institutions use our APIs or iFrames, which offer more control over the user expe</w:t>
      </w:r>
      <w:r>
        <w:rPr>
          <w:rFonts w:ascii="Arial" w:eastAsia="Times New Roman" w:hAnsi="Arial" w:cs="Arial"/>
          <w:sz w:val="20"/>
          <w:szCs w:val="20"/>
        </w:rPr>
        <w:t xml:space="preserve">rience, but require our infrastructure for payment processing and PCI-DSS compliance. Other billers use our fully hosted solution because they lack requisite IT resources and must leverage our technology and customer support systems to offer an electronic </w:t>
      </w:r>
      <w:r>
        <w:rPr>
          <w:rFonts w:ascii="Arial" w:eastAsia="Times New Roman" w:hAnsi="Arial" w:cs="Arial"/>
          <w:sz w:val="20"/>
          <w:szCs w:val="20"/>
        </w:rPr>
        <w:t>bill payment experience. We also allow our billers financial institutions to adopt a hybrid approach that leverages our APIs for certain environments</w:t>
      </w:r>
      <w:r>
        <w:rPr>
          <w:rFonts w:ascii="Arial" w:eastAsia="Times New Roman" w:hAnsi="Arial" w:cs="Arial"/>
          <w:sz w:val="20"/>
          <w:szCs w:val="20"/>
        </w:rPr>
        <w:t>.</w:t>
      </w:r>
    </w:p>
    <w:p w:rsidR="00000000" w:rsidRDefault="00010F15">
      <w:pPr>
        <w:divId w:val="148447920"/>
        <w:rPr>
          <w:rFonts w:eastAsia="Times New Roman"/>
        </w:rPr>
      </w:pPr>
      <w:r>
        <w:rPr>
          <w:rFonts w:eastAsia="Times New Roman"/>
          <w:sz w:val="20"/>
          <w:szCs w:val="20"/>
        </w:rPr>
        <w:t>•</w:t>
      </w:r>
    </w:p>
    <w:p w:rsidR="00000000" w:rsidRDefault="00010F15">
      <w:pPr>
        <w:divId w:val="2011179164"/>
        <w:rPr>
          <w:rFonts w:eastAsia="Times New Roman"/>
        </w:rPr>
      </w:pPr>
      <w:r>
        <w:rPr>
          <w:rFonts w:ascii="Arial" w:eastAsia="Times New Roman" w:hAnsi="Arial" w:cs="Arial"/>
          <w:sz w:val="20"/>
          <w:szCs w:val="20"/>
        </w:rPr>
        <w:t>Configurable: Our platform can rapidly and cost-effectively reconfigure our business logic to accommoda</w:t>
      </w:r>
      <w:r>
        <w:rPr>
          <w:rFonts w:ascii="Arial" w:eastAsia="Times New Roman" w:hAnsi="Arial" w:cs="Arial"/>
          <w:sz w:val="20"/>
          <w:szCs w:val="20"/>
        </w:rPr>
        <w:t xml:space="preserve">te the specific requirements of the different end markets we serve. In 2021, over 87% of new biller implementations were completed without any code changes or significant development costs. Once configured, we can use these solutions with new and existing </w:t>
      </w:r>
      <w:r>
        <w:rPr>
          <w:rFonts w:ascii="Arial" w:eastAsia="Times New Roman" w:hAnsi="Arial" w:cs="Arial"/>
          <w:sz w:val="20"/>
          <w:szCs w:val="20"/>
        </w:rPr>
        <w:t>billers to expand into new verticals and geographies. For example, in 2019, we developed a digital disbursement system for a biller in the insurance vertical. This product created new use cases for billers in other verticals, such as utility billers, to of</w:t>
      </w:r>
      <w:r>
        <w:rPr>
          <w:rFonts w:ascii="Arial" w:eastAsia="Times New Roman" w:hAnsi="Arial" w:cs="Arial"/>
          <w:sz w:val="20"/>
          <w:szCs w:val="20"/>
        </w:rPr>
        <w:t>fer deposit refunds to consumers. By developing products through this platform approach we are able to drive additional growth and expand the reach of our platform.</w:t>
      </w:r>
      <w:r>
        <w:rPr>
          <w:rFonts w:ascii="Arial" w:eastAsia="Times New Roman" w:hAnsi="Arial" w:cs="Arial"/>
          <w:sz w:val="20"/>
          <w:szCs w:val="20"/>
        </w:rPr>
        <w:t xml:space="preserve"> </w:t>
      </w:r>
    </w:p>
    <w:p w:rsidR="00000000" w:rsidRDefault="00010F15">
      <w:pPr>
        <w:divId w:val="591357879"/>
        <w:rPr>
          <w:rFonts w:eastAsia="Times New Roman"/>
        </w:rPr>
      </w:pPr>
      <w:r>
        <w:rPr>
          <w:rFonts w:eastAsia="Times New Roman"/>
          <w:sz w:val="20"/>
          <w:szCs w:val="20"/>
        </w:rPr>
        <w:t>•</w:t>
      </w:r>
    </w:p>
    <w:p w:rsidR="00000000" w:rsidRDefault="00010F15">
      <w:pPr>
        <w:divId w:val="1040398895"/>
        <w:rPr>
          <w:rFonts w:eastAsia="Times New Roman"/>
        </w:rPr>
      </w:pPr>
      <w:r>
        <w:rPr>
          <w:rFonts w:ascii="Arial" w:eastAsia="Times New Roman" w:hAnsi="Arial" w:cs="Arial"/>
          <w:sz w:val="20"/>
          <w:szCs w:val="20"/>
        </w:rPr>
        <w:t>Integrated: Our library of over 350 integrations to core accounting software systems, including leading CIS and ERP systems as well as core financial institution processing platforms and certain digital banking providers, helps connect disparate systems ac</w:t>
      </w:r>
      <w:r>
        <w:rPr>
          <w:rFonts w:ascii="Arial" w:eastAsia="Times New Roman" w:hAnsi="Arial" w:cs="Arial"/>
          <w:sz w:val="20"/>
          <w:szCs w:val="20"/>
        </w:rPr>
        <w:t>ross the electronic bill payment value chain. Our billers gain access to the entirety of our biller platform through an easy-to-deploy, single point of access. These integrations allow us to own and control the key components of the electronic bill payment</w:t>
      </w:r>
      <w:r>
        <w:rPr>
          <w:rFonts w:ascii="Arial" w:eastAsia="Times New Roman" w:hAnsi="Arial" w:cs="Arial"/>
          <w:sz w:val="20"/>
          <w:szCs w:val="20"/>
        </w:rPr>
        <w:t xml:space="preserve"> value chain, including accounting and back-end integrations to CIS and ERP systems. Our portfolio of integrations span hundreds of software versions – some of which are decades old but still in use today by many of our billers – which enables us to rapidl</w:t>
      </w:r>
      <w:r>
        <w:rPr>
          <w:rFonts w:ascii="Arial" w:eastAsia="Times New Roman" w:hAnsi="Arial" w:cs="Arial"/>
          <w:sz w:val="20"/>
          <w:szCs w:val="20"/>
        </w:rPr>
        <w:t>y integrate with billers and financial institutions. We believe competitors would need to invest significant time and resources in order to replicate our software integration portfolio.</w:t>
      </w:r>
      <w:r>
        <w:rPr>
          <w:rFonts w:ascii="Arial" w:eastAsia="Times New Roman" w:hAnsi="Arial" w:cs="Arial"/>
          <w:sz w:val="20"/>
          <w:szCs w:val="20"/>
        </w:rPr>
        <w:t xml:space="preserve"> </w:t>
      </w:r>
    </w:p>
    <w:p w:rsidR="00000000" w:rsidRDefault="00010F15">
      <w:pPr>
        <w:divId w:val="298923175"/>
        <w:rPr>
          <w:rFonts w:eastAsia="Times New Roman"/>
        </w:rPr>
      </w:pPr>
      <w:r>
        <w:rPr>
          <w:rFonts w:eastAsia="Times New Roman"/>
          <w:sz w:val="20"/>
          <w:szCs w:val="20"/>
        </w:rPr>
        <w:t>•</w:t>
      </w:r>
    </w:p>
    <w:p w:rsidR="00000000" w:rsidRDefault="00010F15">
      <w:pPr>
        <w:divId w:val="33503757"/>
        <w:rPr>
          <w:rFonts w:eastAsia="Times New Roman"/>
        </w:rPr>
      </w:pPr>
      <w:r>
        <w:rPr>
          <w:rFonts w:ascii="Arial" w:eastAsia="Times New Roman" w:hAnsi="Arial" w:cs="Arial"/>
          <w:sz w:val="20"/>
          <w:szCs w:val="20"/>
        </w:rPr>
        <w:t xml:space="preserve">Extensible: Our platform is designed to integrate with new payment </w:t>
      </w:r>
      <w:r>
        <w:rPr>
          <w:rFonts w:ascii="Arial" w:eastAsia="Times New Roman" w:hAnsi="Arial" w:cs="Arial"/>
          <w:sz w:val="20"/>
          <w:szCs w:val="20"/>
        </w:rPr>
        <w:t>and consumer engagement technologies as well as new software, strategic and IPN partners. For example, through integrations with PayPal and a leading global ecommerce retailer, we have extended our platform to hundreds of millions of new consumers who wish</w:t>
      </w:r>
      <w:r>
        <w:rPr>
          <w:rFonts w:ascii="Arial" w:eastAsia="Times New Roman" w:hAnsi="Arial" w:cs="Arial"/>
          <w:sz w:val="20"/>
          <w:szCs w:val="20"/>
        </w:rPr>
        <w:t xml:space="preserve"> to interact with billers in the PayPal app or through the AI-assistant voice service of a leading global ecommerce retailer.</w:t>
      </w:r>
      <w:r>
        <w:rPr>
          <w:rFonts w:ascii="Arial" w:eastAsia="Times New Roman" w:hAnsi="Arial" w:cs="Arial"/>
          <w:sz w:val="20"/>
          <w:szCs w:val="20"/>
        </w:rPr>
        <w:t xml:space="preserve"> </w:t>
      </w:r>
    </w:p>
    <w:p w:rsidR="00000000" w:rsidRDefault="00010F15">
      <w:pPr>
        <w:divId w:val="1445930037"/>
        <w:rPr>
          <w:rFonts w:eastAsia="Times New Roman"/>
        </w:rPr>
      </w:pPr>
      <w:r>
        <w:rPr>
          <w:rFonts w:eastAsia="Times New Roman"/>
          <w:sz w:val="20"/>
          <w:szCs w:val="20"/>
        </w:rPr>
        <w:t>•</w:t>
      </w:r>
    </w:p>
    <w:p w:rsidR="00000000" w:rsidRDefault="00010F15">
      <w:pPr>
        <w:divId w:val="85541107"/>
        <w:rPr>
          <w:rFonts w:eastAsia="Times New Roman"/>
        </w:rPr>
      </w:pPr>
      <w:r>
        <w:rPr>
          <w:rFonts w:ascii="Arial" w:eastAsia="Times New Roman" w:hAnsi="Arial" w:cs="Arial"/>
          <w:sz w:val="20"/>
          <w:szCs w:val="20"/>
        </w:rPr>
        <w:t>Secure: Biller, financial institution, partner and consumer security is of paramount importance to our business. Our PCI-DSS-co</w:t>
      </w:r>
      <w:r>
        <w:rPr>
          <w:rFonts w:ascii="Arial" w:eastAsia="Times New Roman" w:hAnsi="Arial" w:cs="Arial"/>
          <w:sz w:val="20"/>
          <w:szCs w:val="20"/>
        </w:rPr>
        <w:t>mpliant platform offers an intrusion detection and prevention system, multi-factor authentication and encryption and tokenization capabilities. We enforce our security policies and procedures through regular internal and third party audits, 24/7 digital mo</w:t>
      </w:r>
      <w:r>
        <w:rPr>
          <w:rFonts w:ascii="Arial" w:eastAsia="Times New Roman" w:hAnsi="Arial" w:cs="Arial"/>
          <w:sz w:val="20"/>
          <w:szCs w:val="20"/>
        </w:rPr>
        <w:t>nitoring, continued education and sophisticated technology tools.</w:t>
      </w:r>
      <w:r>
        <w:rPr>
          <w:rFonts w:ascii="Arial" w:eastAsia="Times New Roman" w:hAnsi="Arial" w:cs="Arial"/>
          <w:sz w:val="20"/>
          <w:szCs w:val="20"/>
        </w:rPr>
        <w:t xml:space="preserve"> </w:t>
      </w:r>
    </w:p>
    <w:p w:rsidR="00000000" w:rsidRDefault="00010F15">
      <w:pPr>
        <w:pStyle w:val="a3"/>
        <w:spacing w:before="0" w:beforeAutospacing="0" w:after="0" w:afterAutospacing="0"/>
        <w:jc w:val="center"/>
        <w:rPr>
          <w:sz w:val="20"/>
          <w:szCs w:val="20"/>
        </w:rPr>
      </w:pPr>
      <w:r>
        <w:rPr>
          <w:rFonts w:ascii="Arial" w:hAnsi="Arial" w:cs="Arial"/>
          <w:sz w:val="20"/>
          <w:szCs w:val="20"/>
        </w:rPr>
        <w:t>1</w:t>
      </w:r>
      <w:r>
        <w:rPr>
          <w:rFonts w:ascii="Arial" w:hAnsi="Arial" w:cs="Arial"/>
          <w:sz w:val="20"/>
          <w:szCs w:val="20"/>
        </w:rPr>
        <w:t>2</w:t>
      </w:r>
    </w:p>
    <w:p w:rsidR="00000000" w:rsidRDefault="00010F15">
      <w:pPr>
        <w:rPr>
          <w:rFonts w:eastAsia="Times New Roman"/>
        </w:rPr>
      </w:pPr>
      <w:r>
        <w:rPr>
          <w:rFonts w:eastAsia="Times New Roman"/>
        </w:rPr>
        <w:pict>
          <v:rect id="_x0000_i1036"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240" w:beforeAutospacing="0" w:after="0" w:afterAutospacing="0"/>
        <w:jc w:val="center"/>
        <w:rPr>
          <w:sz w:val="20"/>
          <w:szCs w:val="20"/>
        </w:rPr>
      </w:pPr>
      <w:r>
        <w:rPr>
          <w:rFonts w:ascii="Arial" w:hAnsi="Arial" w:cs="Arial"/>
          <w:b/>
          <w:bCs/>
          <w:sz w:val="20"/>
          <w:szCs w:val="20"/>
        </w:rPr>
        <w:t>Our Networ</w:t>
      </w:r>
      <w:r>
        <w:rPr>
          <w:rFonts w:ascii="Arial" w:hAnsi="Arial" w:cs="Arial"/>
          <w:b/>
          <w:bCs/>
          <w:sz w:val="20"/>
          <w:szCs w:val="20"/>
        </w:rPr>
        <w:t>k</w:t>
      </w:r>
    </w:p>
    <w:p w:rsidR="00000000" w:rsidRDefault="00010F15">
      <w:pPr>
        <w:pStyle w:val="a3"/>
        <w:spacing w:before="120" w:beforeAutospacing="0" w:after="0" w:afterAutospacing="0"/>
        <w:ind w:firstLine="539"/>
        <w:rPr>
          <w:sz w:val="20"/>
          <w:szCs w:val="20"/>
        </w:rPr>
      </w:pPr>
      <w:r>
        <w:rPr>
          <w:rFonts w:ascii="Arial" w:hAnsi="Arial" w:cs="Arial"/>
          <w:sz w:val="20"/>
          <w:szCs w:val="20"/>
        </w:rPr>
        <w:t>We believe our innovative technology platform enables us to sit at the nexus of a powerful multi-sided network of billers, financial institutions, partners and consumers. We use the power of this network to enhance the number of product features each bille</w:t>
      </w:r>
      <w:r>
        <w:rPr>
          <w:rFonts w:ascii="Arial" w:hAnsi="Arial" w:cs="Arial"/>
          <w:sz w:val="20"/>
          <w:szCs w:val="20"/>
        </w:rPr>
        <w:t>r uses to promote transaction growth. Our portfolio data shows that payment adoption is highly correlated to feature utilization. By increasing feature usage, we believe we will realize an increase in transaction volume from our billers</w:t>
      </w:r>
      <w:r>
        <w:rPr>
          <w:rFonts w:ascii="Arial" w:hAnsi="Arial" w:cs="Arial"/>
          <w:sz w:val="20"/>
          <w:szCs w:val="20"/>
        </w:rPr>
        <w:t>.</w:t>
      </w:r>
      <w:r>
        <w:rPr>
          <w:rFonts w:ascii="Arial" w:hAnsi="Arial" w:cs="Arial"/>
          <w:sz w:val="20"/>
          <w:szCs w:val="20"/>
        </w:rPr>
        <w:t xml:space="preserve"> </w:t>
      </w:r>
    </w:p>
    <w:p w:rsidR="00000000" w:rsidRDefault="00010F15">
      <w:pPr>
        <w:pStyle w:val="a3"/>
        <w:spacing w:before="240" w:beforeAutospacing="0" w:after="0" w:afterAutospacing="0"/>
        <w:rPr>
          <w:sz w:val="20"/>
          <w:szCs w:val="20"/>
        </w:rPr>
      </w:pPr>
      <w:r>
        <w:rPr>
          <w:rFonts w:ascii="Arial" w:hAnsi="Arial" w:cs="Arial"/>
          <w:b/>
          <w:bCs/>
          <w:i/>
          <w:iCs/>
          <w:sz w:val="20"/>
          <w:szCs w:val="20"/>
        </w:rPr>
        <w:t>Our Biller</w:t>
      </w:r>
      <w:r>
        <w:rPr>
          <w:rFonts w:ascii="Arial" w:hAnsi="Arial" w:cs="Arial"/>
          <w:b/>
          <w:bCs/>
          <w:i/>
          <w:iCs/>
          <w:sz w:val="20"/>
          <w:szCs w:val="20"/>
        </w:rPr>
        <w:t>s</w:t>
      </w:r>
    </w:p>
    <w:p w:rsidR="00000000" w:rsidRDefault="00010F15">
      <w:pPr>
        <w:pStyle w:val="a3"/>
        <w:spacing w:before="120" w:beforeAutospacing="0" w:after="0" w:afterAutospacing="0"/>
        <w:ind w:firstLine="539"/>
        <w:rPr>
          <w:sz w:val="20"/>
          <w:szCs w:val="20"/>
        </w:rPr>
      </w:pPr>
      <w:r>
        <w:rPr>
          <w:rFonts w:ascii="Arial" w:hAnsi="Arial" w:cs="Arial"/>
          <w:sz w:val="20"/>
          <w:szCs w:val="20"/>
        </w:rPr>
        <w:t>Our i</w:t>
      </w:r>
      <w:r>
        <w:rPr>
          <w:rFonts w:ascii="Arial" w:hAnsi="Arial" w:cs="Arial"/>
          <w:sz w:val="20"/>
          <w:szCs w:val="20"/>
        </w:rPr>
        <w:t>nnovative technology platform empowers billers to offer electronic bill payment acceptance across multiple payment types, engage with their consumers and streamline their business operations efficiently and cost-effectively. We attract billers to our platf</w:t>
      </w:r>
      <w:r>
        <w:rPr>
          <w:rFonts w:ascii="Arial" w:hAnsi="Arial" w:cs="Arial"/>
          <w:sz w:val="20"/>
          <w:szCs w:val="20"/>
        </w:rPr>
        <w:t>orm because our platform modernizes their payment infrastructure and helps them collect revenue faster and more profitably. Our platform is capable of posting payments directly to billers’ systems, which simplifies revenue operations and strengthens the re</w:t>
      </w:r>
      <w:r>
        <w:rPr>
          <w:rFonts w:ascii="Arial" w:hAnsi="Arial" w:cs="Arial"/>
          <w:sz w:val="20"/>
          <w:szCs w:val="20"/>
        </w:rPr>
        <w:t>lationship we have with billers</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Our Financial Institution</w:t>
      </w:r>
      <w:r>
        <w:rPr>
          <w:rFonts w:ascii="Arial" w:hAnsi="Arial" w:cs="Arial"/>
          <w:b/>
          <w:bCs/>
          <w:i/>
          <w:iCs/>
          <w:sz w:val="20"/>
          <w:szCs w:val="20"/>
        </w:rPr>
        <w:t>s</w:t>
      </w:r>
    </w:p>
    <w:p w:rsidR="00000000" w:rsidRDefault="00010F15">
      <w:pPr>
        <w:pStyle w:val="a3"/>
        <w:spacing w:before="120" w:beforeAutospacing="0" w:after="0" w:afterAutospacing="0"/>
        <w:ind w:firstLine="539"/>
        <w:rPr>
          <w:sz w:val="20"/>
          <w:szCs w:val="20"/>
        </w:rPr>
      </w:pPr>
      <w:r>
        <w:rPr>
          <w:rFonts w:ascii="Arial" w:hAnsi="Arial" w:cs="Arial"/>
          <w:sz w:val="20"/>
          <w:szCs w:val="20"/>
        </w:rPr>
        <w:t>Our network connects our financial institutions to thousands of billers and sources of money movement including virtually every bank and credit union in the US, debit card and credit card payments</w:t>
      </w:r>
      <w:r>
        <w:rPr>
          <w:rFonts w:ascii="Arial" w:hAnsi="Arial" w:cs="Arial"/>
          <w:sz w:val="20"/>
          <w:szCs w:val="20"/>
        </w:rPr>
        <w:t xml:space="preserve"> and multiple digital wallets. The network also enables consumers to make loan payments to our financial institutions from our other network partners. By using open APIs, SDK widgets and SSO interfaces, our financial institutions have complete flexibility </w:t>
      </w:r>
      <w:r>
        <w:rPr>
          <w:rFonts w:ascii="Arial" w:hAnsi="Arial" w:cs="Arial"/>
          <w:sz w:val="20"/>
          <w:szCs w:val="20"/>
        </w:rPr>
        <w:t>and control over how they integrate and deliver their services including modern digital bill presentment, payment and money movement services</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Value Proposition to Billers and Financial Institution</w:t>
      </w:r>
      <w:r>
        <w:rPr>
          <w:rFonts w:ascii="Arial" w:hAnsi="Arial" w:cs="Arial"/>
          <w:b/>
          <w:bCs/>
          <w:i/>
          <w:iCs/>
          <w:sz w:val="20"/>
          <w:szCs w:val="20"/>
        </w:rPr>
        <w:t>s</w:t>
      </w:r>
    </w:p>
    <w:p w:rsidR="00000000" w:rsidRDefault="00010F15">
      <w:pPr>
        <w:pStyle w:val="a3"/>
        <w:spacing w:before="120" w:beforeAutospacing="0" w:after="0" w:afterAutospacing="0"/>
        <w:ind w:firstLine="539"/>
        <w:rPr>
          <w:sz w:val="20"/>
          <w:szCs w:val="20"/>
        </w:rPr>
      </w:pPr>
      <w:r>
        <w:rPr>
          <w:rFonts w:ascii="Arial" w:hAnsi="Arial" w:cs="Arial"/>
          <w:sz w:val="20"/>
          <w:szCs w:val="20"/>
        </w:rPr>
        <w:t>Flexible and Integrated Platform: Billers and financial i</w:t>
      </w:r>
      <w:r>
        <w:rPr>
          <w:rFonts w:ascii="Arial" w:hAnsi="Arial" w:cs="Arial"/>
          <w:sz w:val="20"/>
          <w:szCs w:val="20"/>
        </w:rPr>
        <w:t>nstitutions can offer their consumers a variety of traditional and emerging payment and engagement technologies that enable the billers to collect revenue faster and drive improved customer satisfaction, while reducing costs such as their PCI-DSS complianc</w:t>
      </w:r>
      <w:r>
        <w:rPr>
          <w:rFonts w:ascii="Arial" w:hAnsi="Arial" w:cs="Arial"/>
          <w:sz w:val="20"/>
          <w:szCs w:val="20"/>
        </w:rPr>
        <w:t>e burden. Billers and financial institutions have the flexibility to integrate directly to our platform through APIs, iFrames or a fully hosted solution, which allows them to cost-effectively select and customize our solutions to fit their specific require</w:t>
      </w:r>
      <w:r>
        <w:rPr>
          <w:rFonts w:ascii="Arial" w:hAnsi="Arial" w:cs="Arial"/>
          <w:sz w:val="20"/>
          <w:szCs w:val="20"/>
        </w:rPr>
        <w:t>ments. Because our platform is flexible and scalable, we believe our value proposition applies to all billers whether they ultimately choose to use our platform for all of their bills or continue using legacy bill payment systems or biller-direct solutions</w:t>
      </w:r>
      <w:r>
        <w:rPr>
          <w:rFonts w:ascii="Arial" w:hAnsi="Arial" w:cs="Arial"/>
          <w:sz w:val="20"/>
          <w:szCs w:val="20"/>
        </w:rPr>
        <w:t xml:space="preserve"> together with our solutions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Long-term Growth and Operating Leverage: The scalability of our platform allows billers and financial institutions to capitalize on growth opportunities for their business. While helping billers grow their revenue, we also hel</w:t>
      </w:r>
      <w:r>
        <w:rPr>
          <w:rFonts w:ascii="Arial" w:hAnsi="Arial" w:cs="Arial"/>
          <w:sz w:val="20"/>
          <w:szCs w:val="20"/>
        </w:rPr>
        <w:t>p reduce costs by leveraging our integrated technology architecture to automate manual workflows, which reduces error-prone manual data entry and efficiently reconciles payments to backend financial and operating systems</w:t>
      </w:r>
      <w:r>
        <w:rPr>
          <w:rFonts w:ascii="Arial" w:hAnsi="Arial" w:cs="Arial"/>
          <w:sz w:val="20"/>
          <w:szCs w:val="20"/>
        </w:rPr>
        <w:t>.</w:t>
      </w:r>
      <w:r>
        <w:rPr>
          <w:rFonts w:ascii="Arial" w:hAnsi="Arial" w:cs="Arial"/>
          <w:sz w:val="20"/>
          <w:szCs w:val="20"/>
        </w:rPr>
        <w:t xml:space="preserve"> </w:t>
      </w:r>
    </w:p>
    <w:p w:rsidR="00000000" w:rsidRDefault="00010F15">
      <w:pPr>
        <w:pStyle w:val="a3"/>
        <w:spacing w:before="240" w:beforeAutospacing="0" w:after="0" w:afterAutospacing="0"/>
        <w:rPr>
          <w:sz w:val="20"/>
          <w:szCs w:val="20"/>
        </w:rPr>
      </w:pPr>
      <w:r>
        <w:rPr>
          <w:rFonts w:ascii="Arial" w:hAnsi="Arial" w:cs="Arial"/>
          <w:b/>
          <w:bCs/>
          <w:i/>
          <w:iCs/>
          <w:sz w:val="20"/>
          <w:szCs w:val="20"/>
        </w:rPr>
        <w:t>Our Partner</w:t>
      </w:r>
      <w:r>
        <w:rPr>
          <w:rFonts w:ascii="Arial" w:hAnsi="Arial" w:cs="Arial"/>
          <w:b/>
          <w:bCs/>
          <w:i/>
          <w:iCs/>
          <w:sz w:val="20"/>
          <w:szCs w:val="20"/>
        </w:rPr>
        <w:t>s</w:t>
      </w:r>
    </w:p>
    <w:p w:rsidR="00000000" w:rsidRDefault="00010F15">
      <w:pPr>
        <w:pStyle w:val="a3"/>
        <w:spacing w:before="120" w:beforeAutospacing="0" w:after="0" w:afterAutospacing="0"/>
        <w:ind w:firstLine="539"/>
        <w:rPr>
          <w:sz w:val="20"/>
          <w:szCs w:val="20"/>
        </w:rPr>
      </w:pPr>
      <w:r>
        <w:rPr>
          <w:rFonts w:ascii="Arial" w:hAnsi="Arial" w:cs="Arial"/>
          <w:sz w:val="20"/>
          <w:szCs w:val="20"/>
        </w:rPr>
        <w:t>As our biller base e</w:t>
      </w:r>
      <w:r>
        <w:rPr>
          <w:rFonts w:ascii="Arial" w:hAnsi="Arial" w:cs="Arial"/>
          <w:sz w:val="20"/>
          <w:szCs w:val="20"/>
        </w:rPr>
        <w:t>xpands, we attract market-leading software, strategic and IPN partners that use our platform to power bill payment experiences within their ecosystems. Our innovative platform facilitates a modern bill presentment, consumer engagement and bill payment expe</w:t>
      </w:r>
      <w:r>
        <w:rPr>
          <w:rFonts w:ascii="Arial" w:hAnsi="Arial" w:cs="Arial"/>
          <w:sz w:val="20"/>
          <w:szCs w:val="20"/>
        </w:rPr>
        <w:t>rience for our partners’ customers, regardless of partner type</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Software Partners: Our software partners include large third-party technology providers, such as Oracle, which integrate our platform into their software suites to power bill payments for thei</w:t>
      </w:r>
      <w:r>
        <w:rPr>
          <w:rFonts w:ascii="Arial" w:hAnsi="Arial" w:cs="Arial"/>
          <w:sz w:val="20"/>
          <w:szCs w:val="20"/>
        </w:rPr>
        <w:t>r customers and refer billers and financial institutions to us. For example, ERP providers integrate our platform into their own suite of solutions to offer a comprehensive solution set that enhances their ERP software with bill presentment, consumer engag</w:t>
      </w:r>
      <w:r>
        <w:rPr>
          <w:rFonts w:ascii="Arial" w:hAnsi="Arial" w:cs="Arial"/>
          <w:sz w:val="20"/>
          <w:szCs w:val="20"/>
        </w:rPr>
        <w:t>ement and bill payment capabilities. In certain cases, we have revenue sharing arrangements with our software partners based on our transaction fees. In other cases, rather than a revenue sharing arrangement, we and our software partner mutually benefit fr</w:t>
      </w:r>
      <w:r>
        <w:rPr>
          <w:rFonts w:ascii="Arial" w:hAnsi="Arial" w:cs="Arial"/>
          <w:sz w:val="20"/>
          <w:szCs w:val="20"/>
        </w:rPr>
        <w:t xml:space="preserve">om the partnership as the software partner can offer a more comprehensive solution and stronger value proposition to its customers and we receive broader reach to potential billers and consumers, an efficient biller acquisition channel and stronger biller </w:t>
      </w:r>
      <w:r>
        <w:rPr>
          <w:rFonts w:ascii="Arial" w:hAnsi="Arial" w:cs="Arial"/>
          <w:sz w:val="20"/>
          <w:szCs w:val="20"/>
        </w:rPr>
        <w:t>retention from an integrated solution</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Strategic Partners: Similar to our software providers, our strategic partners refer billers to us and, in many cases, integrate our solutions into their platforms. Our strategic partners, including JPMorgan Chase, U.S</w:t>
      </w:r>
      <w:r>
        <w:rPr>
          <w:rFonts w:ascii="Arial" w:hAnsi="Arial" w:cs="Arial"/>
          <w:sz w:val="20"/>
          <w:szCs w:val="20"/>
        </w:rPr>
        <w:t>. Bank, and a major payroll solutions provider, work with us to offer bill presentment, consumer engagement and bill payment capabilities to their customers, which are billers. For example, a large commercial bank has many business clients who seek to impr</w:t>
      </w:r>
      <w:r>
        <w:rPr>
          <w:rFonts w:ascii="Arial" w:hAnsi="Arial" w:cs="Arial"/>
          <w:sz w:val="20"/>
          <w:szCs w:val="20"/>
        </w:rPr>
        <w:t>ove and streamline the bill presentment and bill payment experience for their consumers. In that case, the large commercial bank partners with us to sell a joint solution. In other cases, the commercial bank may prefer to sell a white-labeled solution, whi</w:t>
      </w:r>
      <w:r>
        <w:rPr>
          <w:rFonts w:ascii="Arial" w:hAnsi="Arial" w:cs="Arial"/>
          <w:sz w:val="20"/>
          <w:szCs w:val="20"/>
        </w:rPr>
        <w:t>ch it obtains from us. Both co-sale and white-label arrangements typically involve revenue sharing agreements with the strategic partner based on the transaction fees we receive</w:t>
      </w:r>
      <w:r>
        <w:rPr>
          <w:rFonts w:ascii="Arial" w:hAnsi="Arial" w:cs="Arial"/>
          <w:sz w:val="20"/>
          <w:szCs w:val="20"/>
        </w:rPr>
        <w:t>.</w:t>
      </w:r>
    </w:p>
    <w:p w:rsidR="00000000" w:rsidRDefault="00010F15">
      <w:pPr>
        <w:pStyle w:val="a3"/>
        <w:spacing w:before="0" w:beforeAutospacing="0" w:after="0" w:afterAutospacing="0"/>
        <w:jc w:val="center"/>
        <w:rPr>
          <w:sz w:val="20"/>
          <w:szCs w:val="20"/>
        </w:rPr>
      </w:pPr>
      <w:r>
        <w:rPr>
          <w:rFonts w:ascii="Arial" w:hAnsi="Arial" w:cs="Arial"/>
          <w:sz w:val="20"/>
          <w:szCs w:val="20"/>
        </w:rPr>
        <w:t>1</w:t>
      </w:r>
      <w:r>
        <w:rPr>
          <w:rFonts w:ascii="Arial" w:hAnsi="Arial" w:cs="Arial"/>
          <w:sz w:val="20"/>
          <w:szCs w:val="20"/>
        </w:rPr>
        <w:t>3</w:t>
      </w:r>
    </w:p>
    <w:p w:rsidR="00000000" w:rsidRDefault="00010F15">
      <w:pPr>
        <w:rPr>
          <w:rFonts w:eastAsia="Times New Roman"/>
        </w:rPr>
      </w:pPr>
      <w:r>
        <w:rPr>
          <w:rFonts w:eastAsia="Times New Roman"/>
        </w:rPr>
        <w:pict>
          <v:rect id="_x0000_i1037"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120" w:beforeAutospacing="0" w:after="0" w:afterAutospacing="0"/>
        <w:ind w:firstLine="539"/>
        <w:rPr>
          <w:sz w:val="20"/>
          <w:szCs w:val="20"/>
        </w:rPr>
      </w:pPr>
      <w:r>
        <w:rPr>
          <w:rFonts w:ascii="Arial" w:hAnsi="Arial" w:cs="Arial"/>
          <w:sz w:val="20"/>
          <w:szCs w:val="20"/>
        </w:rPr>
        <w:t xml:space="preserve">IPN Partners: Our IPN partners work </w:t>
      </w:r>
      <w:r>
        <w:rPr>
          <w:rFonts w:ascii="Arial" w:hAnsi="Arial" w:cs="Arial"/>
          <w:sz w:val="20"/>
          <w:szCs w:val="20"/>
        </w:rPr>
        <w:t>with us to gain access to broader biller networks and provide their consumers with innovative technology to streamline bill payments. Our IPN partners include PayPal, for which we power bill payment capabilities, a leading global ecommerce retailer, throug</w:t>
      </w:r>
      <w:r>
        <w:rPr>
          <w:rFonts w:ascii="Arial" w:hAnsi="Arial" w:cs="Arial"/>
          <w:sz w:val="20"/>
          <w:szCs w:val="20"/>
        </w:rPr>
        <w:t>h which we offer electronic bill presentment and payment via its AI-assistant voice service and mobile app, and Walmart, for which we enhance in-person bill payment capability at Walmart Money Centers. Unlike software and strategic partners, IPN partners t</w:t>
      </w:r>
      <w:r>
        <w:rPr>
          <w:rFonts w:ascii="Arial" w:hAnsi="Arial" w:cs="Arial"/>
          <w:sz w:val="20"/>
          <w:szCs w:val="20"/>
        </w:rPr>
        <w:t>ypically have direct interactions with consumers, and leverage our platform to connect to our biller network. Through this connection, consumers can initiate bill payments through our IPN partners, which we route to the billers. There are many types of IPN</w:t>
      </w:r>
      <w:r>
        <w:rPr>
          <w:rFonts w:ascii="Arial" w:hAnsi="Arial" w:cs="Arial"/>
          <w:sz w:val="20"/>
          <w:szCs w:val="20"/>
        </w:rPr>
        <w:t xml:space="preserve"> partners, including consumer networks, retailers, banks and financial institutions. We offer consumer networks and retailers increased engagement with consumers by enabling streamlined bill presentment payment experiences for an array of billers through t</w:t>
      </w:r>
      <w:r>
        <w:rPr>
          <w:rFonts w:ascii="Arial" w:hAnsi="Arial" w:cs="Arial"/>
          <w:sz w:val="20"/>
          <w:szCs w:val="20"/>
        </w:rPr>
        <w:t>heir networks. We similarly offer banks and financial institutions increased engagement with their retail clients. For IPN partners, we will typically receive a fee per transaction processed through our platform and in some cases we pay a referral fee to I</w:t>
      </w:r>
      <w:r>
        <w:rPr>
          <w:rFonts w:ascii="Arial" w:hAnsi="Arial" w:cs="Arial"/>
          <w:sz w:val="20"/>
          <w:szCs w:val="20"/>
        </w:rPr>
        <w:t>PN partners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Multiple Roles for Partners: Notably, partners may fit into multiple categories, particularly banks and financial institutions. For example, a bank can be a biller, a strategic partner and an IPN partner. As a biller, the bank generates bills,</w:t>
      </w:r>
      <w:r>
        <w:rPr>
          <w:rFonts w:ascii="Arial" w:hAnsi="Arial" w:cs="Arial"/>
          <w:sz w:val="20"/>
          <w:szCs w:val="20"/>
        </w:rPr>
        <w:t xml:space="preserve"> such as mortgage and credit card statements. As a strategic partner, the same bank uses our platform to power an omni-channel bill payment experience for a commercial customer of the bank. In this way, that commercial customer becomes a new biller for our</w:t>
      </w:r>
      <w:r>
        <w:rPr>
          <w:rFonts w:ascii="Arial" w:hAnsi="Arial" w:cs="Arial"/>
          <w:sz w:val="20"/>
          <w:szCs w:val="20"/>
        </w:rPr>
        <w:t xml:space="preserve"> network. Finally, as an IPN partner, the same bank leverages our IPN network to enable a more robust bill payment experience for its business customers and consumers by, for example, enabling its business customers and those businesses’ consumers to pay b</w:t>
      </w:r>
      <w:r>
        <w:rPr>
          <w:rFonts w:ascii="Arial" w:hAnsi="Arial" w:cs="Arial"/>
          <w:sz w:val="20"/>
          <w:szCs w:val="20"/>
        </w:rPr>
        <w:t>ills using alternative payment channels, such as PayPal. For clarity, financial institutions may also be customers where the financial institution uses our platform to provide bill payment and other money movement services directly to consumers and busines</w:t>
      </w:r>
      <w:r>
        <w:rPr>
          <w:rFonts w:ascii="Arial" w:hAnsi="Arial" w:cs="Arial"/>
          <w:sz w:val="20"/>
          <w:szCs w:val="20"/>
        </w:rPr>
        <w:t>ses</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Value Proposition to Partner</w:t>
      </w:r>
      <w:r>
        <w:rPr>
          <w:rFonts w:ascii="Arial" w:hAnsi="Arial" w:cs="Arial"/>
          <w:b/>
          <w:bCs/>
          <w:i/>
          <w:iCs/>
          <w:sz w:val="20"/>
          <w:szCs w:val="20"/>
        </w:rPr>
        <w:t>s</w:t>
      </w:r>
    </w:p>
    <w:p w:rsidR="00000000" w:rsidRDefault="00010F15">
      <w:pPr>
        <w:pStyle w:val="a3"/>
        <w:spacing w:before="120" w:beforeAutospacing="0" w:after="0" w:afterAutospacing="0"/>
        <w:ind w:firstLine="539"/>
        <w:rPr>
          <w:sz w:val="20"/>
          <w:szCs w:val="20"/>
        </w:rPr>
      </w:pPr>
      <w:r>
        <w:rPr>
          <w:rFonts w:ascii="Arial" w:hAnsi="Arial" w:cs="Arial"/>
          <w:sz w:val="20"/>
          <w:szCs w:val="20"/>
        </w:rPr>
        <w:t>Higher Consumer Satisfaction: Partners gain access to our network of billers and can provide turnkey electronic bill payment functionality to their consumers through flexible integration options. By integrating our platfo</w:t>
      </w:r>
      <w:r>
        <w:rPr>
          <w:rFonts w:ascii="Arial" w:hAnsi="Arial" w:cs="Arial"/>
          <w:sz w:val="20"/>
          <w:szCs w:val="20"/>
        </w:rPr>
        <w:t>rm into their ecosystems, partners can provide a more comprehensive solution and drive higher customer satisfaction</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 xml:space="preserve">Access to Innovative Technology Solutions: As consumers demand a more seamless and secure experience, partners require consumer engagement </w:t>
      </w:r>
      <w:r>
        <w:rPr>
          <w:rFonts w:ascii="Arial" w:hAnsi="Arial" w:cs="Arial"/>
          <w:sz w:val="20"/>
          <w:szCs w:val="20"/>
        </w:rPr>
        <w:t>and payment technology that caters to the latest consumer trends. Our platform offers cutting edge technology that enables partners to grow mind and wallet share with their consumers</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Our Billers’, Financial Institutions' and Partners’ Consumer</w:t>
      </w:r>
      <w:r>
        <w:rPr>
          <w:rFonts w:ascii="Arial" w:hAnsi="Arial" w:cs="Arial"/>
          <w:b/>
          <w:bCs/>
          <w:i/>
          <w:iCs/>
          <w:sz w:val="20"/>
          <w:szCs w:val="20"/>
        </w:rPr>
        <w:t>s</w:t>
      </w:r>
    </w:p>
    <w:p w:rsidR="00000000" w:rsidRDefault="00010F15">
      <w:pPr>
        <w:pStyle w:val="a3"/>
        <w:spacing w:before="120" w:beforeAutospacing="0" w:after="0" w:afterAutospacing="0"/>
        <w:ind w:firstLine="539"/>
        <w:rPr>
          <w:sz w:val="20"/>
          <w:szCs w:val="20"/>
        </w:rPr>
      </w:pPr>
      <w:r>
        <w:rPr>
          <w:rFonts w:ascii="Arial" w:hAnsi="Arial" w:cs="Arial"/>
          <w:sz w:val="20"/>
          <w:szCs w:val="20"/>
        </w:rPr>
        <w:t>As our pla</w:t>
      </w:r>
      <w:r>
        <w:rPr>
          <w:rFonts w:ascii="Arial" w:hAnsi="Arial" w:cs="Arial"/>
          <w:sz w:val="20"/>
          <w:szCs w:val="20"/>
        </w:rPr>
        <w:t xml:space="preserve">tform reaches more consumers, we capture and monetize more payment transactions. In December 2021, approximately 21 million consumers and businesses used our platform to pay their bills. As consumers increasingly demand omni-channel bill payment solutions </w:t>
      </w:r>
      <w:r>
        <w:rPr>
          <w:rFonts w:ascii="Arial" w:hAnsi="Arial" w:cs="Arial"/>
          <w:sz w:val="20"/>
          <w:szCs w:val="20"/>
        </w:rPr>
        <w:t>for more of their bills, we attract more billers and partners who look to our platform to meet that demand</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Value Proposition to Consumer</w:t>
      </w:r>
      <w:r>
        <w:rPr>
          <w:rFonts w:ascii="Arial" w:hAnsi="Arial" w:cs="Arial"/>
          <w:b/>
          <w:bCs/>
          <w:i/>
          <w:iCs/>
          <w:sz w:val="20"/>
          <w:szCs w:val="20"/>
        </w:rPr>
        <w:t>s</w:t>
      </w:r>
    </w:p>
    <w:p w:rsidR="00000000" w:rsidRDefault="00010F15">
      <w:pPr>
        <w:pStyle w:val="a3"/>
        <w:spacing w:before="120" w:beforeAutospacing="0" w:after="0" w:afterAutospacing="0"/>
        <w:ind w:firstLine="539"/>
        <w:rPr>
          <w:sz w:val="20"/>
          <w:szCs w:val="20"/>
        </w:rPr>
      </w:pPr>
      <w:r>
        <w:rPr>
          <w:rFonts w:ascii="Arial" w:hAnsi="Arial" w:cs="Arial"/>
          <w:sz w:val="20"/>
          <w:szCs w:val="20"/>
        </w:rPr>
        <w:t xml:space="preserve">Next-Generation Electronic Bill Payment Tools: Consumers gain access to advanced payments functionality to streamline their omni-channel bill payment experience. Consumers can view and pay bills through a variety of payment channels and types, engage with </w:t>
      </w:r>
      <w:r>
        <w:rPr>
          <w:rFonts w:ascii="Arial" w:hAnsi="Arial" w:cs="Arial"/>
          <w:sz w:val="20"/>
          <w:szCs w:val="20"/>
        </w:rPr>
        <w:t>their billers, financial institutions and retrieve actionable insights regarding their payments and billing history</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Control Over Financial Health: Consumers gain added control and visibility over their financial health on a daily basis through the advance</w:t>
      </w:r>
      <w:r>
        <w:rPr>
          <w:rFonts w:ascii="Arial" w:hAnsi="Arial" w:cs="Arial"/>
          <w:sz w:val="20"/>
          <w:szCs w:val="20"/>
        </w:rPr>
        <w:t>d tools and features we provide. Our platform allows consumers to set the terms of their bill payments in a way that best suits their needs</w:t>
      </w:r>
      <w:r>
        <w:rPr>
          <w:rFonts w:ascii="Arial" w:hAnsi="Arial" w:cs="Arial"/>
          <w:sz w:val="20"/>
          <w:szCs w:val="20"/>
        </w:rPr>
        <w:t>.</w:t>
      </w:r>
    </w:p>
    <w:p w:rsidR="00000000" w:rsidRDefault="00010F15">
      <w:pPr>
        <w:pStyle w:val="a3"/>
        <w:spacing w:before="120" w:beforeAutospacing="0" w:after="0" w:afterAutospacing="0"/>
        <w:jc w:val="center"/>
        <w:rPr>
          <w:sz w:val="20"/>
          <w:szCs w:val="20"/>
        </w:rPr>
      </w:pPr>
      <w:r>
        <w:rPr>
          <w:rFonts w:ascii="Arial" w:hAnsi="Arial" w:cs="Arial"/>
          <w:b/>
          <w:bCs/>
          <w:sz w:val="20"/>
          <w:szCs w:val="20"/>
        </w:rPr>
        <w:t>Growth Strategie</w:t>
      </w:r>
      <w:r>
        <w:rPr>
          <w:rFonts w:ascii="Arial" w:hAnsi="Arial" w:cs="Arial"/>
          <w:b/>
          <w:bCs/>
          <w:sz w:val="20"/>
          <w:szCs w:val="20"/>
        </w:rPr>
        <w:t>s</w:t>
      </w:r>
    </w:p>
    <w:p w:rsidR="00000000" w:rsidRDefault="00010F15">
      <w:pPr>
        <w:pStyle w:val="a3"/>
        <w:spacing w:before="120" w:beforeAutospacing="0" w:after="0" w:afterAutospacing="0"/>
        <w:ind w:firstLine="539"/>
        <w:rPr>
          <w:sz w:val="20"/>
          <w:szCs w:val="20"/>
        </w:rPr>
      </w:pPr>
      <w:r>
        <w:rPr>
          <w:rFonts w:ascii="Arial" w:hAnsi="Arial" w:cs="Arial"/>
          <w:sz w:val="20"/>
          <w:szCs w:val="20"/>
        </w:rPr>
        <w:t>We intend to leverage our products and industry presence to establish our platform as the industry standard for electronic bill payments for billers, financial institutions and partners globally. Key elements of this strategy include</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Continue to Win New B</w:t>
      </w:r>
      <w:r>
        <w:rPr>
          <w:rFonts w:ascii="Arial" w:hAnsi="Arial" w:cs="Arial"/>
          <w:b/>
          <w:bCs/>
          <w:i/>
          <w:iCs/>
          <w:sz w:val="20"/>
          <w:szCs w:val="20"/>
        </w:rPr>
        <w:t>illers, Financial Institutions and Partner</w:t>
      </w:r>
      <w:r>
        <w:rPr>
          <w:rFonts w:ascii="Arial" w:hAnsi="Arial" w:cs="Arial"/>
          <w:b/>
          <w:bCs/>
          <w:i/>
          <w:iCs/>
          <w:sz w:val="20"/>
          <w:szCs w:val="20"/>
        </w:rPr>
        <w:t>s</w:t>
      </w:r>
    </w:p>
    <w:p w:rsidR="00000000" w:rsidRDefault="00010F15">
      <w:pPr>
        <w:pStyle w:val="a3"/>
        <w:spacing w:before="120" w:beforeAutospacing="0" w:after="0" w:afterAutospacing="0"/>
        <w:ind w:firstLine="539"/>
        <w:rPr>
          <w:sz w:val="20"/>
          <w:szCs w:val="20"/>
        </w:rPr>
      </w:pPr>
      <w:r>
        <w:rPr>
          <w:rFonts w:ascii="Arial" w:hAnsi="Arial" w:cs="Arial"/>
          <w:sz w:val="20"/>
          <w:szCs w:val="20"/>
        </w:rPr>
        <w:t>We believe the majority of billers and financial institutions use inferior electronic bill payment platforms. We plan to continue winning new billers, financial institutions and partners by investing in the growt</w:t>
      </w:r>
      <w:r>
        <w:rPr>
          <w:rFonts w:ascii="Arial" w:hAnsi="Arial" w:cs="Arial"/>
          <w:sz w:val="20"/>
          <w:szCs w:val="20"/>
        </w:rPr>
        <w:t>h of our IPN, expanding our diversified go to market strategies and strengthening our value proposition. We intend to continue winning market share through a superior product offering that is easy to integrate and provides a feature-rich experience for our</w:t>
      </w:r>
      <w:r>
        <w:rPr>
          <w:rFonts w:ascii="Arial" w:hAnsi="Arial" w:cs="Arial"/>
          <w:sz w:val="20"/>
          <w:szCs w:val="20"/>
        </w:rPr>
        <w:t xml:space="preserve"> billers, partners and consumers</w:t>
      </w:r>
      <w:r>
        <w:rPr>
          <w:rFonts w:ascii="Arial" w:hAnsi="Arial" w:cs="Arial"/>
          <w:sz w:val="20"/>
          <w:szCs w:val="20"/>
        </w:rPr>
        <w:t>.</w:t>
      </w:r>
      <w:r>
        <w:rPr>
          <w:rFonts w:ascii="Arial" w:hAnsi="Arial" w:cs="Arial"/>
          <w:sz w:val="20"/>
          <w:szCs w:val="20"/>
        </w:rPr>
        <w:t xml:space="preserve"> </w:t>
      </w:r>
    </w:p>
    <w:p w:rsidR="00000000" w:rsidRDefault="00010F15">
      <w:pPr>
        <w:pStyle w:val="a3"/>
        <w:spacing w:before="0" w:beforeAutospacing="0" w:after="0" w:afterAutospacing="0"/>
        <w:jc w:val="center"/>
        <w:rPr>
          <w:sz w:val="20"/>
          <w:szCs w:val="20"/>
        </w:rPr>
      </w:pPr>
      <w:r>
        <w:rPr>
          <w:rFonts w:ascii="Arial" w:hAnsi="Arial" w:cs="Arial"/>
          <w:sz w:val="20"/>
          <w:szCs w:val="20"/>
        </w:rPr>
        <w:t>1</w:t>
      </w:r>
      <w:r>
        <w:rPr>
          <w:rFonts w:ascii="Arial" w:hAnsi="Arial" w:cs="Arial"/>
          <w:sz w:val="20"/>
          <w:szCs w:val="20"/>
        </w:rPr>
        <w:t>4</w:t>
      </w:r>
    </w:p>
    <w:p w:rsidR="00000000" w:rsidRDefault="00010F15">
      <w:pPr>
        <w:rPr>
          <w:rFonts w:eastAsia="Times New Roman"/>
        </w:rPr>
      </w:pPr>
      <w:r>
        <w:rPr>
          <w:rFonts w:eastAsia="Times New Roman"/>
        </w:rPr>
        <w:pict>
          <v:rect id="_x0000_i1038"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240" w:beforeAutospacing="0" w:after="0" w:afterAutospacing="0"/>
        <w:rPr>
          <w:sz w:val="20"/>
          <w:szCs w:val="20"/>
        </w:rPr>
      </w:pPr>
      <w:r>
        <w:rPr>
          <w:rFonts w:ascii="Arial" w:hAnsi="Arial" w:cs="Arial"/>
          <w:b/>
          <w:bCs/>
          <w:i/>
          <w:iCs/>
          <w:sz w:val="20"/>
          <w:szCs w:val="20"/>
        </w:rPr>
        <w:t>Grow with Existing Billers, Financial Institutions and Partner</w:t>
      </w:r>
      <w:r>
        <w:rPr>
          <w:rFonts w:ascii="Arial" w:hAnsi="Arial" w:cs="Arial"/>
          <w:b/>
          <w:bCs/>
          <w:i/>
          <w:iCs/>
          <w:sz w:val="20"/>
          <w:szCs w:val="20"/>
        </w:rPr>
        <w:t>s</w:t>
      </w:r>
    </w:p>
    <w:p w:rsidR="00000000" w:rsidRDefault="00010F15">
      <w:pPr>
        <w:pStyle w:val="a3"/>
        <w:spacing w:before="120" w:beforeAutospacing="0" w:after="0" w:afterAutospacing="0"/>
        <w:ind w:firstLine="539"/>
        <w:rPr>
          <w:sz w:val="20"/>
          <w:szCs w:val="20"/>
        </w:rPr>
      </w:pPr>
      <w:r>
        <w:rPr>
          <w:rFonts w:ascii="Arial" w:hAnsi="Arial" w:cs="Arial"/>
          <w:sz w:val="20"/>
          <w:szCs w:val="20"/>
        </w:rPr>
        <w:t>We believe we have a significant opportunity to leverage the full scope of our highly scalable model to drive furthe</w:t>
      </w:r>
      <w:r>
        <w:rPr>
          <w:rFonts w:ascii="Arial" w:hAnsi="Arial" w:cs="Arial"/>
          <w:sz w:val="20"/>
          <w:szCs w:val="20"/>
        </w:rPr>
        <w:t>r adoption of our platform with existing billers, financial institutions and partners, including our IPN partners. We believe adding product features and additional functionality enables us to capture more electronic bill payments, strengthens our biller a</w:t>
      </w:r>
      <w:r>
        <w:rPr>
          <w:rFonts w:ascii="Arial" w:hAnsi="Arial" w:cs="Arial"/>
          <w:sz w:val="20"/>
          <w:szCs w:val="20"/>
        </w:rPr>
        <w:t>nd partner retention and ultimately generate more transaction revenue</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Expand into New Channels and Industry Vertical</w:t>
      </w:r>
      <w:r>
        <w:rPr>
          <w:rFonts w:ascii="Arial" w:hAnsi="Arial" w:cs="Arial"/>
          <w:b/>
          <w:bCs/>
          <w:i/>
          <w:iCs/>
          <w:sz w:val="20"/>
          <w:szCs w:val="20"/>
        </w:rPr>
        <w:t>s</w:t>
      </w:r>
    </w:p>
    <w:p w:rsidR="00000000" w:rsidRDefault="00010F15">
      <w:pPr>
        <w:pStyle w:val="a3"/>
        <w:spacing w:before="120" w:beforeAutospacing="0" w:after="0" w:afterAutospacing="0"/>
        <w:ind w:firstLine="539"/>
        <w:rPr>
          <w:sz w:val="20"/>
          <w:szCs w:val="20"/>
        </w:rPr>
      </w:pPr>
      <w:r>
        <w:rPr>
          <w:rFonts w:ascii="Arial" w:hAnsi="Arial" w:cs="Arial"/>
          <w:sz w:val="20"/>
          <w:szCs w:val="20"/>
        </w:rPr>
        <w:t>We intend to leverage our platform to expand into new channels and new industry verticals. In particular, we anticipate growth of our IPN</w:t>
      </w:r>
      <w:r>
        <w:rPr>
          <w:rFonts w:ascii="Arial" w:hAnsi="Arial" w:cs="Arial"/>
          <w:sz w:val="20"/>
          <w:szCs w:val="20"/>
        </w:rPr>
        <w:t xml:space="preserve"> and additional partnerships with leading business networks to drive further expansion into new channels, such as PayPal’s bill pay app. We also intend to continue to cost-effectively expand into new verticals and expect that our expansion efforts will cen</w:t>
      </w:r>
      <w:r>
        <w:rPr>
          <w:rFonts w:ascii="Arial" w:hAnsi="Arial" w:cs="Arial"/>
          <w:sz w:val="20"/>
          <w:szCs w:val="20"/>
        </w:rPr>
        <w:t>ter on verticals with favorable bill payment characteristics such as recurring payments for non-discretionary, essential services, similar to our previous expansion into the healthcare and insurance verticals. Our configurability and platform approach to n</w:t>
      </w:r>
      <w:r>
        <w:rPr>
          <w:rFonts w:ascii="Arial" w:hAnsi="Arial" w:cs="Arial"/>
          <w:sz w:val="20"/>
          <w:szCs w:val="20"/>
        </w:rPr>
        <w:t>ew feature development enables us to cost-effectively extend products that were initially designed for an existing vertical into powerful use cases for new verticals</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Build New Product</w:t>
      </w:r>
      <w:r>
        <w:rPr>
          <w:rFonts w:ascii="Arial" w:hAnsi="Arial" w:cs="Arial"/>
          <w:b/>
          <w:bCs/>
          <w:i/>
          <w:iCs/>
          <w:sz w:val="20"/>
          <w:szCs w:val="20"/>
        </w:rPr>
        <w:t>s</w:t>
      </w:r>
    </w:p>
    <w:p w:rsidR="00000000" w:rsidRDefault="00010F15">
      <w:pPr>
        <w:pStyle w:val="a3"/>
        <w:spacing w:before="120" w:beforeAutospacing="0" w:after="0" w:afterAutospacing="0"/>
        <w:ind w:firstLine="539"/>
        <w:rPr>
          <w:sz w:val="20"/>
          <w:szCs w:val="20"/>
        </w:rPr>
      </w:pPr>
      <w:r>
        <w:rPr>
          <w:rFonts w:ascii="Arial" w:hAnsi="Arial" w:cs="Arial"/>
          <w:sz w:val="20"/>
          <w:szCs w:val="20"/>
        </w:rPr>
        <w:t xml:space="preserve">We believe the significant investments we have made in our technology </w:t>
      </w:r>
      <w:r>
        <w:rPr>
          <w:rFonts w:ascii="Arial" w:hAnsi="Arial" w:cs="Arial"/>
          <w:sz w:val="20"/>
          <w:szCs w:val="20"/>
        </w:rPr>
        <w:t>platform are a core differentiator of our business. As billers, financial institutions, partners and consumers adopt new consumer engagement and bill payment technologies, we intend to continue investing in our platform in order to create innovative featur</w:t>
      </w:r>
      <w:r>
        <w:rPr>
          <w:rFonts w:ascii="Arial" w:hAnsi="Arial" w:cs="Arial"/>
          <w:sz w:val="20"/>
          <w:szCs w:val="20"/>
        </w:rPr>
        <w:t>es and add emerging payment types that further enhance the bill payment experience</w:t>
      </w:r>
      <w:r>
        <w:rPr>
          <w:rFonts w:ascii="Arial" w:hAnsi="Arial" w:cs="Arial"/>
          <w:sz w:val="20"/>
          <w:szCs w:val="20"/>
        </w:rPr>
        <w:t>.</w:t>
      </w:r>
      <w:r>
        <w:rPr>
          <w:rFonts w:ascii="Arial" w:hAnsi="Arial" w:cs="Arial"/>
          <w:sz w:val="20"/>
          <w:szCs w:val="20"/>
        </w:rPr>
        <w:t xml:space="preserve"> </w:t>
      </w:r>
    </w:p>
    <w:p w:rsidR="00000000" w:rsidRDefault="00010F15">
      <w:pPr>
        <w:pStyle w:val="a3"/>
        <w:spacing w:before="240" w:beforeAutospacing="0" w:after="0" w:afterAutospacing="0"/>
        <w:rPr>
          <w:sz w:val="20"/>
          <w:szCs w:val="20"/>
        </w:rPr>
      </w:pPr>
      <w:r>
        <w:rPr>
          <w:rFonts w:ascii="Arial" w:hAnsi="Arial" w:cs="Arial"/>
          <w:b/>
          <w:bCs/>
          <w:i/>
          <w:iCs/>
          <w:sz w:val="20"/>
          <w:szCs w:val="20"/>
        </w:rPr>
        <w:t>Leverage our Platform to Expand Internationall</w:t>
      </w:r>
      <w:r>
        <w:rPr>
          <w:rFonts w:ascii="Arial" w:hAnsi="Arial" w:cs="Arial"/>
          <w:b/>
          <w:bCs/>
          <w:i/>
          <w:iCs/>
          <w:sz w:val="20"/>
          <w:szCs w:val="20"/>
        </w:rPr>
        <w:t>y</w:t>
      </w:r>
      <w:r>
        <w:rPr>
          <w:rFonts w:ascii="Arial" w:hAnsi="Arial" w:cs="Arial"/>
          <w:b/>
          <w:bCs/>
          <w:i/>
          <w:iCs/>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We believe there is global demand for electronic bill payment technology among billers and financial institutions with int</w:t>
      </w:r>
      <w:r>
        <w:rPr>
          <w:rFonts w:ascii="Arial" w:hAnsi="Arial" w:cs="Arial"/>
          <w:sz w:val="20"/>
          <w:szCs w:val="20"/>
        </w:rPr>
        <w:t xml:space="preserve">ernational consumers and partners that serve international billers and financial institutions. Although substantially all of our revenue is generated in the United States, many of our largest domestic billers also serve billable consumers in international </w:t>
      </w:r>
      <w:r>
        <w:rPr>
          <w:rFonts w:ascii="Arial" w:hAnsi="Arial" w:cs="Arial"/>
          <w:sz w:val="20"/>
          <w:szCs w:val="20"/>
        </w:rPr>
        <w:t>geographies and several of our domestic partners maintain international operations. We believe this presents us with a large opportunity to expand internationally without needing to significantly increase international headcount or retain local resources t</w:t>
      </w:r>
      <w:r>
        <w:rPr>
          <w:rFonts w:ascii="Arial" w:hAnsi="Arial" w:cs="Arial"/>
          <w:sz w:val="20"/>
          <w:szCs w:val="20"/>
        </w:rPr>
        <w:t>o initially serve international markets. Our international growth strategy is focused on leveraging our existing biller and partner relationships and we believe our platform is well-positioned to quickly adapt to local payment channels and regulatory schem</w:t>
      </w:r>
      <w:r>
        <w:rPr>
          <w:rFonts w:ascii="Arial" w:hAnsi="Arial" w:cs="Arial"/>
          <w:sz w:val="20"/>
          <w:szCs w:val="20"/>
        </w:rPr>
        <w:t>es. In particular, we anticipate that our near-term international growth opportunities will come through our U.S.-based billers, financial institutions or partners seeking a technology platform to power bill presentment and payment in international markets</w:t>
      </w:r>
      <w:r>
        <w:rPr>
          <w:rFonts w:ascii="Arial" w:hAnsi="Arial" w:cs="Arial"/>
          <w:sz w:val="20"/>
          <w:szCs w:val="20"/>
        </w:rPr>
        <w:t xml:space="preserve"> within their existing industry verticals, as well as through our larger partners that serve international billers and financial institutions. We also expect to expand our existing presence in Canada and India over time, both within current and new industr</w:t>
      </w:r>
      <w:r>
        <w:rPr>
          <w:rFonts w:ascii="Arial" w:hAnsi="Arial" w:cs="Arial"/>
          <w:sz w:val="20"/>
          <w:szCs w:val="20"/>
        </w:rPr>
        <w:t>y verticals</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Pursue Selective Strategic Acquisition</w:t>
      </w:r>
      <w:r>
        <w:rPr>
          <w:rFonts w:ascii="Arial" w:hAnsi="Arial" w:cs="Arial"/>
          <w:b/>
          <w:bCs/>
          <w:i/>
          <w:iCs/>
          <w:sz w:val="20"/>
          <w:szCs w:val="20"/>
        </w:rPr>
        <w:t>s</w:t>
      </w:r>
    </w:p>
    <w:p w:rsidR="00000000" w:rsidRDefault="00010F15">
      <w:pPr>
        <w:pStyle w:val="a3"/>
        <w:spacing w:before="120" w:beforeAutospacing="0" w:after="0" w:afterAutospacing="0"/>
        <w:ind w:firstLine="539"/>
        <w:rPr>
          <w:sz w:val="20"/>
          <w:szCs w:val="20"/>
        </w:rPr>
      </w:pPr>
      <w:r>
        <w:rPr>
          <w:rFonts w:ascii="Arial" w:hAnsi="Arial" w:cs="Arial"/>
          <w:sz w:val="20"/>
          <w:szCs w:val="20"/>
        </w:rPr>
        <w:t>We plan to pursue strategic acquisitions that we believe will be complementary to our existing solutions, enhance our technology and increase the value proposition we deliver to our billers, financial in</w:t>
      </w:r>
      <w:r>
        <w:rPr>
          <w:rFonts w:ascii="Arial" w:hAnsi="Arial" w:cs="Arial"/>
          <w:sz w:val="20"/>
          <w:szCs w:val="20"/>
        </w:rPr>
        <w:t>stitutions and partners and their consumers. For example, we may pursue acquisitions that we believe will help us expand within existing or new industry verticals and channels, accelerate our biller growth or enter new markets</w:t>
      </w:r>
      <w:r>
        <w:rPr>
          <w:rFonts w:ascii="Arial" w:hAnsi="Arial" w:cs="Arial"/>
          <w:sz w:val="20"/>
          <w:szCs w:val="20"/>
        </w:rPr>
        <w:t>.</w:t>
      </w:r>
    </w:p>
    <w:p w:rsidR="00000000" w:rsidRDefault="00010F15">
      <w:pPr>
        <w:pStyle w:val="a3"/>
        <w:spacing w:before="240" w:beforeAutospacing="0" w:after="0" w:afterAutospacing="0"/>
        <w:jc w:val="center"/>
        <w:rPr>
          <w:sz w:val="20"/>
          <w:szCs w:val="20"/>
        </w:rPr>
      </w:pPr>
      <w:r>
        <w:rPr>
          <w:rFonts w:ascii="Arial" w:hAnsi="Arial" w:cs="Arial"/>
          <w:b/>
          <w:bCs/>
          <w:sz w:val="20"/>
          <w:szCs w:val="20"/>
        </w:rPr>
        <w:t>Go-to-Market Strateg</w:t>
      </w:r>
      <w:r>
        <w:rPr>
          <w:rFonts w:ascii="Arial" w:hAnsi="Arial" w:cs="Arial"/>
          <w:b/>
          <w:bCs/>
          <w:sz w:val="20"/>
          <w:szCs w:val="20"/>
        </w:rPr>
        <w:t>y</w:t>
      </w:r>
    </w:p>
    <w:p w:rsidR="00000000" w:rsidRDefault="00010F15">
      <w:pPr>
        <w:pStyle w:val="a3"/>
        <w:spacing w:before="120" w:beforeAutospacing="0" w:after="0" w:afterAutospacing="0"/>
        <w:ind w:firstLine="539"/>
        <w:rPr>
          <w:sz w:val="20"/>
          <w:szCs w:val="20"/>
        </w:rPr>
      </w:pPr>
      <w:r>
        <w:rPr>
          <w:rFonts w:ascii="Arial" w:hAnsi="Arial" w:cs="Arial"/>
          <w:sz w:val="20"/>
          <w:szCs w:val="20"/>
        </w:rPr>
        <w:t>We employ a diversified go-to-market strategy that leverages targeted marketing efforts, a direct sales team and relationships with technology partners and resellers as we seek to acquire billers and financial institutions in an efficient manner. Our marke</w:t>
      </w:r>
      <w:r>
        <w:rPr>
          <w:rFonts w:ascii="Arial" w:hAnsi="Arial" w:cs="Arial"/>
          <w:sz w:val="20"/>
          <w:szCs w:val="20"/>
        </w:rPr>
        <w:t>ting strategy targets prospective billers and financial institutions through industry- and role-based marketing efforts at trade shows and industry events, direct marketing and social media programs. We also leverage partnerships and referral relationships</w:t>
      </w:r>
      <w:r>
        <w:rPr>
          <w:rFonts w:ascii="Arial" w:hAnsi="Arial" w:cs="Arial"/>
          <w:sz w:val="20"/>
          <w:szCs w:val="20"/>
        </w:rPr>
        <w:t xml:space="preserve"> of various types</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Our direct sales team is responsible for outbound lead generation, driving new business and helping to manage account relationships and renewals. Our sales team also maintains close relationships with existing billers and financial inst</w:t>
      </w:r>
      <w:r>
        <w:rPr>
          <w:rFonts w:ascii="Arial" w:hAnsi="Arial" w:cs="Arial"/>
          <w:sz w:val="20"/>
          <w:szCs w:val="20"/>
        </w:rPr>
        <w:t>itutions and acts as an advisor to each biller to help identify and understand their specific needs, challenges, goals and opportunities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We also leverage strong relationships with our partners to extend the reach of our platform and receive new biller ref</w:t>
      </w:r>
      <w:r>
        <w:rPr>
          <w:rFonts w:ascii="Arial" w:hAnsi="Arial" w:cs="Arial"/>
          <w:sz w:val="20"/>
          <w:szCs w:val="20"/>
        </w:rPr>
        <w:t xml:space="preserve">errals. Our software partners, including Oracle, integrate our platform into their software products, enabling us to power their bill payment capabilities for their consumers. Our strategic partners, including JPMorgan Chase, U.S. Bank and a major payroll </w:t>
      </w:r>
      <w:r>
        <w:rPr>
          <w:rFonts w:ascii="Arial" w:hAnsi="Arial" w:cs="Arial"/>
          <w:sz w:val="20"/>
          <w:szCs w:val="20"/>
        </w:rPr>
        <w:t>solutions provider, also refer new billers to our platform. Our software is regularly integrated with our software partners’ offerings and with the software suites of other market-leading software providers commonly used b</w:t>
      </w:r>
      <w:r>
        <w:rPr>
          <w:rFonts w:ascii="Arial" w:hAnsi="Arial" w:cs="Arial"/>
          <w:sz w:val="20"/>
          <w:szCs w:val="20"/>
        </w:rPr>
        <w:t>y</w:t>
      </w:r>
      <w:r>
        <w:rPr>
          <w:rFonts w:ascii="Arial" w:hAnsi="Arial" w:cs="Arial"/>
          <w:sz w:val="20"/>
          <w:szCs w:val="20"/>
        </w:rPr>
        <w:t xml:space="preserve"> </w:t>
      </w:r>
    </w:p>
    <w:p w:rsidR="00000000" w:rsidRDefault="00010F15">
      <w:pPr>
        <w:pStyle w:val="a3"/>
        <w:spacing w:before="0" w:beforeAutospacing="0" w:after="0" w:afterAutospacing="0"/>
        <w:jc w:val="center"/>
        <w:rPr>
          <w:sz w:val="20"/>
          <w:szCs w:val="20"/>
        </w:rPr>
      </w:pPr>
      <w:r>
        <w:rPr>
          <w:rFonts w:ascii="Arial" w:hAnsi="Arial" w:cs="Arial"/>
          <w:sz w:val="20"/>
          <w:szCs w:val="20"/>
        </w:rPr>
        <w:t>1</w:t>
      </w:r>
      <w:r>
        <w:rPr>
          <w:rFonts w:ascii="Arial" w:hAnsi="Arial" w:cs="Arial"/>
          <w:sz w:val="20"/>
          <w:szCs w:val="20"/>
        </w:rPr>
        <w:t>5</w:t>
      </w:r>
    </w:p>
    <w:p w:rsidR="00000000" w:rsidRDefault="00010F15">
      <w:pPr>
        <w:rPr>
          <w:rFonts w:eastAsia="Times New Roman"/>
        </w:rPr>
      </w:pPr>
      <w:r>
        <w:rPr>
          <w:rFonts w:eastAsia="Times New Roman"/>
        </w:rPr>
        <w:pict>
          <v:rect id="_x0000_i1039"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120" w:beforeAutospacing="0" w:after="0" w:afterAutospacing="0"/>
        <w:rPr>
          <w:sz w:val="20"/>
          <w:szCs w:val="20"/>
        </w:rPr>
      </w:pPr>
      <w:r>
        <w:rPr>
          <w:rFonts w:ascii="Arial" w:hAnsi="Arial" w:cs="Arial"/>
          <w:sz w:val="20"/>
          <w:szCs w:val="20"/>
        </w:rPr>
        <w:t>our billers, including SAP and Guidewire, in each case to power electronic bill payment functions for our billers and their consumers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We also believe we benefit from the significant reach of our IPN. Through partnerships with PayPal, a leading g</w:t>
      </w:r>
      <w:r>
        <w:rPr>
          <w:rFonts w:ascii="Arial" w:hAnsi="Arial" w:cs="Arial"/>
          <w:sz w:val="20"/>
          <w:szCs w:val="20"/>
        </w:rPr>
        <w:t>lobal ecommerce retailer and financial institution partners, our platform reaches millions of consumers. Jointly delivering our platform with our software and strategic partners provides consistency of approach and a high-quality experience for billers, fi</w:t>
      </w:r>
      <w:r>
        <w:rPr>
          <w:rFonts w:ascii="Arial" w:hAnsi="Arial" w:cs="Arial"/>
          <w:sz w:val="20"/>
          <w:szCs w:val="20"/>
        </w:rPr>
        <w:t>nancial institutions, partners and consumers</w:t>
      </w:r>
      <w:r>
        <w:rPr>
          <w:rFonts w:ascii="Arial" w:hAnsi="Arial" w:cs="Arial"/>
          <w:sz w:val="20"/>
          <w:szCs w:val="20"/>
        </w:rPr>
        <w:t>.</w:t>
      </w:r>
    </w:p>
    <w:p w:rsidR="00000000" w:rsidRDefault="00010F15">
      <w:pPr>
        <w:pStyle w:val="a3"/>
        <w:spacing w:before="120" w:beforeAutospacing="0" w:after="0" w:afterAutospacing="0"/>
        <w:jc w:val="center"/>
        <w:rPr>
          <w:sz w:val="20"/>
          <w:szCs w:val="20"/>
        </w:rPr>
      </w:pPr>
      <w:r>
        <w:rPr>
          <w:rFonts w:ascii="Arial" w:hAnsi="Arial" w:cs="Arial"/>
          <w:b/>
          <w:bCs/>
          <w:sz w:val="20"/>
          <w:szCs w:val="20"/>
        </w:rPr>
        <w:t>Competitio</w:t>
      </w:r>
      <w:r>
        <w:rPr>
          <w:rFonts w:ascii="Arial" w:hAnsi="Arial" w:cs="Arial"/>
          <w:b/>
          <w:bCs/>
          <w:sz w:val="20"/>
          <w:szCs w:val="20"/>
        </w:rPr>
        <w:t>n</w:t>
      </w:r>
    </w:p>
    <w:p w:rsidR="00000000" w:rsidRDefault="00010F15">
      <w:pPr>
        <w:pStyle w:val="a3"/>
        <w:spacing w:before="120" w:beforeAutospacing="0" w:after="0" w:afterAutospacing="0"/>
        <w:ind w:firstLine="539"/>
        <w:rPr>
          <w:sz w:val="20"/>
          <w:szCs w:val="20"/>
        </w:rPr>
      </w:pPr>
      <w:r>
        <w:rPr>
          <w:rFonts w:ascii="Arial" w:hAnsi="Arial" w:cs="Arial"/>
          <w:sz w:val="20"/>
          <w:szCs w:val="20"/>
        </w:rPr>
        <w:t>Our primary competition has historically been legacy solution providers and systems internally developed by financial institutions for bill presentment and payment services. The legacy solution prov</w:t>
      </w:r>
      <w:r>
        <w:rPr>
          <w:rFonts w:ascii="Arial" w:hAnsi="Arial" w:cs="Arial"/>
          <w:sz w:val="20"/>
          <w:szCs w:val="20"/>
        </w:rPr>
        <w:t>iders have generally either served the financial services or the biller market individually. In both markets, legacy solution providers offer solutions for in-person cash payments, check-based mail payments, prior-generation IVR, phone-based payments and w</w:t>
      </w:r>
      <w:r>
        <w:rPr>
          <w:rFonts w:ascii="Arial" w:hAnsi="Arial" w:cs="Arial"/>
          <w:sz w:val="20"/>
          <w:szCs w:val="20"/>
        </w:rPr>
        <w:t>eb-based payments, as well as a variety of point solutions for various payment needs. These solutions are often built via acquisitions and frequently not well integrated based on data architectures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In the financial services market, providers integrate int</w:t>
      </w:r>
      <w:r>
        <w:rPr>
          <w:rFonts w:ascii="Arial" w:hAnsi="Arial" w:cs="Arial"/>
          <w:sz w:val="20"/>
          <w:szCs w:val="20"/>
        </w:rPr>
        <w:t>o a bank’s online banking system. They offer access to a limited number of electronic bills, so only a fraction can be reviewed before deciding on payment. Once the consumer decides to pay the bill, the provider generally only allows for one type of paymen</w:t>
      </w:r>
      <w:r>
        <w:rPr>
          <w:rFonts w:ascii="Arial" w:hAnsi="Arial" w:cs="Arial"/>
          <w:sz w:val="20"/>
          <w:szCs w:val="20"/>
        </w:rPr>
        <w:t>t, limiting the ability of consumers to use credit or other alternatives. The bank-based payments are slow, sometimes taking up to three days to reach a biller, so a consumer is not able to make a same-day payment</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In the biller-direct market, legacy provi</w:t>
      </w:r>
      <w:r>
        <w:rPr>
          <w:rFonts w:ascii="Arial" w:hAnsi="Arial" w:cs="Arial"/>
          <w:sz w:val="20"/>
          <w:szCs w:val="20"/>
        </w:rPr>
        <w:t>ders have been slow to respond to biller and consumer needs because their systems are expensive to maintain and are not nimble enough to keep up with the pace of innovation. As a result, they do not offer the breadth of channels and payment methods demande</w:t>
      </w:r>
      <w:r>
        <w:rPr>
          <w:rFonts w:ascii="Arial" w:hAnsi="Arial" w:cs="Arial"/>
          <w:sz w:val="20"/>
          <w:szCs w:val="20"/>
        </w:rPr>
        <w:t>d by consumers, nor the integration and analytics capabilities required by billers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We believe these solutions lack the modern infrastructure necessary to provide billers, financial institutions and consumers with an omni-channel electronic bill payment ex</w:t>
      </w:r>
      <w:r>
        <w:rPr>
          <w:rFonts w:ascii="Arial" w:hAnsi="Arial" w:cs="Arial"/>
          <w:sz w:val="20"/>
          <w:szCs w:val="20"/>
        </w:rPr>
        <w:t>perience enhanced by AI, ML and contextualized data. We believe the strength and agility of our platform will drive our success in growing our business by demonstrating to billers, financial institutions and partners that our platform delivers superior bus</w:t>
      </w:r>
      <w:r>
        <w:rPr>
          <w:rFonts w:ascii="Arial" w:hAnsi="Arial" w:cs="Arial"/>
          <w:sz w:val="20"/>
          <w:szCs w:val="20"/>
        </w:rPr>
        <w:t>iness outcomes to those of third-party vendors or internally developed systems</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 xml:space="preserve">While competitive factors and their relative importance can vary, in general, we will be assessed on a number of factors including security, reliability, breadth and depth of </w:t>
      </w:r>
      <w:r>
        <w:rPr>
          <w:rFonts w:ascii="Arial" w:hAnsi="Arial" w:cs="Arial"/>
          <w:sz w:val="20"/>
          <w:szCs w:val="20"/>
        </w:rPr>
        <w:t>functionality, ease of deployment and implementation speed, total cost of ownership and return on investment, customer satisfaction, customer service, partnerships, brand awareness and reputation and the ability to provide contextualized and actionable dat</w:t>
      </w:r>
      <w:r>
        <w:rPr>
          <w:rFonts w:ascii="Arial" w:hAnsi="Arial" w:cs="Arial"/>
          <w:sz w:val="20"/>
          <w:szCs w:val="20"/>
        </w:rPr>
        <w:t>a-driven insights that improve the transaction experience. We believe we compete favorably on all of these factors</w:t>
      </w:r>
      <w:r>
        <w:rPr>
          <w:rFonts w:ascii="Arial" w:hAnsi="Arial" w:cs="Arial"/>
          <w:sz w:val="20"/>
          <w:szCs w:val="20"/>
        </w:rPr>
        <w:t>.</w:t>
      </w:r>
      <w:r>
        <w:rPr>
          <w:rFonts w:ascii="Arial" w:hAnsi="Arial" w:cs="Arial"/>
          <w:sz w:val="20"/>
          <w:szCs w:val="20"/>
        </w:rPr>
        <w:t xml:space="preserve"> </w:t>
      </w:r>
    </w:p>
    <w:p w:rsidR="00000000" w:rsidRDefault="00010F15">
      <w:pPr>
        <w:pStyle w:val="a3"/>
        <w:spacing w:before="240" w:beforeAutospacing="0" w:after="0" w:afterAutospacing="0"/>
        <w:jc w:val="center"/>
        <w:rPr>
          <w:sz w:val="20"/>
          <w:szCs w:val="20"/>
        </w:rPr>
      </w:pPr>
      <w:r>
        <w:rPr>
          <w:rFonts w:ascii="Arial" w:hAnsi="Arial" w:cs="Arial"/>
          <w:b/>
          <w:bCs/>
          <w:sz w:val="20"/>
          <w:szCs w:val="20"/>
        </w:rPr>
        <w:t>Intellectual Propert</w:t>
      </w:r>
      <w:r>
        <w:rPr>
          <w:rFonts w:ascii="Arial" w:hAnsi="Arial" w:cs="Arial"/>
          <w:b/>
          <w:bCs/>
          <w:sz w:val="20"/>
          <w:szCs w:val="20"/>
        </w:rPr>
        <w:t>y</w:t>
      </w:r>
    </w:p>
    <w:p w:rsidR="00000000" w:rsidRDefault="00010F15">
      <w:pPr>
        <w:pStyle w:val="a3"/>
        <w:spacing w:before="120" w:beforeAutospacing="0" w:after="0" w:afterAutospacing="0"/>
        <w:ind w:firstLine="539"/>
        <w:rPr>
          <w:sz w:val="20"/>
          <w:szCs w:val="20"/>
        </w:rPr>
      </w:pPr>
      <w:r>
        <w:rPr>
          <w:rFonts w:ascii="Arial" w:hAnsi="Arial" w:cs="Arial"/>
          <w:sz w:val="20"/>
          <w:szCs w:val="20"/>
        </w:rPr>
        <w:t>We rely on a combination of intellectual property rights, including patents, trademarks, copyrights, trade secrets an</w:t>
      </w:r>
      <w:r>
        <w:rPr>
          <w:rFonts w:ascii="Arial" w:hAnsi="Arial" w:cs="Arial"/>
          <w:sz w:val="20"/>
          <w:szCs w:val="20"/>
        </w:rPr>
        <w:t>d contractual rights, to protect our proprietary software and our brands. We have obtained or applied for patent protection in the United States on certain material aspects of our proprietary technologies and we have registered or applied to register certa</w:t>
      </w:r>
      <w:r>
        <w:rPr>
          <w:rFonts w:ascii="Arial" w:hAnsi="Arial" w:cs="Arial"/>
          <w:sz w:val="20"/>
          <w:szCs w:val="20"/>
        </w:rPr>
        <w:t>in of our trademarks in the United States. In addition to the intellectual property that we own, we license certain technologies and intellectual property from third parties, including software that is incorporated in our platform. We generally control acc</w:t>
      </w:r>
      <w:r>
        <w:rPr>
          <w:rFonts w:ascii="Arial" w:hAnsi="Arial" w:cs="Arial"/>
          <w:sz w:val="20"/>
          <w:szCs w:val="20"/>
        </w:rPr>
        <w:t>ess to and use of our software and other proprietary or confidential information through the use of internal and external controls, including entering into non-disclosure and confidentiality agreements with both our employees and third parties who have acc</w:t>
      </w:r>
      <w:r>
        <w:rPr>
          <w:rFonts w:ascii="Arial" w:hAnsi="Arial" w:cs="Arial"/>
          <w:sz w:val="20"/>
          <w:szCs w:val="20"/>
        </w:rPr>
        <w:t>ess to our software and other confidential information</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240" w:afterAutospacing="0"/>
        <w:ind w:firstLine="539"/>
        <w:rPr>
          <w:sz w:val="20"/>
          <w:szCs w:val="20"/>
        </w:rPr>
      </w:pPr>
      <w:r>
        <w:rPr>
          <w:rFonts w:ascii="Arial" w:hAnsi="Arial" w:cs="Arial"/>
          <w:sz w:val="20"/>
          <w:szCs w:val="20"/>
        </w:rPr>
        <w:t xml:space="preserve">As of December 31, 2021, we held 15 issued U.S. patents and one issued Canadian patent related to our proprietary technologies. As of December 31, 2021, we also held one allowed, seven published and </w:t>
      </w:r>
      <w:r>
        <w:rPr>
          <w:rFonts w:ascii="Arial" w:hAnsi="Arial" w:cs="Arial"/>
          <w:sz w:val="20"/>
          <w:szCs w:val="20"/>
        </w:rPr>
        <w:t>two pending U.S. patent applications, and three pending PCT patent applications. If our currently issued patents are maintained until the end of their terms, they will expire between 2025 and 2040. The expiration of these patents is not reasonably likely t</w:t>
      </w:r>
      <w:r>
        <w:rPr>
          <w:rFonts w:ascii="Arial" w:hAnsi="Arial" w:cs="Arial"/>
          <w:sz w:val="20"/>
          <w:szCs w:val="20"/>
        </w:rPr>
        <w:t xml:space="preserve">o have a material adverse effect on our business, financial condition or results of operations. In addition, as of December 31, 2021, we owned four registered U.S. trademarks and one registered United Kingdom trademark. We also held four pending trademark </w:t>
      </w:r>
      <w:r>
        <w:rPr>
          <w:rFonts w:ascii="Arial" w:hAnsi="Arial" w:cs="Arial"/>
          <w:sz w:val="20"/>
          <w:szCs w:val="20"/>
        </w:rPr>
        <w:t>applications in the U.S., two pending trademark applications in China, and one pending trademark application in each of Australia, Canada, Europe, Japan, and New Zealand</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For additional discussion of how intellectual property protection affects our busines</w:t>
      </w:r>
      <w:r>
        <w:rPr>
          <w:rFonts w:ascii="Arial" w:hAnsi="Arial" w:cs="Arial"/>
          <w:sz w:val="20"/>
          <w:szCs w:val="20"/>
        </w:rPr>
        <w:t>s, see the section titled “Risk Factors—Risks Related to Our Technology and Intellectual Property.</w:t>
      </w:r>
      <w:r>
        <w:rPr>
          <w:rFonts w:ascii="Arial" w:hAnsi="Arial" w:cs="Arial"/>
          <w:sz w:val="20"/>
          <w:szCs w:val="20"/>
        </w:rPr>
        <w:t>”</w:t>
      </w:r>
    </w:p>
    <w:p w:rsidR="00000000" w:rsidRDefault="00010F15">
      <w:pPr>
        <w:pStyle w:val="a3"/>
        <w:spacing w:before="0" w:beforeAutospacing="0" w:after="0" w:afterAutospacing="0"/>
        <w:jc w:val="center"/>
        <w:rPr>
          <w:sz w:val="20"/>
          <w:szCs w:val="20"/>
        </w:rPr>
      </w:pPr>
      <w:r>
        <w:rPr>
          <w:rFonts w:ascii="Arial" w:hAnsi="Arial" w:cs="Arial"/>
          <w:sz w:val="20"/>
          <w:szCs w:val="20"/>
        </w:rPr>
        <w:t>1</w:t>
      </w:r>
      <w:r>
        <w:rPr>
          <w:rFonts w:ascii="Arial" w:hAnsi="Arial" w:cs="Arial"/>
          <w:sz w:val="20"/>
          <w:szCs w:val="20"/>
        </w:rPr>
        <w:t>6</w:t>
      </w:r>
    </w:p>
    <w:p w:rsidR="00000000" w:rsidRDefault="00010F15">
      <w:pPr>
        <w:rPr>
          <w:rFonts w:eastAsia="Times New Roman"/>
        </w:rPr>
      </w:pPr>
      <w:r>
        <w:rPr>
          <w:rFonts w:eastAsia="Times New Roman"/>
        </w:rPr>
        <w:pict>
          <v:rect id="_x0000_i1040"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240" w:beforeAutospacing="0" w:after="0" w:afterAutospacing="0"/>
        <w:jc w:val="center"/>
        <w:rPr>
          <w:sz w:val="20"/>
          <w:szCs w:val="20"/>
        </w:rPr>
      </w:pPr>
      <w:r>
        <w:rPr>
          <w:rFonts w:ascii="Arial" w:hAnsi="Arial" w:cs="Arial"/>
          <w:b/>
          <w:bCs/>
          <w:sz w:val="20"/>
          <w:szCs w:val="20"/>
        </w:rPr>
        <w:t>Government Regulatio</w:t>
      </w:r>
      <w:r>
        <w:rPr>
          <w:rFonts w:ascii="Arial" w:hAnsi="Arial" w:cs="Arial"/>
          <w:b/>
          <w:bCs/>
          <w:sz w:val="20"/>
          <w:szCs w:val="20"/>
        </w:rPr>
        <w:t>n</w:t>
      </w:r>
    </w:p>
    <w:p w:rsidR="00000000" w:rsidRDefault="00010F15">
      <w:pPr>
        <w:pStyle w:val="a3"/>
        <w:spacing w:before="120" w:beforeAutospacing="0" w:after="0" w:afterAutospacing="0"/>
        <w:ind w:firstLine="539"/>
        <w:rPr>
          <w:sz w:val="20"/>
          <w:szCs w:val="20"/>
        </w:rPr>
      </w:pPr>
      <w:r>
        <w:rPr>
          <w:rFonts w:ascii="Arial" w:hAnsi="Arial" w:cs="Arial"/>
          <w:sz w:val="20"/>
          <w:szCs w:val="20"/>
        </w:rPr>
        <w:t xml:space="preserve">Various aspects of our business and service areas are subject to U.S. federal, state, and local regulation, as well as regulation outside the United States. Certain of our services are also subject to rules promulgated by various card and payment networks </w:t>
      </w:r>
      <w:r>
        <w:rPr>
          <w:rFonts w:ascii="Arial" w:hAnsi="Arial" w:cs="Arial"/>
          <w:sz w:val="20"/>
          <w:szCs w:val="20"/>
        </w:rPr>
        <w:t>and other authorities, as more fully described below. These descriptions are not exhaustive, and these laws, regulations and rules frequently change and are increasing in number</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Our billers, financial institutions and partners and their consumers store pe</w:t>
      </w:r>
      <w:r>
        <w:rPr>
          <w:rFonts w:ascii="Arial" w:hAnsi="Arial" w:cs="Arial"/>
          <w:sz w:val="20"/>
          <w:szCs w:val="20"/>
        </w:rPr>
        <w:t>rsonal and business information, financial information and other sensitive information on our platform. In addition, we receive, store, handle, transmit, use and otherwise process personal and business information and other data from and about actual and p</w:t>
      </w:r>
      <w:r>
        <w:rPr>
          <w:rFonts w:ascii="Arial" w:hAnsi="Arial" w:cs="Arial"/>
          <w:sz w:val="20"/>
          <w:szCs w:val="20"/>
        </w:rPr>
        <w:t>rospective billers, financial institutions and partners, as well as our employees and service providers. As a result, we and our handling of data are subject to a variety of laws, rules and regulations relating to privacy, data protection and information s</w:t>
      </w:r>
      <w:r>
        <w:rPr>
          <w:rFonts w:ascii="Arial" w:hAnsi="Arial" w:cs="Arial"/>
          <w:sz w:val="20"/>
          <w:szCs w:val="20"/>
        </w:rPr>
        <w:t>ecurity, including regulation by various governmental authorities, such as the FTC, and various state, local and foreign agencies. Our data handling and processing activities are also subject to contractual obligations and industry standard requirements. T</w:t>
      </w:r>
      <w:r>
        <w:rPr>
          <w:rFonts w:ascii="Arial" w:hAnsi="Arial" w:cs="Arial"/>
          <w:sz w:val="20"/>
          <w:szCs w:val="20"/>
        </w:rPr>
        <w:t>he U.S. federal and various state and foreign governments have also adopted or proposed limitations on the collection, distribution, use, and storage of data relating to individuals and businesses, including the use of contact information and other data fo</w:t>
      </w:r>
      <w:r>
        <w:rPr>
          <w:rFonts w:ascii="Arial" w:hAnsi="Arial" w:cs="Arial"/>
          <w:sz w:val="20"/>
          <w:szCs w:val="20"/>
        </w:rPr>
        <w:t>r marketing, advertising, and other communications with individuals and businesses. The legislative and regulatory landscapes for privacy, data protection and information security continue to evolve in jurisdictions worldwide, with an increasing focus on p</w:t>
      </w:r>
      <w:r>
        <w:rPr>
          <w:rFonts w:ascii="Arial" w:hAnsi="Arial" w:cs="Arial"/>
          <w:sz w:val="20"/>
          <w:szCs w:val="20"/>
        </w:rPr>
        <w:t>rivacy and data protection issues with the potential to affect our business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In the United States, various laws and regulations apply to the security, collection, processing, storage, use, disclosure and other processing of certain types of data, including</w:t>
      </w:r>
      <w:r>
        <w:rPr>
          <w:rFonts w:ascii="Arial" w:hAnsi="Arial" w:cs="Arial"/>
          <w:sz w:val="20"/>
          <w:szCs w:val="20"/>
        </w:rPr>
        <w:t xml:space="preserve"> the Electronic Communications Privacy Act, the Computer Fraud and Abuse Act, the Gramm Leach Bliley Act, and state and local laws relating to privacy and data security. Additionally, the FTC and many state attorneys general have interpreted and are contin</w:t>
      </w:r>
      <w:r>
        <w:rPr>
          <w:rFonts w:ascii="Arial" w:hAnsi="Arial" w:cs="Arial"/>
          <w:sz w:val="20"/>
          <w:szCs w:val="20"/>
        </w:rPr>
        <w:t>uing to interpret federal and state consumer protection laws to impose standards for the online collection, use, dissemination, processing and security of data. In addition, many states in which we operate have enacted laws that protect the privacy and sec</w:t>
      </w:r>
      <w:r>
        <w:rPr>
          <w:rFonts w:ascii="Arial" w:hAnsi="Arial" w:cs="Arial"/>
          <w:sz w:val="20"/>
          <w:szCs w:val="20"/>
        </w:rPr>
        <w:t>urity of sensitive and personal data, such as the CCPA and the CPRA in California. Certain other state laws impose similar privacy obligations, such as in New York, Nevada, Virginia and Colorado, and all 50 states have laws including obligations to provide</w:t>
      </w:r>
      <w:r>
        <w:rPr>
          <w:rFonts w:ascii="Arial" w:hAnsi="Arial" w:cs="Arial"/>
          <w:sz w:val="20"/>
          <w:szCs w:val="20"/>
        </w:rPr>
        <w:t xml:space="preserve"> notification of security breaches of computer databases that contain personal information to affected individuals, state officers and others. In addition, several foreign countries and governmental bodies, including the EU, have established their own laws</w:t>
      </w:r>
      <w:r>
        <w:rPr>
          <w:rFonts w:ascii="Arial" w:hAnsi="Arial" w:cs="Arial"/>
          <w:sz w:val="20"/>
          <w:szCs w:val="20"/>
        </w:rPr>
        <w:t>, rules and regulations addressing privacy, data protection and information security with regard to the handling and processing of sensitive and personal data obtained from their residents with which we or our billers, financial institutions or partners ma</w:t>
      </w:r>
      <w:r>
        <w:rPr>
          <w:rFonts w:ascii="Arial" w:hAnsi="Arial" w:cs="Arial"/>
          <w:sz w:val="20"/>
          <w:szCs w:val="20"/>
        </w:rPr>
        <w:t>y need to comply. These laws and regulations, such as the GDPR, are in certain cases more restrictive than those in the United States. Because we process individually identifiable protected health information in certain cases, we are also subject to certai</w:t>
      </w:r>
      <w:r>
        <w:rPr>
          <w:rFonts w:ascii="Arial" w:hAnsi="Arial" w:cs="Arial"/>
          <w:sz w:val="20"/>
          <w:szCs w:val="20"/>
        </w:rPr>
        <w:t>n obligations under HIPAA, as amended by HITECH, as well as certain state laws and related contractual obligations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We are also subject to the rules and standards of Visa, Mastercard, American Express, NACHA and INTERAC and other payment networks and their</w:t>
      </w:r>
      <w:r>
        <w:rPr>
          <w:rFonts w:ascii="Arial" w:hAnsi="Arial" w:cs="Arial"/>
          <w:sz w:val="20"/>
          <w:szCs w:val="20"/>
        </w:rPr>
        <w:t xml:space="preserve"> participants. In order to provide our payment processing services, we must be registered either indirectly or directly as service providers with the payment networks that we use. As such, we are subject to applicable card association and payment network r</w:t>
      </w:r>
      <w:r>
        <w:rPr>
          <w:rFonts w:ascii="Arial" w:hAnsi="Arial" w:cs="Arial"/>
          <w:sz w:val="20"/>
          <w:szCs w:val="20"/>
        </w:rPr>
        <w:t>ules, standards and regulations, which impose various requirements and could subject us to a variety of fines or penalties that may be levied by such associations or networks for certain acts or omissions. Card associations and payment networks and their m</w:t>
      </w:r>
      <w:r>
        <w:rPr>
          <w:rFonts w:ascii="Arial" w:hAnsi="Arial" w:cs="Arial"/>
          <w:sz w:val="20"/>
          <w:szCs w:val="20"/>
        </w:rPr>
        <w:t>ember financial institutions regularly update and generally expand security expectations and requirements related to the security of consumer data and environments. Failure to comply with the networks’ requirements, or to pay the fees or fines they may imp</w:t>
      </w:r>
      <w:r>
        <w:rPr>
          <w:rFonts w:ascii="Arial" w:hAnsi="Arial" w:cs="Arial"/>
          <w:sz w:val="20"/>
          <w:szCs w:val="20"/>
        </w:rPr>
        <w:t>ose, could result in the suspension or termination of our registration with the relevant payment networks and therefore require us to limit or cease providing the relevant payment processing services. It could also cause existing billers, financial institu</w:t>
      </w:r>
      <w:r>
        <w:rPr>
          <w:rFonts w:ascii="Arial" w:hAnsi="Arial" w:cs="Arial"/>
          <w:sz w:val="20"/>
          <w:szCs w:val="20"/>
        </w:rPr>
        <w:t>tions or partners, their consumers or other third parties to cease using or referring our services or prospective billers, financial institutions or partners to terminate negotiations with us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Further, we and our billers, financial institutions and partner</w:t>
      </w:r>
      <w:r>
        <w:rPr>
          <w:rFonts w:ascii="Arial" w:hAnsi="Arial" w:cs="Arial"/>
          <w:sz w:val="20"/>
          <w:szCs w:val="20"/>
        </w:rPr>
        <w:t>s are subject to a variety of U.S. state and federal laws, rules and regulations related to telemarketing, recording and monitoring of communications, such as the TCPA, the CAN-SPAM Act and others, because our platform enables our billers and partners to c</w:t>
      </w:r>
      <w:r>
        <w:rPr>
          <w:rFonts w:ascii="Arial" w:hAnsi="Arial" w:cs="Arial"/>
          <w:sz w:val="20"/>
          <w:szCs w:val="20"/>
        </w:rPr>
        <w:t>ommunicate directly with their consumers, including via e-mail, text messages and calls, and also enables recording and monitoring of calls between our billers, financial institutions and partners and their consumers for training and quality assurance purp</w:t>
      </w:r>
      <w:r>
        <w:rPr>
          <w:rFonts w:ascii="Arial" w:hAnsi="Arial" w:cs="Arial"/>
          <w:sz w:val="20"/>
          <w:szCs w:val="20"/>
        </w:rPr>
        <w:t>oses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In addition to the laws and regulations described above, various regulatory agencies in the United States and in foreign jurisdictions continue to examine a wide variety of issues which are or may be applicable to us and may impact our business. Thes</w:t>
      </w:r>
      <w:r>
        <w:rPr>
          <w:rFonts w:ascii="Arial" w:hAnsi="Arial" w:cs="Arial"/>
          <w:sz w:val="20"/>
          <w:szCs w:val="20"/>
        </w:rPr>
        <w:t>e issues include payments, identity theft, account management guidelines, privacy, disclosure rules, cybersecurity and marketing. The laws and regulations relating to financial services, privacy, data protection and information security are evolving, can b</w:t>
      </w:r>
      <w:r>
        <w:rPr>
          <w:rFonts w:ascii="Arial" w:hAnsi="Arial" w:cs="Arial"/>
          <w:sz w:val="20"/>
          <w:szCs w:val="20"/>
        </w:rPr>
        <w:t>e subject to significant change and may result in ever-increasing regulatory and public scrutiny and escalating levels of enforcement and sanctions. As our business continues to develop and expand</w:t>
      </w:r>
      <w:r>
        <w:rPr>
          <w:rFonts w:ascii="Arial" w:hAnsi="Arial" w:cs="Arial"/>
          <w:sz w:val="20"/>
          <w:szCs w:val="20"/>
        </w:rPr>
        <w:t>,</w:t>
      </w:r>
      <w:r>
        <w:rPr>
          <w:rFonts w:ascii="Arial" w:hAnsi="Arial" w:cs="Arial"/>
          <w:sz w:val="20"/>
          <w:szCs w:val="20"/>
        </w:rPr>
        <w:t xml:space="preserve"> </w:t>
      </w:r>
    </w:p>
    <w:p w:rsidR="00000000" w:rsidRDefault="00010F15">
      <w:pPr>
        <w:pStyle w:val="a3"/>
        <w:spacing w:before="0" w:beforeAutospacing="0" w:after="0" w:afterAutospacing="0"/>
        <w:jc w:val="center"/>
        <w:rPr>
          <w:sz w:val="20"/>
          <w:szCs w:val="20"/>
        </w:rPr>
      </w:pPr>
      <w:r>
        <w:rPr>
          <w:rFonts w:ascii="Arial" w:hAnsi="Arial" w:cs="Arial"/>
          <w:sz w:val="20"/>
          <w:szCs w:val="20"/>
        </w:rPr>
        <w:t>1</w:t>
      </w:r>
      <w:r>
        <w:rPr>
          <w:rFonts w:ascii="Arial" w:hAnsi="Arial" w:cs="Arial"/>
          <w:sz w:val="20"/>
          <w:szCs w:val="20"/>
        </w:rPr>
        <w:t>7</w:t>
      </w:r>
    </w:p>
    <w:p w:rsidR="00000000" w:rsidRDefault="00010F15">
      <w:pPr>
        <w:rPr>
          <w:rFonts w:eastAsia="Times New Roman"/>
        </w:rPr>
      </w:pPr>
      <w:r>
        <w:rPr>
          <w:rFonts w:eastAsia="Times New Roman"/>
        </w:rPr>
        <w:pict>
          <v:rect id="_x0000_i1041"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120" w:beforeAutospacing="0" w:after="0" w:afterAutospacing="0"/>
        <w:rPr>
          <w:sz w:val="20"/>
          <w:szCs w:val="20"/>
        </w:rPr>
      </w:pPr>
      <w:r>
        <w:rPr>
          <w:rFonts w:ascii="Arial" w:hAnsi="Arial" w:cs="Arial"/>
          <w:sz w:val="20"/>
          <w:szCs w:val="20"/>
        </w:rPr>
        <w:t>including intern</w:t>
      </w:r>
      <w:r>
        <w:rPr>
          <w:rFonts w:ascii="Arial" w:hAnsi="Arial" w:cs="Arial"/>
          <w:sz w:val="20"/>
          <w:szCs w:val="20"/>
        </w:rPr>
        <w:t>ationally, we continue to monitor the additional laws and regulations that may become relevant. Any actual or perceived failure to comply with legal and regulatory requirements may result in, among other things, revocation of required licenses or registrat</w:t>
      </w:r>
      <w:r>
        <w:rPr>
          <w:rFonts w:ascii="Arial" w:hAnsi="Arial" w:cs="Arial"/>
          <w:sz w:val="20"/>
          <w:szCs w:val="20"/>
        </w:rPr>
        <w:t>ions, loss of approved status, private litigation, including class action litigation, consent decrees and injunctions, regulatory or governmental investigations, administrative enforcement actions, sanctions, civil and criminal liability, damages, fines, p</w:t>
      </w:r>
      <w:r>
        <w:rPr>
          <w:rFonts w:ascii="Arial" w:hAnsi="Arial" w:cs="Arial"/>
          <w:sz w:val="20"/>
          <w:szCs w:val="20"/>
        </w:rPr>
        <w:t>enalties, adverse publicity, reputational damage and constraints on our ability to continue to operate</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For additional discussion on governmental regulation and payment network operating rules affecting our business, please see the section titled “Risk Fa</w:t>
      </w:r>
      <w:r>
        <w:rPr>
          <w:rFonts w:ascii="Arial" w:hAnsi="Arial" w:cs="Arial"/>
          <w:sz w:val="20"/>
          <w:szCs w:val="20"/>
        </w:rPr>
        <w:t>ctors—Risks Related to Regulation.</w:t>
      </w:r>
      <w:r>
        <w:rPr>
          <w:rFonts w:ascii="Arial" w:hAnsi="Arial" w:cs="Arial"/>
          <w:sz w:val="20"/>
          <w:szCs w:val="20"/>
        </w:rPr>
        <w:t>”</w:t>
      </w:r>
    </w:p>
    <w:p w:rsidR="00000000" w:rsidRDefault="00010F15">
      <w:pPr>
        <w:pStyle w:val="a3"/>
        <w:spacing w:before="240" w:beforeAutospacing="0" w:after="0" w:afterAutospacing="0"/>
        <w:jc w:val="center"/>
        <w:rPr>
          <w:sz w:val="20"/>
          <w:szCs w:val="20"/>
        </w:rPr>
      </w:pPr>
      <w:r>
        <w:rPr>
          <w:rFonts w:ascii="Arial" w:hAnsi="Arial" w:cs="Arial"/>
          <w:b/>
          <w:bCs/>
          <w:sz w:val="20"/>
          <w:szCs w:val="20"/>
        </w:rPr>
        <w:t>Employees and Human Capital Resource</w:t>
      </w:r>
      <w:r>
        <w:rPr>
          <w:rFonts w:ascii="Arial" w:hAnsi="Arial" w:cs="Arial"/>
          <w:b/>
          <w:bCs/>
          <w:sz w:val="20"/>
          <w:szCs w:val="20"/>
        </w:rPr>
        <w:t>s</w:t>
      </w:r>
    </w:p>
    <w:p w:rsidR="00000000" w:rsidRDefault="00010F15">
      <w:pPr>
        <w:pStyle w:val="a3"/>
        <w:spacing w:before="120" w:beforeAutospacing="0" w:after="0" w:afterAutospacing="0"/>
        <w:ind w:firstLine="539"/>
        <w:rPr>
          <w:sz w:val="20"/>
          <w:szCs w:val="20"/>
        </w:rPr>
      </w:pPr>
      <w:r>
        <w:rPr>
          <w:rFonts w:ascii="Arial" w:hAnsi="Arial" w:cs="Arial"/>
          <w:sz w:val="20"/>
          <w:szCs w:val="20"/>
        </w:rPr>
        <w:t>As of December 31, 2021, we employed 1,116 full-time employees and no part-time employees. None of our employees are represented by a labor union or are party to a collective bargain</w:t>
      </w:r>
      <w:r>
        <w:rPr>
          <w:rFonts w:ascii="Arial" w:hAnsi="Arial" w:cs="Arial"/>
          <w:sz w:val="20"/>
          <w:szCs w:val="20"/>
        </w:rPr>
        <w:t>ing agreement, and we have had no labor-related work stoppages. We believe that we have good relationships with our employees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Our employees are our most critical assets. The success and growth of our business depends on our ability to attract, reward, ret</w:t>
      </w:r>
      <w:r>
        <w:rPr>
          <w:rFonts w:ascii="Arial" w:hAnsi="Arial" w:cs="Arial"/>
          <w:sz w:val="20"/>
          <w:szCs w:val="20"/>
        </w:rPr>
        <w:t>ain, and develop diverse, talented, and high-performing employees at all levels of our organization, while sustaining an environment of anti-discrimination that ensures equal access to opportunities. To succeed in an ever-changing and competitive labor mar</w:t>
      </w:r>
      <w:r>
        <w:rPr>
          <w:rFonts w:ascii="Arial" w:hAnsi="Arial" w:cs="Arial"/>
          <w:sz w:val="20"/>
          <w:szCs w:val="20"/>
        </w:rPr>
        <w:t>ket, we have developed human capital management strategies, objectives and measures that drive recruitment and retention, support business performance, advance innovation and foster employee development. Our human capital strategies and objectives include,</w:t>
      </w:r>
      <w:r>
        <w:rPr>
          <w:rFonts w:ascii="Arial" w:hAnsi="Arial" w:cs="Arial"/>
          <w:sz w:val="20"/>
          <w:szCs w:val="20"/>
        </w:rPr>
        <w:t xml:space="preserve"> as applicable, identifying, recruiting, retaining, incentivizing and integrating our existing and new employees and consultants. We believe we provide our employees significant ongoing career growth opportunities in an exciting growth company and industry</w:t>
      </w:r>
      <w:r>
        <w:rPr>
          <w:rFonts w:ascii="Arial" w:hAnsi="Arial" w:cs="Arial"/>
          <w:sz w:val="20"/>
          <w:szCs w:val="20"/>
        </w:rPr>
        <w:t>. The principal purpose of our incentive programs is to attract, retain and reward personnel in order to increase stockholder value and the success of our company by motivating such individuals to perform to the best of their abilities and achieve our obje</w:t>
      </w:r>
      <w:r>
        <w:rPr>
          <w:rFonts w:ascii="Arial" w:hAnsi="Arial" w:cs="Arial"/>
          <w:sz w:val="20"/>
          <w:szCs w:val="20"/>
        </w:rPr>
        <w:t>ctives. We are also focused on supporting our employees’ health and safety and social well-being and seek to have a diverse, equitable and inclusive workplace</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jc w:val="center"/>
        <w:rPr>
          <w:sz w:val="20"/>
          <w:szCs w:val="20"/>
        </w:rPr>
      </w:pPr>
      <w:r>
        <w:rPr>
          <w:rFonts w:ascii="Arial" w:hAnsi="Arial" w:cs="Arial"/>
          <w:b/>
          <w:bCs/>
          <w:sz w:val="20"/>
          <w:szCs w:val="20"/>
        </w:rPr>
        <w:t>Available Informatio</w:t>
      </w:r>
      <w:r>
        <w:rPr>
          <w:rFonts w:ascii="Arial" w:hAnsi="Arial" w:cs="Arial"/>
          <w:b/>
          <w:bCs/>
          <w:sz w:val="20"/>
          <w:szCs w:val="20"/>
        </w:rPr>
        <w:t>n</w:t>
      </w:r>
    </w:p>
    <w:p w:rsidR="00000000" w:rsidRDefault="00010F15">
      <w:pPr>
        <w:pStyle w:val="a3"/>
        <w:spacing w:before="120" w:beforeAutospacing="0" w:after="0" w:afterAutospacing="0"/>
        <w:ind w:firstLine="539"/>
        <w:rPr>
          <w:sz w:val="20"/>
          <w:szCs w:val="20"/>
        </w:rPr>
      </w:pPr>
      <w:r>
        <w:rPr>
          <w:rFonts w:ascii="Arial" w:hAnsi="Arial" w:cs="Arial"/>
          <w:sz w:val="20"/>
          <w:szCs w:val="20"/>
        </w:rPr>
        <w:t>We file or furnish periodic reports and amendments thereto, including Ann</w:t>
      </w:r>
      <w:r>
        <w:rPr>
          <w:rFonts w:ascii="Arial" w:hAnsi="Arial" w:cs="Arial"/>
          <w:sz w:val="20"/>
          <w:szCs w:val="20"/>
        </w:rPr>
        <w:t>ual Reports on Form 10-K, Quarterly Reports on Form 10-Q and Current Reports on Form 8-K, proxy statements and other information with the Securities and Exchange Commission, or SEC. In addition, the SEC maintains a website at</w:t>
      </w:r>
      <w:r>
        <w:rPr>
          <w:rFonts w:ascii="Arial" w:hAnsi="Arial" w:cs="Arial"/>
          <w:sz w:val="20"/>
          <w:szCs w:val="20"/>
        </w:rPr>
        <w:t xml:space="preserve"> </w:t>
      </w:r>
      <w:r>
        <w:rPr>
          <w:rFonts w:ascii="Arial" w:hAnsi="Arial" w:cs="Arial"/>
          <w:i/>
          <w:iCs/>
          <w:sz w:val="20"/>
          <w:szCs w:val="20"/>
        </w:rPr>
        <w:t>www.sec.go</w:t>
      </w:r>
      <w:r>
        <w:rPr>
          <w:rFonts w:ascii="Arial" w:hAnsi="Arial" w:cs="Arial"/>
          <w:i/>
          <w:iCs/>
          <w:sz w:val="20"/>
          <w:szCs w:val="20"/>
        </w:rPr>
        <w:t>v</w:t>
      </w:r>
      <w:r>
        <w:rPr>
          <w:rFonts w:ascii="Arial" w:hAnsi="Arial" w:cs="Arial"/>
          <w:sz w:val="20"/>
          <w:szCs w:val="20"/>
        </w:rPr>
        <w:t xml:space="preserve"> that contains repo</w:t>
      </w:r>
      <w:r>
        <w:rPr>
          <w:rFonts w:ascii="Arial" w:hAnsi="Arial" w:cs="Arial"/>
          <w:sz w:val="20"/>
          <w:szCs w:val="20"/>
        </w:rPr>
        <w:t>rts, proxy and information statements, and other information regarding issuers that file electronically. Our website is located at</w:t>
      </w:r>
      <w:r>
        <w:rPr>
          <w:rFonts w:ascii="Arial" w:hAnsi="Arial" w:cs="Arial"/>
          <w:sz w:val="20"/>
          <w:szCs w:val="20"/>
        </w:rPr>
        <w:t xml:space="preserve"> </w:t>
      </w:r>
      <w:r>
        <w:rPr>
          <w:rFonts w:ascii="Arial" w:hAnsi="Arial" w:cs="Arial"/>
          <w:i/>
          <w:iCs/>
          <w:sz w:val="20"/>
          <w:szCs w:val="20"/>
        </w:rPr>
        <w:t>www.paymentus.co</w:t>
      </w:r>
      <w:r>
        <w:rPr>
          <w:rFonts w:ascii="Arial" w:hAnsi="Arial" w:cs="Arial"/>
          <w:i/>
          <w:iCs/>
          <w:sz w:val="20"/>
          <w:szCs w:val="20"/>
        </w:rPr>
        <w:t>m</w:t>
      </w:r>
      <w:r>
        <w:rPr>
          <w:rFonts w:ascii="Arial" w:hAnsi="Arial" w:cs="Arial"/>
          <w:sz w:val="20"/>
          <w:szCs w:val="20"/>
        </w:rPr>
        <w:t xml:space="preserve">, and our reports, amendments thereto, proxy statements and other information are also made available, free </w:t>
      </w:r>
      <w:r>
        <w:rPr>
          <w:rFonts w:ascii="Arial" w:hAnsi="Arial" w:cs="Arial"/>
          <w:sz w:val="20"/>
          <w:szCs w:val="20"/>
        </w:rPr>
        <w:t>of charge, on our investor relations website at https://ir.paymentus.com/home/default.aspx as soon as reasonably practicable after we electronically file or furnish such information with the SEC. Information contained in, or that can be accessed through, o</w:t>
      </w:r>
      <w:r>
        <w:rPr>
          <w:rFonts w:ascii="Arial" w:hAnsi="Arial" w:cs="Arial"/>
          <w:sz w:val="20"/>
          <w:szCs w:val="20"/>
        </w:rPr>
        <w:t>ur or the SEC's website is not a part of, and is not incorporated into, this report</w:t>
      </w:r>
      <w:r>
        <w:rPr>
          <w:rFonts w:ascii="Arial" w:hAnsi="Arial" w:cs="Arial"/>
          <w:sz w:val="20"/>
          <w:szCs w:val="20"/>
        </w:rPr>
        <w:t>.</w: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0" w:beforeAutospacing="0" w:after="0" w:afterAutospacing="0"/>
        <w:jc w:val="center"/>
        <w:rPr>
          <w:sz w:val="20"/>
          <w:szCs w:val="20"/>
        </w:rPr>
      </w:pPr>
      <w:r>
        <w:rPr>
          <w:rFonts w:ascii="Arial" w:hAnsi="Arial" w:cs="Arial"/>
          <w:sz w:val="20"/>
          <w:szCs w:val="20"/>
        </w:rPr>
        <w:t>1</w:t>
      </w:r>
      <w:r>
        <w:rPr>
          <w:rFonts w:ascii="Arial" w:hAnsi="Arial" w:cs="Arial"/>
          <w:sz w:val="20"/>
          <w:szCs w:val="20"/>
        </w:rPr>
        <w:t>8</w:t>
      </w:r>
    </w:p>
    <w:p w:rsidR="00000000" w:rsidRDefault="00010F15">
      <w:pPr>
        <w:rPr>
          <w:rFonts w:eastAsia="Times New Roman"/>
        </w:rPr>
      </w:pPr>
      <w:r>
        <w:rPr>
          <w:rFonts w:eastAsia="Times New Roman"/>
        </w:rPr>
        <w:pict>
          <v:rect id="_x0000_i1042"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360" w:beforeAutospacing="0" w:after="0" w:afterAutospacing="0"/>
        <w:rPr>
          <w:sz w:val="20"/>
          <w:szCs w:val="20"/>
        </w:rPr>
      </w:pPr>
      <w:hyperlink w:anchor="item_1a_risk_factors" w:history="1">
        <w:r>
          <w:rPr>
            <w:rStyle w:val="a4"/>
            <w:rFonts w:ascii="Arial" w:hAnsi="Arial" w:cs="Arial"/>
            <w:b/>
            <w:bCs/>
            <w:sz w:val="20"/>
            <w:szCs w:val="20"/>
          </w:rPr>
          <w:t>It</w:t>
        </w:r>
        <w:r>
          <w:rPr>
            <w:rStyle w:val="a4"/>
            <w:rFonts w:ascii="Arial" w:hAnsi="Arial" w:cs="Arial"/>
            <w:b/>
            <w:bCs/>
            <w:sz w:val="20"/>
            <w:szCs w:val="20"/>
          </w:rPr>
          <w:t>e</w:t>
        </w:r>
        <w:r>
          <w:rPr>
            <w:rStyle w:val="a4"/>
            <w:rFonts w:ascii="Arial" w:hAnsi="Arial" w:cs="Arial"/>
            <w:b/>
            <w:bCs/>
            <w:sz w:val="20"/>
            <w:szCs w:val="20"/>
          </w:rPr>
          <w:t>m 1A. Risk Factor</w:t>
        </w:r>
        <w:r>
          <w:rPr>
            <w:rStyle w:val="a4"/>
            <w:rFonts w:ascii="Arial" w:hAnsi="Arial" w:cs="Arial"/>
            <w:b/>
            <w:bCs/>
            <w:sz w:val="20"/>
            <w:szCs w:val="20"/>
          </w:rPr>
          <w:t>s</w:t>
        </w:r>
      </w:hyperlink>
    </w:p>
    <w:p w:rsidR="00000000" w:rsidRDefault="00010F15">
      <w:pPr>
        <w:pStyle w:val="a3"/>
        <w:spacing w:before="120" w:beforeAutospacing="0" w:after="0" w:afterAutospacing="0"/>
        <w:ind w:firstLine="539"/>
        <w:rPr>
          <w:sz w:val="20"/>
          <w:szCs w:val="20"/>
        </w:rPr>
      </w:pPr>
      <w:r>
        <w:rPr>
          <w:rFonts w:ascii="Arial" w:hAnsi="Arial" w:cs="Arial"/>
          <w:sz w:val="20"/>
          <w:szCs w:val="20"/>
        </w:rPr>
        <w:t>Investing in our Class A common stock involves a high degree of risk. You should carefully consider the risks and uncertainties described below, together with all of the other information in this report, including the section titled “Management’s Discussio</w:t>
      </w:r>
      <w:r>
        <w:rPr>
          <w:rFonts w:ascii="Arial" w:hAnsi="Arial" w:cs="Arial"/>
          <w:sz w:val="20"/>
          <w:szCs w:val="20"/>
        </w:rPr>
        <w:t>n and Analysis of Financial Condition and Results of Operations,” and our consolidated financial statements and the accompanying notes included elsewhere in this report before making an investment decision. The risks and uncertainties described below are n</w:t>
      </w:r>
      <w:r>
        <w:rPr>
          <w:rFonts w:ascii="Arial" w:hAnsi="Arial" w:cs="Arial"/>
          <w:sz w:val="20"/>
          <w:szCs w:val="20"/>
        </w:rPr>
        <w:t>ot the only ones we face. Additional risks and uncertainties not presently known to us or that we currently deem immaterial may also materially and adversely affect our business operations, results of operations, financial condition or prospects. The tradi</w:t>
      </w:r>
      <w:r>
        <w:rPr>
          <w:rFonts w:ascii="Arial" w:hAnsi="Arial" w:cs="Arial"/>
          <w:sz w:val="20"/>
          <w:szCs w:val="20"/>
        </w:rPr>
        <w:t>ng price of our Class A common stock could decline due to the materialization of any of these risks, and you may lose all or part of your investment. In addition, the risks discussed below include forward-looking statements and our actual results may diffe</w:t>
      </w:r>
      <w:r>
        <w:rPr>
          <w:rFonts w:ascii="Arial" w:hAnsi="Arial" w:cs="Arial"/>
          <w:sz w:val="20"/>
          <w:szCs w:val="20"/>
        </w:rPr>
        <w:t>r substantially from those discussed in the forward-looking statements. See the section titled “Special Note Regarding Forward-Looking Statements</w:t>
      </w:r>
      <w:r>
        <w:rPr>
          <w:rFonts w:ascii="Arial" w:hAnsi="Arial" w:cs="Arial"/>
          <w:sz w:val="20"/>
          <w:szCs w:val="20"/>
        </w:rPr>
        <w:t>”</w:t>
      </w:r>
      <w:r>
        <w:rPr>
          <w:rFonts w:ascii="Arial" w:hAnsi="Arial" w:cs="Arial"/>
          <w:i/>
          <w:iCs/>
          <w:sz w:val="20"/>
          <w:szCs w:val="20"/>
        </w:rPr>
        <w:t xml:space="preserve"> </w:t>
      </w:r>
      <w:r>
        <w:rPr>
          <w:rFonts w:ascii="Arial" w:hAnsi="Arial" w:cs="Arial"/>
          <w:sz w:val="20"/>
          <w:szCs w:val="20"/>
        </w:rPr>
        <w:t>for a discussion of such statements and their limitations Our Risk Factors are not guarantees that no such co</w:t>
      </w:r>
      <w:r>
        <w:rPr>
          <w:rFonts w:ascii="Arial" w:hAnsi="Arial" w:cs="Arial"/>
          <w:sz w:val="20"/>
          <w:szCs w:val="20"/>
        </w:rPr>
        <w:t>nditions exist as of the date of this report and should not be interpreted as an affirmative statement that such risks or conditions have not materialized, in whole or in part</w:t>
      </w:r>
      <w:r>
        <w:rPr>
          <w:rFonts w:ascii="Arial" w:hAnsi="Arial" w:cs="Arial"/>
          <w:sz w:val="20"/>
          <w:szCs w:val="20"/>
        </w:rPr>
        <w:t>.</w:t>
      </w:r>
    </w:p>
    <w:p w:rsidR="00000000" w:rsidRDefault="00010F15">
      <w:pPr>
        <w:pStyle w:val="a3"/>
        <w:spacing w:before="120" w:beforeAutospacing="0" w:after="0" w:afterAutospacing="0"/>
        <w:jc w:val="center"/>
        <w:rPr>
          <w:sz w:val="20"/>
          <w:szCs w:val="20"/>
        </w:rPr>
      </w:pPr>
      <w:r>
        <w:rPr>
          <w:rFonts w:ascii="Arial" w:hAnsi="Arial" w:cs="Arial"/>
          <w:b/>
          <w:bCs/>
          <w:sz w:val="20"/>
          <w:szCs w:val="20"/>
        </w:rPr>
        <w:t>Risks Related to Our Business and Industr</w:t>
      </w:r>
      <w:r>
        <w:rPr>
          <w:rFonts w:ascii="Arial" w:hAnsi="Arial" w:cs="Arial"/>
          <w:b/>
          <w:bCs/>
          <w:sz w:val="20"/>
          <w:szCs w:val="20"/>
        </w:rPr>
        <w:t>y</w:t>
      </w:r>
    </w:p>
    <w:p w:rsidR="00000000" w:rsidRDefault="00010F15">
      <w:pPr>
        <w:pStyle w:val="a3"/>
        <w:spacing w:before="240" w:beforeAutospacing="0" w:after="0" w:afterAutospacing="0"/>
        <w:rPr>
          <w:sz w:val="20"/>
          <w:szCs w:val="20"/>
        </w:rPr>
      </w:pPr>
      <w:r>
        <w:rPr>
          <w:rFonts w:ascii="Arial" w:hAnsi="Arial" w:cs="Arial"/>
          <w:b/>
          <w:bCs/>
          <w:i/>
          <w:iCs/>
          <w:sz w:val="20"/>
          <w:szCs w:val="20"/>
        </w:rPr>
        <w:t>Our rapid growth may not be sustaina</w:t>
      </w:r>
      <w:r>
        <w:rPr>
          <w:rFonts w:ascii="Arial" w:hAnsi="Arial" w:cs="Arial"/>
          <w:b/>
          <w:bCs/>
          <w:i/>
          <w:iCs/>
          <w:sz w:val="20"/>
          <w:szCs w:val="20"/>
        </w:rPr>
        <w:t>ble or indicative of our future growth</w:t>
      </w:r>
      <w:r>
        <w:rPr>
          <w:rFonts w:ascii="Arial" w:hAnsi="Arial" w:cs="Arial"/>
          <w:b/>
          <w:bCs/>
          <w:i/>
          <w:iCs/>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Our recent rapid growth, including in payment volumes, may not be sustainable or indicative of our future growth. Even though the number of billers, financial institutions and consumers who use our platform has grown</w:t>
      </w:r>
      <w:r>
        <w:rPr>
          <w:rFonts w:ascii="Arial" w:hAnsi="Arial" w:cs="Arial"/>
          <w:sz w:val="20"/>
          <w:szCs w:val="20"/>
        </w:rPr>
        <w:t xml:space="preserve"> rapidly in recent years, there can be no assurance that we will be able to attract new billers and financial institutions or retain existing billers and financial institutions. Our costs associated with retaining revenue from existing billers and financia</w:t>
      </w:r>
      <w:r>
        <w:rPr>
          <w:rFonts w:ascii="Arial" w:hAnsi="Arial" w:cs="Arial"/>
          <w:sz w:val="20"/>
          <w:szCs w:val="20"/>
        </w:rPr>
        <w:t>l institutions are substantially lower than costs associated with attracting and generating revenue from new billers and financial institutions or costs associated with generating increased adoption of our platform by existing billers and financial institu</w:t>
      </w:r>
      <w:r>
        <w:rPr>
          <w:rFonts w:ascii="Arial" w:hAnsi="Arial" w:cs="Arial"/>
          <w:sz w:val="20"/>
          <w:szCs w:val="20"/>
        </w:rPr>
        <w:t>tions. Therefore, if we are unable to retain revenue from existing billers and financial institutions, even if related losses are offset by an increase in new billers and financial institutions or increased adoption of our platform by existing billers, our</w:t>
      </w:r>
      <w:r>
        <w:rPr>
          <w:rFonts w:ascii="Arial" w:hAnsi="Arial" w:cs="Arial"/>
          <w:sz w:val="20"/>
          <w:szCs w:val="20"/>
        </w:rPr>
        <w:t xml:space="preserve"> operating results could be adversely impacted</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Our ability to attract new billers and financial institutions, retain revenue from existing billers and financial institutions or increase adoption of our platform by both new and existing billers is impacted</w:t>
      </w:r>
      <w:r>
        <w:rPr>
          <w:rFonts w:ascii="Arial" w:hAnsi="Arial" w:cs="Arial"/>
          <w:sz w:val="20"/>
          <w:szCs w:val="20"/>
        </w:rPr>
        <w:t xml:space="preserve"> by a number of factors, including</w:t>
      </w:r>
      <w:r>
        <w:rPr>
          <w:rFonts w:ascii="Arial" w:hAnsi="Arial" w:cs="Arial"/>
          <w:sz w:val="20"/>
          <w:szCs w:val="20"/>
        </w:rPr>
        <w:t>:</w:t>
      </w:r>
    </w:p>
    <w:p w:rsidR="00000000" w:rsidRDefault="00010F15">
      <w:pPr>
        <w:divId w:val="551575062"/>
        <w:rPr>
          <w:rFonts w:eastAsia="Times New Roman"/>
        </w:rPr>
      </w:pPr>
      <w:r>
        <w:rPr>
          <w:rFonts w:eastAsia="Times New Roman"/>
          <w:sz w:val="20"/>
          <w:szCs w:val="20"/>
        </w:rPr>
        <w:t>•</w:t>
      </w:r>
    </w:p>
    <w:p w:rsidR="00000000" w:rsidRDefault="00010F15">
      <w:pPr>
        <w:divId w:val="661005762"/>
        <w:rPr>
          <w:rFonts w:eastAsia="Times New Roman"/>
        </w:rPr>
      </w:pPr>
      <w:r>
        <w:rPr>
          <w:rFonts w:ascii="Arial" w:eastAsia="Times New Roman" w:hAnsi="Arial" w:cs="Arial"/>
          <w:sz w:val="20"/>
          <w:szCs w:val="20"/>
        </w:rPr>
        <w:t>our transaction fees and certain of our billers’ ability to pass them on to consumers</w:t>
      </w:r>
      <w:r>
        <w:rPr>
          <w:rFonts w:ascii="Arial" w:eastAsia="Times New Roman" w:hAnsi="Arial" w:cs="Arial"/>
          <w:sz w:val="20"/>
          <w:szCs w:val="20"/>
        </w:rPr>
        <w:t>;</w:t>
      </w:r>
    </w:p>
    <w:p w:rsidR="00000000" w:rsidRDefault="00010F15">
      <w:pPr>
        <w:divId w:val="119305650"/>
        <w:rPr>
          <w:rFonts w:eastAsia="Times New Roman"/>
        </w:rPr>
      </w:pPr>
      <w:r>
        <w:rPr>
          <w:rFonts w:eastAsia="Times New Roman"/>
          <w:sz w:val="20"/>
          <w:szCs w:val="20"/>
        </w:rPr>
        <w:t>•</w:t>
      </w:r>
    </w:p>
    <w:p w:rsidR="00000000" w:rsidRDefault="00010F15">
      <w:pPr>
        <w:divId w:val="296111119"/>
        <w:rPr>
          <w:rFonts w:eastAsia="Times New Roman"/>
        </w:rPr>
      </w:pPr>
      <w:r>
        <w:rPr>
          <w:rFonts w:ascii="Arial" w:eastAsia="Times New Roman" w:hAnsi="Arial" w:cs="Arial"/>
          <w:sz w:val="20"/>
          <w:szCs w:val="20"/>
        </w:rPr>
        <w:t>our ability to timely expand the functionality and scope of our platform</w:t>
      </w:r>
      <w:r>
        <w:rPr>
          <w:rFonts w:ascii="Arial" w:eastAsia="Times New Roman" w:hAnsi="Arial" w:cs="Arial"/>
          <w:sz w:val="20"/>
          <w:szCs w:val="20"/>
        </w:rPr>
        <w:t>;</w:t>
      </w:r>
    </w:p>
    <w:p w:rsidR="00000000" w:rsidRDefault="00010F15">
      <w:pPr>
        <w:divId w:val="357582557"/>
        <w:rPr>
          <w:rFonts w:eastAsia="Times New Roman"/>
        </w:rPr>
      </w:pPr>
      <w:r>
        <w:rPr>
          <w:rFonts w:eastAsia="Times New Roman"/>
          <w:sz w:val="20"/>
          <w:szCs w:val="20"/>
        </w:rPr>
        <w:t>•</w:t>
      </w:r>
    </w:p>
    <w:p w:rsidR="00000000" w:rsidRDefault="00010F15">
      <w:pPr>
        <w:divId w:val="1528641614"/>
        <w:rPr>
          <w:rFonts w:eastAsia="Times New Roman"/>
        </w:rPr>
      </w:pPr>
      <w:r>
        <w:rPr>
          <w:rFonts w:ascii="Arial" w:eastAsia="Times New Roman" w:hAnsi="Arial" w:cs="Arial"/>
          <w:sz w:val="20"/>
          <w:szCs w:val="20"/>
        </w:rPr>
        <w:t>our ability to maintain the rates at which our billers and financial institutions pay us and continue to use our platform</w:t>
      </w:r>
      <w:r>
        <w:rPr>
          <w:rFonts w:ascii="Arial" w:eastAsia="Times New Roman" w:hAnsi="Arial" w:cs="Arial"/>
          <w:sz w:val="20"/>
          <w:szCs w:val="20"/>
        </w:rPr>
        <w:t>;</w:t>
      </w:r>
    </w:p>
    <w:p w:rsidR="00000000" w:rsidRDefault="00010F15">
      <w:pPr>
        <w:divId w:val="1486508597"/>
        <w:rPr>
          <w:rFonts w:eastAsia="Times New Roman"/>
        </w:rPr>
      </w:pPr>
      <w:r>
        <w:rPr>
          <w:rFonts w:eastAsia="Times New Roman"/>
          <w:sz w:val="20"/>
          <w:szCs w:val="20"/>
        </w:rPr>
        <w:t>•</w:t>
      </w:r>
    </w:p>
    <w:p w:rsidR="00000000" w:rsidRDefault="00010F15">
      <w:pPr>
        <w:divId w:val="904685551"/>
        <w:rPr>
          <w:rFonts w:eastAsia="Times New Roman"/>
        </w:rPr>
      </w:pPr>
      <w:r>
        <w:rPr>
          <w:rFonts w:ascii="Arial" w:eastAsia="Times New Roman" w:hAnsi="Arial" w:cs="Arial"/>
          <w:sz w:val="20"/>
          <w:szCs w:val="20"/>
        </w:rPr>
        <w:t>competitive factors, including the introduction of comp</w:t>
      </w:r>
      <w:r>
        <w:rPr>
          <w:rFonts w:ascii="Arial" w:eastAsia="Times New Roman" w:hAnsi="Arial" w:cs="Arial"/>
          <w:sz w:val="20"/>
          <w:szCs w:val="20"/>
        </w:rPr>
        <w:t>eting solutions, discount pricing and other strategies that may be implemented by our competitors</w:t>
      </w:r>
      <w:r>
        <w:rPr>
          <w:rFonts w:ascii="Arial" w:eastAsia="Times New Roman" w:hAnsi="Arial" w:cs="Arial"/>
          <w:sz w:val="20"/>
          <w:szCs w:val="20"/>
        </w:rPr>
        <w:t>;</w:t>
      </w:r>
    </w:p>
    <w:p w:rsidR="00000000" w:rsidRDefault="00010F15">
      <w:pPr>
        <w:divId w:val="1451507577"/>
        <w:rPr>
          <w:rFonts w:eastAsia="Times New Roman"/>
        </w:rPr>
      </w:pPr>
      <w:r>
        <w:rPr>
          <w:rFonts w:eastAsia="Times New Roman"/>
          <w:sz w:val="20"/>
          <w:szCs w:val="20"/>
        </w:rPr>
        <w:t>•</w:t>
      </w:r>
    </w:p>
    <w:p w:rsidR="00000000" w:rsidRDefault="00010F15">
      <w:pPr>
        <w:divId w:val="1386026261"/>
        <w:rPr>
          <w:rFonts w:eastAsia="Times New Roman"/>
        </w:rPr>
      </w:pPr>
      <w:r>
        <w:rPr>
          <w:rFonts w:ascii="Arial" w:eastAsia="Times New Roman" w:hAnsi="Arial" w:cs="Arial"/>
          <w:sz w:val="20"/>
          <w:szCs w:val="20"/>
        </w:rPr>
        <w:t>our ability to maintain high-quality customer support for billers, financial institutions and consumers</w:t>
      </w:r>
      <w:r>
        <w:rPr>
          <w:rFonts w:ascii="Arial" w:eastAsia="Times New Roman" w:hAnsi="Arial" w:cs="Arial"/>
          <w:sz w:val="20"/>
          <w:szCs w:val="20"/>
        </w:rPr>
        <w:t>;</w:t>
      </w:r>
    </w:p>
    <w:p w:rsidR="00000000" w:rsidRDefault="00010F15">
      <w:pPr>
        <w:divId w:val="1803379889"/>
        <w:rPr>
          <w:rFonts w:eastAsia="Times New Roman"/>
        </w:rPr>
      </w:pPr>
      <w:r>
        <w:rPr>
          <w:rFonts w:eastAsia="Times New Roman"/>
          <w:sz w:val="20"/>
          <w:szCs w:val="20"/>
        </w:rPr>
        <w:t>•</w:t>
      </w:r>
    </w:p>
    <w:p w:rsidR="00000000" w:rsidRDefault="00010F15">
      <w:pPr>
        <w:divId w:val="383606300"/>
        <w:rPr>
          <w:rFonts w:eastAsia="Times New Roman"/>
        </w:rPr>
      </w:pPr>
      <w:r>
        <w:rPr>
          <w:rFonts w:ascii="Arial" w:eastAsia="Times New Roman" w:hAnsi="Arial" w:cs="Arial"/>
          <w:sz w:val="20"/>
          <w:szCs w:val="20"/>
        </w:rPr>
        <w:t>our ability to attract and retain strategic part</w:t>
      </w:r>
      <w:r>
        <w:rPr>
          <w:rFonts w:ascii="Arial" w:eastAsia="Times New Roman" w:hAnsi="Arial" w:cs="Arial"/>
          <w:sz w:val="20"/>
          <w:szCs w:val="20"/>
        </w:rPr>
        <w:t>ners, software partners, resellers and IPN partners</w:t>
      </w:r>
      <w:r>
        <w:rPr>
          <w:rFonts w:ascii="Arial" w:eastAsia="Times New Roman" w:hAnsi="Arial" w:cs="Arial"/>
          <w:sz w:val="20"/>
          <w:szCs w:val="20"/>
        </w:rPr>
        <w:t>;</w:t>
      </w:r>
    </w:p>
    <w:p w:rsidR="00000000" w:rsidRDefault="00010F15">
      <w:pPr>
        <w:divId w:val="683244395"/>
        <w:rPr>
          <w:rFonts w:eastAsia="Times New Roman"/>
        </w:rPr>
      </w:pPr>
      <w:r>
        <w:rPr>
          <w:rFonts w:eastAsia="Times New Roman"/>
          <w:sz w:val="20"/>
          <w:szCs w:val="20"/>
        </w:rPr>
        <w:t>•</w:t>
      </w:r>
    </w:p>
    <w:p w:rsidR="00000000" w:rsidRDefault="00010F15">
      <w:pPr>
        <w:divId w:val="2022587447"/>
        <w:rPr>
          <w:rFonts w:eastAsia="Times New Roman"/>
        </w:rPr>
      </w:pPr>
      <w:r>
        <w:rPr>
          <w:rFonts w:ascii="Arial" w:eastAsia="Times New Roman" w:hAnsi="Arial" w:cs="Arial"/>
          <w:sz w:val="20"/>
          <w:szCs w:val="20"/>
        </w:rPr>
        <w:t>our ability to expand into new industries and market segments;</w:t>
      </w:r>
      <w:r>
        <w:rPr>
          <w:rFonts w:ascii="Arial" w:eastAsia="Times New Roman" w:hAnsi="Arial" w:cs="Arial"/>
          <w:sz w:val="20"/>
          <w:szCs w:val="20"/>
        </w:rPr>
        <w:t xml:space="preserve"> </w:t>
      </w:r>
    </w:p>
    <w:p w:rsidR="00000000" w:rsidRDefault="00010F15">
      <w:pPr>
        <w:divId w:val="912735596"/>
        <w:rPr>
          <w:rFonts w:eastAsia="Times New Roman"/>
        </w:rPr>
      </w:pPr>
      <w:r>
        <w:rPr>
          <w:rFonts w:eastAsia="Times New Roman"/>
          <w:sz w:val="20"/>
          <w:szCs w:val="20"/>
        </w:rPr>
        <w:t>•</w:t>
      </w:r>
    </w:p>
    <w:p w:rsidR="00000000" w:rsidRDefault="00010F15">
      <w:pPr>
        <w:divId w:val="1806464176"/>
        <w:rPr>
          <w:rFonts w:eastAsia="Times New Roman"/>
        </w:rPr>
      </w:pPr>
      <w:r>
        <w:rPr>
          <w:rFonts w:ascii="Arial" w:eastAsia="Times New Roman" w:hAnsi="Arial" w:cs="Arial"/>
          <w:sz w:val="20"/>
          <w:szCs w:val="20"/>
        </w:rPr>
        <w:t>actual or perceived privacy or security breaches or incidents</w:t>
      </w:r>
      <w:r>
        <w:rPr>
          <w:rFonts w:ascii="Arial" w:eastAsia="Times New Roman" w:hAnsi="Arial" w:cs="Arial"/>
          <w:sz w:val="20"/>
          <w:szCs w:val="20"/>
        </w:rPr>
        <w:t>;</w:t>
      </w:r>
    </w:p>
    <w:p w:rsidR="00000000" w:rsidRDefault="00010F15">
      <w:pPr>
        <w:divId w:val="629020123"/>
        <w:rPr>
          <w:rFonts w:eastAsia="Times New Roman"/>
        </w:rPr>
      </w:pPr>
      <w:r>
        <w:rPr>
          <w:rFonts w:eastAsia="Times New Roman"/>
          <w:sz w:val="20"/>
          <w:szCs w:val="20"/>
        </w:rPr>
        <w:t>•</w:t>
      </w:r>
    </w:p>
    <w:p w:rsidR="00000000" w:rsidRDefault="00010F15">
      <w:pPr>
        <w:divId w:val="2130082749"/>
        <w:rPr>
          <w:rFonts w:eastAsia="Times New Roman"/>
        </w:rPr>
      </w:pPr>
      <w:r>
        <w:rPr>
          <w:rFonts w:ascii="Arial" w:eastAsia="Times New Roman" w:hAnsi="Arial" w:cs="Arial"/>
          <w:sz w:val="20"/>
          <w:szCs w:val="20"/>
        </w:rPr>
        <w:t>the frequency and severity of any system outages, technological changes or similar issues;</w:t>
      </w:r>
      <w:r>
        <w:rPr>
          <w:rFonts w:ascii="Arial" w:eastAsia="Times New Roman" w:hAnsi="Arial" w:cs="Arial"/>
          <w:sz w:val="20"/>
          <w:szCs w:val="20"/>
        </w:rPr>
        <w:t xml:space="preserve"> </w:t>
      </w:r>
    </w:p>
    <w:p w:rsidR="00000000" w:rsidRDefault="00010F15">
      <w:pPr>
        <w:divId w:val="146871901"/>
        <w:rPr>
          <w:rFonts w:eastAsia="Times New Roman"/>
        </w:rPr>
      </w:pPr>
      <w:r>
        <w:rPr>
          <w:rFonts w:eastAsia="Times New Roman"/>
          <w:sz w:val="20"/>
          <w:szCs w:val="20"/>
        </w:rPr>
        <w:t>•</w:t>
      </w:r>
    </w:p>
    <w:p w:rsidR="00000000" w:rsidRDefault="00010F15">
      <w:pPr>
        <w:divId w:val="83305992"/>
        <w:rPr>
          <w:rFonts w:eastAsia="Times New Roman"/>
        </w:rPr>
      </w:pPr>
      <w:r>
        <w:rPr>
          <w:rFonts w:ascii="Arial" w:eastAsia="Times New Roman" w:hAnsi="Arial" w:cs="Arial"/>
          <w:sz w:val="20"/>
          <w:szCs w:val="20"/>
        </w:rPr>
        <w:t>our ability to successfully identify and acquire or invest in businesses, products or technologies that we believe could complement or expand our platform</w:t>
      </w:r>
      <w:r>
        <w:rPr>
          <w:rFonts w:ascii="Arial" w:eastAsia="Times New Roman" w:hAnsi="Arial" w:cs="Arial"/>
          <w:sz w:val="20"/>
          <w:szCs w:val="20"/>
        </w:rPr>
        <w:t>;</w:t>
      </w:r>
    </w:p>
    <w:p w:rsidR="00000000" w:rsidRDefault="00010F15">
      <w:pPr>
        <w:divId w:val="1875657144"/>
        <w:rPr>
          <w:rFonts w:eastAsia="Times New Roman"/>
        </w:rPr>
      </w:pPr>
      <w:r>
        <w:rPr>
          <w:rFonts w:eastAsia="Times New Roman"/>
          <w:sz w:val="20"/>
          <w:szCs w:val="20"/>
        </w:rPr>
        <w:t>•</w:t>
      </w:r>
    </w:p>
    <w:p w:rsidR="00000000" w:rsidRDefault="00010F15">
      <w:pPr>
        <w:divId w:val="2113669700"/>
        <w:rPr>
          <w:rFonts w:eastAsia="Times New Roman"/>
        </w:rPr>
      </w:pPr>
      <w:r>
        <w:rPr>
          <w:rFonts w:ascii="Arial" w:eastAsia="Times New Roman" w:hAnsi="Arial" w:cs="Arial"/>
          <w:sz w:val="20"/>
          <w:szCs w:val="20"/>
        </w:rPr>
        <w:t xml:space="preserve">our </w:t>
      </w:r>
      <w:r>
        <w:rPr>
          <w:rFonts w:ascii="Arial" w:eastAsia="Times New Roman" w:hAnsi="Arial" w:cs="Arial"/>
          <w:sz w:val="20"/>
          <w:szCs w:val="20"/>
        </w:rPr>
        <w:t>ability to increase awareness of our brand and successfully compete with other companies</w:t>
      </w:r>
      <w:r>
        <w:rPr>
          <w:rFonts w:ascii="Arial" w:eastAsia="Times New Roman" w:hAnsi="Arial" w:cs="Arial"/>
          <w:sz w:val="20"/>
          <w:szCs w:val="20"/>
        </w:rPr>
        <w:t>;</w:t>
      </w:r>
    </w:p>
    <w:p w:rsidR="00000000" w:rsidRDefault="00010F15">
      <w:pPr>
        <w:divId w:val="2056540368"/>
        <w:rPr>
          <w:rFonts w:eastAsia="Times New Roman"/>
        </w:rPr>
      </w:pPr>
      <w:r>
        <w:rPr>
          <w:rFonts w:eastAsia="Times New Roman"/>
          <w:sz w:val="20"/>
          <w:szCs w:val="20"/>
        </w:rPr>
        <w:t>•</w:t>
      </w:r>
    </w:p>
    <w:p w:rsidR="00000000" w:rsidRDefault="00010F15">
      <w:pPr>
        <w:divId w:val="1396657931"/>
        <w:rPr>
          <w:rFonts w:eastAsia="Times New Roman"/>
        </w:rPr>
      </w:pPr>
      <w:r>
        <w:rPr>
          <w:rFonts w:ascii="Arial" w:eastAsia="Times New Roman" w:hAnsi="Arial" w:cs="Arial"/>
          <w:sz w:val="20"/>
          <w:szCs w:val="20"/>
        </w:rPr>
        <w:t>our ability to expand internationally; an</w:t>
      </w:r>
      <w:r>
        <w:rPr>
          <w:rFonts w:ascii="Arial" w:eastAsia="Times New Roman" w:hAnsi="Arial" w:cs="Arial"/>
          <w:sz w:val="20"/>
          <w:szCs w:val="20"/>
        </w:rPr>
        <w:t>d</w:t>
      </w:r>
    </w:p>
    <w:p w:rsidR="00000000" w:rsidRDefault="00010F15">
      <w:pPr>
        <w:divId w:val="717245518"/>
        <w:rPr>
          <w:rFonts w:eastAsia="Times New Roman"/>
        </w:rPr>
      </w:pPr>
      <w:r>
        <w:rPr>
          <w:rFonts w:eastAsia="Times New Roman"/>
          <w:sz w:val="20"/>
          <w:szCs w:val="20"/>
        </w:rPr>
        <w:t>•</w:t>
      </w:r>
    </w:p>
    <w:p w:rsidR="00000000" w:rsidRDefault="00010F15">
      <w:pPr>
        <w:divId w:val="1497726505"/>
        <w:rPr>
          <w:rFonts w:eastAsia="Times New Roman"/>
        </w:rPr>
      </w:pPr>
      <w:r>
        <w:rPr>
          <w:rFonts w:ascii="Arial" w:eastAsia="Times New Roman" w:hAnsi="Arial" w:cs="Arial"/>
          <w:sz w:val="20"/>
          <w:szCs w:val="20"/>
        </w:rPr>
        <w:t>our focus on long-term value over short-term results, meaning that we may make strategic decisions that may not maximiz</w:t>
      </w:r>
      <w:r>
        <w:rPr>
          <w:rFonts w:ascii="Arial" w:eastAsia="Times New Roman" w:hAnsi="Arial" w:cs="Arial"/>
          <w:sz w:val="20"/>
          <w:szCs w:val="20"/>
        </w:rPr>
        <w:t>e our short-term revenue or profitability if we believe that the decisions are consistent with our mission and will improve our financial performance over the long-term</w:t>
      </w:r>
      <w:r>
        <w:rPr>
          <w:rFonts w:ascii="Arial" w:eastAsia="Times New Roman" w:hAnsi="Arial" w:cs="Arial"/>
          <w:sz w:val="20"/>
          <w:szCs w:val="20"/>
        </w:rPr>
        <w:t>.</w:t>
      </w:r>
    </w:p>
    <w:p w:rsidR="00000000" w:rsidRDefault="00010F15">
      <w:pPr>
        <w:pStyle w:val="a3"/>
        <w:spacing w:before="0" w:beforeAutospacing="0" w:after="0" w:afterAutospacing="0"/>
        <w:jc w:val="center"/>
        <w:rPr>
          <w:sz w:val="20"/>
          <w:szCs w:val="20"/>
        </w:rPr>
      </w:pPr>
      <w:r>
        <w:rPr>
          <w:rFonts w:ascii="Arial" w:hAnsi="Arial" w:cs="Arial"/>
          <w:sz w:val="20"/>
          <w:szCs w:val="20"/>
        </w:rPr>
        <w:t>1</w:t>
      </w:r>
      <w:r>
        <w:rPr>
          <w:rFonts w:ascii="Arial" w:hAnsi="Arial" w:cs="Arial"/>
          <w:sz w:val="20"/>
          <w:szCs w:val="20"/>
        </w:rPr>
        <w:t>9</w:t>
      </w:r>
    </w:p>
    <w:p w:rsidR="00000000" w:rsidRDefault="00010F15">
      <w:pPr>
        <w:rPr>
          <w:rFonts w:eastAsia="Times New Roman"/>
        </w:rPr>
      </w:pPr>
      <w:r>
        <w:rPr>
          <w:rFonts w:eastAsia="Times New Roman"/>
        </w:rPr>
        <w:pict>
          <v:rect id="_x0000_i1043"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240" w:beforeAutospacing="0" w:after="0" w:afterAutospacing="0"/>
        <w:rPr>
          <w:sz w:val="20"/>
          <w:szCs w:val="20"/>
        </w:rPr>
      </w:pPr>
      <w:r>
        <w:rPr>
          <w:rFonts w:ascii="Arial" w:hAnsi="Arial" w:cs="Arial"/>
          <w:b/>
          <w:bCs/>
          <w:i/>
          <w:iCs/>
          <w:sz w:val="20"/>
          <w:szCs w:val="20"/>
        </w:rPr>
        <w:t>Our business could be harmed if we fail to m</w:t>
      </w:r>
      <w:r>
        <w:rPr>
          <w:rFonts w:ascii="Arial" w:hAnsi="Arial" w:cs="Arial"/>
          <w:b/>
          <w:bCs/>
          <w:i/>
          <w:iCs/>
          <w:sz w:val="20"/>
          <w:szCs w:val="20"/>
        </w:rPr>
        <w:t>anage our infrastructure to support future growth</w:t>
      </w:r>
      <w:r>
        <w:rPr>
          <w:rFonts w:ascii="Arial" w:hAnsi="Arial" w:cs="Arial"/>
          <w:b/>
          <w:bCs/>
          <w:i/>
          <w:iCs/>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The rapid growth we have experienced in our business places significant demands on our operational infrastructure. The scalability and flexibility of our platform depends on the functionality of our techno</w:t>
      </w:r>
      <w:r>
        <w:rPr>
          <w:rFonts w:ascii="Arial" w:hAnsi="Arial" w:cs="Arial"/>
          <w:sz w:val="20"/>
          <w:szCs w:val="20"/>
        </w:rPr>
        <w:t>logy and network infrastructure and its ability to handle increased traffic and demand for bandwidth. The growth in the number of billers, financial institutions and partners using our platform and the number of bills processed through our platform has inc</w:t>
      </w:r>
      <w:r>
        <w:rPr>
          <w:rFonts w:ascii="Arial" w:hAnsi="Arial" w:cs="Arial"/>
          <w:sz w:val="20"/>
          <w:szCs w:val="20"/>
        </w:rPr>
        <w:t>reased the amount of data that we process. Any problems with the transmission of increased data and bills could result in harm to our brand or reputation. Moreover, as our business grows, we will need to devote additional resources to improving our operati</w:t>
      </w:r>
      <w:r>
        <w:rPr>
          <w:rFonts w:ascii="Arial" w:hAnsi="Arial" w:cs="Arial"/>
          <w:sz w:val="20"/>
          <w:szCs w:val="20"/>
        </w:rPr>
        <w:t xml:space="preserve">onal infrastructure and continuing to enhance its scalability in order to maintain the performance of our platform, including customer support, risk and compliance operations and professional services. Any failure of or delay in these efforts could result </w:t>
      </w:r>
      <w:r>
        <w:rPr>
          <w:rFonts w:ascii="Arial" w:hAnsi="Arial" w:cs="Arial"/>
          <w:sz w:val="20"/>
          <w:szCs w:val="20"/>
        </w:rPr>
        <w:t>in service interruptions, impaired system performance and reduced biller, financial institution, partner and consumer satisfaction. If sustained or repeated, these performance issues could reduce the attractiveness of our platform to billers, financial ins</w:t>
      </w:r>
      <w:r>
        <w:rPr>
          <w:rFonts w:ascii="Arial" w:hAnsi="Arial" w:cs="Arial"/>
          <w:sz w:val="20"/>
          <w:szCs w:val="20"/>
        </w:rPr>
        <w:t>titutions and partners and could result in lost biller, financial institution and partner opportunities and higher attrition rates, any of which could hurt our revenue growth, biller, financial institution and partner loyalty and our reputation. Even if ou</w:t>
      </w:r>
      <w:r>
        <w:rPr>
          <w:rFonts w:ascii="Arial" w:hAnsi="Arial" w:cs="Arial"/>
          <w:sz w:val="20"/>
          <w:szCs w:val="20"/>
        </w:rPr>
        <w:t>r efforts to scale our business are successful, they will be expensive and complex, and require the dedication of significant management time and attention. We could also face inefficiencies or service disruptions as a result of our efforts to scale our in</w:t>
      </w:r>
      <w:r>
        <w:rPr>
          <w:rFonts w:ascii="Arial" w:hAnsi="Arial" w:cs="Arial"/>
          <w:sz w:val="20"/>
          <w:szCs w:val="20"/>
        </w:rPr>
        <w:t>ternal infrastructure. We cannot be sure that the expansion and improvements to our internal infrastructure will be effectively implemented on a timely basis, if at all, and such failures could adversely affect our business, operating results and financial</w:t>
      </w:r>
      <w:r>
        <w:rPr>
          <w:rFonts w:ascii="Arial" w:hAnsi="Arial" w:cs="Arial"/>
          <w:sz w:val="20"/>
          <w:szCs w:val="20"/>
        </w:rPr>
        <w:t xml:space="preserve"> condition</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Moreover, our rapid growth has placed, and will likely continue to place, a significant strain on our managerial, administrative, operational, financial and other resources. We have grown substantially in the past three years and intend to furt</w:t>
      </w:r>
      <w:r>
        <w:rPr>
          <w:rFonts w:ascii="Arial" w:hAnsi="Arial" w:cs="Arial"/>
          <w:sz w:val="20"/>
          <w:szCs w:val="20"/>
        </w:rPr>
        <w:t>her expand our overall business, including headcount, with no assurance that our revenue will continue to grow or grow sufficiently to offset the costs associated with increased headcount. As we grow, we will be required to continue to improve our operatio</w:t>
      </w:r>
      <w:r>
        <w:rPr>
          <w:rFonts w:ascii="Arial" w:hAnsi="Arial" w:cs="Arial"/>
          <w:sz w:val="20"/>
          <w:szCs w:val="20"/>
        </w:rPr>
        <w:t>nal and financial controls and reporting procedures and we may not be able to do so effectively. Furthermore, some members of our management do not have significant experience managing a large public company, so our management may not be able to manage suc</w:t>
      </w:r>
      <w:r>
        <w:rPr>
          <w:rFonts w:ascii="Arial" w:hAnsi="Arial" w:cs="Arial"/>
          <w:sz w:val="20"/>
          <w:szCs w:val="20"/>
        </w:rPr>
        <w:t xml:space="preserve">h growth effectively. In managing our growing operations, we are also subject to the risks of over-hiring and over-compensating our employees and over-expanding our operating infrastructure. As a result, we may be unable to manage our expenses effectively </w:t>
      </w:r>
      <w:r>
        <w:rPr>
          <w:rFonts w:ascii="Arial" w:hAnsi="Arial" w:cs="Arial"/>
          <w:sz w:val="20"/>
          <w:szCs w:val="20"/>
        </w:rPr>
        <w:t>in the future, which may negatively impact our gross profit or operating expenses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In addition, we believe that an important contributor to our success has been our corporate culture, which we believe fosters innovation, and is rooted in a philosophy of al</w:t>
      </w:r>
      <w:r>
        <w:rPr>
          <w:rFonts w:ascii="Arial" w:hAnsi="Arial" w:cs="Arial"/>
          <w:sz w:val="20"/>
          <w:szCs w:val="20"/>
        </w:rPr>
        <w:t>igning our success with that of billers, financial institutions, partners and consumers. As a result of our rapid growth, a significant portion of our employees have been with us for fewer than three years. As we continue to grow and develop the infrastruc</w:t>
      </w:r>
      <w:r>
        <w:rPr>
          <w:rFonts w:ascii="Arial" w:hAnsi="Arial" w:cs="Arial"/>
          <w:sz w:val="20"/>
          <w:szCs w:val="20"/>
        </w:rPr>
        <w:t>ture of a public company, we must effectively integrate, develop and motivate a growing number of new employees, who will be dispersed geographically, with our headquarters in Redmond, Washington and a large employee presence in Toronto, Canada, Charlotte,</w:t>
      </w:r>
      <w:r>
        <w:rPr>
          <w:rFonts w:ascii="Arial" w:hAnsi="Arial" w:cs="Arial"/>
          <w:sz w:val="20"/>
          <w:szCs w:val="20"/>
        </w:rPr>
        <w:t xml:space="preserve"> North Carolina and Delhi, India. Our geographically dispersed workforce may make it more difficult for our management to manage our growth effectively and preserve our corporate culture. In addition, we must preserve our ability to execute quickly in furt</w:t>
      </w:r>
      <w:r>
        <w:rPr>
          <w:rFonts w:ascii="Arial" w:hAnsi="Arial" w:cs="Arial"/>
          <w:sz w:val="20"/>
          <w:szCs w:val="20"/>
        </w:rPr>
        <w:t xml:space="preserve">her developing our platform and implementing new features and tools. As a result, we may find it difficult to maintain our corporate culture, which could limit our ability to innovate and operate effectively. Any failure to preserve our culture could also </w:t>
      </w:r>
      <w:r>
        <w:rPr>
          <w:rFonts w:ascii="Arial" w:hAnsi="Arial" w:cs="Arial"/>
          <w:sz w:val="20"/>
          <w:szCs w:val="20"/>
        </w:rPr>
        <w:t>negatively affect our ability to recruit and retain personnel, to continue to perform at current levels or to execute on our business strategy effectively and efficiently</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If we are unsuccessful in establishing, growing or maintaining partnerships, our abi</w:t>
      </w:r>
      <w:r>
        <w:rPr>
          <w:rFonts w:ascii="Arial" w:hAnsi="Arial" w:cs="Arial"/>
          <w:b/>
          <w:bCs/>
          <w:i/>
          <w:iCs/>
          <w:sz w:val="20"/>
          <w:szCs w:val="20"/>
        </w:rPr>
        <w:t>lity to compete could be impaired, and our operating results may suffer</w:t>
      </w:r>
      <w:r>
        <w:rPr>
          <w:rFonts w:ascii="Arial" w:hAnsi="Arial" w:cs="Arial"/>
          <w:b/>
          <w:bCs/>
          <w:i/>
          <w:iCs/>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We rely on integration of our end-to-end electronic bill payment solution into third-party software products, which enables us to power such software products’ bill payment capabiliti</w:t>
      </w:r>
      <w:r>
        <w:rPr>
          <w:rFonts w:ascii="Arial" w:hAnsi="Arial" w:cs="Arial"/>
          <w:sz w:val="20"/>
          <w:szCs w:val="20"/>
        </w:rPr>
        <w:t xml:space="preserve">es. We also rely on strategic partners, such as U.S. Bank, JPMorgan Chase and a major payroll solutions provider, and industry-expert partners to refer new billers to our platform. Additionally, the IPN is our patented and proprietary network that enables </w:t>
      </w:r>
      <w:r>
        <w:rPr>
          <w:rFonts w:ascii="Arial" w:hAnsi="Arial" w:cs="Arial"/>
          <w:sz w:val="20"/>
          <w:szCs w:val="20"/>
        </w:rPr>
        <w:t xml:space="preserve">partners, such as PayPal, Walmart, a leading global ecommerce retailer and banks, to embed our end-to-end electronic bill payment solution into their ecosystems through a single point of access. Collectively, our software, strategic and IPN partners drive </w:t>
      </w:r>
      <w:r>
        <w:rPr>
          <w:rFonts w:ascii="Arial" w:hAnsi="Arial" w:cs="Arial"/>
          <w:sz w:val="20"/>
          <w:szCs w:val="20"/>
        </w:rPr>
        <w:t>increased transaction volume and adoption of our platform</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To grow our business, we will seek to expand our existing and establish additional relationships with strategic, software and IPN partners. Establishing such relationships, particularly with finan</w:t>
      </w:r>
      <w:r>
        <w:rPr>
          <w:rFonts w:ascii="Arial" w:hAnsi="Arial" w:cs="Arial"/>
          <w:sz w:val="20"/>
          <w:szCs w:val="20"/>
        </w:rPr>
        <w:t xml:space="preserve">cial institutions and other large enterprises, entails extensive sales and marketing efforts with no guarantee of success. Sales and marketing to large organizations involve risks that may not be present, or that are present to a lesser extent, with sales </w:t>
      </w:r>
      <w:r>
        <w:rPr>
          <w:rFonts w:ascii="Arial" w:hAnsi="Arial" w:cs="Arial"/>
          <w:sz w:val="20"/>
          <w:szCs w:val="20"/>
        </w:rPr>
        <w:t>and marketing to other, smaller organizations. We must invest significant time educating and selling to multiple management and technical decision-makers to obtain their support. In addition, we may be required to meet wide-ranging and detailed ancillary r</w:t>
      </w:r>
      <w:r>
        <w:rPr>
          <w:rFonts w:ascii="Arial" w:hAnsi="Arial" w:cs="Arial"/>
          <w:sz w:val="20"/>
          <w:szCs w:val="20"/>
        </w:rPr>
        <w:t>equirements. For example, financial institutions generally require us to submit to an exhaustive security audit, given the sensitivity and importance of storing consumer billing and payment data on our platform. Adoption is also frequentl</w:t>
      </w:r>
      <w:r>
        <w:rPr>
          <w:rFonts w:ascii="Arial" w:hAnsi="Arial" w:cs="Arial"/>
          <w:sz w:val="20"/>
          <w:szCs w:val="20"/>
        </w:rPr>
        <w:t>y</w:t>
      </w:r>
      <w:r>
        <w:rPr>
          <w:rFonts w:ascii="Arial" w:hAnsi="Arial" w:cs="Arial"/>
          <w:sz w:val="20"/>
          <w:szCs w:val="20"/>
        </w:rPr>
        <w:t xml:space="preserve"> </w:t>
      </w:r>
    </w:p>
    <w:p w:rsidR="00000000" w:rsidRDefault="00010F15">
      <w:pPr>
        <w:pStyle w:val="a3"/>
        <w:spacing w:before="0" w:beforeAutospacing="0" w:after="0" w:afterAutospacing="0"/>
        <w:jc w:val="center"/>
        <w:rPr>
          <w:sz w:val="20"/>
          <w:szCs w:val="20"/>
        </w:rPr>
      </w:pPr>
      <w:r>
        <w:rPr>
          <w:rFonts w:ascii="Arial" w:hAnsi="Arial" w:cs="Arial"/>
          <w:sz w:val="20"/>
          <w:szCs w:val="20"/>
        </w:rPr>
        <w:t>2</w:t>
      </w:r>
      <w:r>
        <w:rPr>
          <w:rFonts w:ascii="Arial" w:hAnsi="Arial" w:cs="Arial"/>
          <w:sz w:val="20"/>
          <w:szCs w:val="20"/>
        </w:rPr>
        <w:t>0</w:t>
      </w:r>
    </w:p>
    <w:p w:rsidR="00000000" w:rsidRDefault="00010F15">
      <w:pPr>
        <w:rPr>
          <w:rFonts w:eastAsia="Times New Roman"/>
        </w:rPr>
      </w:pPr>
      <w:r>
        <w:rPr>
          <w:rFonts w:eastAsia="Times New Roman"/>
        </w:rPr>
        <w:pict>
          <v:rect id="_x0000_i1044"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120" w:beforeAutospacing="0" w:after="0" w:afterAutospacing="0"/>
        <w:rPr>
          <w:sz w:val="20"/>
          <w:szCs w:val="20"/>
        </w:rPr>
      </w:pPr>
      <w:r>
        <w:rPr>
          <w:rFonts w:ascii="Arial" w:hAnsi="Arial" w:cs="Arial"/>
          <w:sz w:val="20"/>
          <w:szCs w:val="20"/>
        </w:rPr>
        <w:t>subject to budget constraints and unplanned administrative, processing and other delays, including considerable efforts to negotiate and document relationships. Further, platform deployment and integration with partners’ software and other solutions requir</w:t>
      </w:r>
      <w:r>
        <w:rPr>
          <w:rFonts w:ascii="Arial" w:hAnsi="Arial" w:cs="Arial"/>
          <w:sz w:val="20"/>
          <w:szCs w:val="20"/>
        </w:rPr>
        <w:t>es significant efforts. If we are unable to increase adoption of our platform by partners and manage the costs associated with marketing our platform to potential partners and integrating with their systems, our business, operating results and financial co</w:t>
      </w:r>
      <w:r>
        <w:rPr>
          <w:rFonts w:ascii="Arial" w:hAnsi="Arial" w:cs="Arial"/>
          <w:sz w:val="20"/>
          <w:szCs w:val="20"/>
        </w:rPr>
        <w:t>ndition may be adversely affected. In addition, if we are unsuccessful in establishing, growing or maintaining partnerships, our ability to compete could be impaired, and our operating results may suffer. If we lost one or more of our largest partnerships,</w:t>
      </w:r>
      <w:r>
        <w:rPr>
          <w:rFonts w:ascii="Arial" w:hAnsi="Arial" w:cs="Arial"/>
          <w:sz w:val="20"/>
          <w:szCs w:val="20"/>
        </w:rPr>
        <w:t xml:space="preserve"> we could also lose associated biller relationships or payment channels and our business, operating results and financial condition could be harmed</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If we are unable to increase our revenue at a rate sufficient to offset expected increases in our costs, or</w:t>
      </w:r>
      <w:r>
        <w:rPr>
          <w:rFonts w:ascii="Arial" w:hAnsi="Arial" w:cs="Arial"/>
          <w:b/>
          <w:bCs/>
          <w:i/>
          <w:iCs/>
          <w:sz w:val="20"/>
          <w:szCs w:val="20"/>
        </w:rPr>
        <w:t xml:space="preserve"> if the investments we make in our business fail to generate the expected benefits, our business, operating results and financial condition will be harmed and we may not be able to maintain profitability over the long term</w:t>
      </w:r>
      <w:r>
        <w:rPr>
          <w:rFonts w:ascii="Arial" w:hAnsi="Arial" w:cs="Arial"/>
          <w:b/>
          <w:bCs/>
          <w:i/>
          <w:iCs/>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As we scale our business, we exp</w:t>
      </w:r>
      <w:r>
        <w:rPr>
          <w:rFonts w:ascii="Arial" w:hAnsi="Arial" w:cs="Arial"/>
          <w:sz w:val="20"/>
          <w:szCs w:val="20"/>
        </w:rPr>
        <w:t>ect to continue to expend substantial financial and other resources on</w:t>
      </w:r>
      <w:r>
        <w:rPr>
          <w:rFonts w:ascii="Arial" w:hAnsi="Arial" w:cs="Arial"/>
          <w:sz w:val="20"/>
          <w:szCs w:val="20"/>
        </w:rPr>
        <w:t>:</w:t>
      </w:r>
    </w:p>
    <w:p w:rsidR="00000000" w:rsidRDefault="00010F15">
      <w:pPr>
        <w:divId w:val="2141917421"/>
        <w:rPr>
          <w:rFonts w:eastAsia="Times New Roman"/>
        </w:rPr>
      </w:pPr>
      <w:r>
        <w:rPr>
          <w:rFonts w:eastAsia="Times New Roman"/>
          <w:sz w:val="20"/>
          <w:szCs w:val="20"/>
        </w:rPr>
        <w:t>•</w:t>
      </w:r>
    </w:p>
    <w:p w:rsidR="00000000" w:rsidRDefault="00010F15">
      <w:pPr>
        <w:divId w:val="1520852161"/>
        <w:rPr>
          <w:rFonts w:eastAsia="Times New Roman"/>
        </w:rPr>
      </w:pPr>
      <w:r>
        <w:rPr>
          <w:rFonts w:ascii="Arial" w:eastAsia="Times New Roman" w:hAnsi="Arial" w:cs="Arial"/>
          <w:sz w:val="20"/>
          <w:szCs w:val="20"/>
        </w:rPr>
        <w:t>sales and marketing, including an expansion of our sales organization and new initiatives in order to drive further expansion of our IPN and partner ecosystem</w:t>
      </w:r>
      <w:r>
        <w:rPr>
          <w:rFonts w:ascii="Arial" w:eastAsia="Times New Roman" w:hAnsi="Arial" w:cs="Arial"/>
          <w:sz w:val="20"/>
          <w:szCs w:val="20"/>
        </w:rPr>
        <w:t>;</w:t>
      </w:r>
    </w:p>
    <w:p w:rsidR="00000000" w:rsidRDefault="00010F15">
      <w:pPr>
        <w:divId w:val="1998268028"/>
        <w:rPr>
          <w:rFonts w:eastAsia="Times New Roman"/>
        </w:rPr>
      </w:pPr>
      <w:r>
        <w:rPr>
          <w:rFonts w:eastAsia="Times New Roman"/>
          <w:sz w:val="20"/>
          <w:szCs w:val="20"/>
        </w:rPr>
        <w:t>•</w:t>
      </w:r>
    </w:p>
    <w:p w:rsidR="00000000" w:rsidRDefault="00010F15">
      <w:pPr>
        <w:divId w:val="1570916700"/>
        <w:rPr>
          <w:rFonts w:eastAsia="Times New Roman"/>
        </w:rPr>
      </w:pPr>
      <w:r>
        <w:rPr>
          <w:rFonts w:ascii="Arial" w:eastAsia="Times New Roman" w:hAnsi="Arial" w:cs="Arial"/>
          <w:sz w:val="20"/>
          <w:szCs w:val="20"/>
        </w:rPr>
        <w:t>our technology infra</w:t>
      </w:r>
      <w:r>
        <w:rPr>
          <w:rFonts w:ascii="Arial" w:eastAsia="Times New Roman" w:hAnsi="Arial" w:cs="Arial"/>
          <w:sz w:val="20"/>
          <w:szCs w:val="20"/>
        </w:rPr>
        <w:t>structure, including systems architecture, scalability, availability, performance and security</w:t>
      </w:r>
      <w:r>
        <w:rPr>
          <w:rFonts w:ascii="Arial" w:eastAsia="Times New Roman" w:hAnsi="Arial" w:cs="Arial"/>
          <w:sz w:val="20"/>
          <w:szCs w:val="20"/>
        </w:rPr>
        <w:t>;</w:t>
      </w:r>
    </w:p>
    <w:p w:rsidR="00000000" w:rsidRDefault="00010F15">
      <w:pPr>
        <w:divId w:val="1796673765"/>
        <w:rPr>
          <w:rFonts w:eastAsia="Times New Roman"/>
        </w:rPr>
      </w:pPr>
      <w:r>
        <w:rPr>
          <w:rFonts w:eastAsia="Times New Roman"/>
          <w:sz w:val="20"/>
          <w:szCs w:val="20"/>
        </w:rPr>
        <w:t>•</w:t>
      </w:r>
    </w:p>
    <w:p w:rsidR="00000000" w:rsidRDefault="00010F15">
      <w:pPr>
        <w:divId w:val="1666132057"/>
        <w:rPr>
          <w:rFonts w:eastAsia="Times New Roman"/>
        </w:rPr>
      </w:pPr>
      <w:r>
        <w:rPr>
          <w:rFonts w:ascii="Arial" w:eastAsia="Times New Roman" w:hAnsi="Arial" w:cs="Arial"/>
          <w:sz w:val="20"/>
          <w:szCs w:val="20"/>
        </w:rPr>
        <w:t>product development, including investments in our product development team and the development of new products and new functionality for our AI-enabled platfo</w:t>
      </w:r>
      <w:r>
        <w:rPr>
          <w:rFonts w:ascii="Arial" w:eastAsia="Times New Roman" w:hAnsi="Arial" w:cs="Arial"/>
          <w:sz w:val="20"/>
          <w:szCs w:val="20"/>
        </w:rPr>
        <w:t>rm</w:t>
      </w:r>
      <w:r>
        <w:rPr>
          <w:rFonts w:ascii="Arial" w:eastAsia="Times New Roman" w:hAnsi="Arial" w:cs="Arial"/>
          <w:sz w:val="20"/>
          <w:szCs w:val="20"/>
        </w:rPr>
        <w:t>;</w:t>
      </w:r>
    </w:p>
    <w:p w:rsidR="00000000" w:rsidRDefault="00010F15">
      <w:pPr>
        <w:divId w:val="923682766"/>
        <w:rPr>
          <w:rFonts w:eastAsia="Times New Roman"/>
        </w:rPr>
      </w:pPr>
      <w:r>
        <w:rPr>
          <w:rFonts w:eastAsia="Times New Roman"/>
          <w:sz w:val="20"/>
          <w:szCs w:val="20"/>
        </w:rPr>
        <w:t>•</w:t>
      </w:r>
    </w:p>
    <w:p w:rsidR="00000000" w:rsidRDefault="00010F15">
      <w:pPr>
        <w:divId w:val="456029010"/>
        <w:rPr>
          <w:rFonts w:eastAsia="Times New Roman"/>
        </w:rPr>
      </w:pPr>
      <w:r>
        <w:rPr>
          <w:rFonts w:ascii="Arial" w:eastAsia="Times New Roman" w:hAnsi="Arial" w:cs="Arial"/>
          <w:sz w:val="20"/>
          <w:szCs w:val="20"/>
        </w:rPr>
        <w:t>regulatory compliance and risk management</w:t>
      </w:r>
      <w:r>
        <w:rPr>
          <w:rFonts w:ascii="Arial" w:eastAsia="Times New Roman" w:hAnsi="Arial" w:cs="Arial"/>
          <w:sz w:val="20"/>
          <w:szCs w:val="20"/>
        </w:rPr>
        <w:t>;</w:t>
      </w:r>
    </w:p>
    <w:p w:rsidR="00000000" w:rsidRDefault="00010F15">
      <w:pPr>
        <w:divId w:val="1743403382"/>
        <w:rPr>
          <w:rFonts w:eastAsia="Times New Roman"/>
        </w:rPr>
      </w:pPr>
      <w:r>
        <w:rPr>
          <w:rFonts w:eastAsia="Times New Roman"/>
          <w:sz w:val="20"/>
          <w:szCs w:val="20"/>
        </w:rPr>
        <w:t>•</w:t>
      </w:r>
    </w:p>
    <w:p w:rsidR="00000000" w:rsidRDefault="00010F15">
      <w:pPr>
        <w:divId w:val="1426458544"/>
        <w:rPr>
          <w:rFonts w:eastAsia="Times New Roman"/>
        </w:rPr>
      </w:pPr>
      <w:r>
        <w:rPr>
          <w:rFonts w:ascii="Arial" w:eastAsia="Times New Roman" w:hAnsi="Arial" w:cs="Arial"/>
          <w:sz w:val="20"/>
          <w:szCs w:val="20"/>
        </w:rPr>
        <w:t>acquisitions or strategic investments</w:t>
      </w:r>
      <w:r>
        <w:rPr>
          <w:rFonts w:ascii="Arial" w:eastAsia="Times New Roman" w:hAnsi="Arial" w:cs="Arial"/>
          <w:sz w:val="20"/>
          <w:szCs w:val="20"/>
        </w:rPr>
        <w:t>;</w:t>
      </w:r>
    </w:p>
    <w:p w:rsidR="00000000" w:rsidRDefault="00010F15">
      <w:pPr>
        <w:divId w:val="595791514"/>
        <w:rPr>
          <w:rFonts w:eastAsia="Times New Roman"/>
        </w:rPr>
      </w:pPr>
      <w:r>
        <w:rPr>
          <w:rFonts w:eastAsia="Times New Roman"/>
          <w:sz w:val="20"/>
          <w:szCs w:val="20"/>
        </w:rPr>
        <w:t>•</w:t>
      </w:r>
    </w:p>
    <w:p w:rsidR="00000000" w:rsidRDefault="00010F15">
      <w:pPr>
        <w:divId w:val="1889879252"/>
        <w:rPr>
          <w:rFonts w:eastAsia="Times New Roman"/>
        </w:rPr>
      </w:pPr>
      <w:r>
        <w:rPr>
          <w:rFonts w:ascii="Arial" w:eastAsia="Times New Roman" w:hAnsi="Arial" w:cs="Arial"/>
          <w:sz w:val="20"/>
          <w:szCs w:val="20"/>
        </w:rPr>
        <w:t>expansion into new channels, verticals and international markets; an</w:t>
      </w:r>
      <w:r>
        <w:rPr>
          <w:rFonts w:ascii="Arial" w:eastAsia="Times New Roman" w:hAnsi="Arial" w:cs="Arial"/>
          <w:sz w:val="20"/>
          <w:szCs w:val="20"/>
        </w:rPr>
        <w:t>d</w:t>
      </w:r>
    </w:p>
    <w:p w:rsidR="00000000" w:rsidRDefault="00010F15">
      <w:pPr>
        <w:divId w:val="690765118"/>
        <w:rPr>
          <w:rFonts w:eastAsia="Times New Roman"/>
        </w:rPr>
      </w:pPr>
      <w:r>
        <w:rPr>
          <w:rFonts w:eastAsia="Times New Roman"/>
          <w:sz w:val="20"/>
          <w:szCs w:val="20"/>
        </w:rPr>
        <w:t>•</w:t>
      </w:r>
    </w:p>
    <w:p w:rsidR="00000000" w:rsidRDefault="00010F15">
      <w:pPr>
        <w:divId w:val="716321783"/>
        <w:rPr>
          <w:rFonts w:eastAsia="Times New Roman"/>
        </w:rPr>
      </w:pPr>
      <w:r>
        <w:rPr>
          <w:rFonts w:ascii="Arial" w:eastAsia="Times New Roman" w:hAnsi="Arial" w:cs="Arial"/>
          <w:sz w:val="20"/>
          <w:szCs w:val="20"/>
        </w:rPr>
        <w:t>general administration, including increased legal and accounting expenses associated with be</w:t>
      </w:r>
      <w:r>
        <w:rPr>
          <w:rFonts w:ascii="Arial" w:eastAsia="Times New Roman" w:hAnsi="Arial" w:cs="Arial"/>
          <w:sz w:val="20"/>
          <w:szCs w:val="20"/>
        </w:rPr>
        <w:t>ing a public company</w:t>
      </w:r>
      <w:r>
        <w:rPr>
          <w:rFonts w:ascii="Arial" w:eastAsia="Times New Roman"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The increased costs associated with these and other investments we may make in our business may fail to generate the expected benefits. If we are unable to increase our revenue at a rate sufficient to offset the expected increase in o</w:t>
      </w:r>
      <w:r>
        <w:rPr>
          <w:rFonts w:ascii="Arial" w:hAnsi="Arial" w:cs="Arial"/>
          <w:sz w:val="20"/>
          <w:szCs w:val="20"/>
        </w:rPr>
        <w:t>ur costs, our business, operating results and financial condition will be harmed, and we may not be able to maintain profitability over the long term. In particular, we expect net income and adjusted EBITDA may decline in the near-term as we make investmen</w:t>
      </w:r>
      <w:r>
        <w:rPr>
          <w:rFonts w:ascii="Arial" w:hAnsi="Arial" w:cs="Arial"/>
          <w:sz w:val="20"/>
          <w:szCs w:val="20"/>
        </w:rPr>
        <w:t>ts in our platform, incur increased operating costs associated with being a public company, integrate our recent acquisitions and amortize the identifiable intangible assets that we recorded in conjunction with our recent acquisitions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Additionally, we ant</w:t>
      </w:r>
      <w:r>
        <w:rPr>
          <w:rFonts w:ascii="Arial" w:hAnsi="Arial" w:cs="Arial"/>
          <w:sz w:val="20"/>
          <w:szCs w:val="20"/>
        </w:rPr>
        <w:t>icipate that our growth rate will decline over time to the extent that the number of billers and financial institutions using our platform increases and we achieve higher market penetration rates. As our growth rate declines, investors’ perception of our b</w:t>
      </w:r>
      <w:r>
        <w:rPr>
          <w:rFonts w:ascii="Arial" w:hAnsi="Arial" w:cs="Arial"/>
          <w:sz w:val="20"/>
          <w:szCs w:val="20"/>
        </w:rPr>
        <w:t>usiness may be adversely affected and the market price of our Class A common stock could decline as a result. To the extent our growth rate slows, our business performance will become increasingly dependent on our ability to retain revenue from existing bi</w:t>
      </w:r>
      <w:r>
        <w:rPr>
          <w:rFonts w:ascii="Arial" w:hAnsi="Arial" w:cs="Arial"/>
          <w:sz w:val="20"/>
          <w:szCs w:val="20"/>
        </w:rPr>
        <w:t>llers and financial institutions and increase adoption of our platform by existing billers</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Our sales efforts to large enterprises involve considerable time and expense with long and unpredictable sales cycles</w:t>
      </w:r>
      <w:r>
        <w:rPr>
          <w:rFonts w:ascii="Arial" w:hAnsi="Arial" w:cs="Arial"/>
          <w:b/>
          <w:bCs/>
          <w:i/>
          <w:iCs/>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One of the factors affecting our growth and f</w:t>
      </w:r>
      <w:r>
        <w:rPr>
          <w:rFonts w:ascii="Arial" w:hAnsi="Arial" w:cs="Arial"/>
          <w:sz w:val="20"/>
          <w:szCs w:val="20"/>
        </w:rPr>
        <w:t>inancial performance is the adoption of our platform by large enterprise billers and large financial institutions over legacy solutions and in-house proprietary technologies or our competitor’s products. To increase adoption within large enterprise billers</w:t>
      </w:r>
      <w:r>
        <w:rPr>
          <w:rFonts w:ascii="Arial" w:hAnsi="Arial" w:cs="Arial"/>
          <w:sz w:val="20"/>
          <w:szCs w:val="20"/>
        </w:rPr>
        <w:t xml:space="preserve"> and to attract new large enterprise billers and large financial institutions, we primarily rely on our direct sales team. As part of our sales efforts, we invest considerable time and expense evaluating the specific organizational needs of potential bille</w:t>
      </w:r>
      <w:r>
        <w:rPr>
          <w:rFonts w:ascii="Arial" w:hAnsi="Arial" w:cs="Arial"/>
          <w:sz w:val="20"/>
          <w:szCs w:val="20"/>
        </w:rPr>
        <w:t xml:space="preserve">rs and financial institutions and educating these potential billers and financial institutions about the technical capabilities and value of our platform. Because large enterprises tend to have more consumers impacted by a switch in billing services, they </w:t>
      </w:r>
      <w:r>
        <w:rPr>
          <w:rFonts w:ascii="Arial" w:hAnsi="Arial" w:cs="Arial"/>
          <w:sz w:val="20"/>
          <w:szCs w:val="20"/>
        </w:rPr>
        <w:t>often evaluate our platform at multiple levels within their organization, each of which often have specific requirements, and typically involve their senior management. As a result, our sales efforts to large enterprises involve considerable time and expen</w:t>
      </w:r>
      <w:r>
        <w:rPr>
          <w:rFonts w:ascii="Arial" w:hAnsi="Arial" w:cs="Arial"/>
          <w:sz w:val="20"/>
          <w:szCs w:val="20"/>
        </w:rPr>
        <w:t>se with long and unpredictable sales cycles, which may cause our results of operations to fluctuate</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Large enterprise billers and large financial institutions also make product purchasing and adoption decisions based in part or entirely on factors, or perc</w:t>
      </w:r>
      <w:r>
        <w:rPr>
          <w:rFonts w:ascii="Arial" w:hAnsi="Arial" w:cs="Arial"/>
          <w:sz w:val="20"/>
          <w:szCs w:val="20"/>
        </w:rPr>
        <w:t xml:space="preserve">eived factors, not directly related to the features of platforms, including, among others, a biller’s projections of business growth, uncertainty about economic conditions (including as a result of the COVID-19 pandemic), capital budgets, anticipated cost </w:t>
      </w:r>
      <w:r>
        <w:rPr>
          <w:rFonts w:ascii="Arial" w:hAnsi="Arial" w:cs="Arial"/>
          <w:sz w:val="20"/>
          <w:szCs w:val="20"/>
        </w:rPr>
        <w:t>savings from the implementation of our platform, potential preference fo</w:t>
      </w:r>
      <w:r>
        <w:rPr>
          <w:rFonts w:ascii="Arial" w:hAnsi="Arial" w:cs="Arial"/>
          <w:sz w:val="20"/>
          <w:szCs w:val="20"/>
        </w:rPr>
        <w:t>r</w:t>
      </w:r>
      <w:r>
        <w:rPr>
          <w:rFonts w:ascii="Arial" w:hAnsi="Arial" w:cs="Arial"/>
          <w:sz w:val="20"/>
          <w:szCs w:val="20"/>
        </w:rPr>
        <w:t xml:space="preserve"> </w:t>
      </w:r>
    </w:p>
    <w:p w:rsidR="00000000" w:rsidRDefault="00010F15">
      <w:pPr>
        <w:pStyle w:val="a3"/>
        <w:spacing w:before="0" w:beforeAutospacing="0" w:after="0" w:afterAutospacing="0"/>
        <w:jc w:val="center"/>
        <w:rPr>
          <w:sz w:val="20"/>
          <w:szCs w:val="20"/>
        </w:rPr>
      </w:pPr>
      <w:r>
        <w:rPr>
          <w:rFonts w:ascii="Arial" w:hAnsi="Arial" w:cs="Arial"/>
          <w:sz w:val="20"/>
          <w:szCs w:val="20"/>
        </w:rPr>
        <w:t>2</w:t>
      </w:r>
      <w:r>
        <w:rPr>
          <w:rFonts w:ascii="Arial" w:hAnsi="Arial" w:cs="Arial"/>
          <w:sz w:val="20"/>
          <w:szCs w:val="20"/>
        </w:rPr>
        <w:t>1</w:t>
      </w:r>
    </w:p>
    <w:p w:rsidR="00000000" w:rsidRDefault="00010F15">
      <w:pPr>
        <w:rPr>
          <w:rFonts w:eastAsia="Times New Roman"/>
        </w:rPr>
      </w:pPr>
      <w:r>
        <w:rPr>
          <w:rFonts w:eastAsia="Times New Roman"/>
        </w:rPr>
        <w:pict>
          <v:rect id="_x0000_i1045"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120" w:beforeAutospacing="0" w:after="0" w:afterAutospacing="0"/>
        <w:rPr>
          <w:sz w:val="20"/>
          <w:szCs w:val="20"/>
        </w:rPr>
      </w:pPr>
      <w:r>
        <w:rPr>
          <w:rFonts w:ascii="Arial" w:hAnsi="Arial" w:cs="Arial"/>
          <w:sz w:val="20"/>
          <w:szCs w:val="20"/>
        </w:rPr>
        <w:t>such biller’s or financial institutions' internally-developed software and billing solutions, perceptions about our business and platform, more favorable terms offered by potential competitors and previous technology i</w:t>
      </w:r>
      <w:r>
        <w:rPr>
          <w:rFonts w:ascii="Arial" w:hAnsi="Arial" w:cs="Arial"/>
          <w:sz w:val="20"/>
          <w:szCs w:val="20"/>
        </w:rPr>
        <w:t>nvestments. In addition, certain decision-makers and other stakeholders within potential billers and financial institutions tend to have vested interests in the continued use of internally developed solutions or other existing electronic payment and billin</w:t>
      </w:r>
      <w:r>
        <w:rPr>
          <w:rFonts w:ascii="Arial" w:hAnsi="Arial" w:cs="Arial"/>
          <w:sz w:val="20"/>
          <w:szCs w:val="20"/>
        </w:rPr>
        <w:t>g solutions, which may make it more difficult for us to sell our products. As a result of these and other factors, our sales efforts to large enterprises typically require an extensive effort throughout the organization and a significant investment of huma</w:t>
      </w:r>
      <w:r>
        <w:rPr>
          <w:rFonts w:ascii="Arial" w:hAnsi="Arial" w:cs="Arial"/>
          <w:sz w:val="20"/>
          <w:szCs w:val="20"/>
        </w:rPr>
        <w:t>n resources, expense and time, including by our senior management, and there can be no assurances that we will be successful in making a sale. If our sales efforts to a potential biller or financial institution do not result in sufficient revenue to justif</w:t>
      </w:r>
      <w:r>
        <w:rPr>
          <w:rFonts w:ascii="Arial" w:hAnsi="Arial" w:cs="Arial"/>
          <w:sz w:val="20"/>
          <w:szCs w:val="20"/>
        </w:rPr>
        <w:t>y our investments, our business, operating results and financial condition could be adversely affected</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The COVID-19 pandemic, including existing and future variants, could have a material adverse impact on our employees, billers, financial institutions, p</w:t>
      </w:r>
      <w:r>
        <w:rPr>
          <w:rFonts w:ascii="Arial" w:hAnsi="Arial" w:cs="Arial"/>
          <w:b/>
          <w:bCs/>
          <w:i/>
          <w:iCs/>
          <w:sz w:val="20"/>
          <w:szCs w:val="20"/>
        </w:rPr>
        <w:t>artners, consumers and other key stakeholders, which could materially and adversely impact our business, operating results and financial condition</w:t>
      </w:r>
      <w:r>
        <w:rPr>
          <w:rFonts w:ascii="Arial" w:hAnsi="Arial" w:cs="Arial"/>
          <w:b/>
          <w:bCs/>
          <w:i/>
          <w:iCs/>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The COVID-19 pandemic and efforts to control its spread have significantly curtailed the movement of people,</w:t>
      </w:r>
      <w:r>
        <w:rPr>
          <w:rFonts w:ascii="Arial" w:hAnsi="Arial" w:cs="Arial"/>
          <w:sz w:val="20"/>
          <w:szCs w:val="20"/>
        </w:rPr>
        <w:t xml:space="preserve"> goods and services in the United States, where we generate substantially all of our revenue, and worldwide, where we are targeting future growth. It has also caused extreme societal, economic and financial market volatility, resulting in business shutdown</w:t>
      </w:r>
      <w:r>
        <w:rPr>
          <w:rFonts w:ascii="Arial" w:hAnsi="Arial" w:cs="Arial"/>
          <w:sz w:val="20"/>
          <w:szCs w:val="20"/>
        </w:rPr>
        <w:t>s and a global economic downturn. The extent of the impact of the COVID-19 pandemic on our operational and financial performance will depend on future developments, including the duration, spread and severity of the pandemic, the availability, effectivenes</w:t>
      </w:r>
      <w:r>
        <w:rPr>
          <w:rFonts w:ascii="Arial" w:hAnsi="Arial" w:cs="Arial"/>
          <w:sz w:val="20"/>
          <w:szCs w:val="20"/>
        </w:rPr>
        <w:t xml:space="preserve">s and uptake of vaccines for COVID-19, the emergence of new variants of COVID-19 and whether existing vaccines are effective with respect to such variants, the actions to contain the disease or mitigate its impact, and the duration, timing and severity of </w:t>
      </w:r>
      <w:r>
        <w:rPr>
          <w:rFonts w:ascii="Arial" w:hAnsi="Arial" w:cs="Arial"/>
          <w:sz w:val="20"/>
          <w:szCs w:val="20"/>
        </w:rPr>
        <w:t>the impact on consumer behavior, including any recession resulting from the pandemic, all of which are unpredictable</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In light of the uncertainty relating to the spread of COVID-19, we have taken precautionary measures intended to reduce the risk of the vi</w:t>
      </w:r>
      <w:r>
        <w:rPr>
          <w:rFonts w:ascii="Arial" w:hAnsi="Arial" w:cs="Arial"/>
          <w:sz w:val="20"/>
          <w:szCs w:val="20"/>
        </w:rPr>
        <w:t>rus spreading to our employees, billers, financial institutions and partners, and we may take further precautionary measures. In particular, governmental authorities have at times instituted, and in the future may institute, shelter-in-place policies and o</w:t>
      </w:r>
      <w:r>
        <w:rPr>
          <w:rFonts w:ascii="Arial" w:hAnsi="Arial" w:cs="Arial"/>
          <w:sz w:val="20"/>
          <w:szCs w:val="20"/>
        </w:rPr>
        <w:t>ther restrictions in many jurisdictions in which we operate, including in Redmond, Washington, where our headquarters are located, and Toronto, Canada, Charlotte, North Carolina and Delhi, India, where we maintain significant operations, which policies and</w:t>
      </w:r>
      <w:r>
        <w:rPr>
          <w:rFonts w:ascii="Arial" w:hAnsi="Arial" w:cs="Arial"/>
          <w:sz w:val="20"/>
          <w:szCs w:val="20"/>
        </w:rPr>
        <w:t xml:space="preserve"> restrictions have at times required our employees to work remotely. Even as shelter-in-place policies or other governmental restrictions are lifted, we are taking, and expect to continue to take, a measured and careful approach to having employees return </w:t>
      </w:r>
      <w:r>
        <w:rPr>
          <w:rFonts w:ascii="Arial" w:hAnsi="Arial" w:cs="Arial"/>
          <w:sz w:val="20"/>
          <w:szCs w:val="20"/>
        </w:rPr>
        <w:t>to offices and travel for business. These precautionary measures and policies could negatively impact employee productivity, training and collaboration or otherwise disrupt our business operations. In addition, such restrictions impact certain of our sales</w:t>
      </w:r>
      <w:r>
        <w:rPr>
          <w:rFonts w:ascii="Arial" w:hAnsi="Arial" w:cs="Arial"/>
          <w:sz w:val="20"/>
          <w:szCs w:val="20"/>
        </w:rPr>
        <w:t xml:space="preserve"> efforts, marketing efforts and implementations, adversely affecting the effectiveness of such efforts in some cases and potentially inhibiting future growth</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In addition, the COVID-19 pandemic has disrupted and may continue to disrupt the operations of o</w:t>
      </w:r>
      <w:r>
        <w:rPr>
          <w:rFonts w:ascii="Arial" w:hAnsi="Arial" w:cs="Arial"/>
          <w:sz w:val="20"/>
          <w:szCs w:val="20"/>
        </w:rPr>
        <w:t>ur billers, financial institutions and partners for an indefinite period of time, which in turn could negatively impact our business and operating results. Widespread remote work arrangements may also negatively impact our billers’, financial institutions'</w:t>
      </w:r>
      <w:r>
        <w:rPr>
          <w:rFonts w:ascii="Arial" w:hAnsi="Arial" w:cs="Arial"/>
          <w:sz w:val="20"/>
          <w:szCs w:val="20"/>
        </w:rPr>
        <w:t xml:space="preserve"> and partners’ operations, and the operations of third-party service providers who perform critical services for us, and, by extension, our operations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Further, the extent and duration of working remotely exposes us, and our billers, financial institution</w:t>
      </w:r>
      <w:r>
        <w:rPr>
          <w:rFonts w:ascii="Arial" w:hAnsi="Arial" w:cs="Arial"/>
          <w:sz w:val="20"/>
          <w:szCs w:val="20"/>
        </w:rPr>
        <w:t>s</w:t>
      </w:r>
      <w:r>
        <w:rPr>
          <w:rFonts w:ascii="Arial" w:hAnsi="Arial" w:cs="Arial"/>
          <w:b/>
          <w:bCs/>
          <w:sz w:val="20"/>
          <w:szCs w:val="20"/>
        </w:rPr>
        <w:t xml:space="preserve"> </w:t>
      </w:r>
      <w:r>
        <w:rPr>
          <w:rFonts w:ascii="Arial" w:hAnsi="Arial" w:cs="Arial"/>
          <w:sz w:val="20"/>
          <w:szCs w:val="20"/>
        </w:rPr>
        <w:t>and partners and others with whom we have business relationships to increased risks of security breaches or incidents. The increase in remote working may also result in privacy, data protection, data security, and fraud risks, and our understanding of app</w:t>
      </w:r>
      <w:r>
        <w:rPr>
          <w:rFonts w:ascii="Arial" w:hAnsi="Arial" w:cs="Arial"/>
          <w:sz w:val="20"/>
          <w:szCs w:val="20"/>
        </w:rPr>
        <w:t>licable legal and regulatory requirements, as well as the latest guidance from regulatory authorities in connection with the COVID-19 pandemic, may be subject to legal or regulatory challenge, particularly as regulatory guidance evolves in response to pand</w:t>
      </w:r>
      <w:r>
        <w:rPr>
          <w:rFonts w:ascii="Arial" w:hAnsi="Arial" w:cs="Arial"/>
          <w:sz w:val="20"/>
          <w:szCs w:val="20"/>
        </w:rPr>
        <w:t>emic-related developments. Furthermore, we may need to enhance the security of our platform, our data and our internal information technology, or IT, infrastructure, which may require us to expend additional resources and may not be successful</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More genera</w:t>
      </w:r>
      <w:r>
        <w:rPr>
          <w:rFonts w:ascii="Arial" w:hAnsi="Arial" w:cs="Arial"/>
          <w:sz w:val="20"/>
          <w:szCs w:val="20"/>
        </w:rPr>
        <w:t>lly, the COVID-19 pandemic has adversely affected economies and financial markets globally, potentially leading to a prolonged economic downturn, which could decrease technology spending, lengthen sales and implementation cycles, and adversely affect deman</w:t>
      </w:r>
      <w:r>
        <w:rPr>
          <w:rFonts w:ascii="Arial" w:hAnsi="Arial" w:cs="Arial"/>
          <w:sz w:val="20"/>
          <w:szCs w:val="20"/>
        </w:rPr>
        <w:t xml:space="preserve">d for our products and harm our business and operating results. The COVID-19 pandemic may delay, or prevent us from making, collections, and disrupt our ability to develop or enhance offerings. As the COVID-19 pandemic persists, government authorities and </w:t>
      </w:r>
      <w:r>
        <w:rPr>
          <w:rFonts w:ascii="Arial" w:hAnsi="Arial" w:cs="Arial"/>
          <w:sz w:val="20"/>
          <w:szCs w:val="20"/>
        </w:rPr>
        <w:t>companies may continue to implement or reimpose restrictions or policies that could adversely impact consumer spending and payment volumes, global capital markets, the global economy and the market price of our Class A common stock</w:t>
      </w:r>
      <w:r>
        <w:rPr>
          <w:rFonts w:ascii="Arial" w:hAnsi="Arial" w:cs="Arial"/>
          <w:sz w:val="20"/>
          <w:szCs w:val="20"/>
        </w:rPr>
        <w:t>.</w:t>
      </w:r>
    </w:p>
    <w:p w:rsidR="00000000" w:rsidRDefault="00010F15">
      <w:pPr>
        <w:pStyle w:val="a3"/>
        <w:spacing w:before="0" w:beforeAutospacing="0" w:after="0" w:afterAutospacing="0"/>
        <w:jc w:val="center"/>
        <w:rPr>
          <w:sz w:val="20"/>
          <w:szCs w:val="20"/>
        </w:rPr>
      </w:pPr>
      <w:r>
        <w:rPr>
          <w:rFonts w:ascii="Arial" w:hAnsi="Arial" w:cs="Arial"/>
          <w:sz w:val="20"/>
          <w:szCs w:val="20"/>
        </w:rPr>
        <w:t>2</w:t>
      </w:r>
      <w:r>
        <w:rPr>
          <w:rFonts w:ascii="Arial" w:hAnsi="Arial" w:cs="Arial"/>
          <w:sz w:val="20"/>
          <w:szCs w:val="20"/>
        </w:rPr>
        <w:t>2</w:t>
      </w:r>
    </w:p>
    <w:p w:rsidR="00000000" w:rsidRDefault="00010F15">
      <w:pPr>
        <w:rPr>
          <w:rFonts w:eastAsia="Times New Roman"/>
        </w:rPr>
      </w:pPr>
      <w:r>
        <w:rPr>
          <w:rFonts w:eastAsia="Times New Roman"/>
        </w:rPr>
        <w:pict>
          <v:rect id="_x0000_i1046"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240" w:beforeAutospacing="0" w:after="0" w:afterAutospacing="0"/>
        <w:rPr>
          <w:sz w:val="20"/>
          <w:szCs w:val="20"/>
        </w:rPr>
      </w:pPr>
      <w:r>
        <w:rPr>
          <w:rFonts w:ascii="Arial" w:hAnsi="Arial" w:cs="Arial"/>
          <w:b/>
          <w:bCs/>
          <w:i/>
          <w:iCs/>
          <w:sz w:val="20"/>
          <w:szCs w:val="20"/>
        </w:rPr>
        <w:t xml:space="preserve">We are subject to economic and geopolitical risk, the business cycles and credit risk of our billers, financial institutions and partners and their consumers, and the overall level of consumer, business and government </w:t>
      </w:r>
      <w:r>
        <w:rPr>
          <w:rFonts w:ascii="Arial" w:hAnsi="Arial" w:cs="Arial"/>
          <w:b/>
          <w:bCs/>
          <w:i/>
          <w:iCs/>
          <w:sz w:val="20"/>
          <w:szCs w:val="20"/>
        </w:rPr>
        <w:t>spending, which could negatively affect our business, operating results and financial condition</w:t>
      </w:r>
      <w:r>
        <w:rPr>
          <w:rFonts w:ascii="Arial" w:hAnsi="Arial" w:cs="Arial"/>
          <w:b/>
          <w:bCs/>
          <w:i/>
          <w:iCs/>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The electronic bill presentment and payment services industry depends heavily on the overall level of consumer, business and government spending. We are expose</w:t>
      </w:r>
      <w:r>
        <w:rPr>
          <w:rFonts w:ascii="Arial" w:hAnsi="Arial" w:cs="Arial"/>
          <w:sz w:val="20"/>
          <w:szCs w:val="20"/>
        </w:rPr>
        <w:t>d to general economic conditions that affect consumer confidence, consumer spending, consumer discretionary income and changes in consumer purchasing habits. A sustained deterioration in general economic conditions in the markets in which we operate or inc</w:t>
      </w:r>
      <w:r>
        <w:rPr>
          <w:rFonts w:ascii="Arial" w:hAnsi="Arial" w:cs="Arial"/>
          <w:sz w:val="20"/>
          <w:szCs w:val="20"/>
        </w:rPr>
        <w:t>reases in interest rates may adversely affect our financial performance by reducing the number or average payment amount of transactions made using electronic bill payments on our platform. Relatedly, a reduction in the amount of consumer spending could re</w:t>
      </w:r>
      <w:r>
        <w:rPr>
          <w:rFonts w:ascii="Arial" w:hAnsi="Arial" w:cs="Arial"/>
          <w:sz w:val="20"/>
          <w:szCs w:val="20"/>
        </w:rPr>
        <w:t xml:space="preserve">sult in a decrease in our revenue and profit. If our billers present fewer bills to consumers using electronic billing or consumers making electronic bill payments spend less per transaction, we will have fewer transactions to process or lower transaction </w:t>
      </w:r>
      <w:r>
        <w:rPr>
          <w:rFonts w:ascii="Arial" w:hAnsi="Arial" w:cs="Arial"/>
          <w:sz w:val="20"/>
          <w:szCs w:val="20"/>
        </w:rPr>
        <w:t>amounts, each of which would contribute to lower revenue. These developments could have a material adverse impact on our business, operating results and financial condition</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Further, a downturn in the economy could force our billers, financial institutions</w:t>
      </w:r>
      <w:r>
        <w:rPr>
          <w:rFonts w:ascii="Arial" w:hAnsi="Arial" w:cs="Arial"/>
          <w:sz w:val="20"/>
          <w:szCs w:val="20"/>
        </w:rPr>
        <w:t xml:space="preserve"> or partners or their consumers to close or declare bankruptcy, resulting in lower revenue and earnings for us and greater exposure to potential credit losses and future transaction declines. We also have a certain amount of fixed and other costs, includin</w:t>
      </w:r>
      <w:r>
        <w:rPr>
          <w:rFonts w:ascii="Arial" w:hAnsi="Arial" w:cs="Arial"/>
          <w:sz w:val="20"/>
          <w:szCs w:val="20"/>
        </w:rPr>
        <w:t>g rent and salaries, which could limit our ability to quickly adjust costs and respond to changes in our business and the economy. Changes in economic conditions could also adversely affect our future revenue and profit and cause a materially adverse effec</w:t>
      </w:r>
      <w:r>
        <w:rPr>
          <w:rFonts w:ascii="Arial" w:hAnsi="Arial" w:cs="Arial"/>
          <w:sz w:val="20"/>
          <w:szCs w:val="20"/>
        </w:rPr>
        <w:t>t on our business, operating results and financial condition</w:t>
      </w:r>
      <w:r>
        <w:rPr>
          <w:rFonts w:ascii="Arial" w:hAnsi="Arial" w:cs="Arial"/>
          <w:sz w:val="20"/>
          <w:szCs w:val="20"/>
        </w:rPr>
        <w:t>.</w:t>
      </w:r>
      <w:r>
        <w:rPr>
          <w:rFonts w:ascii="Arial" w:hAnsi="Arial" w:cs="Arial"/>
          <w:sz w:val="20"/>
          <w:szCs w:val="20"/>
        </w:rPr>
        <w:t xml:space="preserve"> </w:t>
      </w:r>
    </w:p>
    <w:p w:rsidR="00000000" w:rsidRDefault="00010F15">
      <w:pPr>
        <w:pStyle w:val="a3"/>
        <w:spacing w:before="240" w:beforeAutospacing="0" w:after="0" w:afterAutospacing="0"/>
        <w:rPr>
          <w:sz w:val="20"/>
          <w:szCs w:val="20"/>
        </w:rPr>
      </w:pPr>
      <w:r>
        <w:rPr>
          <w:rFonts w:ascii="Arial" w:hAnsi="Arial" w:cs="Arial"/>
          <w:b/>
          <w:bCs/>
          <w:i/>
          <w:iCs/>
          <w:sz w:val="20"/>
          <w:szCs w:val="20"/>
        </w:rPr>
        <w:t>The markets in which we participate are competitive, and if we do not compete effectively, our business, operating results and financial condition could be harmed</w:t>
      </w:r>
      <w:r>
        <w:rPr>
          <w:rFonts w:ascii="Arial" w:hAnsi="Arial" w:cs="Arial"/>
          <w:b/>
          <w:bCs/>
          <w:i/>
          <w:iCs/>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The market for electronic bil</w:t>
      </w:r>
      <w:r>
        <w:rPr>
          <w:rFonts w:ascii="Arial" w:hAnsi="Arial" w:cs="Arial"/>
          <w:sz w:val="20"/>
          <w:szCs w:val="20"/>
        </w:rPr>
        <w:t xml:space="preserve">l presentment and payment services is fragmented, competitive and constantly evolving. Our primary competitors are legacy solution providers and financial institutions with internally developed solutions for bill presentment and payment services. With the </w:t>
      </w:r>
      <w:r>
        <w:rPr>
          <w:rFonts w:ascii="Arial" w:hAnsi="Arial" w:cs="Arial"/>
          <w:sz w:val="20"/>
          <w:szCs w:val="20"/>
        </w:rPr>
        <w:t>introduction of new technologies and market entrants, we expect that the competitive environment will remain intense. Legacy solution providers, new market entrant solution providers and financial institutions may internally develop products, acquire exist</w:t>
      </w:r>
      <w:r>
        <w:rPr>
          <w:rFonts w:ascii="Arial" w:hAnsi="Arial" w:cs="Arial"/>
          <w:sz w:val="20"/>
          <w:szCs w:val="20"/>
        </w:rPr>
        <w:t xml:space="preserve">ing, third-party products or enter into partnerships or other strategic relationships that would enable them to expand their product offerings to compete with our platform, provide more comprehensive offerings than they individually had offered or achieve </w:t>
      </w:r>
      <w:r>
        <w:rPr>
          <w:rFonts w:ascii="Arial" w:hAnsi="Arial" w:cs="Arial"/>
          <w:sz w:val="20"/>
          <w:szCs w:val="20"/>
        </w:rPr>
        <w:t>greater economies of scale than us</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 xml:space="preserve">These legacy solution providers and financial institutions may have the operating flexibility to bundle competing solutions with other offerings, and may offer them at a lower price or for no additional cost to billers </w:t>
      </w:r>
      <w:r>
        <w:rPr>
          <w:rFonts w:ascii="Arial" w:hAnsi="Arial" w:cs="Arial"/>
          <w:sz w:val="20"/>
          <w:szCs w:val="20"/>
        </w:rPr>
        <w:t>and financial institutions as part of a larger sale. Legacy solution providers offer solutions for in-person cash payments, check-based mail payments, prior-generation interactive voice response, or IVR, phone-based payments and web-based payments, as well</w:t>
      </w:r>
      <w:r>
        <w:rPr>
          <w:rFonts w:ascii="Arial" w:hAnsi="Arial" w:cs="Arial"/>
          <w:sz w:val="20"/>
          <w:szCs w:val="20"/>
        </w:rPr>
        <w:t xml:space="preserve"> as a variety of point solutions for various payment needs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In addition, new entrants not currently considered to be competitors may enter the market through acquisitions, partnerships, or strategic relationships. New market entrants include a variety of p</w:t>
      </w:r>
      <w:r>
        <w:rPr>
          <w:rFonts w:ascii="Arial" w:hAnsi="Arial" w:cs="Arial"/>
          <w:sz w:val="20"/>
          <w:szCs w:val="20"/>
        </w:rPr>
        <w:t>ayment processing vendors, particularly those focused on online and mobile payments, as well as mobile wallets and other offerings. Many of these new entrants are also potential partners of ours. As we look to market and sell our platform to potential bill</w:t>
      </w:r>
      <w:r>
        <w:rPr>
          <w:rFonts w:ascii="Arial" w:hAnsi="Arial" w:cs="Arial"/>
          <w:sz w:val="20"/>
          <w:szCs w:val="20"/>
        </w:rPr>
        <w:t>ers, financial institutions or strategic partners with existing solutions, we must convince their internal stakeholders that our platform is superior to their current solutions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We compete on several factors, including</w:t>
      </w:r>
      <w:r>
        <w:rPr>
          <w:rFonts w:ascii="Arial" w:hAnsi="Arial" w:cs="Arial"/>
          <w:sz w:val="20"/>
          <w:szCs w:val="20"/>
        </w:rPr>
        <w:t>:</w:t>
      </w:r>
    </w:p>
    <w:p w:rsidR="00000000" w:rsidRDefault="00010F15">
      <w:pPr>
        <w:divId w:val="1960605459"/>
        <w:rPr>
          <w:rFonts w:eastAsia="Times New Roman"/>
        </w:rPr>
      </w:pPr>
      <w:r>
        <w:rPr>
          <w:rFonts w:eastAsia="Times New Roman"/>
          <w:sz w:val="20"/>
          <w:szCs w:val="20"/>
        </w:rPr>
        <w:t>•</w:t>
      </w:r>
    </w:p>
    <w:p w:rsidR="00000000" w:rsidRDefault="00010F15">
      <w:pPr>
        <w:divId w:val="99687829"/>
        <w:rPr>
          <w:rFonts w:eastAsia="Times New Roman"/>
        </w:rPr>
      </w:pPr>
      <w:r>
        <w:rPr>
          <w:rFonts w:ascii="Arial" w:eastAsia="Times New Roman" w:hAnsi="Arial" w:cs="Arial"/>
          <w:sz w:val="20"/>
          <w:szCs w:val="20"/>
        </w:rPr>
        <w:t>product features, quality and brea</w:t>
      </w:r>
      <w:r>
        <w:rPr>
          <w:rFonts w:ascii="Arial" w:eastAsia="Times New Roman" w:hAnsi="Arial" w:cs="Arial"/>
          <w:sz w:val="20"/>
          <w:szCs w:val="20"/>
        </w:rPr>
        <w:t>dth and depth of functionality</w:t>
      </w:r>
      <w:r>
        <w:rPr>
          <w:rFonts w:ascii="Arial" w:eastAsia="Times New Roman" w:hAnsi="Arial" w:cs="Arial"/>
          <w:sz w:val="20"/>
          <w:szCs w:val="20"/>
        </w:rPr>
        <w:t>;</w:t>
      </w:r>
    </w:p>
    <w:p w:rsidR="00000000" w:rsidRDefault="00010F15">
      <w:pPr>
        <w:divId w:val="1637250164"/>
        <w:rPr>
          <w:rFonts w:eastAsia="Times New Roman"/>
        </w:rPr>
      </w:pPr>
      <w:r>
        <w:rPr>
          <w:rFonts w:eastAsia="Times New Roman"/>
          <w:sz w:val="20"/>
          <w:szCs w:val="20"/>
        </w:rPr>
        <w:t>•</w:t>
      </w:r>
    </w:p>
    <w:p w:rsidR="00000000" w:rsidRDefault="00010F15">
      <w:pPr>
        <w:divId w:val="996803423"/>
        <w:rPr>
          <w:rFonts w:eastAsia="Times New Roman"/>
        </w:rPr>
      </w:pPr>
      <w:r>
        <w:rPr>
          <w:rFonts w:ascii="Arial" w:eastAsia="Times New Roman" w:hAnsi="Arial" w:cs="Arial"/>
          <w:sz w:val="20"/>
          <w:szCs w:val="20"/>
        </w:rPr>
        <w:t>ease of deployment and implementation speed</w:t>
      </w:r>
      <w:r>
        <w:rPr>
          <w:rFonts w:ascii="Arial" w:eastAsia="Times New Roman" w:hAnsi="Arial" w:cs="Arial"/>
          <w:sz w:val="20"/>
          <w:szCs w:val="20"/>
        </w:rPr>
        <w:t>;</w:t>
      </w:r>
    </w:p>
    <w:p w:rsidR="00000000" w:rsidRDefault="00010F15">
      <w:pPr>
        <w:divId w:val="247887343"/>
        <w:rPr>
          <w:rFonts w:eastAsia="Times New Roman"/>
        </w:rPr>
      </w:pPr>
      <w:r>
        <w:rPr>
          <w:rFonts w:eastAsia="Times New Roman"/>
          <w:sz w:val="20"/>
          <w:szCs w:val="20"/>
        </w:rPr>
        <w:t>•</w:t>
      </w:r>
    </w:p>
    <w:p w:rsidR="00000000" w:rsidRDefault="00010F15">
      <w:pPr>
        <w:divId w:val="536698143"/>
        <w:rPr>
          <w:rFonts w:eastAsia="Times New Roman"/>
        </w:rPr>
      </w:pPr>
      <w:r>
        <w:rPr>
          <w:rFonts w:ascii="Arial" w:eastAsia="Times New Roman" w:hAnsi="Arial" w:cs="Arial"/>
          <w:sz w:val="20"/>
          <w:szCs w:val="20"/>
        </w:rPr>
        <w:t>ease of integration with leading billing and enterprise software, customer information systems and banking technology infrastructures</w:t>
      </w:r>
      <w:r>
        <w:rPr>
          <w:rFonts w:ascii="Arial" w:eastAsia="Times New Roman" w:hAnsi="Arial" w:cs="Arial"/>
          <w:sz w:val="20"/>
          <w:szCs w:val="20"/>
        </w:rPr>
        <w:t>;</w:t>
      </w:r>
    </w:p>
    <w:p w:rsidR="00000000" w:rsidRDefault="00010F15">
      <w:pPr>
        <w:divId w:val="1727294125"/>
        <w:rPr>
          <w:rFonts w:eastAsia="Times New Roman"/>
        </w:rPr>
      </w:pPr>
      <w:r>
        <w:rPr>
          <w:rFonts w:eastAsia="Times New Roman"/>
          <w:sz w:val="20"/>
          <w:szCs w:val="20"/>
        </w:rPr>
        <w:t>•</w:t>
      </w:r>
    </w:p>
    <w:p w:rsidR="00000000" w:rsidRDefault="00010F15">
      <w:pPr>
        <w:divId w:val="1938366392"/>
        <w:rPr>
          <w:rFonts w:eastAsia="Times New Roman"/>
        </w:rPr>
      </w:pPr>
      <w:r>
        <w:rPr>
          <w:rFonts w:ascii="Arial" w:eastAsia="Times New Roman" w:hAnsi="Arial" w:cs="Arial"/>
          <w:sz w:val="20"/>
          <w:szCs w:val="20"/>
        </w:rPr>
        <w:t>ability to automate processes</w:t>
      </w:r>
      <w:r>
        <w:rPr>
          <w:rFonts w:ascii="Arial" w:eastAsia="Times New Roman" w:hAnsi="Arial" w:cs="Arial"/>
          <w:sz w:val="20"/>
          <w:szCs w:val="20"/>
        </w:rPr>
        <w:t>;</w:t>
      </w:r>
    </w:p>
    <w:p w:rsidR="00000000" w:rsidRDefault="00010F15">
      <w:pPr>
        <w:divId w:val="826475660"/>
        <w:rPr>
          <w:rFonts w:eastAsia="Times New Roman"/>
        </w:rPr>
      </w:pPr>
      <w:r>
        <w:rPr>
          <w:rFonts w:eastAsia="Times New Roman"/>
          <w:sz w:val="20"/>
          <w:szCs w:val="20"/>
        </w:rPr>
        <w:t>•</w:t>
      </w:r>
    </w:p>
    <w:p w:rsidR="00000000" w:rsidRDefault="00010F15">
      <w:pPr>
        <w:divId w:val="209264233"/>
        <w:rPr>
          <w:rFonts w:eastAsia="Times New Roman"/>
        </w:rPr>
      </w:pPr>
      <w:r>
        <w:rPr>
          <w:rFonts w:ascii="Arial" w:eastAsia="Times New Roman" w:hAnsi="Arial" w:cs="Arial"/>
          <w:sz w:val="20"/>
          <w:szCs w:val="20"/>
        </w:rPr>
        <w:t>cloud-based delivery architecture</w:t>
      </w:r>
      <w:r>
        <w:rPr>
          <w:rFonts w:ascii="Arial" w:eastAsia="Times New Roman" w:hAnsi="Arial" w:cs="Arial"/>
          <w:sz w:val="20"/>
          <w:szCs w:val="20"/>
        </w:rPr>
        <w:t>;</w:t>
      </w:r>
    </w:p>
    <w:p w:rsidR="00000000" w:rsidRDefault="00010F15">
      <w:pPr>
        <w:divId w:val="1650597944"/>
        <w:rPr>
          <w:rFonts w:eastAsia="Times New Roman"/>
        </w:rPr>
      </w:pPr>
      <w:r>
        <w:rPr>
          <w:rFonts w:eastAsia="Times New Roman"/>
          <w:sz w:val="20"/>
          <w:szCs w:val="20"/>
        </w:rPr>
        <w:t>•</w:t>
      </w:r>
    </w:p>
    <w:p w:rsidR="00000000" w:rsidRDefault="00010F15">
      <w:pPr>
        <w:divId w:val="1806391888"/>
        <w:rPr>
          <w:rFonts w:eastAsia="Times New Roman"/>
        </w:rPr>
      </w:pPr>
      <w:r>
        <w:rPr>
          <w:rFonts w:ascii="Arial" w:eastAsia="Times New Roman" w:hAnsi="Arial" w:cs="Arial"/>
          <w:sz w:val="20"/>
          <w:szCs w:val="20"/>
        </w:rPr>
        <w:t xml:space="preserve">advanced security, reliability, customer service </w:t>
      </w:r>
      <w:r>
        <w:rPr>
          <w:rFonts w:ascii="Arial" w:eastAsia="Times New Roman" w:hAnsi="Arial" w:cs="Arial"/>
          <w:sz w:val="20"/>
          <w:szCs w:val="20"/>
        </w:rPr>
        <w:t>and control features</w:t>
      </w:r>
      <w:r>
        <w:rPr>
          <w:rFonts w:ascii="Arial" w:eastAsia="Times New Roman" w:hAnsi="Arial" w:cs="Arial"/>
          <w:sz w:val="20"/>
          <w:szCs w:val="20"/>
        </w:rPr>
        <w:t>;</w:t>
      </w:r>
    </w:p>
    <w:p w:rsidR="00000000" w:rsidRDefault="00010F15">
      <w:pPr>
        <w:divId w:val="1573270104"/>
        <w:rPr>
          <w:rFonts w:eastAsia="Times New Roman"/>
        </w:rPr>
      </w:pPr>
      <w:r>
        <w:rPr>
          <w:rFonts w:eastAsia="Times New Roman"/>
          <w:sz w:val="20"/>
          <w:szCs w:val="20"/>
        </w:rPr>
        <w:t>•</w:t>
      </w:r>
    </w:p>
    <w:p w:rsidR="00000000" w:rsidRDefault="00010F15">
      <w:pPr>
        <w:divId w:val="91708468"/>
        <w:rPr>
          <w:rFonts w:eastAsia="Times New Roman"/>
        </w:rPr>
      </w:pPr>
      <w:r>
        <w:rPr>
          <w:rFonts w:ascii="Arial" w:eastAsia="Times New Roman" w:hAnsi="Arial" w:cs="Arial"/>
          <w:sz w:val="20"/>
          <w:szCs w:val="20"/>
        </w:rPr>
        <w:t>data asset size and ability to leverage artificial intelligence, or AI, to grow faster and smarter</w:t>
      </w:r>
      <w:r>
        <w:rPr>
          <w:rFonts w:ascii="Arial" w:eastAsia="Times New Roman" w:hAnsi="Arial" w:cs="Arial"/>
          <w:sz w:val="20"/>
          <w:szCs w:val="20"/>
        </w:rPr>
        <w:t>;</w:t>
      </w:r>
    </w:p>
    <w:p w:rsidR="00000000" w:rsidRDefault="00010F15">
      <w:pPr>
        <w:divId w:val="1131359865"/>
        <w:rPr>
          <w:rFonts w:eastAsia="Times New Roman"/>
        </w:rPr>
      </w:pPr>
      <w:r>
        <w:rPr>
          <w:rFonts w:eastAsia="Times New Roman"/>
          <w:sz w:val="20"/>
          <w:szCs w:val="20"/>
        </w:rPr>
        <w:t>•</w:t>
      </w:r>
    </w:p>
    <w:p w:rsidR="00000000" w:rsidRDefault="00010F15">
      <w:pPr>
        <w:divId w:val="1658874819"/>
        <w:rPr>
          <w:rFonts w:eastAsia="Times New Roman"/>
        </w:rPr>
      </w:pPr>
      <w:r>
        <w:rPr>
          <w:rFonts w:ascii="Arial" w:eastAsia="Times New Roman" w:hAnsi="Arial" w:cs="Arial"/>
          <w:sz w:val="20"/>
          <w:szCs w:val="20"/>
        </w:rPr>
        <w:t>regulatory compliance leadership</w:t>
      </w:r>
      <w:r>
        <w:rPr>
          <w:rFonts w:ascii="Arial" w:eastAsia="Times New Roman" w:hAnsi="Arial" w:cs="Arial"/>
          <w:sz w:val="20"/>
          <w:szCs w:val="20"/>
        </w:rPr>
        <w:t>;</w:t>
      </w:r>
    </w:p>
    <w:p w:rsidR="00000000" w:rsidRDefault="00010F15">
      <w:pPr>
        <w:divId w:val="2130859136"/>
        <w:rPr>
          <w:rFonts w:eastAsia="Times New Roman"/>
        </w:rPr>
      </w:pPr>
      <w:r>
        <w:rPr>
          <w:rFonts w:eastAsia="Times New Roman"/>
          <w:sz w:val="20"/>
          <w:szCs w:val="20"/>
        </w:rPr>
        <w:t>•</w:t>
      </w:r>
    </w:p>
    <w:p w:rsidR="00000000" w:rsidRDefault="00010F15">
      <w:pPr>
        <w:divId w:val="1832209313"/>
        <w:rPr>
          <w:rFonts w:eastAsia="Times New Roman"/>
        </w:rPr>
      </w:pPr>
      <w:r>
        <w:rPr>
          <w:rFonts w:ascii="Arial" w:eastAsia="Times New Roman" w:hAnsi="Arial" w:cs="Arial"/>
          <w:sz w:val="20"/>
          <w:szCs w:val="20"/>
        </w:rPr>
        <w:t>brand awareness and reputation</w:t>
      </w:r>
      <w:r>
        <w:rPr>
          <w:rFonts w:ascii="Arial" w:eastAsia="Times New Roman" w:hAnsi="Arial" w:cs="Arial"/>
          <w:sz w:val="20"/>
          <w:szCs w:val="20"/>
        </w:rPr>
        <w:t>;</w:t>
      </w:r>
    </w:p>
    <w:p w:rsidR="00000000" w:rsidRDefault="00010F15">
      <w:pPr>
        <w:pStyle w:val="a3"/>
        <w:spacing w:before="0" w:beforeAutospacing="0" w:after="0" w:afterAutospacing="0"/>
        <w:jc w:val="center"/>
        <w:rPr>
          <w:sz w:val="20"/>
          <w:szCs w:val="20"/>
        </w:rPr>
      </w:pPr>
      <w:r>
        <w:rPr>
          <w:rFonts w:ascii="Arial" w:hAnsi="Arial" w:cs="Arial"/>
          <w:sz w:val="20"/>
          <w:szCs w:val="20"/>
        </w:rPr>
        <w:t>2</w:t>
      </w:r>
      <w:r>
        <w:rPr>
          <w:rFonts w:ascii="Arial" w:hAnsi="Arial" w:cs="Arial"/>
          <w:sz w:val="20"/>
          <w:szCs w:val="20"/>
        </w:rPr>
        <w:t>3</w:t>
      </w:r>
    </w:p>
    <w:p w:rsidR="00000000" w:rsidRDefault="00010F15">
      <w:pPr>
        <w:rPr>
          <w:rFonts w:eastAsia="Times New Roman"/>
        </w:rPr>
      </w:pPr>
      <w:r>
        <w:rPr>
          <w:rFonts w:eastAsia="Times New Roman"/>
        </w:rPr>
        <w:pict>
          <v:rect id="_x0000_i1047"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divId w:val="1527985103"/>
        <w:rPr>
          <w:rFonts w:eastAsia="Times New Roman"/>
        </w:rPr>
      </w:pPr>
      <w:r>
        <w:rPr>
          <w:rFonts w:eastAsia="Times New Roman"/>
          <w:sz w:val="20"/>
          <w:szCs w:val="20"/>
        </w:rPr>
        <w:t>•</w:t>
      </w:r>
    </w:p>
    <w:p w:rsidR="00000000" w:rsidRDefault="00010F15">
      <w:pPr>
        <w:divId w:val="1627544214"/>
        <w:rPr>
          <w:rFonts w:eastAsia="Times New Roman"/>
        </w:rPr>
      </w:pPr>
      <w:r>
        <w:rPr>
          <w:rFonts w:ascii="Arial" w:eastAsia="Times New Roman" w:hAnsi="Arial" w:cs="Arial"/>
          <w:sz w:val="20"/>
          <w:szCs w:val="20"/>
        </w:rPr>
        <w:t>pricing, total cos</w:t>
      </w:r>
      <w:r>
        <w:rPr>
          <w:rFonts w:ascii="Arial" w:eastAsia="Times New Roman" w:hAnsi="Arial" w:cs="Arial"/>
          <w:sz w:val="20"/>
          <w:szCs w:val="20"/>
        </w:rPr>
        <w:t>t of ownership and return on investment; an</w:t>
      </w:r>
      <w:r>
        <w:rPr>
          <w:rFonts w:ascii="Arial" w:eastAsia="Times New Roman" w:hAnsi="Arial" w:cs="Arial"/>
          <w:sz w:val="20"/>
          <w:szCs w:val="20"/>
        </w:rPr>
        <w:t>d</w:t>
      </w:r>
    </w:p>
    <w:p w:rsidR="00000000" w:rsidRDefault="00010F15">
      <w:pPr>
        <w:divId w:val="1036585529"/>
        <w:rPr>
          <w:rFonts w:eastAsia="Times New Roman"/>
        </w:rPr>
      </w:pPr>
      <w:r>
        <w:rPr>
          <w:rFonts w:eastAsia="Times New Roman"/>
          <w:sz w:val="20"/>
          <w:szCs w:val="20"/>
        </w:rPr>
        <w:t>•</w:t>
      </w:r>
    </w:p>
    <w:p w:rsidR="00000000" w:rsidRDefault="00010F15">
      <w:pPr>
        <w:divId w:val="457844580"/>
        <w:rPr>
          <w:rFonts w:eastAsia="Times New Roman"/>
        </w:rPr>
      </w:pPr>
      <w:r>
        <w:rPr>
          <w:rFonts w:ascii="Arial" w:eastAsia="Times New Roman" w:hAnsi="Arial" w:cs="Arial"/>
          <w:sz w:val="20"/>
          <w:szCs w:val="20"/>
        </w:rPr>
        <w:t>consumer satisfaction</w:t>
      </w:r>
      <w:r>
        <w:rPr>
          <w:rFonts w:ascii="Arial" w:eastAsia="Times New Roman"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Our competitors vary in size, breadth, and scope of the products and services offered. Many of our current and potential competitors have greater name recognition, longer operating histo</w:t>
      </w:r>
      <w:r>
        <w:rPr>
          <w:rFonts w:ascii="Arial" w:hAnsi="Arial" w:cs="Arial"/>
          <w:sz w:val="20"/>
          <w:szCs w:val="20"/>
        </w:rPr>
        <w:t xml:space="preserve">ries, more established biller and consumer relationships, larger marketing budgets and greater resources than us. Our competitors may be able to respond more quickly and effectively than we can to new or changing opportunities, technologies, standards and </w:t>
      </w:r>
      <w:r>
        <w:rPr>
          <w:rFonts w:ascii="Arial" w:hAnsi="Arial" w:cs="Arial"/>
          <w:sz w:val="20"/>
          <w:szCs w:val="20"/>
        </w:rPr>
        <w:t>requirements</w:t>
      </w:r>
      <w:r>
        <w:rPr>
          <w:rFonts w:ascii="Arial" w:hAnsi="Arial" w:cs="Arial"/>
          <w:sz w:val="20"/>
          <w:szCs w:val="20"/>
        </w:rPr>
        <w:t>.</w:t>
      </w:r>
      <w:r>
        <w:rPr>
          <w:rFonts w:ascii="Arial" w:hAnsi="Arial" w:cs="Arial"/>
          <w:sz w:val="20"/>
          <w:szCs w:val="20"/>
        </w:rPr>
        <w:t xml:space="preserve"> </w:t>
      </w:r>
    </w:p>
    <w:p w:rsidR="00000000" w:rsidRDefault="00010F15">
      <w:pPr>
        <w:pStyle w:val="a3"/>
        <w:spacing w:before="0" w:beforeAutospacing="0" w:after="0" w:afterAutospacing="0"/>
        <w:rPr>
          <w:sz w:val="20"/>
          <w:szCs w:val="20"/>
        </w:rPr>
      </w:pPr>
      <w:r>
        <w:rPr>
          <w:rFonts w:ascii="Arial" w:hAnsi="Arial" w:cs="Arial"/>
          <w:sz w:val="20"/>
          <w:szCs w:val="20"/>
        </w:rPr>
        <w:t>For these reasons, we may not be able to compete successfully or continue to achieve or maintain market acceptance for our platform, any of which would harm our business, operating results and financial condition</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Our revenue is sensitive to shifts in payment mix</w:t>
      </w:r>
      <w:r>
        <w:rPr>
          <w:rFonts w:ascii="Arial" w:hAnsi="Arial" w:cs="Arial"/>
          <w:b/>
          <w:bCs/>
          <w:i/>
          <w:iCs/>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A substantial majority of our revenue is derived from transaction fees, either absorbed by billers and financial institutions or paid by consumers, and the majority of bills on our platform are paid via credit or debit cards. In general, we receive more re</w:t>
      </w:r>
      <w:r>
        <w:rPr>
          <w:rFonts w:ascii="Arial" w:hAnsi="Arial" w:cs="Arial"/>
          <w:sz w:val="20"/>
          <w:szCs w:val="20"/>
        </w:rPr>
        <w:t>venue for card-based payments than for electronic check and automated clearing house, or ACH, payments. Accordingly, if more consumers start paying their bills by electronic check, ACH or other payment methods with lower transaction fees, it could material</w:t>
      </w:r>
      <w:r>
        <w:rPr>
          <w:rFonts w:ascii="Arial" w:hAnsi="Arial" w:cs="Arial"/>
          <w:sz w:val="20"/>
          <w:szCs w:val="20"/>
        </w:rPr>
        <w:t>ly impact our operating results</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We expect fluctuations in our operating results, which will make it difficult to project future results and may cause the market price of our Class A common stock to decline</w:t>
      </w:r>
      <w:r>
        <w:rPr>
          <w:rFonts w:ascii="Arial" w:hAnsi="Arial" w:cs="Arial"/>
          <w:b/>
          <w:bCs/>
          <w:i/>
          <w:iCs/>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Our rapid growth makes it difficult for us to fo</w:t>
      </w:r>
      <w:r>
        <w:rPr>
          <w:rFonts w:ascii="Arial" w:hAnsi="Arial" w:cs="Arial"/>
          <w:sz w:val="20"/>
          <w:szCs w:val="20"/>
        </w:rPr>
        <w:t>recast our future operating results. Our operating results have fluctuated in the past and are expected to fluctuate in the future due to a variety of factors, many of which are outside of our control. As a result, our past results may not be indicative of</w:t>
      </w:r>
      <w:r>
        <w:rPr>
          <w:rFonts w:ascii="Arial" w:hAnsi="Arial" w:cs="Arial"/>
          <w:sz w:val="20"/>
          <w:szCs w:val="20"/>
        </w:rPr>
        <w:t xml:space="preserve"> our future performance</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In addition to the other risks described herein, factors that may affect our operating results include the following</w:t>
      </w:r>
      <w:r>
        <w:rPr>
          <w:rFonts w:ascii="Arial" w:hAnsi="Arial" w:cs="Arial"/>
          <w:sz w:val="20"/>
          <w:szCs w:val="20"/>
        </w:rPr>
        <w:t>:</w:t>
      </w:r>
    </w:p>
    <w:p w:rsidR="00000000" w:rsidRDefault="00010F15">
      <w:pPr>
        <w:divId w:val="215163809"/>
        <w:rPr>
          <w:rFonts w:eastAsia="Times New Roman"/>
        </w:rPr>
      </w:pPr>
      <w:r>
        <w:rPr>
          <w:rFonts w:eastAsia="Times New Roman"/>
          <w:sz w:val="20"/>
          <w:szCs w:val="20"/>
        </w:rPr>
        <w:t>•</w:t>
      </w:r>
    </w:p>
    <w:p w:rsidR="00000000" w:rsidRDefault="00010F15">
      <w:pPr>
        <w:divId w:val="799684595"/>
        <w:rPr>
          <w:rFonts w:eastAsia="Times New Roman"/>
        </w:rPr>
      </w:pPr>
      <w:r>
        <w:rPr>
          <w:rFonts w:ascii="Arial" w:eastAsia="Times New Roman" w:hAnsi="Arial" w:cs="Arial"/>
          <w:sz w:val="20"/>
          <w:szCs w:val="20"/>
        </w:rPr>
        <w:t>fluctuations in demand for our platform</w:t>
      </w:r>
      <w:r>
        <w:rPr>
          <w:rFonts w:ascii="Arial" w:eastAsia="Times New Roman" w:hAnsi="Arial" w:cs="Arial"/>
          <w:sz w:val="20"/>
          <w:szCs w:val="20"/>
        </w:rPr>
        <w:t>;</w:t>
      </w:r>
    </w:p>
    <w:p w:rsidR="00000000" w:rsidRDefault="00010F15">
      <w:pPr>
        <w:divId w:val="1447238488"/>
        <w:rPr>
          <w:rFonts w:eastAsia="Times New Roman"/>
        </w:rPr>
      </w:pPr>
      <w:r>
        <w:rPr>
          <w:rFonts w:eastAsia="Times New Roman"/>
          <w:sz w:val="20"/>
          <w:szCs w:val="20"/>
        </w:rPr>
        <w:t>•</w:t>
      </w:r>
    </w:p>
    <w:p w:rsidR="00000000" w:rsidRDefault="00010F15">
      <w:pPr>
        <w:divId w:val="1778258304"/>
        <w:rPr>
          <w:rFonts w:eastAsia="Times New Roman"/>
        </w:rPr>
      </w:pPr>
      <w:r>
        <w:rPr>
          <w:rFonts w:ascii="Arial" w:eastAsia="Times New Roman" w:hAnsi="Arial" w:cs="Arial"/>
          <w:sz w:val="20"/>
          <w:szCs w:val="20"/>
        </w:rPr>
        <w:t>our ability to attract new billers and financial institutions and r</w:t>
      </w:r>
      <w:r>
        <w:rPr>
          <w:rFonts w:ascii="Arial" w:eastAsia="Times New Roman" w:hAnsi="Arial" w:cs="Arial"/>
          <w:sz w:val="20"/>
          <w:szCs w:val="20"/>
        </w:rPr>
        <w:t>etain and increase adoption by our existing billers</w:t>
      </w:r>
      <w:r>
        <w:rPr>
          <w:rFonts w:ascii="Arial" w:eastAsia="Times New Roman" w:hAnsi="Arial" w:cs="Arial"/>
          <w:sz w:val="20"/>
          <w:szCs w:val="20"/>
        </w:rPr>
        <w:t>;</w:t>
      </w:r>
    </w:p>
    <w:p w:rsidR="00000000" w:rsidRDefault="00010F15">
      <w:pPr>
        <w:divId w:val="1561136854"/>
        <w:rPr>
          <w:rFonts w:eastAsia="Times New Roman"/>
        </w:rPr>
      </w:pPr>
      <w:r>
        <w:rPr>
          <w:rFonts w:eastAsia="Times New Roman"/>
          <w:sz w:val="20"/>
          <w:szCs w:val="20"/>
        </w:rPr>
        <w:t>•</w:t>
      </w:r>
    </w:p>
    <w:p w:rsidR="00000000" w:rsidRDefault="00010F15">
      <w:pPr>
        <w:divId w:val="386806817"/>
        <w:rPr>
          <w:rFonts w:eastAsia="Times New Roman"/>
        </w:rPr>
      </w:pPr>
      <w:r>
        <w:rPr>
          <w:rFonts w:ascii="Arial" w:eastAsia="Times New Roman" w:hAnsi="Arial" w:cs="Arial"/>
          <w:sz w:val="20"/>
          <w:szCs w:val="20"/>
        </w:rPr>
        <w:t>our ability to expand our relationships with our partners and identify and attract new partners</w:t>
      </w:r>
      <w:r>
        <w:rPr>
          <w:rFonts w:ascii="Arial" w:eastAsia="Times New Roman" w:hAnsi="Arial" w:cs="Arial"/>
          <w:sz w:val="20"/>
          <w:szCs w:val="20"/>
        </w:rPr>
        <w:t>;</w:t>
      </w:r>
    </w:p>
    <w:p w:rsidR="00000000" w:rsidRDefault="00010F15">
      <w:pPr>
        <w:divId w:val="1798528836"/>
        <w:rPr>
          <w:rFonts w:eastAsia="Times New Roman"/>
        </w:rPr>
      </w:pPr>
      <w:r>
        <w:rPr>
          <w:rFonts w:eastAsia="Times New Roman"/>
          <w:sz w:val="20"/>
          <w:szCs w:val="20"/>
        </w:rPr>
        <w:t>•</w:t>
      </w:r>
    </w:p>
    <w:p w:rsidR="00000000" w:rsidRDefault="00010F15">
      <w:pPr>
        <w:divId w:val="643438323"/>
        <w:rPr>
          <w:rFonts w:eastAsia="Times New Roman"/>
        </w:rPr>
      </w:pPr>
      <w:r>
        <w:rPr>
          <w:rFonts w:ascii="Arial" w:eastAsia="Times New Roman" w:hAnsi="Arial" w:cs="Arial"/>
          <w:sz w:val="20"/>
          <w:szCs w:val="20"/>
        </w:rPr>
        <w:t>changes in payment method preferences and channels by consumers, which may affect our revenue and gros</w:t>
      </w:r>
      <w:r>
        <w:rPr>
          <w:rFonts w:ascii="Arial" w:eastAsia="Times New Roman" w:hAnsi="Arial" w:cs="Arial"/>
          <w:sz w:val="20"/>
          <w:szCs w:val="20"/>
        </w:rPr>
        <w:t>s margin, particularly as a result of interchange fees</w:t>
      </w:r>
      <w:r>
        <w:rPr>
          <w:rFonts w:ascii="Arial" w:eastAsia="Times New Roman" w:hAnsi="Arial" w:cs="Arial"/>
          <w:sz w:val="20"/>
          <w:szCs w:val="20"/>
        </w:rPr>
        <w:t>;</w:t>
      </w:r>
    </w:p>
    <w:p w:rsidR="00000000" w:rsidRDefault="00010F15">
      <w:pPr>
        <w:divId w:val="320430994"/>
        <w:rPr>
          <w:rFonts w:eastAsia="Times New Roman"/>
        </w:rPr>
      </w:pPr>
      <w:r>
        <w:rPr>
          <w:rFonts w:eastAsia="Times New Roman"/>
          <w:sz w:val="20"/>
          <w:szCs w:val="20"/>
        </w:rPr>
        <w:t>•</w:t>
      </w:r>
    </w:p>
    <w:p w:rsidR="00000000" w:rsidRDefault="00010F15">
      <w:pPr>
        <w:divId w:val="1273391595"/>
        <w:rPr>
          <w:rFonts w:eastAsia="Times New Roman"/>
        </w:rPr>
      </w:pPr>
      <w:r>
        <w:rPr>
          <w:rFonts w:ascii="Arial" w:eastAsia="Times New Roman" w:hAnsi="Arial" w:cs="Arial"/>
          <w:sz w:val="20"/>
          <w:szCs w:val="20"/>
        </w:rPr>
        <w:t>variations across the industries of our billers, which may affect payment methods used by consumers and average payment amounts and, in turn, our revenue and gross margin, particularly as a result o</w:t>
      </w:r>
      <w:r>
        <w:rPr>
          <w:rFonts w:ascii="Arial" w:eastAsia="Times New Roman" w:hAnsi="Arial" w:cs="Arial"/>
          <w:sz w:val="20"/>
          <w:szCs w:val="20"/>
        </w:rPr>
        <w:t>f interchange fees</w:t>
      </w:r>
      <w:r>
        <w:rPr>
          <w:rFonts w:ascii="Arial" w:eastAsia="Times New Roman" w:hAnsi="Arial" w:cs="Arial"/>
          <w:sz w:val="20"/>
          <w:szCs w:val="20"/>
        </w:rPr>
        <w:t>;</w:t>
      </w:r>
    </w:p>
    <w:p w:rsidR="00000000" w:rsidRDefault="00010F15">
      <w:pPr>
        <w:divId w:val="1482648409"/>
        <w:rPr>
          <w:rFonts w:eastAsia="Times New Roman"/>
        </w:rPr>
      </w:pPr>
      <w:r>
        <w:rPr>
          <w:rFonts w:eastAsia="Times New Roman"/>
          <w:sz w:val="20"/>
          <w:szCs w:val="20"/>
        </w:rPr>
        <w:t>•</w:t>
      </w:r>
    </w:p>
    <w:p w:rsidR="00000000" w:rsidRDefault="00010F15">
      <w:pPr>
        <w:divId w:val="193084466"/>
        <w:rPr>
          <w:rFonts w:eastAsia="Times New Roman"/>
        </w:rPr>
      </w:pPr>
      <w:r>
        <w:rPr>
          <w:rFonts w:ascii="Arial" w:eastAsia="Times New Roman" w:hAnsi="Arial" w:cs="Arial"/>
          <w:sz w:val="20"/>
          <w:szCs w:val="20"/>
        </w:rPr>
        <w:t>the continued impact of the COVID-19 pandemic on our operating results, liquidity and financial condition and on our employees, billers, financial institutions, partners, consumers and other key stakeholders</w:t>
      </w:r>
      <w:r>
        <w:rPr>
          <w:rFonts w:ascii="Arial" w:eastAsia="Times New Roman" w:hAnsi="Arial" w:cs="Arial"/>
          <w:sz w:val="20"/>
          <w:szCs w:val="20"/>
        </w:rPr>
        <w:t>;</w:t>
      </w:r>
    </w:p>
    <w:p w:rsidR="00000000" w:rsidRDefault="00010F15">
      <w:pPr>
        <w:divId w:val="838083020"/>
        <w:rPr>
          <w:rFonts w:eastAsia="Times New Roman"/>
        </w:rPr>
      </w:pPr>
      <w:r>
        <w:rPr>
          <w:rFonts w:eastAsia="Times New Roman"/>
          <w:sz w:val="20"/>
          <w:szCs w:val="20"/>
        </w:rPr>
        <w:t>•</w:t>
      </w:r>
    </w:p>
    <w:p w:rsidR="00000000" w:rsidRDefault="00010F15">
      <w:pPr>
        <w:divId w:val="1467822405"/>
        <w:rPr>
          <w:rFonts w:eastAsia="Times New Roman"/>
        </w:rPr>
      </w:pPr>
      <w:r>
        <w:rPr>
          <w:rFonts w:ascii="Arial" w:eastAsia="Times New Roman" w:hAnsi="Arial" w:cs="Arial"/>
          <w:sz w:val="20"/>
          <w:szCs w:val="20"/>
        </w:rPr>
        <w:t>changes in biller and f</w:t>
      </w:r>
      <w:r>
        <w:rPr>
          <w:rFonts w:ascii="Arial" w:eastAsia="Times New Roman" w:hAnsi="Arial" w:cs="Arial"/>
          <w:sz w:val="20"/>
          <w:szCs w:val="20"/>
        </w:rPr>
        <w:t>inancial institution preference for cloud-based services as a result of security breaches and incidents in the industry or privacy concerns, or other security or reliability concerns regarding our products</w:t>
      </w:r>
      <w:r>
        <w:rPr>
          <w:rFonts w:ascii="Arial" w:eastAsia="Times New Roman" w:hAnsi="Arial" w:cs="Arial"/>
          <w:sz w:val="20"/>
          <w:szCs w:val="20"/>
        </w:rPr>
        <w:t>;</w:t>
      </w:r>
    </w:p>
    <w:p w:rsidR="00000000" w:rsidRDefault="00010F15">
      <w:pPr>
        <w:divId w:val="1650330488"/>
        <w:rPr>
          <w:rFonts w:eastAsia="Times New Roman"/>
        </w:rPr>
      </w:pPr>
      <w:r>
        <w:rPr>
          <w:rFonts w:eastAsia="Times New Roman"/>
          <w:sz w:val="20"/>
          <w:szCs w:val="20"/>
        </w:rPr>
        <w:t>•</w:t>
      </w:r>
    </w:p>
    <w:p w:rsidR="00000000" w:rsidRDefault="00010F15">
      <w:pPr>
        <w:divId w:val="702632875"/>
        <w:rPr>
          <w:rFonts w:eastAsia="Times New Roman"/>
        </w:rPr>
      </w:pPr>
      <w:r>
        <w:rPr>
          <w:rFonts w:ascii="Arial" w:eastAsia="Times New Roman" w:hAnsi="Arial" w:cs="Arial"/>
          <w:sz w:val="20"/>
          <w:szCs w:val="20"/>
        </w:rPr>
        <w:t xml:space="preserve">fluctuations or delays in purchasing decisions </w:t>
      </w:r>
      <w:r>
        <w:rPr>
          <w:rFonts w:ascii="Arial" w:eastAsia="Times New Roman" w:hAnsi="Arial" w:cs="Arial"/>
          <w:sz w:val="20"/>
          <w:szCs w:val="20"/>
        </w:rPr>
        <w:t>in anticipation of new products or product enhancements by us or our competitors</w:t>
      </w:r>
      <w:r>
        <w:rPr>
          <w:rFonts w:ascii="Arial" w:eastAsia="Times New Roman" w:hAnsi="Arial" w:cs="Arial"/>
          <w:sz w:val="20"/>
          <w:szCs w:val="20"/>
        </w:rPr>
        <w:t>;</w:t>
      </w:r>
    </w:p>
    <w:p w:rsidR="00000000" w:rsidRDefault="00010F15">
      <w:pPr>
        <w:divId w:val="828791902"/>
        <w:rPr>
          <w:rFonts w:eastAsia="Times New Roman"/>
        </w:rPr>
      </w:pPr>
      <w:r>
        <w:rPr>
          <w:rFonts w:eastAsia="Times New Roman"/>
          <w:sz w:val="20"/>
          <w:szCs w:val="20"/>
        </w:rPr>
        <w:t>•</w:t>
      </w:r>
    </w:p>
    <w:p w:rsidR="00000000" w:rsidRDefault="00010F15">
      <w:pPr>
        <w:divId w:val="71321266"/>
        <w:rPr>
          <w:rFonts w:eastAsia="Times New Roman"/>
        </w:rPr>
      </w:pPr>
      <w:r>
        <w:rPr>
          <w:rFonts w:ascii="Arial" w:eastAsia="Times New Roman" w:hAnsi="Arial" w:cs="Arial"/>
          <w:sz w:val="20"/>
          <w:szCs w:val="20"/>
        </w:rPr>
        <w:t>changes in biller, financial institution and consumer budgets and in the timing of their budget cycles and purchasing decisions</w:t>
      </w:r>
      <w:r>
        <w:rPr>
          <w:rFonts w:ascii="Arial" w:eastAsia="Times New Roman" w:hAnsi="Arial" w:cs="Arial"/>
          <w:sz w:val="20"/>
          <w:szCs w:val="20"/>
        </w:rPr>
        <w:t>;</w:t>
      </w:r>
    </w:p>
    <w:p w:rsidR="00000000" w:rsidRDefault="00010F15">
      <w:pPr>
        <w:divId w:val="353071275"/>
        <w:rPr>
          <w:rFonts w:eastAsia="Times New Roman"/>
        </w:rPr>
      </w:pPr>
      <w:r>
        <w:rPr>
          <w:rFonts w:eastAsia="Times New Roman"/>
          <w:sz w:val="20"/>
          <w:szCs w:val="20"/>
        </w:rPr>
        <w:t>•</w:t>
      </w:r>
    </w:p>
    <w:p w:rsidR="00000000" w:rsidRDefault="00010F15">
      <w:pPr>
        <w:divId w:val="822087998"/>
        <w:rPr>
          <w:rFonts w:eastAsia="Times New Roman"/>
        </w:rPr>
      </w:pPr>
      <w:r>
        <w:rPr>
          <w:rFonts w:ascii="Arial" w:eastAsia="Times New Roman" w:hAnsi="Arial" w:cs="Arial"/>
          <w:sz w:val="20"/>
          <w:szCs w:val="20"/>
        </w:rPr>
        <w:t>potential and existing billers and financ</w:t>
      </w:r>
      <w:r>
        <w:rPr>
          <w:rFonts w:ascii="Arial" w:eastAsia="Times New Roman" w:hAnsi="Arial" w:cs="Arial"/>
          <w:sz w:val="20"/>
          <w:szCs w:val="20"/>
        </w:rPr>
        <w:t>ial institutions choosing our competitors’ products or developing their own solutions in-house</w:t>
      </w:r>
      <w:r>
        <w:rPr>
          <w:rFonts w:ascii="Arial" w:eastAsia="Times New Roman" w:hAnsi="Arial" w:cs="Arial"/>
          <w:sz w:val="20"/>
          <w:szCs w:val="20"/>
        </w:rPr>
        <w:t>;</w:t>
      </w:r>
    </w:p>
    <w:p w:rsidR="00000000" w:rsidRDefault="00010F15">
      <w:pPr>
        <w:divId w:val="1737780531"/>
        <w:rPr>
          <w:rFonts w:eastAsia="Times New Roman"/>
        </w:rPr>
      </w:pPr>
      <w:r>
        <w:rPr>
          <w:rFonts w:eastAsia="Times New Roman"/>
          <w:sz w:val="20"/>
          <w:szCs w:val="20"/>
        </w:rPr>
        <w:t>•</w:t>
      </w:r>
    </w:p>
    <w:p w:rsidR="00000000" w:rsidRDefault="00010F15">
      <w:pPr>
        <w:divId w:val="1959557284"/>
        <w:rPr>
          <w:rFonts w:eastAsia="Times New Roman"/>
        </w:rPr>
      </w:pPr>
      <w:r>
        <w:rPr>
          <w:rFonts w:ascii="Arial" w:eastAsia="Times New Roman" w:hAnsi="Arial" w:cs="Arial"/>
          <w:sz w:val="20"/>
          <w:szCs w:val="20"/>
        </w:rPr>
        <w:t>the development or introduction of new platforms or services that are easier to use or more advanced than our current platform and suite of services</w:t>
      </w:r>
      <w:r>
        <w:rPr>
          <w:rFonts w:ascii="Arial" w:eastAsia="Times New Roman" w:hAnsi="Arial" w:cs="Arial"/>
          <w:sz w:val="20"/>
          <w:szCs w:val="20"/>
        </w:rPr>
        <w:t>;</w:t>
      </w:r>
    </w:p>
    <w:p w:rsidR="00000000" w:rsidRDefault="00010F15">
      <w:pPr>
        <w:divId w:val="453906706"/>
        <w:rPr>
          <w:rFonts w:eastAsia="Times New Roman"/>
        </w:rPr>
      </w:pPr>
      <w:r>
        <w:rPr>
          <w:rFonts w:eastAsia="Times New Roman"/>
          <w:sz w:val="20"/>
          <w:szCs w:val="20"/>
        </w:rPr>
        <w:t>•</w:t>
      </w:r>
    </w:p>
    <w:p w:rsidR="00000000" w:rsidRDefault="00010F15">
      <w:pPr>
        <w:divId w:val="1975716785"/>
        <w:rPr>
          <w:rFonts w:eastAsia="Times New Roman"/>
        </w:rPr>
      </w:pPr>
      <w:r>
        <w:rPr>
          <w:rFonts w:ascii="Arial" w:eastAsia="Times New Roman" w:hAnsi="Arial" w:cs="Arial"/>
          <w:sz w:val="20"/>
          <w:szCs w:val="20"/>
        </w:rPr>
        <w:t>our ability to adapt to new forms or methods of payment that become widely accepted, including cryptocurrencies and blockchain-based transactions</w:t>
      </w:r>
      <w:r>
        <w:rPr>
          <w:rFonts w:ascii="Arial" w:eastAsia="Times New Roman" w:hAnsi="Arial" w:cs="Arial"/>
          <w:sz w:val="20"/>
          <w:szCs w:val="20"/>
        </w:rPr>
        <w:t>;</w:t>
      </w:r>
    </w:p>
    <w:p w:rsidR="00000000" w:rsidRDefault="00010F15">
      <w:pPr>
        <w:divId w:val="813060054"/>
        <w:rPr>
          <w:rFonts w:eastAsia="Times New Roman"/>
        </w:rPr>
      </w:pPr>
      <w:r>
        <w:rPr>
          <w:rFonts w:eastAsia="Times New Roman"/>
          <w:sz w:val="20"/>
          <w:szCs w:val="20"/>
        </w:rPr>
        <w:t>•</w:t>
      </w:r>
    </w:p>
    <w:p w:rsidR="00000000" w:rsidRDefault="00010F15">
      <w:pPr>
        <w:divId w:val="1693459226"/>
        <w:rPr>
          <w:rFonts w:eastAsia="Times New Roman"/>
        </w:rPr>
      </w:pPr>
      <w:r>
        <w:rPr>
          <w:rFonts w:ascii="Arial" w:eastAsia="Times New Roman" w:hAnsi="Arial" w:cs="Arial"/>
          <w:sz w:val="20"/>
          <w:szCs w:val="20"/>
        </w:rPr>
        <w:t>the adoption or retention of more entrenched or rival services in the international markets where we compet</w:t>
      </w:r>
      <w:r>
        <w:rPr>
          <w:rFonts w:ascii="Arial" w:eastAsia="Times New Roman" w:hAnsi="Arial" w:cs="Arial"/>
          <w:sz w:val="20"/>
          <w:szCs w:val="20"/>
        </w:rPr>
        <w:t>e or plan to compete</w:t>
      </w:r>
      <w:r>
        <w:rPr>
          <w:rFonts w:ascii="Arial" w:eastAsia="Times New Roman" w:hAnsi="Arial" w:cs="Arial"/>
          <w:sz w:val="20"/>
          <w:szCs w:val="20"/>
        </w:rPr>
        <w:t>;</w:t>
      </w:r>
    </w:p>
    <w:p w:rsidR="00000000" w:rsidRDefault="00010F15">
      <w:pPr>
        <w:divId w:val="1763262906"/>
        <w:rPr>
          <w:rFonts w:eastAsia="Times New Roman"/>
        </w:rPr>
      </w:pPr>
      <w:r>
        <w:rPr>
          <w:rFonts w:eastAsia="Times New Roman"/>
          <w:sz w:val="20"/>
          <w:szCs w:val="20"/>
        </w:rPr>
        <w:t>•</w:t>
      </w:r>
    </w:p>
    <w:p w:rsidR="00000000" w:rsidRDefault="00010F15">
      <w:pPr>
        <w:divId w:val="1378235708"/>
        <w:rPr>
          <w:rFonts w:eastAsia="Times New Roman"/>
        </w:rPr>
      </w:pPr>
      <w:r>
        <w:rPr>
          <w:rFonts w:ascii="Arial" w:eastAsia="Times New Roman" w:hAnsi="Arial" w:cs="Arial"/>
          <w:sz w:val="20"/>
          <w:szCs w:val="20"/>
        </w:rPr>
        <w:t>our ability to control costs, including our operating expenses</w:t>
      </w:r>
      <w:r>
        <w:rPr>
          <w:rFonts w:ascii="Arial" w:eastAsia="Times New Roman" w:hAnsi="Arial" w:cs="Arial"/>
          <w:sz w:val="20"/>
          <w:szCs w:val="20"/>
        </w:rPr>
        <w:t>;</w:t>
      </w:r>
    </w:p>
    <w:p w:rsidR="00000000" w:rsidRDefault="00010F15">
      <w:pPr>
        <w:pStyle w:val="a3"/>
        <w:spacing w:before="0" w:beforeAutospacing="0" w:after="0" w:afterAutospacing="0"/>
        <w:jc w:val="center"/>
        <w:rPr>
          <w:sz w:val="20"/>
          <w:szCs w:val="20"/>
        </w:rPr>
      </w:pPr>
      <w:r>
        <w:rPr>
          <w:rFonts w:ascii="Arial" w:hAnsi="Arial" w:cs="Arial"/>
          <w:sz w:val="20"/>
          <w:szCs w:val="20"/>
        </w:rPr>
        <w:t>2</w:t>
      </w:r>
      <w:r>
        <w:rPr>
          <w:rFonts w:ascii="Arial" w:hAnsi="Arial" w:cs="Arial"/>
          <w:sz w:val="20"/>
          <w:szCs w:val="20"/>
        </w:rPr>
        <w:t>4</w:t>
      </w:r>
    </w:p>
    <w:p w:rsidR="00000000" w:rsidRDefault="00010F15">
      <w:pPr>
        <w:rPr>
          <w:rFonts w:eastAsia="Times New Roman"/>
        </w:rPr>
      </w:pPr>
      <w:r>
        <w:rPr>
          <w:rFonts w:eastAsia="Times New Roman"/>
        </w:rPr>
        <w:pict>
          <v:rect id="_x0000_i1048"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divId w:val="1764297218"/>
        <w:rPr>
          <w:rFonts w:eastAsia="Times New Roman"/>
        </w:rPr>
      </w:pPr>
      <w:r>
        <w:rPr>
          <w:rFonts w:eastAsia="Times New Roman"/>
          <w:sz w:val="20"/>
          <w:szCs w:val="20"/>
        </w:rPr>
        <w:t>•</w:t>
      </w:r>
    </w:p>
    <w:p w:rsidR="00000000" w:rsidRDefault="00010F15">
      <w:pPr>
        <w:divId w:val="609318129"/>
        <w:rPr>
          <w:rFonts w:eastAsia="Times New Roman"/>
        </w:rPr>
      </w:pPr>
      <w:r>
        <w:rPr>
          <w:rFonts w:ascii="Arial" w:eastAsia="Times New Roman" w:hAnsi="Arial" w:cs="Arial"/>
          <w:sz w:val="20"/>
          <w:szCs w:val="20"/>
        </w:rPr>
        <w:t>rising inflation and our ability to control our costs, including employee wages and benefits and other operating expenses</w:t>
      </w:r>
      <w:r>
        <w:rPr>
          <w:rFonts w:ascii="Arial" w:eastAsia="Times New Roman" w:hAnsi="Arial" w:cs="Arial"/>
          <w:sz w:val="20"/>
          <w:szCs w:val="20"/>
        </w:rPr>
        <w:t>;</w:t>
      </w:r>
    </w:p>
    <w:p w:rsidR="00000000" w:rsidRDefault="00010F15">
      <w:pPr>
        <w:divId w:val="350300791"/>
        <w:rPr>
          <w:rFonts w:eastAsia="Times New Roman"/>
        </w:rPr>
      </w:pPr>
      <w:r>
        <w:rPr>
          <w:rFonts w:eastAsia="Times New Roman"/>
          <w:sz w:val="20"/>
          <w:szCs w:val="20"/>
        </w:rPr>
        <w:t>•</w:t>
      </w:r>
    </w:p>
    <w:p w:rsidR="00000000" w:rsidRDefault="00010F15">
      <w:pPr>
        <w:divId w:val="1906527511"/>
        <w:rPr>
          <w:rFonts w:eastAsia="Times New Roman"/>
        </w:rPr>
      </w:pPr>
      <w:r>
        <w:rPr>
          <w:rFonts w:ascii="Arial" w:eastAsia="Times New Roman" w:hAnsi="Arial" w:cs="Arial"/>
          <w:sz w:val="20"/>
          <w:szCs w:val="20"/>
        </w:rPr>
        <w:t>the amount and timing of payment for operating expenses, particularly research and development and sales and marketing expenses, including commissions</w:t>
      </w:r>
      <w:r>
        <w:rPr>
          <w:rFonts w:ascii="Arial" w:eastAsia="Times New Roman" w:hAnsi="Arial" w:cs="Arial"/>
          <w:sz w:val="20"/>
          <w:szCs w:val="20"/>
        </w:rPr>
        <w:t>;</w:t>
      </w:r>
    </w:p>
    <w:p w:rsidR="00000000" w:rsidRDefault="00010F15">
      <w:pPr>
        <w:divId w:val="1066684437"/>
        <w:rPr>
          <w:rFonts w:eastAsia="Times New Roman"/>
        </w:rPr>
      </w:pPr>
      <w:r>
        <w:rPr>
          <w:rFonts w:eastAsia="Times New Roman"/>
          <w:sz w:val="20"/>
          <w:szCs w:val="20"/>
        </w:rPr>
        <w:t>•</w:t>
      </w:r>
    </w:p>
    <w:p w:rsidR="00000000" w:rsidRDefault="00010F15">
      <w:pPr>
        <w:divId w:val="949707191"/>
        <w:rPr>
          <w:rFonts w:eastAsia="Times New Roman"/>
        </w:rPr>
      </w:pPr>
      <w:r>
        <w:rPr>
          <w:rFonts w:ascii="Arial" w:eastAsia="Times New Roman" w:hAnsi="Arial" w:cs="Arial"/>
          <w:sz w:val="20"/>
          <w:szCs w:val="20"/>
        </w:rPr>
        <w:t xml:space="preserve">the amount and timing of non-cash expenses, including stock-based compensation, goodwill impairments </w:t>
      </w:r>
      <w:r>
        <w:rPr>
          <w:rFonts w:ascii="Arial" w:eastAsia="Times New Roman" w:hAnsi="Arial" w:cs="Arial"/>
          <w:sz w:val="20"/>
          <w:szCs w:val="20"/>
        </w:rPr>
        <w:t>and other non-cash charges</w:t>
      </w:r>
      <w:r>
        <w:rPr>
          <w:rFonts w:ascii="Arial" w:eastAsia="Times New Roman" w:hAnsi="Arial" w:cs="Arial"/>
          <w:sz w:val="20"/>
          <w:szCs w:val="20"/>
        </w:rPr>
        <w:t>;</w:t>
      </w:r>
    </w:p>
    <w:p w:rsidR="00000000" w:rsidRDefault="00010F15">
      <w:pPr>
        <w:divId w:val="1591355010"/>
        <w:rPr>
          <w:rFonts w:eastAsia="Times New Roman"/>
        </w:rPr>
      </w:pPr>
      <w:r>
        <w:rPr>
          <w:rFonts w:eastAsia="Times New Roman"/>
          <w:sz w:val="20"/>
          <w:szCs w:val="20"/>
        </w:rPr>
        <w:t>•</w:t>
      </w:r>
    </w:p>
    <w:p w:rsidR="00000000" w:rsidRDefault="00010F15">
      <w:pPr>
        <w:divId w:val="1542283673"/>
        <w:rPr>
          <w:rFonts w:eastAsia="Times New Roman"/>
        </w:rPr>
      </w:pPr>
      <w:r>
        <w:rPr>
          <w:rFonts w:ascii="Arial" w:eastAsia="Times New Roman" w:hAnsi="Arial" w:cs="Arial"/>
          <w:sz w:val="20"/>
          <w:szCs w:val="20"/>
        </w:rPr>
        <w:t>the amount and timing of costs associated with recruiting, training and integrating new employees, and retaining and motivating existing employees</w:t>
      </w:r>
      <w:r>
        <w:rPr>
          <w:rFonts w:ascii="Arial" w:eastAsia="Times New Roman" w:hAnsi="Arial" w:cs="Arial"/>
          <w:sz w:val="20"/>
          <w:szCs w:val="20"/>
        </w:rPr>
        <w:t>;</w:t>
      </w:r>
    </w:p>
    <w:p w:rsidR="00000000" w:rsidRDefault="00010F15">
      <w:pPr>
        <w:divId w:val="1813526044"/>
        <w:rPr>
          <w:rFonts w:eastAsia="Times New Roman"/>
        </w:rPr>
      </w:pPr>
      <w:r>
        <w:rPr>
          <w:rFonts w:eastAsia="Times New Roman"/>
          <w:sz w:val="20"/>
          <w:szCs w:val="20"/>
        </w:rPr>
        <w:t>•</w:t>
      </w:r>
    </w:p>
    <w:p w:rsidR="00000000" w:rsidRDefault="00010F15">
      <w:pPr>
        <w:divId w:val="1821262075"/>
        <w:rPr>
          <w:rFonts w:eastAsia="Times New Roman"/>
        </w:rPr>
      </w:pPr>
      <w:r>
        <w:rPr>
          <w:rFonts w:ascii="Arial" w:eastAsia="Times New Roman" w:hAnsi="Arial" w:cs="Arial"/>
          <w:sz w:val="20"/>
          <w:szCs w:val="20"/>
        </w:rPr>
        <w:t>the effects of acquisitions and their integration, including our acquisition</w:t>
      </w:r>
      <w:r>
        <w:rPr>
          <w:rFonts w:ascii="Arial" w:eastAsia="Times New Roman" w:hAnsi="Arial" w:cs="Arial"/>
          <w:sz w:val="20"/>
          <w:szCs w:val="20"/>
        </w:rPr>
        <w:t xml:space="preserve"> of Payveris in September 2021</w:t>
      </w:r>
      <w:r>
        <w:rPr>
          <w:rFonts w:ascii="Arial" w:eastAsia="Times New Roman" w:hAnsi="Arial" w:cs="Arial"/>
          <w:sz w:val="20"/>
          <w:szCs w:val="20"/>
        </w:rPr>
        <w:t>;</w:t>
      </w:r>
    </w:p>
    <w:p w:rsidR="00000000" w:rsidRDefault="00010F15">
      <w:pPr>
        <w:divId w:val="1447844312"/>
        <w:rPr>
          <w:rFonts w:eastAsia="Times New Roman"/>
        </w:rPr>
      </w:pPr>
      <w:r>
        <w:rPr>
          <w:rFonts w:eastAsia="Times New Roman"/>
          <w:sz w:val="20"/>
          <w:szCs w:val="20"/>
        </w:rPr>
        <w:t>•</w:t>
      </w:r>
    </w:p>
    <w:p w:rsidR="00000000" w:rsidRDefault="00010F15">
      <w:pPr>
        <w:divId w:val="2018725726"/>
        <w:rPr>
          <w:rFonts w:eastAsia="Times New Roman"/>
        </w:rPr>
      </w:pPr>
      <w:r>
        <w:rPr>
          <w:rFonts w:ascii="Arial" w:eastAsia="Times New Roman" w:hAnsi="Arial" w:cs="Arial"/>
          <w:sz w:val="20"/>
          <w:szCs w:val="20"/>
        </w:rPr>
        <w:t>general economic conditions, both domestically and internationally, as well as economic conditions specifically affecting industries in which our billers operate</w:t>
      </w:r>
      <w:r>
        <w:rPr>
          <w:rFonts w:ascii="Arial" w:eastAsia="Times New Roman" w:hAnsi="Arial" w:cs="Arial"/>
          <w:sz w:val="20"/>
          <w:szCs w:val="20"/>
        </w:rPr>
        <w:t>;</w:t>
      </w:r>
    </w:p>
    <w:p w:rsidR="00000000" w:rsidRDefault="00010F15">
      <w:pPr>
        <w:divId w:val="1519735451"/>
        <w:rPr>
          <w:rFonts w:eastAsia="Times New Roman"/>
        </w:rPr>
      </w:pPr>
      <w:r>
        <w:rPr>
          <w:rFonts w:eastAsia="Times New Roman"/>
          <w:sz w:val="20"/>
          <w:szCs w:val="20"/>
        </w:rPr>
        <w:t>•</w:t>
      </w:r>
    </w:p>
    <w:p w:rsidR="00000000" w:rsidRDefault="00010F15">
      <w:pPr>
        <w:divId w:val="1714429459"/>
        <w:rPr>
          <w:rFonts w:eastAsia="Times New Roman"/>
        </w:rPr>
      </w:pPr>
      <w:r>
        <w:rPr>
          <w:rFonts w:ascii="Arial" w:eastAsia="Times New Roman" w:hAnsi="Arial" w:cs="Arial"/>
          <w:sz w:val="20"/>
          <w:szCs w:val="20"/>
        </w:rPr>
        <w:t>the impact of new accounting pronouncements</w:t>
      </w:r>
      <w:r>
        <w:rPr>
          <w:rFonts w:ascii="Arial" w:eastAsia="Times New Roman" w:hAnsi="Arial" w:cs="Arial"/>
          <w:sz w:val="20"/>
          <w:szCs w:val="20"/>
        </w:rPr>
        <w:t>;</w:t>
      </w:r>
    </w:p>
    <w:p w:rsidR="00000000" w:rsidRDefault="00010F15">
      <w:pPr>
        <w:divId w:val="2084641856"/>
        <w:rPr>
          <w:rFonts w:eastAsia="Times New Roman"/>
        </w:rPr>
      </w:pPr>
      <w:r>
        <w:rPr>
          <w:rFonts w:eastAsia="Times New Roman"/>
          <w:sz w:val="20"/>
          <w:szCs w:val="20"/>
        </w:rPr>
        <w:t>•</w:t>
      </w:r>
    </w:p>
    <w:p w:rsidR="00000000" w:rsidRDefault="00010F15">
      <w:pPr>
        <w:divId w:val="850342502"/>
        <w:rPr>
          <w:rFonts w:eastAsia="Times New Roman"/>
        </w:rPr>
      </w:pPr>
      <w:r>
        <w:rPr>
          <w:rFonts w:ascii="Arial" w:eastAsia="Times New Roman" w:hAnsi="Arial" w:cs="Arial"/>
          <w:sz w:val="20"/>
          <w:szCs w:val="20"/>
        </w:rPr>
        <w:t>changes in</w:t>
      </w:r>
      <w:r>
        <w:rPr>
          <w:rFonts w:ascii="Arial" w:eastAsia="Times New Roman" w:hAnsi="Arial" w:cs="Arial"/>
          <w:sz w:val="20"/>
          <w:szCs w:val="20"/>
        </w:rPr>
        <w:t xml:space="preserve"> the competitive dynamics of our markets</w:t>
      </w:r>
      <w:r>
        <w:rPr>
          <w:rFonts w:ascii="Arial" w:eastAsia="Times New Roman" w:hAnsi="Arial" w:cs="Arial"/>
          <w:sz w:val="20"/>
          <w:szCs w:val="20"/>
        </w:rPr>
        <w:t>;</w:t>
      </w:r>
    </w:p>
    <w:p w:rsidR="00000000" w:rsidRDefault="00010F15">
      <w:pPr>
        <w:divId w:val="1390613929"/>
        <w:rPr>
          <w:rFonts w:eastAsia="Times New Roman"/>
        </w:rPr>
      </w:pPr>
      <w:r>
        <w:rPr>
          <w:rFonts w:eastAsia="Times New Roman"/>
          <w:sz w:val="20"/>
          <w:szCs w:val="20"/>
        </w:rPr>
        <w:t>•</w:t>
      </w:r>
    </w:p>
    <w:p w:rsidR="00000000" w:rsidRDefault="00010F15">
      <w:pPr>
        <w:divId w:val="1202785450"/>
        <w:rPr>
          <w:rFonts w:eastAsia="Times New Roman"/>
        </w:rPr>
      </w:pPr>
      <w:r>
        <w:rPr>
          <w:rFonts w:ascii="Arial" w:eastAsia="Times New Roman" w:hAnsi="Arial" w:cs="Arial"/>
          <w:sz w:val="20"/>
          <w:szCs w:val="20"/>
        </w:rPr>
        <w:t>security breaches of and incidents impacting, technical difficulties with, or interruptions to, the delivery and use of our platform; an</w:t>
      </w:r>
      <w:r>
        <w:rPr>
          <w:rFonts w:ascii="Arial" w:eastAsia="Times New Roman" w:hAnsi="Arial" w:cs="Arial"/>
          <w:sz w:val="20"/>
          <w:szCs w:val="20"/>
        </w:rPr>
        <w:t>d</w:t>
      </w:r>
    </w:p>
    <w:p w:rsidR="00000000" w:rsidRDefault="00010F15">
      <w:pPr>
        <w:divId w:val="1334986852"/>
        <w:rPr>
          <w:rFonts w:eastAsia="Times New Roman"/>
        </w:rPr>
      </w:pPr>
      <w:r>
        <w:rPr>
          <w:rFonts w:eastAsia="Times New Roman"/>
          <w:sz w:val="20"/>
          <w:szCs w:val="20"/>
        </w:rPr>
        <w:t>•</w:t>
      </w:r>
    </w:p>
    <w:p w:rsidR="00000000" w:rsidRDefault="00010F15">
      <w:pPr>
        <w:divId w:val="2085371764"/>
        <w:rPr>
          <w:rFonts w:eastAsia="Times New Roman"/>
        </w:rPr>
      </w:pPr>
      <w:r>
        <w:rPr>
          <w:rFonts w:ascii="Arial" w:eastAsia="Times New Roman" w:hAnsi="Arial" w:cs="Arial"/>
          <w:sz w:val="20"/>
          <w:szCs w:val="20"/>
        </w:rPr>
        <w:t>awareness of our brand and our reputation in our target markets</w:t>
      </w:r>
      <w:r>
        <w:rPr>
          <w:rFonts w:ascii="Arial" w:eastAsia="Times New Roman"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 xml:space="preserve">Any of these and other factors, or the cumulative effect of some of these factors, may cause our operating results to vary significantly. In addition, we have incurred and expect to continue </w:t>
      </w:r>
      <w:r>
        <w:rPr>
          <w:rFonts w:ascii="Arial" w:hAnsi="Arial" w:cs="Arial"/>
          <w:sz w:val="20"/>
          <w:szCs w:val="20"/>
        </w:rPr>
        <w:t>to incur significant additional expenses due to the increased costs of operating as a public company. If the assumptions used to plan our business are incorrect, our revenue may fail to meet our expectations and we may fail to meet profitability expectatio</w:t>
      </w:r>
      <w:r>
        <w:rPr>
          <w:rFonts w:ascii="Arial" w:hAnsi="Arial" w:cs="Arial"/>
          <w:sz w:val="20"/>
          <w:szCs w:val="20"/>
        </w:rPr>
        <w:t>ns. Further, if our quarterly operating results fall below the expectations of investors and securities analysts who follow our Class A common stock, the price of our Class A common stock could decline substantially, and we could face costly lawsuits, incl</w:t>
      </w:r>
      <w:r>
        <w:rPr>
          <w:rFonts w:ascii="Arial" w:hAnsi="Arial" w:cs="Arial"/>
          <w:sz w:val="20"/>
          <w:szCs w:val="20"/>
        </w:rPr>
        <w:t>uding securities class action lawsuits</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We depend on third-party payment processors, sponsor banks and third-party printers to process bill payments made on our platform and our business, operating results and reputation could be harmed if we experience se</w:t>
      </w:r>
      <w:r>
        <w:rPr>
          <w:rFonts w:ascii="Arial" w:hAnsi="Arial" w:cs="Arial"/>
          <w:b/>
          <w:bCs/>
          <w:i/>
          <w:iCs/>
          <w:sz w:val="20"/>
          <w:szCs w:val="20"/>
        </w:rPr>
        <w:t>rvice interruptions related to these processors</w:t>
      </w:r>
      <w:r>
        <w:rPr>
          <w:rFonts w:ascii="Arial" w:hAnsi="Arial" w:cs="Arial"/>
          <w:b/>
          <w:bCs/>
          <w:i/>
          <w:iCs/>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We depend on third-party payment processors, including PayPal’s Braintree service, sponsor banks and third-party printers to process bill payments made through various channels on our platform, including cre</w:t>
      </w:r>
      <w:r>
        <w:rPr>
          <w:rFonts w:ascii="Arial" w:hAnsi="Arial" w:cs="Arial"/>
          <w:sz w:val="20"/>
          <w:szCs w:val="20"/>
        </w:rPr>
        <w:t xml:space="preserve">dit and debit cards, ACH transfers, eChecks and PayPal. The per-transaction settlement fees we pay under our agreements with these processors collectively comprise a significant portion of our cost of revenue. We also rely on payment processors to collect </w:t>
      </w:r>
      <w:r>
        <w:rPr>
          <w:rFonts w:ascii="Arial" w:hAnsi="Arial" w:cs="Arial"/>
          <w:sz w:val="20"/>
          <w:szCs w:val="20"/>
        </w:rPr>
        <w:t>and store payment card information and provide certain fraud detection services. Our multiyear agreements with these processors contain industry-standard terms and conditions, including technical requirements for how we must process and settle transactions</w:t>
      </w:r>
      <w:r>
        <w:rPr>
          <w:rFonts w:ascii="Arial" w:hAnsi="Arial" w:cs="Arial"/>
          <w:sz w:val="20"/>
          <w:szCs w:val="20"/>
        </w:rPr>
        <w:t xml:space="preserve"> and chargebacks. These agreements also obligate us to comply with card networks’ security standards and guidelines, and to reimburse the payment processors for any fines they are assessed by payment networks as a result of any rule violations by us. See t</w:t>
      </w:r>
      <w:r>
        <w:rPr>
          <w:rFonts w:ascii="Arial" w:hAnsi="Arial" w:cs="Arial"/>
          <w:sz w:val="20"/>
          <w:szCs w:val="20"/>
        </w:rPr>
        <w:t>he section titled “—Risks Related to Regulation—We are required to comply with payment network operating rules and changes to such rules or payment network fees could harm our business.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 xml:space="preserve">If any of our processors were to terminate its relationship with us, </w:t>
      </w:r>
      <w:r>
        <w:rPr>
          <w:rFonts w:ascii="Arial" w:hAnsi="Arial" w:cs="Arial"/>
          <w:sz w:val="20"/>
          <w:szCs w:val="20"/>
        </w:rPr>
        <w:t xml:space="preserve">whether as a result of a failure by us to meet our contractual obligations or for other reasons, or if any of them were to refuse to renew its agreement with us on commercially reasonable terms, we would need to engage one or more alternate processors. In </w:t>
      </w:r>
      <w:r>
        <w:rPr>
          <w:rFonts w:ascii="Arial" w:hAnsi="Arial" w:cs="Arial"/>
          <w:sz w:val="20"/>
          <w:szCs w:val="20"/>
        </w:rPr>
        <w:t>that case, we could experience service interruptions and incur significant expenses in arranging for replacement payment processing services. Such interruptions could also negatively impact our reputation and our relationships with existing or potential bi</w:t>
      </w:r>
      <w:r>
        <w:rPr>
          <w:rFonts w:ascii="Arial" w:hAnsi="Arial" w:cs="Arial"/>
          <w:sz w:val="20"/>
          <w:szCs w:val="20"/>
        </w:rPr>
        <w:t xml:space="preserve">llers, financial institutions and partners, as well as cause us to become obligated to provide service credits or refunds under our service level commitments. Likewise, our processors have in the past and may in the future experience outages that have and </w:t>
      </w:r>
      <w:r>
        <w:rPr>
          <w:rFonts w:ascii="Arial" w:hAnsi="Arial" w:cs="Arial"/>
          <w:sz w:val="20"/>
          <w:szCs w:val="20"/>
        </w:rPr>
        <w:t>may cause us to temporarily lose our ability to process transactions on our platform. If any of our processors fails to meet our standards and expectations, becomes compromised or suffers errors, outages or vulnerabilities, we could temporarily lose our ab</w:t>
      </w:r>
      <w:r>
        <w:rPr>
          <w:rFonts w:ascii="Arial" w:hAnsi="Arial" w:cs="Arial"/>
          <w:sz w:val="20"/>
          <w:szCs w:val="20"/>
        </w:rPr>
        <w:t>ility to process transactions on our platform until such issues have been remedied or we have engaged one or more alternate processors</w:t>
      </w:r>
      <w:r>
        <w:rPr>
          <w:rFonts w:ascii="Arial" w:hAnsi="Arial" w:cs="Arial"/>
          <w:sz w:val="20"/>
          <w:szCs w:val="20"/>
        </w:rPr>
        <w:t>.</w:t>
      </w:r>
    </w:p>
    <w:p w:rsidR="00000000" w:rsidRDefault="00010F15">
      <w:pPr>
        <w:pStyle w:val="a3"/>
        <w:spacing w:before="0" w:beforeAutospacing="0" w:after="0" w:afterAutospacing="0"/>
        <w:jc w:val="center"/>
        <w:rPr>
          <w:sz w:val="20"/>
          <w:szCs w:val="20"/>
        </w:rPr>
      </w:pPr>
      <w:r>
        <w:rPr>
          <w:rFonts w:ascii="Arial" w:hAnsi="Arial" w:cs="Arial"/>
          <w:sz w:val="20"/>
          <w:szCs w:val="20"/>
        </w:rPr>
        <w:t>2</w:t>
      </w:r>
      <w:r>
        <w:rPr>
          <w:rFonts w:ascii="Arial" w:hAnsi="Arial" w:cs="Arial"/>
          <w:sz w:val="20"/>
          <w:szCs w:val="20"/>
        </w:rPr>
        <w:t>5</w:t>
      </w:r>
    </w:p>
    <w:p w:rsidR="00000000" w:rsidRDefault="00010F15">
      <w:pPr>
        <w:rPr>
          <w:rFonts w:eastAsia="Times New Roman"/>
        </w:rPr>
      </w:pPr>
      <w:r>
        <w:rPr>
          <w:rFonts w:eastAsia="Times New Roman"/>
        </w:rPr>
        <w:pict>
          <v:rect id="_x0000_i1049"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240" w:beforeAutospacing="0" w:after="0" w:afterAutospacing="0"/>
        <w:rPr>
          <w:sz w:val="20"/>
          <w:szCs w:val="20"/>
        </w:rPr>
      </w:pPr>
      <w:r>
        <w:rPr>
          <w:rFonts w:ascii="Arial" w:hAnsi="Arial" w:cs="Arial"/>
          <w:b/>
          <w:bCs/>
          <w:i/>
          <w:iCs/>
          <w:sz w:val="20"/>
          <w:szCs w:val="20"/>
        </w:rPr>
        <w:t>We operate in an emerging and evolving market, which may develop more slowly o</w:t>
      </w:r>
      <w:r>
        <w:rPr>
          <w:rFonts w:ascii="Arial" w:hAnsi="Arial" w:cs="Arial"/>
          <w:b/>
          <w:bCs/>
          <w:i/>
          <w:iCs/>
          <w:sz w:val="20"/>
          <w:szCs w:val="20"/>
        </w:rPr>
        <w:t>r differently than we expect. If our market does not grow as we expect, or if we cannot expand our platform to meet the demands of this market, our revenue may decline or fail to grow</w:t>
      </w:r>
      <w:r>
        <w:rPr>
          <w:rFonts w:ascii="Arial" w:hAnsi="Arial" w:cs="Arial"/>
          <w:b/>
          <w:bCs/>
          <w:i/>
          <w:iCs/>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Our primary competition remains the legacy processes that billers and f</w:t>
      </w:r>
      <w:r>
        <w:rPr>
          <w:rFonts w:ascii="Arial" w:hAnsi="Arial" w:cs="Arial"/>
          <w:sz w:val="20"/>
          <w:szCs w:val="20"/>
        </w:rPr>
        <w:t xml:space="preserve">inancial institutions have relied on for many years, such as physical bills, physical checks and non-scalable legacy IVR and similar systems, as well as systems developed internally by financial institutions. Our success depends to a substantial extent on </w:t>
      </w:r>
      <w:r>
        <w:rPr>
          <w:rFonts w:ascii="Arial" w:hAnsi="Arial" w:cs="Arial"/>
          <w:sz w:val="20"/>
          <w:szCs w:val="20"/>
        </w:rPr>
        <w:t>the widespread adoption of our cloud-based electronic billing and payment platform as an alternative to these existing solutions and adoption by billers that are not using any such solutions at all. Some organizations may be reluctant or unwilling to use o</w:t>
      </w:r>
      <w:r>
        <w:rPr>
          <w:rFonts w:ascii="Arial" w:hAnsi="Arial" w:cs="Arial"/>
          <w:sz w:val="20"/>
          <w:szCs w:val="20"/>
        </w:rPr>
        <w:t>ur platform for several reasons, including concerns about additional costs, uncertainty regarding the reliability and security of cloud-based offerings or lack of awareness of the benefits of our platform. Our ability to expand sales of our platform depend</w:t>
      </w:r>
      <w:r>
        <w:rPr>
          <w:rFonts w:ascii="Arial" w:hAnsi="Arial" w:cs="Arial"/>
          <w:sz w:val="20"/>
          <w:szCs w:val="20"/>
        </w:rPr>
        <w:t>s on several factors, including prospective billers’ and financial institutions' awareness of our platform; the timely completion, introduction and market acceptance of enhancements to our platform or new products that we may introduce; the effectiveness o</w:t>
      </w:r>
      <w:r>
        <w:rPr>
          <w:rFonts w:ascii="Arial" w:hAnsi="Arial" w:cs="Arial"/>
          <w:sz w:val="20"/>
          <w:szCs w:val="20"/>
        </w:rPr>
        <w:t xml:space="preserve">f our marketing programs; the costs of our platform and the ability of billers to pass on transaction costs to their consumers; and the success of competing solutions. If we are unsuccessful in developing and marketing our platform, or if organizations do </w:t>
      </w:r>
      <w:r>
        <w:rPr>
          <w:rFonts w:ascii="Arial" w:hAnsi="Arial" w:cs="Arial"/>
          <w:sz w:val="20"/>
          <w:szCs w:val="20"/>
        </w:rPr>
        <w:t>not perceive or value the benefits of our platform as an alternative to legacy systems, the market for our platform may not continue to develop or may develop more slowly than we expect, either of which would harm our business, operating results and prospe</w:t>
      </w:r>
      <w:r>
        <w:rPr>
          <w:rFonts w:ascii="Arial" w:hAnsi="Arial" w:cs="Arial"/>
          <w:sz w:val="20"/>
          <w:szCs w:val="20"/>
        </w:rPr>
        <w:t>cts</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Our risk management efforts may not be effective to prevent fraudulent activities, which could expose us to material financial losses and liability and otherwise harm our business</w:t>
      </w:r>
      <w:r>
        <w:rPr>
          <w:rFonts w:ascii="Arial" w:hAnsi="Arial" w:cs="Arial"/>
          <w:b/>
          <w:bCs/>
          <w:i/>
          <w:iCs/>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We offer a software platform that automates the entire bill payment li</w:t>
      </w:r>
      <w:r>
        <w:rPr>
          <w:rFonts w:ascii="Arial" w:hAnsi="Arial" w:cs="Arial"/>
          <w:sz w:val="20"/>
          <w:szCs w:val="20"/>
        </w:rPr>
        <w:t>fecycle, providing electronic bill presentment, consumer engagement and payment processing for a large number of billers, financial institutions and consumers. We are responsible for verifying the identity of our billers, and monitoring transactions for fr</w:t>
      </w:r>
      <w:r>
        <w:rPr>
          <w:rFonts w:ascii="Arial" w:hAnsi="Arial" w:cs="Arial"/>
          <w:sz w:val="20"/>
          <w:szCs w:val="20"/>
        </w:rPr>
        <w:t>aud. We and our billers, financial institutions and partners have been in the past and will continue to be targeted by parties who seek to commit acts of financial fraud using techniques such as stolen identities and bank accounts, compromised business ema</w:t>
      </w:r>
      <w:r>
        <w:rPr>
          <w:rFonts w:ascii="Arial" w:hAnsi="Arial" w:cs="Arial"/>
          <w:sz w:val="20"/>
          <w:szCs w:val="20"/>
        </w:rPr>
        <w:t>il accounts, employee or insider fraud, account takeover, false applications and check fraud. We may suffer losses from acts of financial fraud committed by or against our billers, financial institutions or partners or their consumers, our employees or oth</w:t>
      </w:r>
      <w:r>
        <w:rPr>
          <w:rFonts w:ascii="Arial" w:hAnsi="Arial" w:cs="Arial"/>
          <w:sz w:val="20"/>
          <w:szCs w:val="20"/>
        </w:rPr>
        <w:t>er third-parties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The techniques used to perpetrate fraud on our platform are continually evolving, and we expend considerable resources to continue to monitor and combat them. In addition, when we introduce new products and functionality, or expand existi</w:t>
      </w:r>
      <w:r>
        <w:rPr>
          <w:rFonts w:ascii="Arial" w:hAnsi="Arial" w:cs="Arial"/>
          <w:sz w:val="20"/>
          <w:szCs w:val="20"/>
        </w:rPr>
        <w:t xml:space="preserve">ng products, we may not be able to identify all risks created by the new products or functionality. Our risk management policies, procedures, techniques and processes may not be sufficient to identify all of the risks to which we are exposed, to enable us </w:t>
      </w:r>
      <w:r>
        <w:rPr>
          <w:rFonts w:ascii="Arial" w:hAnsi="Arial" w:cs="Arial"/>
          <w:sz w:val="20"/>
          <w:szCs w:val="20"/>
        </w:rPr>
        <w:t xml:space="preserve">to prevent or mitigate the risks we have identified or to identify additional risks to which we may become subject in the future. Furthermore, our risk management policies, procedures, techniques and processes may contain errors or our employees or agents </w:t>
      </w:r>
      <w:r>
        <w:rPr>
          <w:rFonts w:ascii="Arial" w:hAnsi="Arial" w:cs="Arial"/>
          <w:sz w:val="20"/>
          <w:szCs w:val="20"/>
        </w:rPr>
        <w:t>may commit mistakes or errors in judgment as a result of which we may suffer large financial losses. The software-driven and highly automated nature of our platform could enable criminals and those committing fraud to cause significant losses to our busine</w:t>
      </w:r>
      <w:r>
        <w:rPr>
          <w:rFonts w:ascii="Arial" w:hAnsi="Arial" w:cs="Arial"/>
          <w:sz w:val="20"/>
          <w:szCs w:val="20"/>
        </w:rPr>
        <w:t>ss. As greater numbers of billers, financial institutions, partners and consumers use our platform, our exposure to material risk of losses from a single user, or from a small number of users, will increase</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Our current business and anticipated domestic an</w:t>
      </w:r>
      <w:r>
        <w:rPr>
          <w:rFonts w:ascii="Arial" w:hAnsi="Arial" w:cs="Arial"/>
          <w:sz w:val="20"/>
          <w:szCs w:val="20"/>
        </w:rPr>
        <w:t>d international growth will continue to place significant demands on our risk management efforts, and we will need to continue developing and improving our existing risk management infrastructure, policies, procedures, techniques and processes. As techniqu</w:t>
      </w:r>
      <w:r>
        <w:rPr>
          <w:rFonts w:ascii="Arial" w:hAnsi="Arial" w:cs="Arial"/>
          <w:sz w:val="20"/>
          <w:szCs w:val="20"/>
        </w:rPr>
        <w:t>es used to perpetrate fraud on our platform evolve, we may need to modify our products or services to mitigate fraud risks. As our business grows and becomes more complex, we may be less able to forecast and carry appropriate reserves on our books for frau</w:t>
      </w:r>
      <w:r>
        <w:rPr>
          <w:rFonts w:ascii="Arial" w:hAnsi="Arial" w:cs="Arial"/>
          <w:sz w:val="20"/>
          <w:szCs w:val="20"/>
        </w:rPr>
        <w:t>d related losses. Further, these types of fraudulent activities on our platform can also expose us to civil and criminal liability and governmental and regulatory sanctions as well as potentially cause us to be in breach of our contractual obligations to o</w:t>
      </w:r>
      <w:r>
        <w:rPr>
          <w:rFonts w:ascii="Arial" w:hAnsi="Arial" w:cs="Arial"/>
          <w:sz w:val="20"/>
          <w:szCs w:val="20"/>
        </w:rPr>
        <w:t>ur third-party partners</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If we lose our founder and chief executive officer or other key members of our management team, or if we are unable to attract and retain executives and employees we need to support our operations and growth, our business may be ha</w:t>
      </w:r>
      <w:r>
        <w:rPr>
          <w:rFonts w:ascii="Arial" w:hAnsi="Arial" w:cs="Arial"/>
          <w:b/>
          <w:bCs/>
          <w:i/>
          <w:iCs/>
          <w:sz w:val="20"/>
          <w:szCs w:val="20"/>
        </w:rPr>
        <w:t>rmed</w:t>
      </w:r>
      <w:r>
        <w:rPr>
          <w:rFonts w:ascii="Arial" w:hAnsi="Arial" w:cs="Arial"/>
          <w:b/>
          <w:bCs/>
          <w:i/>
          <w:iCs/>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Our success and future growth depend upon the continued services of our management team and other key employees. Dushyant Sharma, our founder, chairman, president and chief executive officer, is critical to our overall management, as well as the cont</w:t>
      </w:r>
      <w:r>
        <w:rPr>
          <w:rFonts w:ascii="Arial" w:hAnsi="Arial" w:cs="Arial"/>
          <w:sz w:val="20"/>
          <w:szCs w:val="20"/>
        </w:rPr>
        <w:t>inued development of our products, partnerships, culture and strategic direction. From time to time, there may be changes in our management team resulting from the hiring or departure of executives and key employees, which could disrupt our business. Our s</w:t>
      </w:r>
      <w:r>
        <w:rPr>
          <w:rFonts w:ascii="Arial" w:hAnsi="Arial" w:cs="Arial"/>
          <w:sz w:val="20"/>
          <w:szCs w:val="20"/>
        </w:rPr>
        <w:t>enior management and key employees are employed on an at-will basis. Certain of our key employees have been with us for a long period of time and have fully vested stock options that may become valuable and are publicly tradable, subject to Rule 144 limita</w:t>
      </w:r>
      <w:r>
        <w:rPr>
          <w:rFonts w:ascii="Arial" w:hAnsi="Arial" w:cs="Arial"/>
          <w:sz w:val="20"/>
          <w:szCs w:val="20"/>
        </w:rPr>
        <w:t>tions, which reduces the incentive for each o</w:t>
      </w:r>
      <w:r>
        <w:rPr>
          <w:rFonts w:ascii="Arial" w:hAnsi="Arial" w:cs="Arial"/>
          <w:sz w:val="20"/>
          <w:szCs w:val="20"/>
        </w:rPr>
        <w:t>f</w:t>
      </w:r>
      <w:r>
        <w:rPr>
          <w:rFonts w:ascii="Arial" w:hAnsi="Arial" w:cs="Arial"/>
          <w:sz w:val="20"/>
          <w:szCs w:val="20"/>
        </w:rPr>
        <w:t xml:space="preserve"> </w:t>
      </w:r>
    </w:p>
    <w:p w:rsidR="00000000" w:rsidRDefault="00010F15">
      <w:pPr>
        <w:pStyle w:val="a3"/>
        <w:spacing w:before="0" w:beforeAutospacing="0" w:after="0" w:afterAutospacing="0"/>
        <w:jc w:val="center"/>
        <w:rPr>
          <w:sz w:val="20"/>
          <w:szCs w:val="20"/>
        </w:rPr>
      </w:pPr>
      <w:r>
        <w:rPr>
          <w:rFonts w:ascii="Arial" w:hAnsi="Arial" w:cs="Arial"/>
          <w:sz w:val="20"/>
          <w:szCs w:val="20"/>
        </w:rPr>
        <w:t>2</w:t>
      </w:r>
      <w:r>
        <w:rPr>
          <w:rFonts w:ascii="Arial" w:hAnsi="Arial" w:cs="Arial"/>
          <w:sz w:val="20"/>
          <w:szCs w:val="20"/>
        </w:rPr>
        <w:t>6</w:t>
      </w:r>
    </w:p>
    <w:p w:rsidR="00000000" w:rsidRDefault="00010F15">
      <w:pPr>
        <w:rPr>
          <w:rFonts w:eastAsia="Times New Roman"/>
        </w:rPr>
      </w:pPr>
      <w:r>
        <w:rPr>
          <w:rFonts w:eastAsia="Times New Roman"/>
        </w:rPr>
        <w:pict>
          <v:rect id="_x0000_i1050"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120" w:beforeAutospacing="0" w:after="0" w:afterAutospacing="0"/>
        <w:rPr>
          <w:sz w:val="20"/>
          <w:szCs w:val="20"/>
        </w:rPr>
      </w:pPr>
      <w:r>
        <w:rPr>
          <w:rFonts w:ascii="Arial" w:hAnsi="Arial" w:cs="Arial"/>
          <w:sz w:val="20"/>
          <w:szCs w:val="20"/>
        </w:rPr>
        <w:t>these key employees to remain at our company. The loss of our founder and chief executive officer, or one or more of our other senior management members, or other key</w:t>
      </w:r>
      <w:r>
        <w:rPr>
          <w:rFonts w:ascii="Arial" w:hAnsi="Arial" w:cs="Arial"/>
          <w:sz w:val="20"/>
          <w:szCs w:val="20"/>
        </w:rPr>
        <w:t xml:space="preserve"> employees, including due to illness resulting from COVID-19, could harm our business, and we may not be able to find adequate replacements. We cannot ensure that we will be able to retain the services of any members of our senior management or other key e</w:t>
      </w:r>
      <w:r>
        <w:rPr>
          <w:rFonts w:ascii="Arial" w:hAnsi="Arial" w:cs="Arial"/>
          <w:sz w:val="20"/>
          <w:szCs w:val="20"/>
        </w:rPr>
        <w:t>mployees or that we would be able to timely replace members of our senior management or other key employees should any of them depart</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Failure to attract and retain additional qualified personnel and any restrictions on the movement of personnel could prev</w:t>
      </w:r>
      <w:r>
        <w:rPr>
          <w:rFonts w:ascii="Arial" w:hAnsi="Arial" w:cs="Arial"/>
          <w:b/>
          <w:bCs/>
          <w:i/>
          <w:iCs/>
          <w:sz w:val="20"/>
          <w:szCs w:val="20"/>
        </w:rPr>
        <w:t>ent us from executing our business strategy and growth plan</w:t>
      </w:r>
      <w:r>
        <w:rPr>
          <w:rFonts w:ascii="Arial" w:hAnsi="Arial" w:cs="Arial"/>
          <w:b/>
          <w:bCs/>
          <w:i/>
          <w:iCs/>
          <w:sz w:val="20"/>
          <w:szCs w:val="20"/>
        </w:rPr>
        <w:t>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To execute our business strategy, we must attract and retain highly qualified personnel. Competition for executive officers, software developers, compliance and risk management personnel and other key employees in our industry and location is intense and i</w:t>
      </w:r>
      <w:r>
        <w:rPr>
          <w:rFonts w:ascii="Arial" w:hAnsi="Arial" w:cs="Arial"/>
          <w:sz w:val="20"/>
          <w:szCs w:val="20"/>
        </w:rPr>
        <w:t>ncreasing. We compete with many other companies for software developers with high levels of experience in designing, developing, and managing cloud-based software and payment systems, as well as for skilled legal and compliance and risk operations professi</w:t>
      </w:r>
      <w:r>
        <w:rPr>
          <w:rFonts w:ascii="Arial" w:hAnsi="Arial" w:cs="Arial"/>
          <w:sz w:val="20"/>
          <w:szCs w:val="20"/>
        </w:rPr>
        <w:t xml:space="preserve">onals. Many of the companies with which we compete for experienced personnel have greater resources than we do and can frequently offer such personnel substantially greater compensation than we can offer. In addition, a new or revised visa program, and in </w:t>
      </w:r>
      <w:r>
        <w:rPr>
          <w:rFonts w:ascii="Arial" w:hAnsi="Arial" w:cs="Arial"/>
          <w:sz w:val="20"/>
          <w:szCs w:val="20"/>
        </w:rPr>
        <w:t>particular one that limits the availability of H1-B and other visas, may impact our ability to recruit, hire, retain or effectively collaborate with qualified skilled personnel, including in the areas of AI and machine learning, and payment systems and ris</w:t>
      </w:r>
      <w:r>
        <w:rPr>
          <w:rFonts w:ascii="Arial" w:hAnsi="Arial" w:cs="Arial"/>
          <w:sz w:val="20"/>
          <w:szCs w:val="20"/>
        </w:rPr>
        <w:t>k management, which could adversely impact our business, operating results and financial condition. If we fail to identify, attract, develop and integrate new personnel, or fail to retain and motivate our current personnel, our growth prospects would be ad</w:t>
      </w:r>
      <w:r>
        <w:rPr>
          <w:rFonts w:ascii="Arial" w:hAnsi="Arial" w:cs="Arial"/>
          <w:sz w:val="20"/>
          <w:szCs w:val="20"/>
        </w:rPr>
        <w:t>versely affected</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If we fail to offer high-quality customer support, if we experience complaints regarding our customer support or if our support is more expensive than anticipated, our business and reputation could suffer</w:t>
      </w:r>
      <w:r>
        <w:rPr>
          <w:rFonts w:ascii="Arial" w:hAnsi="Arial" w:cs="Arial"/>
          <w:b/>
          <w:bCs/>
          <w:i/>
          <w:iCs/>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Billers and financial institutions and their consu</w:t>
      </w:r>
      <w:r>
        <w:rPr>
          <w:rFonts w:ascii="Arial" w:hAnsi="Arial" w:cs="Arial"/>
          <w:sz w:val="20"/>
          <w:szCs w:val="20"/>
        </w:rPr>
        <w:t>mers rely on our customer support services to resolve issues and realize the full benefits provided by our platform. High-quality support is also important to maintain and drive further adoption by our existing billers and their consumers. We primarily pro</w:t>
      </w:r>
      <w:r>
        <w:rPr>
          <w:rFonts w:ascii="Arial" w:hAnsi="Arial" w:cs="Arial"/>
          <w:sz w:val="20"/>
          <w:szCs w:val="20"/>
        </w:rPr>
        <w:t xml:space="preserve">vide customer support to our clients over email, with some additional support provided over chat and through our platform, and to consumers over the phone. If we do not help our billers and financial institutions and their consumers quickly resolve issues </w:t>
      </w:r>
      <w:r>
        <w:rPr>
          <w:rFonts w:ascii="Arial" w:hAnsi="Arial" w:cs="Arial"/>
          <w:sz w:val="20"/>
          <w:szCs w:val="20"/>
        </w:rPr>
        <w:t>and provide effective ongoing support, or if our support personnel or methods of providing support are insufficient to meet the needs of our billers and financial institutions and their consumers, our ability to retain billers and financial institutions, i</w:t>
      </w:r>
      <w:r>
        <w:rPr>
          <w:rFonts w:ascii="Arial" w:hAnsi="Arial" w:cs="Arial"/>
          <w:sz w:val="20"/>
          <w:szCs w:val="20"/>
        </w:rPr>
        <w:t>ncrease adoption by our existing billers and financial institutions and acquire new billers could suffer, and our reputation with existing or potential billers and financial institutions could be harmed. In addition, biller, financial institution and consu</w:t>
      </w:r>
      <w:r>
        <w:rPr>
          <w:rFonts w:ascii="Arial" w:hAnsi="Arial" w:cs="Arial"/>
          <w:sz w:val="20"/>
          <w:szCs w:val="20"/>
        </w:rPr>
        <w:t>mer complaints or negative publicity about our customer service could diminish confidence in and use of our products or services. Effective customer service requires significant expenses, which, if not managed properly, could negatively impact our profitab</w:t>
      </w:r>
      <w:r>
        <w:rPr>
          <w:rFonts w:ascii="Arial" w:hAnsi="Arial" w:cs="Arial"/>
          <w:sz w:val="20"/>
          <w:szCs w:val="20"/>
        </w:rPr>
        <w:t>ility. If we are not able to meet the customer support needs of our billers and their consumers during the hours that we currently provide support, we may need to increase our support coverage and provide additional support by other means and methods, whic</w:t>
      </w:r>
      <w:r>
        <w:rPr>
          <w:rFonts w:ascii="Arial" w:hAnsi="Arial" w:cs="Arial"/>
          <w:sz w:val="20"/>
          <w:szCs w:val="20"/>
        </w:rPr>
        <w:t>h may reduce our profitability</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If the fees we charge are unacceptable to our billers, financial institutions or their consumers, our business, operating results and financial condition could be harmed</w:t>
      </w:r>
      <w:r>
        <w:rPr>
          <w:rFonts w:ascii="Arial" w:hAnsi="Arial" w:cs="Arial"/>
          <w:b/>
          <w:bCs/>
          <w:i/>
          <w:iCs/>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We generate substantially all of our revenue by charg</w:t>
      </w:r>
      <w:r>
        <w:rPr>
          <w:rFonts w:ascii="Arial" w:hAnsi="Arial" w:cs="Arial"/>
          <w:sz w:val="20"/>
          <w:szCs w:val="20"/>
        </w:rPr>
        <w:t>ing billers and financial institutions fees on a per-transaction basis. As the market for our platform matures, or as new or existing competitors introduce new products or services that compete with ours, we may experience pricing pressure and be unable to</w:t>
      </w:r>
      <w:r>
        <w:rPr>
          <w:rFonts w:ascii="Arial" w:hAnsi="Arial" w:cs="Arial"/>
          <w:sz w:val="20"/>
          <w:szCs w:val="20"/>
        </w:rPr>
        <w:t xml:space="preserve"> renew our agreements with existing billers and financial institutions or attract new billers and financial institutions at fee levels that are consistent with our pricing model and operating budget. Our pricing strategy for new products we introduce may p</w:t>
      </w:r>
      <w:r>
        <w:rPr>
          <w:rFonts w:ascii="Arial" w:hAnsi="Arial" w:cs="Arial"/>
          <w:sz w:val="20"/>
          <w:szCs w:val="20"/>
        </w:rPr>
        <w:t>rove to be unappealing to our billers, financial institutions or consumers, and our competitors could choose to bundle certain products and services competitive with ours and offer them at lower prices. If this were to occur, it is possible that we would h</w:t>
      </w:r>
      <w:r>
        <w:rPr>
          <w:rFonts w:ascii="Arial" w:hAnsi="Arial" w:cs="Arial"/>
          <w:sz w:val="20"/>
          <w:szCs w:val="20"/>
        </w:rPr>
        <w:t>ave to change our pricing strategies or reduce our prices, which could harm our business, operating results and growth prospects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Further, a significant portion of our revenue is generated from billers that elect to pass on transaction fees to consumers in</w:t>
      </w:r>
      <w:r>
        <w:rPr>
          <w:rFonts w:ascii="Arial" w:hAnsi="Arial" w:cs="Arial"/>
          <w:sz w:val="20"/>
          <w:szCs w:val="20"/>
        </w:rPr>
        <w:t xml:space="preserve"> the form of convenience fees. In certain markets, such as utilities and municipalities, convenience fees are commonplace. Despite the fact that such fees are relatively standard, they are often met with negative consumer perception, which could lead to he</w:t>
      </w:r>
      <w:r>
        <w:rPr>
          <w:rFonts w:ascii="Arial" w:hAnsi="Arial" w:cs="Arial"/>
          <w:sz w:val="20"/>
          <w:szCs w:val="20"/>
        </w:rPr>
        <w:t>ightened regulatory scrutiny and further pricing pressure</w:t>
      </w:r>
      <w:r>
        <w:rPr>
          <w:rFonts w:ascii="Arial" w:hAnsi="Arial" w:cs="Arial"/>
          <w:sz w:val="20"/>
          <w:szCs w:val="20"/>
        </w:rPr>
        <w:t>.</w:t>
      </w:r>
      <w:r>
        <w:rPr>
          <w:rFonts w:ascii="Arial" w:hAnsi="Arial" w:cs="Arial"/>
          <w:sz w:val="20"/>
          <w:szCs w:val="20"/>
        </w:rPr>
        <w:t xml:space="preserve"> </w:t>
      </w:r>
    </w:p>
    <w:p w:rsidR="00000000" w:rsidRDefault="00010F15">
      <w:pPr>
        <w:pStyle w:val="a3"/>
        <w:spacing w:before="240" w:beforeAutospacing="0" w:after="0" w:afterAutospacing="0"/>
        <w:rPr>
          <w:sz w:val="20"/>
          <w:szCs w:val="20"/>
        </w:rPr>
      </w:pPr>
      <w:r>
        <w:rPr>
          <w:rFonts w:ascii="Arial" w:hAnsi="Arial" w:cs="Arial"/>
          <w:b/>
          <w:bCs/>
          <w:i/>
          <w:iCs/>
          <w:sz w:val="20"/>
          <w:szCs w:val="20"/>
        </w:rPr>
        <w:t>If we fail to meet our service level commitments, we could be obligated to provide credits or refunds or face contract terminations, which could adversely affect our business, operating results an</w:t>
      </w:r>
      <w:r>
        <w:rPr>
          <w:rFonts w:ascii="Arial" w:hAnsi="Arial" w:cs="Arial"/>
          <w:b/>
          <w:bCs/>
          <w:i/>
          <w:iCs/>
          <w:sz w:val="20"/>
          <w:szCs w:val="20"/>
        </w:rPr>
        <w:t>d financial condition</w:t>
      </w:r>
      <w:r>
        <w:rPr>
          <w:rFonts w:ascii="Arial" w:hAnsi="Arial" w:cs="Arial"/>
          <w:b/>
          <w:bCs/>
          <w:i/>
          <w:iCs/>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Certain of our agreements with our billers, financial institutions and partners contain service level commitments, including commitments regarding the accuracy of information and data we provide and how quickly we will respond to sup</w:t>
      </w:r>
      <w:r>
        <w:rPr>
          <w:rFonts w:ascii="Arial" w:hAnsi="Arial" w:cs="Arial"/>
          <w:sz w:val="20"/>
          <w:szCs w:val="20"/>
        </w:rPr>
        <w:t>port inquiries. If we are unable to meet the stated service level commitments or our platform suffers extended period</w:t>
      </w:r>
      <w:r>
        <w:rPr>
          <w:rFonts w:ascii="Arial" w:hAnsi="Arial" w:cs="Arial"/>
          <w:sz w:val="20"/>
          <w:szCs w:val="20"/>
        </w:rPr>
        <w:t>s</w:t>
      </w:r>
      <w:r>
        <w:rPr>
          <w:rFonts w:ascii="Arial" w:hAnsi="Arial" w:cs="Arial"/>
          <w:sz w:val="20"/>
          <w:szCs w:val="20"/>
        </w:rPr>
        <w:t xml:space="preserve"> </w:t>
      </w:r>
    </w:p>
    <w:p w:rsidR="00000000" w:rsidRDefault="00010F15">
      <w:pPr>
        <w:pStyle w:val="a3"/>
        <w:spacing w:before="0" w:beforeAutospacing="0" w:after="0" w:afterAutospacing="0"/>
        <w:jc w:val="center"/>
        <w:rPr>
          <w:sz w:val="20"/>
          <w:szCs w:val="20"/>
        </w:rPr>
      </w:pPr>
      <w:r>
        <w:rPr>
          <w:rFonts w:ascii="Arial" w:hAnsi="Arial" w:cs="Arial"/>
          <w:sz w:val="20"/>
          <w:szCs w:val="20"/>
        </w:rPr>
        <w:t>2</w:t>
      </w:r>
      <w:r>
        <w:rPr>
          <w:rFonts w:ascii="Arial" w:hAnsi="Arial" w:cs="Arial"/>
          <w:sz w:val="20"/>
          <w:szCs w:val="20"/>
        </w:rPr>
        <w:t>7</w:t>
      </w:r>
    </w:p>
    <w:p w:rsidR="00000000" w:rsidRDefault="00010F15">
      <w:pPr>
        <w:rPr>
          <w:rFonts w:eastAsia="Times New Roman"/>
        </w:rPr>
      </w:pPr>
      <w:r>
        <w:rPr>
          <w:rFonts w:eastAsia="Times New Roman"/>
        </w:rPr>
        <w:pict>
          <v:rect id="_x0000_i1051"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120" w:beforeAutospacing="0" w:after="0" w:afterAutospacing="0"/>
        <w:rPr>
          <w:sz w:val="20"/>
          <w:szCs w:val="20"/>
        </w:rPr>
      </w:pPr>
      <w:r>
        <w:rPr>
          <w:rFonts w:ascii="Arial" w:hAnsi="Arial" w:cs="Arial"/>
          <w:sz w:val="20"/>
          <w:szCs w:val="20"/>
        </w:rPr>
        <w:t>of unavailability or downtime, we may be contractually obligated to provide these parties with</w:t>
      </w:r>
      <w:r>
        <w:rPr>
          <w:rFonts w:ascii="Arial" w:hAnsi="Arial" w:cs="Arial"/>
          <w:sz w:val="20"/>
          <w:szCs w:val="20"/>
        </w:rPr>
        <w:t xml:space="preserve"> service credits or refunds. In addition, certain billers and financial institutions could shift to using a different solution such that we would no longer be their exclusive payment provider and we could also face contract terminations, either of which wo</w:t>
      </w:r>
      <w:r>
        <w:rPr>
          <w:rFonts w:ascii="Arial" w:hAnsi="Arial" w:cs="Arial"/>
          <w:sz w:val="20"/>
          <w:szCs w:val="20"/>
        </w:rPr>
        <w:t>uld adversely affect our future revenue. Further, any extended service outages could adversely affect our reputation, revenue and operating results</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If we fail to adapt and respond effectively to rapidly changing technology, evolving industry standards, ch</w:t>
      </w:r>
      <w:r>
        <w:rPr>
          <w:rFonts w:ascii="Arial" w:hAnsi="Arial" w:cs="Arial"/>
          <w:b/>
          <w:bCs/>
          <w:i/>
          <w:iCs/>
          <w:sz w:val="20"/>
          <w:szCs w:val="20"/>
        </w:rPr>
        <w:t>anging regulations and changing business needs, requirements or preferences, our products may become less competitive and our growth rate could decline</w:t>
      </w:r>
      <w:r>
        <w:rPr>
          <w:rFonts w:ascii="Arial" w:hAnsi="Arial" w:cs="Arial"/>
          <w:b/>
          <w:bCs/>
          <w:i/>
          <w:iCs/>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The market for electronic bill presentment and payment services is relatively new and subject to ongoin</w:t>
      </w:r>
      <w:r>
        <w:rPr>
          <w:rFonts w:ascii="Arial" w:hAnsi="Arial" w:cs="Arial"/>
          <w:sz w:val="20"/>
          <w:szCs w:val="20"/>
        </w:rPr>
        <w:t xml:space="preserve">g technological change, evolving industry standards, payment methods and changing regulations, and changing biller, financial institution and consumer needs, requirements and preferences. The success of our business will depend, in part, on our ability to </w:t>
      </w:r>
      <w:r>
        <w:rPr>
          <w:rFonts w:ascii="Arial" w:hAnsi="Arial" w:cs="Arial"/>
          <w:sz w:val="20"/>
          <w:szCs w:val="20"/>
        </w:rPr>
        <w:t>adapt and respond effectively to these changes on a timely basis, including launching new products and services. The success of any new product and service, or any enhancements or modifications to existing products and services, depends on several factors,</w:t>
      </w:r>
      <w:r>
        <w:rPr>
          <w:rFonts w:ascii="Arial" w:hAnsi="Arial" w:cs="Arial"/>
          <w:sz w:val="20"/>
          <w:szCs w:val="20"/>
        </w:rPr>
        <w:t xml:space="preserve"> including the timely completion, introduction and market acceptance of such products and services, enhancements and modifications. If we are unable to enhance our platform, add new payment methods or develop new products that keep pace with technological </w:t>
      </w:r>
      <w:r>
        <w:rPr>
          <w:rFonts w:ascii="Arial" w:hAnsi="Arial" w:cs="Arial"/>
          <w:sz w:val="20"/>
          <w:szCs w:val="20"/>
        </w:rPr>
        <w:t>and regulatory change and achieve market acceptance, or if new technologies emerge that are able to deliver competitive products and services at lower prices, more efficiently, more conveniently or more securely than our products, our business, operating r</w:t>
      </w:r>
      <w:r>
        <w:rPr>
          <w:rFonts w:ascii="Arial" w:hAnsi="Arial" w:cs="Arial"/>
          <w:sz w:val="20"/>
          <w:szCs w:val="20"/>
        </w:rPr>
        <w:t>esults and financial condition would be adversely affected. Moreover, we may experience delays in the development and introduction of new products due to the effects of the COVID-19 pandemic. Furthermore, modifications to our existing platform or technolog</w:t>
      </w:r>
      <w:r>
        <w:rPr>
          <w:rFonts w:ascii="Arial" w:hAnsi="Arial" w:cs="Arial"/>
          <w:sz w:val="20"/>
          <w:szCs w:val="20"/>
        </w:rPr>
        <w:t>y will increase our research and development expenses. Any of the foregoing could reduce the demand for our services, result in biller, financial institution, partner and consumer dissatisfaction and adversely affect our business</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Failure to effectively de</w:t>
      </w:r>
      <w:r>
        <w:rPr>
          <w:rFonts w:ascii="Arial" w:hAnsi="Arial" w:cs="Arial"/>
          <w:b/>
          <w:bCs/>
          <w:i/>
          <w:iCs/>
          <w:sz w:val="20"/>
          <w:szCs w:val="20"/>
        </w:rPr>
        <w:t>velop and expand our sales and marketing capabilities could harm our ability to increase our biller and financial institution base and achieve broader market acceptance of our products</w:t>
      </w:r>
      <w:r>
        <w:rPr>
          <w:rFonts w:ascii="Arial" w:hAnsi="Arial" w:cs="Arial"/>
          <w:b/>
          <w:bCs/>
          <w:i/>
          <w:iCs/>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 xml:space="preserve">Our ability to increase our biller and financial institution base and </w:t>
      </w:r>
      <w:r>
        <w:rPr>
          <w:rFonts w:ascii="Arial" w:hAnsi="Arial" w:cs="Arial"/>
          <w:sz w:val="20"/>
          <w:szCs w:val="20"/>
        </w:rPr>
        <w:t>achieve broader market acceptance of our platform will depend to a significant extent on our ability to expand our sales and marketing organizations, and to deploy our sales and marketing resources efficiently. Although we will adjust our sales and marketi</w:t>
      </w:r>
      <w:r>
        <w:rPr>
          <w:rFonts w:ascii="Arial" w:hAnsi="Arial" w:cs="Arial"/>
          <w:sz w:val="20"/>
          <w:szCs w:val="20"/>
        </w:rPr>
        <w:t>ng spend levels as needed in response to changes in the economic environment, we plan to continue expanding our direct sales team as well as our sales team focused on identifying partnerships. These efforts will require us to invest significant financial a</w:t>
      </w:r>
      <w:r>
        <w:rPr>
          <w:rFonts w:ascii="Arial" w:hAnsi="Arial" w:cs="Arial"/>
          <w:sz w:val="20"/>
          <w:szCs w:val="20"/>
        </w:rPr>
        <w:t>nd other resources. We may not achieve anticipated revenue growth from expanding our sales team if we are unable to hire, develop, integrate and retain talented and effective sales personnel, if our new and existing sales personnel are unable to achieve de</w:t>
      </w:r>
      <w:r>
        <w:rPr>
          <w:rFonts w:ascii="Arial" w:hAnsi="Arial" w:cs="Arial"/>
          <w:sz w:val="20"/>
          <w:szCs w:val="20"/>
        </w:rPr>
        <w:t>sired productivity levels in a reasonable period of time or if our sales and marketing programs are not effective. Our business and operating results will be harmed if our sales and marketing efforts do not generate significant increases in revenue</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We pla</w:t>
      </w:r>
      <w:r>
        <w:rPr>
          <w:rFonts w:ascii="Arial" w:hAnsi="Arial" w:cs="Arial"/>
          <w:b/>
          <w:bCs/>
          <w:i/>
          <w:iCs/>
          <w:sz w:val="20"/>
          <w:szCs w:val="20"/>
        </w:rPr>
        <w:t>n to expand our operations internationally by targeting international billers, financial institutions and partners, and further expanding use of our platform internationally among our existing international billers, financial institutions and partners, whi</w:t>
      </w:r>
      <w:r>
        <w:rPr>
          <w:rFonts w:ascii="Arial" w:hAnsi="Arial" w:cs="Arial"/>
          <w:b/>
          <w:bCs/>
          <w:i/>
          <w:iCs/>
          <w:sz w:val="20"/>
          <w:szCs w:val="20"/>
        </w:rPr>
        <w:t>ch will create a variety of operational challenges</w:t>
      </w:r>
      <w:r>
        <w:rPr>
          <w:rFonts w:ascii="Arial" w:hAnsi="Arial" w:cs="Arial"/>
          <w:b/>
          <w:bCs/>
          <w:i/>
          <w:iCs/>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A component of our growth strategy involves expanding our operations internationally. Although we currently generate substantially all of our revenue in the United States, many of our largest billers have</w:t>
      </w:r>
      <w:r>
        <w:rPr>
          <w:rFonts w:ascii="Arial" w:hAnsi="Arial" w:cs="Arial"/>
          <w:sz w:val="20"/>
          <w:szCs w:val="20"/>
        </w:rPr>
        <w:t xml:space="preserve"> billable consumers in international geographies and some of our financial institutions have customers that send money to international geographies. We are continuing to adapt to and develop strategies to expand to international geographies. However, there</w:t>
      </w:r>
      <w:r>
        <w:rPr>
          <w:rFonts w:ascii="Arial" w:hAnsi="Arial" w:cs="Arial"/>
          <w:sz w:val="20"/>
          <w:szCs w:val="20"/>
        </w:rPr>
        <w:t xml:space="preserve"> is no guarantee that such efforts will have the desired effect or that we will be able to grow our international footprint without unexpected delay or expense when international expansion opportunities arise. If we invest substantial time and resources to</w:t>
      </w:r>
      <w:r>
        <w:rPr>
          <w:rFonts w:ascii="Arial" w:hAnsi="Arial" w:cs="Arial"/>
          <w:sz w:val="20"/>
          <w:szCs w:val="20"/>
        </w:rPr>
        <w:t xml:space="preserve"> further expand our operations internationally and are unable to do so successfully, cost-effectively and in a timely manner, our business and operating results may suffer</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Our international operations strategy involves a variety of risks, including</w:t>
      </w:r>
      <w:r>
        <w:rPr>
          <w:rFonts w:ascii="Arial" w:hAnsi="Arial" w:cs="Arial"/>
          <w:sz w:val="20"/>
          <w:szCs w:val="20"/>
        </w:rPr>
        <w:t>:</w:t>
      </w:r>
    </w:p>
    <w:p w:rsidR="00000000" w:rsidRDefault="00010F15">
      <w:pPr>
        <w:divId w:val="1907766481"/>
        <w:rPr>
          <w:rFonts w:eastAsia="Times New Roman"/>
        </w:rPr>
      </w:pPr>
      <w:r>
        <w:rPr>
          <w:rFonts w:eastAsia="Times New Roman"/>
          <w:sz w:val="20"/>
          <w:szCs w:val="20"/>
        </w:rPr>
        <w:t>•</w:t>
      </w:r>
    </w:p>
    <w:p w:rsidR="00000000" w:rsidRDefault="00010F15">
      <w:pPr>
        <w:divId w:val="796024234"/>
        <w:rPr>
          <w:rFonts w:eastAsia="Times New Roman"/>
        </w:rPr>
      </w:pPr>
      <w:r>
        <w:rPr>
          <w:rFonts w:ascii="Arial" w:eastAsia="Times New Roman" w:hAnsi="Arial" w:cs="Arial"/>
          <w:sz w:val="20"/>
          <w:szCs w:val="20"/>
        </w:rPr>
        <w:t>cha</w:t>
      </w:r>
      <w:r>
        <w:rPr>
          <w:rFonts w:ascii="Arial" w:eastAsia="Times New Roman" w:hAnsi="Arial" w:cs="Arial"/>
          <w:sz w:val="20"/>
          <w:szCs w:val="20"/>
        </w:rPr>
        <w:t>nges in regulations and our ability to comply with and obtain any relevant licenses</w:t>
      </w:r>
      <w:r>
        <w:rPr>
          <w:rFonts w:ascii="Arial" w:eastAsia="Times New Roman" w:hAnsi="Arial" w:cs="Arial"/>
          <w:sz w:val="20"/>
          <w:szCs w:val="20"/>
        </w:rPr>
        <w:t>;</w:t>
      </w:r>
    </w:p>
    <w:p w:rsidR="00000000" w:rsidRDefault="00010F15">
      <w:pPr>
        <w:divId w:val="1117867041"/>
        <w:rPr>
          <w:rFonts w:eastAsia="Times New Roman"/>
        </w:rPr>
      </w:pPr>
      <w:r>
        <w:rPr>
          <w:rFonts w:eastAsia="Times New Roman"/>
          <w:sz w:val="20"/>
          <w:szCs w:val="20"/>
        </w:rPr>
        <w:t>•</w:t>
      </w:r>
    </w:p>
    <w:p w:rsidR="00000000" w:rsidRDefault="00010F15">
      <w:pPr>
        <w:divId w:val="1350913885"/>
        <w:rPr>
          <w:rFonts w:eastAsia="Times New Roman"/>
        </w:rPr>
      </w:pPr>
      <w:r>
        <w:rPr>
          <w:rFonts w:ascii="Arial" w:eastAsia="Times New Roman" w:hAnsi="Arial" w:cs="Arial"/>
          <w:sz w:val="20"/>
          <w:szCs w:val="20"/>
        </w:rPr>
        <w:t>currency exchange rate fluctuations and the resulting effect on our revenue and expenses, and the cost and risk of entering into hedging transactions</w:t>
      </w:r>
      <w:r>
        <w:rPr>
          <w:rFonts w:ascii="Arial" w:eastAsia="Times New Roman" w:hAnsi="Arial" w:cs="Arial"/>
          <w:sz w:val="20"/>
          <w:szCs w:val="20"/>
        </w:rPr>
        <w:t>;</w:t>
      </w:r>
    </w:p>
    <w:p w:rsidR="00000000" w:rsidRDefault="00010F15">
      <w:pPr>
        <w:divId w:val="1259484071"/>
        <w:rPr>
          <w:rFonts w:eastAsia="Times New Roman"/>
        </w:rPr>
      </w:pPr>
      <w:r>
        <w:rPr>
          <w:rFonts w:eastAsia="Times New Roman"/>
          <w:sz w:val="20"/>
          <w:szCs w:val="20"/>
        </w:rPr>
        <w:t>•</w:t>
      </w:r>
    </w:p>
    <w:p w:rsidR="00000000" w:rsidRDefault="00010F15">
      <w:pPr>
        <w:divId w:val="1042629578"/>
        <w:rPr>
          <w:rFonts w:eastAsia="Times New Roman"/>
        </w:rPr>
      </w:pPr>
      <w:r>
        <w:rPr>
          <w:rFonts w:ascii="Arial" w:eastAsia="Times New Roman" w:hAnsi="Arial" w:cs="Arial"/>
          <w:sz w:val="20"/>
          <w:szCs w:val="20"/>
        </w:rPr>
        <w:t>reduction in cross-border trade and other adverse impacts resulting from trade sanctions or changes in trade relations, laws or regulations</w:t>
      </w:r>
      <w:r>
        <w:rPr>
          <w:rFonts w:ascii="Arial" w:eastAsia="Times New Roman" w:hAnsi="Arial" w:cs="Arial"/>
          <w:sz w:val="20"/>
          <w:szCs w:val="20"/>
        </w:rPr>
        <w:t>;</w:t>
      </w:r>
    </w:p>
    <w:p w:rsidR="00000000" w:rsidRDefault="00010F15">
      <w:pPr>
        <w:divId w:val="892740918"/>
        <w:rPr>
          <w:rFonts w:eastAsia="Times New Roman"/>
        </w:rPr>
      </w:pPr>
      <w:r>
        <w:rPr>
          <w:rFonts w:eastAsia="Times New Roman"/>
          <w:sz w:val="20"/>
          <w:szCs w:val="20"/>
        </w:rPr>
        <w:t>•</w:t>
      </w:r>
    </w:p>
    <w:p w:rsidR="00000000" w:rsidRDefault="00010F15">
      <w:pPr>
        <w:divId w:val="378744299"/>
        <w:rPr>
          <w:rFonts w:eastAsia="Times New Roman"/>
        </w:rPr>
      </w:pPr>
      <w:r>
        <w:rPr>
          <w:rFonts w:ascii="Arial" w:eastAsia="Times New Roman" w:hAnsi="Arial" w:cs="Arial"/>
          <w:sz w:val="20"/>
          <w:szCs w:val="20"/>
        </w:rPr>
        <w:t>potential application of more stringent regulations relating to payments, privacy, data protection and informatio</w:t>
      </w:r>
      <w:r>
        <w:rPr>
          <w:rFonts w:ascii="Arial" w:eastAsia="Times New Roman" w:hAnsi="Arial" w:cs="Arial"/>
          <w:sz w:val="20"/>
          <w:szCs w:val="20"/>
        </w:rPr>
        <w:t>n security, and the authorized use of, or access to, sensitive and personal data</w:t>
      </w:r>
      <w:r>
        <w:rPr>
          <w:rFonts w:ascii="Arial" w:eastAsia="Times New Roman" w:hAnsi="Arial" w:cs="Arial"/>
          <w:sz w:val="20"/>
          <w:szCs w:val="20"/>
        </w:rPr>
        <w:t>;</w:t>
      </w:r>
    </w:p>
    <w:p w:rsidR="00000000" w:rsidRDefault="00010F15">
      <w:pPr>
        <w:pStyle w:val="a3"/>
        <w:spacing w:before="0" w:beforeAutospacing="0" w:after="0" w:afterAutospacing="0"/>
        <w:jc w:val="center"/>
        <w:rPr>
          <w:sz w:val="20"/>
          <w:szCs w:val="20"/>
        </w:rPr>
      </w:pPr>
      <w:r>
        <w:rPr>
          <w:rFonts w:ascii="Arial" w:hAnsi="Arial" w:cs="Arial"/>
          <w:sz w:val="20"/>
          <w:szCs w:val="20"/>
        </w:rPr>
        <w:t>2</w:t>
      </w:r>
      <w:r>
        <w:rPr>
          <w:rFonts w:ascii="Arial" w:hAnsi="Arial" w:cs="Arial"/>
          <w:sz w:val="20"/>
          <w:szCs w:val="20"/>
        </w:rPr>
        <w:t>8</w:t>
      </w:r>
    </w:p>
    <w:p w:rsidR="00000000" w:rsidRDefault="00010F15">
      <w:pPr>
        <w:rPr>
          <w:rFonts w:eastAsia="Times New Roman"/>
        </w:rPr>
      </w:pPr>
      <w:r>
        <w:rPr>
          <w:rFonts w:eastAsia="Times New Roman"/>
        </w:rPr>
        <w:pict>
          <v:rect id="_x0000_i1052"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divId w:val="1373531229"/>
        <w:rPr>
          <w:rFonts w:eastAsia="Times New Roman"/>
        </w:rPr>
      </w:pPr>
      <w:r>
        <w:rPr>
          <w:rFonts w:eastAsia="Times New Roman"/>
          <w:sz w:val="20"/>
          <w:szCs w:val="20"/>
        </w:rPr>
        <w:t>•</w:t>
      </w:r>
    </w:p>
    <w:p w:rsidR="00000000" w:rsidRDefault="00010F15">
      <w:pPr>
        <w:divId w:val="463039698"/>
        <w:rPr>
          <w:rFonts w:eastAsia="Times New Roman"/>
        </w:rPr>
      </w:pPr>
      <w:r>
        <w:rPr>
          <w:rFonts w:ascii="Arial" w:eastAsia="Times New Roman" w:hAnsi="Arial" w:cs="Arial"/>
          <w:sz w:val="20"/>
          <w:szCs w:val="20"/>
        </w:rPr>
        <w:t>exposure to liabilities under anti-corruption and anti-money laundering laws, including the U.S. Foreign Corrupt Practices Act, or</w:t>
      </w:r>
      <w:r>
        <w:rPr>
          <w:rFonts w:ascii="Arial" w:eastAsia="Times New Roman" w:hAnsi="Arial" w:cs="Arial"/>
          <w:sz w:val="20"/>
          <w:szCs w:val="20"/>
        </w:rPr>
        <w:t xml:space="preserve"> FCPA, U.S. domestic bribery laws and similar laws and regulations in other jurisdictions; an</w:t>
      </w:r>
      <w:r>
        <w:rPr>
          <w:rFonts w:ascii="Arial" w:eastAsia="Times New Roman" w:hAnsi="Arial" w:cs="Arial"/>
          <w:sz w:val="20"/>
          <w:szCs w:val="20"/>
        </w:rPr>
        <w:t>d</w:t>
      </w:r>
    </w:p>
    <w:p w:rsidR="00000000" w:rsidRDefault="00010F15">
      <w:pPr>
        <w:divId w:val="497890175"/>
        <w:rPr>
          <w:rFonts w:eastAsia="Times New Roman"/>
        </w:rPr>
      </w:pPr>
      <w:r>
        <w:rPr>
          <w:rFonts w:eastAsia="Times New Roman"/>
          <w:sz w:val="20"/>
          <w:szCs w:val="20"/>
        </w:rPr>
        <w:t>•</w:t>
      </w:r>
    </w:p>
    <w:p w:rsidR="00000000" w:rsidRDefault="00010F15">
      <w:pPr>
        <w:divId w:val="1651443079"/>
        <w:rPr>
          <w:rFonts w:eastAsia="Times New Roman"/>
        </w:rPr>
      </w:pPr>
      <w:r>
        <w:rPr>
          <w:rFonts w:ascii="Arial" w:eastAsia="Times New Roman" w:hAnsi="Arial" w:cs="Arial"/>
          <w:sz w:val="20"/>
          <w:szCs w:val="20"/>
        </w:rPr>
        <w:t>unexpected changes in tax laws</w:t>
      </w:r>
      <w:r>
        <w:rPr>
          <w:rFonts w:ascii="Arial" w:eastAsia="Times New Roman"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Acquisitions and strategic investments could be difficult to identify and integrate, divert the attention of management, disrup</w:t>
      </w:r>
      <w:r>
        <w:rPr>
          <w:rFonts w:ascii="Arial" w:hAnsi="Arial" w:cs="Arial"/>
          <w:b/>
          <w:bCs/>
          <w:i/>
          <w:iCs/>
          <w:sz w:val="20"/>
          <w:szCs w:val="20"/>
        </w:rPr>
        <w:t>t our business, dilute stockholder value and adversely affect our business, operating results and financial condition</w:t>
      </w:r>
      <w:r>
        <w:rPr>
          <w:rFonts w:ascii="Arial" w:hAnsi="Arial" w:cs="Arial"/>
          <w:b/>
          <w:bCs/>
          <w:i/>
          <w:iCs/>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In September 2021, we acquired Payveris, and we may in the future seek to acquire or invest in additional businesses, products or technol</w:t>
      </w:r>
      <w:r>
        <w:rPr>
          <w:rFonts w:ascii="Arial" w:hAnsi="Arial" w:cs="Arial"/>
          <w:sz w:val="20"/>
          <w:szCs w:val="20"/>
        </w:rPr>
        <w:t>ogies that we believe could further complement or expand our platform, enhance our technical capabilities or otherwise offer growth opportunities. Acquisitions may divert management’s time and focus from operating our business and cause us to incur various</w:t>
      </w:r>
      <w:r>
        <w:rPr>
          <w:rFonts w:ascii="Arial" w:hAnsi="Arial" w:cs="Arial"/>
          <w:sz w:val="20"/>
          <w:szCs w:val="20"/>
        </w:rPr>
        <w:t xml:space="preserve"> expenses in identifying, investigating and pursuing suitable acquisitions, whether or not such acquisitions are completed. Acquisitions also may require us to spend a substantial portion of our available cash, incur debt or other liabilities, amortize exp</w:t>
      </w:r>
      <w:r>
        <w:rPr>
          <w:rFonts w:ascii="Arial" w:hAnsi="Arial" w:cs="Arial"/>
          <w:sz w:val="20"/>
          <w:szCs w:val="20"/>
        </w:rPr>
        <w:t>enses related to intangible assets or incur write-offs of goodwill or other assets. In addition, integrating an acquired business or technology is risky. Completed and future acquisitions may result in unforeseen operational difficulties and expenditures a</w:t>
      </w:r>
      <w:r>
        <w:rPr>
          <w:rFonts w:ascii="Arial" w:hAnsi="Arial" w:cs="Arial"/>
          <w:sz w:val="20"/>
          <w:szCs w:val="20"/>
        </w:rPr>
        <w:t>ssociated with</w:t>
      </w:r>
      <w:r>
        <w:rPr>
          <w:rFonts w:ascii="Arial" w:hAnsi="Arial" w:cs="Arial"/>
          <w:sz w:val="20"/>
          <w:szCs w:val="20"/>
        </w:rPr>
        <w:t>:</w:t>
      </w:r>
    </w:p>
    <w:p w:rsidR="00000000" w:rsidRDefault="00010F15">
      <w:pPr>
        <w:divId w:val="664354739"/>
        <w:rPr>
          <w:rFonts w:eastAsia="Times New Roman"/>
        </w:rPr>
      </w:pPr>
      <w:r>
        <w:rPr>
          <w:rFonts w:eastAsia="Times New Roman"/>
          <w:sz w:val="20"/>
          <w:szCs w:val="20"/>
        </w:rPr>
        <w:t>•</w:t>
      </w:r>
    </w:p>
    <w:p w:rsidR="00000000" w:rsidRDefault="00010F15">
      <w:pPr>
        <w:divId w:val="422068563"/>
        <w:rPr>
          <w:rFonts w:eastAsia="Times New Roman"/>
        </w:rPr>
      </w:pPr>
      <w:r>
        <w:rPr>
          <w:rFonts w:ascii="Arial" w:eastAsia="Times New Roman" w:hAnsi="Arial" w:cs="Arial"/>
          <w:sz w:val="20"/>
          <w:szCs w:val="20"/>
        </w:rPr>
        <w:t>incorporating new businesses and technologies into our infrastructure</w:t>
      </w:r>
      <w:r>
        <w:rPr>
          <w:rFonts w:ascii="Arial" w:eastAsia="Times New Roman" w:hAnsi="Arial" w:cs="Arial"/>
          <w:sz w:val="20"/>
          <w:szCs w:val="20"/>
        </w:rPr>
        <w:t>;</w:t>
      </w:r>
    </w:p>
    <w:p w:rsidR="00000000" w:rsidRDefault="00010F15">
      <w:pPr>
        <w:divId w:val="259066579"/>
        <w:rPr>
          <w:rFonts w:eastAsia="Times New Roman"/>
        </w:rPr>
      </w:pPr>
      <w:r>
        <w:rPr>
          <w:rFonts w:eastAsia="Times New Roman"/>
          <w:sz w:val="20"/>
          <w:szCs w:val="20"/>
        </w:rPr>
        <w:t>•</w:t>
      </w:r>
    </w:p>
    <w:p w:rsidR="00000000" w:rsidRDefault="00010F15">
      <w:pPr>
        <w:divId w:val="1504514483"/>
        <w:rPr>
          <w:rFonts w:eastAsia="Times New Roman"/>
        </w:rPr>
      </w:pPr>
      <w:r>
        <w:rPr>
          <w:rFonts w:ascii="Arial" w:eastAsia="Times New Roman" w:hAnsi="Arial" w:cs="Arial"/>
          <w:sz w:val="20"/>
          <w:szCs w:val="20"/>
        </w:rPr>
        <w:t>consolidating operational and administrative functions</w:t>
      </w:r>
      <w:r>
        <w:rPr>
          <w:rFonts w:ascii="Arial" w:eastAsia="Times New Roman" w:hAnsi="Arial" w:cs="Arial"/>
          <w:sz w:val="20"/>
          <w:szCs w:val="20"/>
        </w:rPr>
        <w:t>;</w:t>
      </w:r>
    </w:p>
    <w:p w:rsidR="00000000" w:rsidRDefault="00010F15">
      <w:pPr>
        <w:divId w:val="1439328467"/>
        <w:rPr>
          <w:rFonts w:eastAsia="Times New Roman"/>
        </w:rPr>
      </w:pPr>
      <w:r>
        <w:rPr>
          <w:rFonts w:eastAsia="Times New Roman"/>
          <w:sz w:val="20"/>
          <w:szCs w:val="20"/>
        </w:rPr>
        <w:t>•</w:t>
      </w:r>
    </w:p>
    <w:p w:rsidR="00000000" w:rsidRDefault="00010F15">
      <w:pPr>
        <w:divId w:val="1448767465"/>
        <w:rPr>
          <w:rFonts w:eastAsia="Times New Roman"/>
        </w:rPr>
      </w:pPr>
      <w:r>
        <w:rPr>
          <w:rFonts w:ascii="Arial" w:eastAsia="Times New Roman" w:hAnsi="Arial" w:cs="Arial"/>
          <w:sz w:val="20"/>
          <w:szCs w:val="20"/>
        </w:rPr>
        <w:t>coordinating outreach to our community</w:t>
      </w:r>
      <w:r>
        <w:rPr>
          <w:rFonts w:ascii="Arial" w:eastAsia="Times New Roman" w:hAnsi="Arial" w:cs="Arial"/>
          <w:sz w:val="20"/>
          <w:szCs w:val="20"/>
        </w:rPr>
        <w:t>;</w:t>
      </w:r>
    </w:p>
    <w:p w:rsidR="00000000" w:rsidRDefault="00010F15">
      <w:pPr>
        <w:divId w:val="1789885361"/>
        <w:rPr>
          <w:rFonts w:eastAsia="Times New Roman"/>
        </w:rPr>
      </w:pPr>
      <w:r>
        <w:rPr>
          <w:rFonts w:eastAsia="Times New Roman"/>
          <w:sz w:val="20"/>
          <w:szCs w:val="20"/>
        </w:rPr>
        <w:t>•</w:t>
      </w:r>
    </w:p>
    <w:p w:rsidR="00000000" w:rsidRDefault="00010F15">
      <w:pPr>
        <w:divId w:val="418991826"/>
        <w:rPr>
          <w:rFonts w:eastAsia="Times New Roman"/>
        </w:rPr>
      </w:pPr>
      <w:r>
        <w:rPr>
          <w:rFonts w:ascii="Arial" w:eastAsia="Times New Roman" w:hAnsi="Arial" w:cs="Arial"/>
          <w:sz w:val="20"/>
          <w:szCs w:val="20"/>
        </w:rPr>
        <w:t>maintaining morale and culture and retaining and integrating key employees</w:t>
      </w:r>
      <w:r>
        <w:rPr>
          <w:rFonts w:ascii="Arial" w:eastAsia="Times New Roman" w:hAnsi="Arial" w:cs="Arial"/>
          <w:sz w:val="20"/>
          <w:szCs w:val="20"/>
        </w:rPr>
        <w:t>;</w:t>
      </w:r>
    </w:p>
    <w:p w:rsidR="00000000" w:rsidRDefault="00010F15">
      <w:pPr>
        <w:divId w:val="1607424057"/>
        <w:rPr>
          <w:rFonts w:eastAsia="Times New Roman"/>
        </w:rPr>
      </w:pPr>
      <w:r>
        <w:rPr>
          <w:rFonts w:eastAsia="Times New Roman"/>
          <w:sz w:val="20"/>
          <w:szCs w:val="20"/>
        </w:rPr>
        <w:t>•</w:t>
      </w:r>
    </w:p>
    <w:p w:rsidR="00000000" w:rsidRDefault="00010F15">
      <w:pPr>
        <w:divId w:val="1398094034"/>
        <w:rPr>
          <w:rFonts w:eastAsia="Times New Roman"/>
        </w:rPr>
      </w:pPr>
      <w:r>
        <w:rPr>
          <w:rFonts w:ascii="Arial" w:eastAsia="Times New Roman" w:hAnsi="Arial" w:cs="Arial"/>
          <w:sz w:val="20"/>
          <w:szCs w:val="20"/>
        </w:rPr>
        <w:t>maintaining or developing controls, procedures and policies (including effective internal control over financial reporting and disclosure controls and procedures); an</w:t>
      </w:r>
      <w:r>
        <w:rPr>
          <w:rFonts w:ascii="Arial" w:eastAsia="Times New Roman" w:hAnsi="Arial" w:cs="Arial"/>
          <w:sz w:val="20"/>
          <w:szCs w:val="20"/>
        </w:rPr>
        <w:t>d</w:t>
      </w:r>
    </w:p>
    <w:p w:rsidR="00000000" w:rsidRDefault="00010F15">
      <w:pPr>
        <w:divId w:val="1277251737"/>
        <w:rPr>
          <w:rFonts w:eastAsia="Times New Roman"/>
        </w:rPr>
      </w:pPr>
      <w:r>
        <w:rPr>
          <w:rFonts w:eastAsia="Times New Roman"/>
          <w:sz w:val="20"/>
          <w:szCs w:val="20"/>
        </w:rPr>
        <w:t>•</w:t>
      </w:r>
    </w:p>
    <w:p w:rsidR="00000000" w:rsidRDefault="00010F15">
      <w:pPr>
        <w:divId w:val="816338532"/>
        <w:rPr>
          <w:rFonts w:eastAsia="Times New Roman"/>
        </w:rPr>
      </w:pPr>
      <w:r>
        <w:rPr>
          <w:rFonts w:ascii="Arial" w:eastAsia="Times New Roman" w:hAnsi="Arial" w:cs="Arial"/>
          <w:sz w:val="20"/>
          <w:szCs w:val="20"/>
        </w:rPr>
        <w:t>identify</w:t>
      </w:r>
      <w:r>
        <w:rPr>
          <w:rFonts w:ascii="Arial" w:eastAsia="Times New Roman" w:hAnsi="Arial" w:cs="Arial"/>
          <w:sz w:val="20"/>
          <w:szCs w:val="20"/>
        </w:rPr>
        <w:t>ing and assuming liabilities related to the activities of the acquired business before the acquisition, including liabilities for violations of laws and regulations, intellectual property issues, commercial disputes, taxes and other matters</w:t>
      </w:r>
      <w:r>
        <w:rPr>
          <w:rFonts w:ascii="Arial" w:eastAsia="Times New Roman"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Moreover, we may not benefit from our acquisitions as we expect, or in the time frame we expect. Acquisitions could also result in dilutive issuances of equity securities or the incurrence of debt, as well as unfavorable accounting treatment and exposure t</w:t>
      </w:r>
      <w:r>
        <w:rPr>
          <w:rFonts w:ascii="Arial" w:hAnsi="Arial" w:cs="Arial"/>
          <w:sz w:val="20"/>
          <w:szCs w:val="20"/>
        </w:rPr>
        <w:t>o claims and disputes by third parties, including intellectual property claims. We also may not generate sufficient financial returns to offset the costs and expenses related to any acquisitions. In addition, if an acquired business fails to meet our expec</w:t>
      </w:r>
      <w:r>
        <w:rPr>
          <w:rFonts w:ascii="Arial" w:hAnsi="Arial" w:cs="Arial"/>
          <w:sz w:val="20"/>
          <w:szCs w:val="20"/>
        </w:rPr>
        <w:t>tations, our business, operating results and financial condition may suffer. Acquisitions could also be viewed negatively by analysts or investors, which could cause our stock price to decline</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If we fail to maintain and enhance our brand, our ability to e</w:t>
      </w:r>
      <w:r>
        <w:rPr>
          <w:rFonts w:ascii="Arial" w:hAnsi="Arial" w:cs="Arial"/>
          <w:b/>
          <w:bCs/>
          <w:i/>
          <w:iCs/>
          <w:sz w:val="20"/>
          <w:szCs w:val="20"/>
        </w:rPr>
        <w:t>xpand our business, operating results and financial condition could be adversely affected</w:t>
      </w:r>
      <w:r>
        <w:rPr>
          <w:rFonts w:ascii="Arial" w:hAnsi="Arial" w:cs="Arial"/>
          <w:b/>
          <w:bCs/>
          <w:i/>
          <w:iCs/>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We believe that maintaining and enhancing the Paymentus brand is important to support the marketing and sale of our existing and future products to new billers, fina</w:t>
      </w:r>
      <w:r>
        <w:rPr>
          <w:rFonts w:ascii="Arial" w:hAnsi="Arial" w:cs="Arial"/>
          <w:sz w:val="20"/>
          <w:szCs w:val="20"/>
        </w:rPr>
        <w:t>ncial institutions and partners and to increase adoption of our platform by existing billers and partners. Successfully maintaining and enhancing our brand will depend largely on the effectiveness of our marketing and demand generation efforts, our ability</w:t>
      </w:r>
      <w:r>
        <w:rPr>
          <w:rFonts w:ascii="Arial" w:hAnsi="Arial" w:cs="Arial"/>
          <w:sz w:val="20"/>
          <w:szCs w:val="20"/>
        </w:rPr>
        <w:t xml:space="preserve"> to provide reliable products that continue to meet the needs of our billers, financial institutions and consumers at competitive prices, our ability to maintain our billers’, financial institutions' and consumers’ trust, our ability to continue to develop</w:t>
      </w:r>
      <w:r>
        <w:rPr>
          <w:rFonts w:ascii="Arial" w:hAnsi="Arial" w:cs="Arial"/>
          <w:sz w:val="20"/>
          <w:szCs w:val="20"/>
        </w:rPr>
        <w:t xml:space="preserve"> new functionality and products and our ability to successfully differentiate our products from competitive products and services. Our promotion activities may not generate brand awareness or yield increased revenue, and even if they do, any increased reve</w:t>
      </w:r>
      <w:r>
        <w:rPr>
          <w:rFonts w:ascii="Arial" w:hAnsi="Arial" w:cs="Arial"/>
          <w:sz w:val="20"/>
          <w:szCs w:val="20"/>
        </w:rPr>
        <w:t>nue may not offset the expenses we incur in building our brand. Further, any negative publicity about our industry, our company, the quality and reliability of our products and services, our risk management processes, our privacy, data protection or inform</w:t>
      </w:r>
      <w:r>
        <w:rPr>
          <w:rFonts w:ascii="Arial" w:hAnsi="Arial" w:cs="Arial"/>
          <w:sz w:val="20"/>
          <w:szCs w:val="20"/>
        </w:rPr>
        <w:t>ation security practices, litigation, regulatory activity or the experience of billers, financial institutions and partners with our products or services could harm our reputation. If we fail to successfully promote and maintain our brand, our business, op</w:t>
      </w:r>
      <w:r>
        <w:rPr>
          <w:rFonts w:ascii="Arial" w:hAnsi="Arial" w:cs="Arial"/>
          <w:sz w:val="20"/>
          <w:szCs w:val="20"/>
        </w:rPr>
        <w:t>erating results and financial condition could be adversely affected</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We may require additional capital to support the growth of our business, and this capital might not be available on acceptable terms, if at all</w:t>
      </w:r>
      <w:r>
        <w:rPr>
          <w:rFonts w:ascii="Arial" w:hAnsi="Arial" w:cs="Arial"/>
          <w:b/>
          <w:bCs/>
          <w:i/>
          <w:iCs/>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We have funded our operations since incept</w:t>
      </w:r>
      <w:r>
        <w:rPr>
          <w:rFonts w:ascii="Arial" w:hAnsi="Arial" w:cs="Arial"/>
          <w:sz w:val="20"/>
          <w:szCs w:val="20"/>
        </w:rPr>
        <w:t>ion primarily through equity financings and cash from operations. We intend to continue to make investments to support our business, which may require us to engage in equity, equity-linked or debt financings to secure additional funds. Additional financing</w:t>
      </w:r>
      <w:r>
        <w:rPr>
          <w:rFonts w:ascii="Arial" w:hAnsi="Arial" w:cs="Arial"/>
          <w:sz w:val="20"/>
          <w:szCs w:val="20"/>
        </w:rPr>
        <w:t xml:space="preserve"> may not be available on terms favorable to us, if at all. The market prices for other technology companies have been highly volatile as a result of the COVID-19 pandemic and related governmental actions, which may also reduce our ability to access capital</w:t>
      </w:r>
      <w:r>
        <w:rPr>
          <w:rFonts w:ascii="Arial" w:hAnsi="Arial" w:cs="Arial"/>
          <w:sz w:val="20"/>
          <w:szCs w:val="20"/>
        </w:rPr>
        <w:t xml:space="preserve"> on favorable terms or at all an</w:t>
      </w:r>
      <w:r>
        <w:rPr>
          <w:rFonts w:ascii="Arial" w:hAnsi="Arial" w:cs="Arial"/>
          <w:sz w:val="20"/>
          <w:szCs w:val="20"/>
        </w:rPr>
        <w:t>d</w:t>
      </w:r>
      <w:r>
        <w:rPr>
          <w:rFonts w:ascii="Arial" w:hAnsi="Arial" w:cs="Arial"/>
          <w:sz w:val="20"/>
          <w:szCs w:val="20"/>
        </w:rPr>
        <w:t xml:space="preserve"> </w:t>
      </w:r>
    </w:p>
    <w:p w:rsidR="00000000" w:rsidRDefault="00010F15">
      <w:pPr>
        <w:pStyle w:val="a3"/>
        <w:spacing w:before="0" w:beforeAutospacing="0" w:after="0" w:afterAutospacing="0"/>
        <w:jc w:val="center"/>
        <w:rPr>
          <w:sz w:val="20"/>
          <w:szCs w:val="20"/>
        </w:rPr>
      </w:pPr>
      <w:r>
        <w:rPr>
          <w:rFonts w:ascii="Arial" w:hAnsi="Arial" w:cs="Arial"/>
          <w:sz w:val="20"/>
          <w:szCs w:val="20"/>
        </w:rPr>
        <w:t>2</w:t>
      </w:r>
      <w:r>
        <w:rPr>
          <w:rFonts w:ascii="Arial" w:hAnsi="Arial" w:cs="Arial"/>
          <w:sz w:val="20"/>
          <w:szCs w:val="20"/>
        </w:rPr>
        <w:t>9</w:t>
      </w:r>
    </w:p>
    <w:p w:rsidR="00000000" w:rsidRDefault="00010F15">
      <w:pPr>
        <w:rPr>
          <w:rFonts w:eastAsia="Times New Roman"/>
        </w:rPr>
      </w:pPr>
      <w:r>
        <w:rPr>
          <w:rFonts w:eastAsia="Times New Roman"/>
        </w:rPr>
        <w:pict>
          <v:rect id="_x0000_i1053"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120" w:beforeAutospacing="0" w:after="0" w:afterAutospacing="0"/>
        <w:rPr>
          <w:sz w:val="20"/>
          <w:szCs w:val="20"/>
        </w:rPr>
      </w:pPr>
      <w:r>
        <w:rPr>
          <w:rFonts w:ascii="Arial" w:hAnsi="Arial" w:cs="Arial"/>
          <w:sz w:val="20"/>
          <w:szCs w:val="20"/>
        </w:rPr>
        <w:t>adversely impact the market price of our Class A common stock. If adequate funds are not available on acceptable terms, we may be unable to invest in future growth opportunities, w</w:t>
      </w:r>
      <w:r>
        <w:rPr>
          <w:rFonts w:ascii="Arial" w:hAnsi="Arial" w:cs="Arial"/>
          <w:sz w:val="20"/>
          <w:szCs w:val="20"/>
        </w:rPr>
        <w:t>hich could harm our business, operating results, financial condition and prospects. If we incur debt, the debt holders would have rights senior to holders of our Class A common stock to make claims on our assets, and the terms of any debt could restrict ou</w:t>
      </w:r>
      <w:r>
        <w:rPr>
          <w:rFonts w:ascii="Arial" w:hAnsi="Arial" w:cs="Arial"/>
          <w:sz w:val="20"/>
          <w:szCs w:val="20"/>
        </w:rPr>
        <w:t>r operations, including our ability to pay dividends on our Class A common stock. Furthermore, if we issue additional equity securities, stockholders will experience dilution, and the new equity securities could have rights senior to those of our Class A c</w:t>
      </w:r>
      <w:r>
        <w:rPr>
          <w:rFonts w:ascii="Arial" w:hAnsi="Arial" w:cs="Arial"/>
          <w:sz w:val="20"/>
          <w:szCs w:val="20"/>
        </w:rPr>
        <w:t>ommon stock</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Because our decision to issue securities in the future will depend on numerous considerations, including factors beyond our control, we cannot predict or estimate the amount, timing or nature of any future issuances of debt or equity securiti</w:t>
      </w:r>
      <w:r>
        <w:rPr>
          <w:rFonts w:ascii="Arial" w:hAnsi="Arial" w:cs="Arial"/>
          <w:sz w:val="20"/>
          <w:szCs w:val="20"/>
        </w:rPr>
        <w:t>es. As a result, our stockholders bear the risk of future issuances of debt or equity securities reducing the market price of our Class A common stock and diluting their interests</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 xml:space="preserve">Natural catastrophic events, pandemics and man-made problems such as power </w:t>
      </w:r>
      <w:r>
        <w:rPr>
          <w:rFonts w:ascii="Arial" w:hAnsi="Arial" w:cs="Arial"/>
          <w:b/>
          <w:bCs/>
          <w:i/>
          <w:iCs/>
          <w:sz w:val="20"/>
          <w:szCs w:val="20"/>
        </w:rPr>
        <w:t>disruptions, computer viruses, security breaches and incidents and terrorism may disrupt our business</w:t>
      </w:r>
      <w:r>
        <w:rPr>
          <w:rFonts w:ascii="Arial" w:hAnsi="Arial" w:cs="Arial"/>
          <w:b/>
          <w:bCs/>
          <w:i/>
          <w:iCs/>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 xml:space="preserve">Natural disasters, pandemics such as COVID-19 or other catastrophic events may cause damage or disruption to our operations, commerce in general and the </w:t>
      </w:r>
      <w:r>
        <w:rPr>
          <w:rFonts w:ascii="Arial" w:hAnsi="Arial" w:cs="Arial"/>
          <w:sz w:val="20"/>
          <w:szCs w:val="20"/>
        </w:rPr>
        <w:t>global economy, and thus could harm our business. Our headquarters are located in Redmond, Washington and we have a large employee presence in Toronto, Canada, Charlotte, North Carolina, and Delhi, India. In the event of a major earthquake, hurricane or ca</w:t>
      </w:r>
      <w:r>
        <w:rPr>
          <w:rFonts w:ascii="Arial" w:hAnsi="Arial" w:cs="Arial"/>
          <w:sz w:val="20"/>
          <w:szCs w:val="20"/>
        </w:rPr>
        <w:t>tastrophic event such as fire, power loss, telecommunications failure, vandalism, cyber-attack, war or terrorist attack affecting regions where we maintain operations or where our data centers are located, we may be unable to continue our operations and ma</w:t>
      </w:r>
      <w:r>
        <w:rPr>
          <w:rFonts w:ascii="Arial" w:hAnsi="Arial" w:cs="Arial"/>
          <w:sz w:val="20"/>
          <w:szCs w:val="20"/>
        </w:rPr>
        <w:t>y endure system interruptions, reputational harm, delays in our application development, lengthy interruptions in our services, breaches of data security, security incidents, and unauthorized access to or loss, disclosure, modification, misuse, corruption,</w:t>
      </w:r>
      <w:r>
        <w:rPr>
          <w:rFonts w:ascii="Arial" w:hAnsi="Arial" w:cs="Arial"/>
          <w:sz w:val="20"/>
          <w:szCs w:val="20"/>
        </w:rPr>
        <w:t xml:space="preserve"> unavailability, or destruction of critical data, any of which could harm our business, operating results and financial condition. In addition, the governmental restrictions in response to the COVID-19 pandemic have caused most of our employees to work rem</w:t>
      </w:r>
      <w:r>
        <w:rPr>
          <w:rFonts w:ascii="Arial" w:hAnsi="Arial" w:cs="Arial"/>
          <w:sz w:val="20"/>
          <w:szCs w:val="20"/>
        </w:rPr>
        <w:t>otely. Given these widespread remote work arrangements, if a natural disaster, power outage, connectivity issue or other event occurs that impacts our employees’ ability to work remotely, it may be difficult or, in certain cases, impossible, for us to cont</w:t>
      </w:r>
      <w:r>
        <w:rPr>
          <w:rFonts w:ascii="Arial" w:hAnsi="Arial" w:cs="Arial"/>
          <w:sz w:val="20"/>
          <w:szCs w:val="20"/>
        </w:rPr>
        <w:t>inue our business for a substantial period of time</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Additionally, as computer malware, viruses, computer hacking, intrusions, ransomware attacks, denial-of-service attacks, social engineering attacks, fraudulent use attempts, phishing attacks and other sec</w:t>
      </w:r>
      <w:r>
        <w:rPr>
          <w:rFonts w:ascii="Arial" w:hAnsi="Arial" w:cs="Arial"/>
          <w:sz w:val="20"/>
          <w:szCs w:val="20"/>
        </w:rPr>
        <w:t>urity breaches and incidents have become more prevalent, we, and third parties upon which we rely, face increased risk in maintaining the performance, reliability, security and availability of our solutions and related services and technical infrastructure</w:t>
      </w:r>
      <w:r>
        <w:rPr>
          <w:rFonts w:ascii="Arial" w:hAnsi="Arial" w:cs="Arial"/>
          <w:sz w:val="20"/>
          <w:szCs w:val="20"/>
        </w:rPr>
        <w:t xml:space="preserve"> to the satisfaction of our billers, financial institutions, partners and consumers. Any computer malware, viruses, computer hacking, intrusions, ransomware attacks, denial-of-service attacks, social engineering attacks, fraudulent use attempts, phishing a</w:t>
      </w:r>
      <w:r>
        <w:rPr>
          <w:rFonts w:ascii="Arial" w:hAnsi="Arial" w:cs="Arial"/>
          <w:sz w:val="20"/>
          <w:szCs w:val="20"/>
        </w:rPr>
        <w:t>ttacks or other security breaches and incidents related to our network infrastructure or information technology systems or to computer hardware we lease from third parties, could, among other things, harm our reputation and our ability to retain existing b</w:t>
      </w:r>
      <w:r>
        <w:rPr>
          <w:rFonts w:ascii="Arial" w:hAnsi="Arial" w:cs="Arial"/>
          <w:sz w:val="20"/>
          <w:szCs w:val="20"/>
        </w:rPr>
        <w:t>illers, financial institutions and partners and attract new billers, financial institutions and partners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In addition, the insurance we maintain may be insufficient to cover our losses resulting from disasters, cyber-attacks or other business interruptions</w:t>
      </w:r>
      <w:r>
        <w:rPr>
          <w:rFonts w:ascii="Arial" w:hAnsi="Arial" w:cs="Arial"/>
          <w:sz w:val="20"/>
          <w:szCs w:val="20"/>
        </w:rPr>
        <w:t>, and any incidents may result in loss of, or increased costs of, such insurance. The successful assertion of one or more large claims against us that exceed available insurance coverage, the occurrence of changes in our insurance policies, including premi</w:t>
      </w:r>
      <w:r>
        <w:rPr>
          <w:rFonts w:ascii="Arial" w:hAnsi="Arial" w:cs="Arial"/>
          <w:sz w:val="20"/>
          <w:szCs w:val="20"/>
        </w:rPr>
        <w:t>um increases or the imposition of large deductible or co-insurance requirements, or denials of coverage, could have a material adverse effect on our business, operating results, financial condition and reputation</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Any future litigation, investigations or s</w:t>
      </w:r>
      <w:r>
        <w:rPr>
          <w:rFonts w:ascii="Arial" w:hAnsi="Arial" w:cs="Arial"/>
          <w:b/>
          <w:bCs/>
          <w:i/>
          <w:iCs/>
          <w:sz w:val="20"/>
          <w:szCs w:val="20"/>
        </w:rPr>
        <w:t>imilar matters, or adverse facts and developments related thereto, could adversely affect our business, operating results and financial condition</w:t>
      </w:r>
      <w:r>
        <w:rPr>
          <w:rFonts w:ascii="Arial" w:hAnsi="Arial" w:cs="Arial"/>
          <w:b/>
          <w:bCs/>
          <w:i/>
          <w:iCs/>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We have in the past and may in the future become subject to legal proceedings, claims, investigations or simi</w:t>
      </w:r>
      <w:r>
        <w:rPr>
          <w:rFonts w:ascii="Arial" w:hAnsi="Arial" w:cs="Arial"/>
          <w:sz w:val="20"/>
          <w:szCs w:val="20"/>
        </w:rPr>
        <w:t>lar matters that arise in the ordinary course of business, such as claims brought by our billers or their consumers in connection with commercial disputes, employment claims made by our current or former employees or claims regarding misappropriation of co</w:t>
      </w:r>
      <w:r>
        <w:rPr>
          <w:rFonts w:ascii="Arial" w:hAnsi="Arial" w:cs="Arial"/>
          <w:sz w:val="20"/>
          <w:szCs w:val="20"/>
        </w:rPr>
        <w:t xml:space="preserve">nsumer data. Litigation, investigations or similar matters might result in substantial costs and may divert management’s attention and resources, which might seriously harm our business, operating results and financial condition. Insurance might not cover </w:t>
      </w:r>
      <w:r>
        <w:rPr>
          <w:rFonts w:ascii="Arial" w:hAnsi="Arial" w:cs="Arial"/>
          <w:sz w:val="20"/>
          <w:szCs w:val="20"/>
        </w:rPr>
        <w:t>such matters, might not provide sufficient payments to cover all the costs to resolve one or more such matters and might not continue to be available on terms acceptable to us. A claim brought against us that is uninsured or underinsured could result in un</w:t>
      </w:r>
      <w:r>
        <w:rPr>
          <w:rFonts w:ascii="Arial" w:hAnsi="Arial" w:cs="Arial"/>
          <w:sz w:val="20"/>
          <w:szCs w:val="20"/>
        </w:rPr>
        <w:t>anticipated costs, thereby reducing our operating results and leading analysts or potential investors to reduce their expectations of our performance, which could reduce the market price of our Class A common stock</w:t>
      </w:r>
      <w:r>
        <w:rPr>
          <w:rFonts w:ascii="Arial" w:hAnsi="Arial" w:cs="Arial"/>
          <w:sz w:val="20"/>
          <w:szCs w:val="20"/>
        </w:rPr>
        <w:t>.</w:t>
      </w:r>
    </w:p>
    <w:p w:rsidR="00000000" w:rsidRDefault="00010F15">
      <w:pPr>
        <w:pStyle w:val="a3"/>
        <w:spacing w:before="0" w:beforeAutospacing="0" w:after="0" w:afterAutospacing="0"/>
        <w:jc w:val="center"/>
        <w:rPr>
          <w:sz w:val="20"/>
          <w:szCs w:val="20"/>
        </w:rPr>
      </w:pPr>
      <w:r>
        <w:rPr>
          <w:rFonts w:ascii="Arial" w:hAnsi="Arial" w:cs="Arial"/>
          <w:sz w:val="20"/>
          <w:szCs w:val="20"/>
        </w:rPr>
        <w:t>3</w:t>
      </w:r>
      <w:r>
        <w:rPr>
          <w:rFonts w:ascii="Arial" w:hAnsi="Arial" w:cs="Arial"/>
          <w:sz w:val="20"/>
          <w:szCs w:val="20"/>
        </w:rPr>
        <w:t>0</w:t>
      </w:r>
    </w:p>
    <w:p w:rsidR="00000000" w:rsidRDefault="00010F15">
      <w:pPr>
        <w:rPr>
          <w:rFonts w:eastAsia="Times New Roman"/>
        </w:rPr>
      </w:pPr>
      <w:r>
        <w:rPr>
          <w:rFonts w:eastAsia="Times New Roman"/>
        </w:rPr>
        <w:pict>
          <v:rect id="_x0000_i1054"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120" w:beforeAutospacing="0" w:after="0" w:afterAutospacing="0"/>
        <w:jc w:val="center"/>
        <w:rPr>
          <w:sz w:val="20"/>
          <w:szCs w:val="20"/>
        </w:rPr>
      </w:pPr>
      <w:r>
        <w:rPr>
          <w:rFonts w:ascii="Arial" w:hAnsi="Arial" w:cs="Arial"/>
          <w:b/>
          <w:bCs/>
          <w:sz w:val="20"/>
          <w:szCs w:val="20"/>
        </w:rPr>
        <w:t>Risks Related to Regulatio</w:t>
      </w:r>
      <w:r>
        <w:rPr>
          <w:rFonts w:ascii="Arial" w:hAnsi="Arial" w:cs="Arial"/>
          <w:b/>
          <w:bCs/>
          <w:sz w:val="20"/>
          <w:szCs w:val="20"/>
        </w:rPr>
        <w:t>n</w:t>
      </w:r>
    </w:p>
    <w:p w:rsidR="00000000" w:rsidRDefault="00010F15">
      <w:pPr>
        <w:pStyle w:val="a3"/>
        <w:spacing w:before="120" w:beforeAutospacing="0" w:after="0" w:afterAutospacing="0"/>
        <w:rPr>
          <w:sz w:val="20"/>
          <w:szCs w:val="20"/>
        </w:rPr>
      </w:pPr>
      <w:r>
        <w:rPr>
          <w:rFonts w:ascii="Arial" w:hAnsi="Arial" w:cs="Arial"/>
          <w:b/>
          <w:bCs/>
          <w:i/>
          <w:iCs/>
          <w:sz w:val="20"/>
          <w:szCs w:val="20"/>
        </w:rPr>
        <w:t>Payments and other financial services-related regulations and oversight are material to our business and any failure by us to comply could materially harm our business</w:t>
      </w:r>
      <w:r>
        <w:rPr>
          <w:rFonts w:ascii="Arial" w:hAnsi="Arial" w:cs="Arial"/>
          <w:b/>
          <w:bCs/>
          <w:i/>
          <w:iCs/>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The local, state and federal laws, rules, regulations, li</w:t>
      </w:r>
      <w:r>
        <w:rPr>
          <w:rFonts w:ascii="Arial" w:hAnsi="Arial" w:cs="Arial"/>
          <w:sz w:val="20"/>
          <w:szCs w:val="20"/>
        </w:rPr>
        <w:t>censing schemes and industry standards that govern our business, both directly and through our relationships with banks, card networks and other financial services partners, include, or may in the future include, those relating to payments services, such a</w:t>
      </w:r>
      <w:r>
        <w:rPr>
          <w:rFonts w:ascii="Arial" w:hAnsi="Arial" w:cs="Arial"/>
          <w:sz w:val="20"/>
          <w:szCs w:val="20"/>
        </w:rPr>
        <w:t>s payment processing and settlement services, anti-money laundering, combating terrorist financing, escheatment, international sanctions regimes and compliance with the Payment Card Industry Data Security Standard, or PCI-DSS, a set of requirements designe</w:t>
      </w:r>
      <w:r>
        <w:rPr>
          <w:rFonts w:ascii="Arial" w:hAnsi="Arial" w:cs="Arial"/>
          <w:sz w:val="20"/>
          <w:szCs w:val="20"/>
        </w:rPr>
        <w:t>d to ensure that all companies that process, store or transmit payment card information maintain a secure environment to protect cardholder data. We do not directly collect or store payment card information; instead, we rely on a third-party payment proces</w:t>
      </w:r>
      <w:r>
        <w:rPr>
          <w:rFonts w:ascii="Arial" w:hAnsi="Arial" w:cs="Arial"/>
          <w:sz w:val="20"/>
          <w:szCs w:val="20"/>
        </w:rPr>
        <w:t>sor to do so. These laws, rules, regulations, licensing schemes and standards are enforced by multiple authorities and governing bodies in the United States, including the Department of the Treasury, self-regulatory organizations and numerous state and loc</w:t>
      </w:r>
      <w:r>
        <w:rPr>
          <w:rFonts w:ascii="Arial" w:hAnsi="Arial" w:cs="Arial"/>
          <w:sz w:val="20"/>
          <w:szCs w:val="20"/>
        </w:rPr>
        <w:t>al agencies. Currently, we do not possess any permits or licenses from financial regulators. We believe the licensing requirements of federal and state agencies that regulate or monitor banks or other types of providers of electronic commerce services do n</w:t>
      </w:r>
      <w:r>
        <w:rPr>
          <w:rFonts w:ascii="Arial" w:hAnsi="Arial" w:cs="Arial"/>
          <w:sz w:val="20"/>
          <w:szCs w:val="20"/>
        </w:rPr>
        <w:t>ot apply to us. While our business itself is not currently subject to financial services-related regulation, and we have received confirmation from multiple state regulators that we are not required to obtain money transmitter licenses in those states, the</w:t>
      </w:r>
      <w:r>
        <w:rPr>
          <w:rFonts w:ascii="Arial" w:hAnsi="Arial" w:cs="Arial"/>
          <w:sz w:val="20"/>
          <w:szCs w:val="20"/>
        </w:rPr>
        <w:t xml:space="preserve"> banks, payment networks and card networks that we partner with operate in a highly regulated landscape and there is a risk that those regulations could become directly applicable to us. As we expand into new jurisdictions, the number of foreign laws, rule</w:t>
      </w:r>
      <w:r>
        <w:rPr>
          <w:rFonts w:ascii="Arial" w:hAnsi="Arial" w:cs="Arial"/>
          <w:sz w:val="20"/>
          <w:szCs w:val="20"/>
        </w:rPr>
        <w:t>s, regulations, licensing schemes and standards governing our business will expand as well. In addition, as our business and products continue to develop and expand, we may become subject to additional laws, rules, regulations, licensing schemes and standa</w:t>
      </w:r>
      <w:r>
        <w:rPr>
          <w:rFonts w:ascii="Arial" w:hAnsi="Arial" w:cs="Arial"/>
          <w:sz w:val="20"/>
          <w:szCs w:val="20"/>
        </w:rPr>
        <w:t>rds. We may not always be able to accurately predict the scope or applicability of certain laws, rules, regulations, licensing schemes or standards to our business, particularly as we expand into new areas of operations, which could have a significant nega</w:t>
      </w:r>
      <w:r>
        <w:rPr>
          <w:rFonts w:ascii="Arial" w:hAnsi="Arial" w:cs="Arial"/>
          <w:sz w:val="20"/>
          <w:szCs w:val="20"/>
        </w:rPr>
        <w:t>tive effect on our existing business and our ability to pursue future plans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In the future, as a result of the regulations that are or may become applicable to our business, we could be subject to investigations and resulting liability, including governmental fines, restrictions on our business or other sanctions, and we could be f</w:t>
      </w:r>
      <w:r>
        <w:rPr>
          <w:rFonts w:ascii="Arial" w:hAnsi="Arial" w:cs="Arial"/>
          <w:sz w:val="20"/>
          <w:szCs w:val="20"/>
        </w:rPr>
        <w:t>orced to cease conducting certain aspects of our business with residents of certain jurisdictions, be forced to change our business practices in certain jurisdictions or be required to obtain additional licenses, certifications or regulatory approvals. The</w:t>
      </w:r>
      <w:r>
        <w:rPr>
          <w:rFonts w:ascii="Arial" w:hAnsi="Arial" w:cs="Arial"/>
          <w:sz w:val="20"/>
          <w:szCs w:val="20"/>
        </w:rPr>
        <w:t>re can be no assurance that we will be able to successfully implement changes to our business practices or obtain or maintain any such licenses, certifications or regulatory approvals, and, even if we were able to do so, there could be substantial costs an</w:t>
      </w:r>
      <w:r>
        <w:rPr>
          <w:rFonts w:ascii="Arial" w:hAnsi="Arial" w:cs="Arial"/>
          <w:sz w:val="20"/>
          <w:szCs w:val="20"/>
        </w:rPr>
        <w:t>d potential product changes involved in obtaining, maintaining and renewing such licenses, certifications and approvals, which could have a material and adverse effect on our business. In addition, we could be subject to fines or other enforcement action i</w:t>
      </w:r>
      <w:r>
        <w:rPr>
          <w:rFonts w:ascii="Arial" w:hAnsi="Arial" w:cs="Arial"/>
          <w:sz w:val="20"/>
          <w:szCs w:val="20"/>
        </w:rPr>
        <w:t xml:space="preserve">f we are found to violate disclosure, reporting, anti-money laundering, capitalization, corporate governance or other requirements of such licenses, certifications or approvals. These factors could impose substantial additional costs, involve considerable </w:t>
      </w:r>
      <w:r>
        <w:rPr>
          <w:rFonts w:ascii="Arial" w:hAnsi="Arial" w:cs="Arial"/>
          <w:sz w:val="20"/>
          <w:szCs w:val="20"/>
        </w:rPr>
        <w:t>delay to the development or provision of our products or services, require significant and costly operational changes or prevent us from providing our products or services in any given market</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 xml:space="preserve">We are required to comply with payment network operating rules </w:t>
      </w:r>
      <w:r>
        <w:rPr>
          <w:rFonts w:ascii="Arial" w:hAnsi="Arial" w:cs="Arial"/>
          <w:b/>
          <w:bCs/>
          <w:i/>
          <w:iCs/>
          <w:sz w:val="20"/>
          <w:szCs w:val="20"/>
        </w:rPr>
        <w:t>and changes to such rules or payment network fees could harm our business</w:t>
      </w:r>
      <w:r>
        <w:rPr>
          <w:rFonts w:ascii="Arial" w:hAnsi="Arial" w:cs="Arial"/>
          <w:b/>
          <w:bCs/>
          <w:i/>
          <w:iCs/>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 xml:space="preserve">Payment networks, such as Visa, Mastercard, American Express, NACHA and INTERAC, establish their own rules and standards that allocate liabilities and responsibilities among the payment networks and their participants. These rules and standards, including </w:t>
      </w:r>
      <w:r>
        <w:rPr>
          <w:rFonts w:ascii="Arial" w:hAnsi="Arial" w:cs="Arial"/>
          <w:sz w:val="20"/>
          <w:szCs w:val="20"/>
        </w:rPr>
        <w:t>PCI-DSS, govern a variety of areas, including how consumers may use their cards, the security features of cards, security standards for processing, data protection and information security and allocation of liability for certain acts or omissions, includin</w:t>
      </w:r>
      <w:r>
        <w:rPr>
          <w:rFonts w:ascii="Arial" w:hAnsi="Arial" w:cs="Arial"/>
          <w:sz w:val="20"/>
          <w:szCs w:val="20"/>
        </w:rPr>
        <w:t>g liability in the event of a data breach. Participants are subject to audits by the payment networks to ensure compliance with applicable rules and standards</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We are required to comply with card network operating rules and have agreed to reimburse our se</w:t>
      </w:r>
      <w:r>
        <w:rPr>
          <w:rFonts w:ascii="Arial" w:hAnsi="Arial" w:cs="Arial"/>
          <w:sz w:val="20"/>
          <w:szCs w:val="20"/>
        </w:rPr>
        <w:t>rvice providers for any fines they are assessed by payment networks as a result of any rule violations by us. We may also be directly liable to the payment networks for rule violations. The payment networks set and interpret the card operating rules. The p</w:t>
      </w:r>
      <w:r>
        <w:rPr>
          <w:rFonts w:ascii="Arial" w:hAnsi="Arial" w:cs="Arial"/>
          <w:sz w:val="20"/>
          <w:szCs w:val="20"/>
        </w:rPr>
        <w:t>ayment networks could adopt new operating rules or interpret or reinterpret existing rules that we or our processors might find difficult or even impossible to follow or costly to implement. These changes may be made for any number of reasons, including as</w:t>
      </w:r>
      <w:r>
        <w:rPr>
          <w:rFonts w:ascii="Arial" w:hAnsi="Arial" w:cs="Arial"/>
          <w:sz w:val="20"/>
          <w:szCs w:val="20"/>
        </w:rPr>
        <w:t xml:space="preserve"> a result of changes in the regulatory environment, to maintain or attract new participants or to serve the strategic initiatives of the networks, and may impose additional costs and expenses on or be disadvantageous to certain participants. For example, c</w:t>
      </w:r>
      <w:r>
        <w:rPr>
          <w:rFonts w:ascii="Arial" w:hAnsi="Arial" w:cs="Arial"/>
          <w:sz w:val="20"/>
          <w:szCs w:val="20"/>
        </w:rPr>
        <w:t>hanges in the payment network rules regarding chargebacks may affect our ability to dispute chargebacks and the amount of losses we incur from chargebacks. If we fail to make such changes or otherwise resolve the issue with the payment networks, the networ</w:t>
      </w:r>
      <w:r>
        <w:rPr>
          <w:rFonts w:ascii="Arial" w:hAnsi="Arial" w:cs="Arial"/>
          <w:sz w:val="20"/>
          <w:szCs w:val="20"/>
        </w:rPr>
        <w:t>ks could pass on fines and assessments in respect of fraud or chargebacks related to our merchants or disqualify us from processing transactions if satisfactory controls are not maintained, which could have a material adverse effect on our business, operat</w:t>
      </w:r>
      <w:r>
        <w:rPr>
          <w:rFonts w:ascii="Arial" w:hAnsi="Arial" w:cs="Arial"/>
          <w:sz w:val="20"/>
          <w:szCs w:val="20"/>
        </w:rPr>
        <w:t xml:space="preserve">ing results and financial condition. As </w:t>
      </w:r>
      <w:r>
        <w:rPr>
          <w:rFonts w:ascii="Arial" w:hAnsi="Arial" w:cs="Arial"/>
          <w:sz w:val="20"/>
          <w:szCs w:val="20"/>
        </w:rPr>
        <w:t>a</w:t>
      </w:r>
      <w:r>
        <w:rPr>
          <w:rFonts w:ascii="Arial" w:hAnsi="Arial" w:cs="Arial"/>
          <w:sz w:val="20"/>
          <w:szCs w:val="20"/>
        </w:rPr>
        <w:t xml:space="preserve"> </w:t>
      </w:r>
    </w:p>
    <w:p w:rsidR="00000000" w:rsidRDefault="00010F15">
      <w:pPr>
        <w:pStyle w:val="a3"/>
        <w:spacing w:before="0" w:beforeAutospacing="0" w:after="0" w:afterAutospacing="0"/>
        <w:jc w:val="center"/>
        <w:rPr>
          <w:sz w:val="20"/>
          <w:szCs w:val="20"/>
        </w:rPr>
      </w:pPr>
      <w:r>
        <w:rPr>
          <w:rFonts w:ascii="Arial" w:hAnsi="Arial" w:cs="Arial"/>
          <w:sz w:val="20"/>
          <w:szCs w:val="20"/>
        </w:rPr>
        <w:t>3</w:t>
      </w:r>
      <w:r>
        <w:rPr>
          <w:rFonts w:ascii="Arial" w:hAnsi="Arial" w:cs="Arial"/>
          <w:sz w:val="20"/>
          <w:szCs w:val="20"/>
        </w:rPr>
        <w:t>1</w:t>
      </w:r>
    </w:p>
    <w:p w:rsidR="00000000" w:rsidRDefault="00010F15">
      <w:pPr>
        <w:rPr>
          <w:rFonts w:eastAsia="Times New Roman"/>
        </w:rPr>
      </w:pPr>
      <w:r>
        <w:rPr>
          <w:rFonts w:eastAsia="Times New Roman"/>
        </w:rPr>
        <w:pict>
          <v:rect id="_x0000_i1055"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120" w:beforeAutospacing="0" w:after="0" w:afterAutospacing="0"/>
        <w:rPr>
          <w:sz w:val="20"/>
          <w:szCs w:val="20"/>
        </w:rPr>
      </w:pPr>
      <w:r>
        <w:rPr>
          <w:rFonts w:ascii="Arial" w:hAnsi="Arial" w:cs="Arial"/>
          <w:sz w:val="20"/>
          <w:szCs w:val="20"/>
        </w:rPr>
        <w:t xml:space="preserve">result of any violations of rules or new rules being implemented, the networks may fine, penalize or suspend the registration of participants for certain acts or omissions </w:t>
      </w:r>
      <w:r>
        <w:rPr>
          <w:rFonts w:ascii="Arial" w:hAnsi="Arial" w:cs="Arial"/>
          <w:sz w:val="20"/>
          <w:szCs w:val="20"/>
        </w:rPr>
        <w:t>or the failure of the participants to comply with applicable rules and standards, existing billers, partners or other third parties may cease using or referring our services, prospective billers, partners or other third parties may choose to terminate nego</w:t>
      </w:r>
      <w:r>
        <w:rPr>
          <w:rFonts w:ascii="Arial" w:hAnsi="Arial" w:cs="Arial"/>
          <w:sz w:val="20"/>
          <w:szCs w:val="20"/>
        </w:rPr>
        <w:t>tiations with us, or delay or choose not to consider us for their processing needs, and the networks could refuse to allow us to process payments through their networks. Any of the foregoing could materially adversely impact our business, operating results</w:t>
      </w:r>
      <w:r>
        <w:rPr>
          <w:rFonts w:ascii="Arial" w:hAnsi="Arial" w:cs="Arial"/>
          <w:sz w:val="20"/>
          <w:szCs w:val="20"/>
        </w:rPr>
        <w:t xml:space="preserve"> and financial condition</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 xml:space="preserve">From time to time, these networks increase the fees that they charge payment processors. We could attempt to pass these increases along to our billers, but this strategy might result in the loss of billers to competing solutions. </w:t>
      </w:r>
      <w:r>
        <w:rPr>
          <w:rFonts w:ascii="Arial" w:hAnsi="Arial" w:cs="Arial"/>
          <w:sz w:val="20"/>
          <w:szCs w:val="20"/>
        </w:rPr>
        <w:t>If competitive practices prevent us from passing along the higher fees to our billers in the future, we may have to absorb all or a portion of such increases, which may increase our operating costs and reduce our earnings. In addition, regulators are subje</w:t>
      </w:r>
      <w:r>
        <w:rPr>
          <w:rFonts w:ascii="Arial" w:hAnsi="Arial" w:cs="Arial"/>
          <w:sz w:val="20"/>
          <w:szCs w:val="20"/>
        </w:rPr>
        <w:t>cting interchange and other fees to increased scrutiny, and new regulations could require greater pricing transparency of the breakdown in fees or fee limitations, which could lead to increased price-based competition, lower margins and higher rates of bil</w:t>
      </w:r>
      <w:r>
        <w:rPr>
          <w:rFonts w:ascii="Arial" w:hAnsi="Arial" w:cs="Arial"/>
          <w:sz w:val="20"/>
          <w:szCs w:val="20"/>
        </w:rPr>
        <w:t>ler attrition and negatively affect our business, operating results and financial condition. As a result of any increased fees, such payments could become prohibitively expensive for us or for our billers</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We are subject to U.S. and foreign governmental la</w:t>
      </w:r>
      <w:r>
        <w:rPr>
          <w:rFonts w:ascii="Arial" w:hAnsi="Arial" w:cs="Arial"/>
          <w:b/>
          <w:bCs/>
          <w:i/>
          <w:iCs/>
          <w:sz w:val="20"/>
          <w:szCs w:val="20"/>
        </w:rPr>
        <w:t>ws, regulations, rules, standards, policies, contractual obligations and other legal obligations, particularly those related to privacy, data protection and information security, and our actual or perceived failure to comply with such obligations could har</w:t>
      </w:r>
      <w:r>
        <w:rPr>
          <w:rFonts w:ascii="Arial" w:hAnsi="Arial" w:cs="Arial"/>
          <w:b/>
          <w:bCs/>
          <w:i/>
          <w:iCs/>
          <w:sz w:val="20"/>
          <w:szCs w:val="20"/>
        </w:rPr>
        <w:t>m our business, by resulting in litigation, fines, penalties, increased costs or adverse publicity and reputational damage that may negatively affect the value of our business and decrease the market price of our Class A common stock</w:t>
      </w:r>
      <w:r>
        <w:rPr>
          <w:rFonts w:ascii="Arial" w:hAnsi="Arial" w:cs="Arial"/>
          <w:b/>
          <w:bCs/>
          <w:i/>
          <w:iCs/>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Our billers, financia</w:t>
      </w:r>
      <w:r>
        <w:rPr>
          <w:rFonts w:ascii="Arial" w:hAnsi="Arial" w:cs="Arial"/>
          <w:sz w:val="20"/>
          <w:szCs w:val="20"/>
        </w:rPr>
        <w:t>l institutions and consumers store personal and business information, financial information and other sensitive information on our platform. In addition, we receive, store, handle, transmit, use and otherwise process personal and business information and o</w:t>
      </w:r>
      <w:r>
        <w:rPr>
          <w:rFonts w:ascii="Arial" w:hAnsi="Arial" w:cs="Arial"/>
          <w:sz w:val="20"/>
          <w:szCs w:val="20"/>
        </w:rPr>
        <w:t>ther data from and about actual and prospective billers and financial institutions, as well as our employees and service providers. As a result, we and our handling of data are subject to a variety of laws, rules and regulations relating to privacy, data p</w:t>
      </w:r>
      <w:r>
        <w:rPr>
          <w:rFonts w:ascii="Arial" w:hAnsi="Arial" w:cs="Arial"/>
          <w:sz w:val="20"/>
          <w:szCs w:val="20"/>
        </w:rPr>
        <w:t xml:space="preserve">rotection and information security, including regulation by various governmental authorities, such as the U.S. Federal Trade Commission, or FTC, and various state, local and foreign agencies. Our data handling and processing activities are also subject to </w:t>
      </w:r>
      <w:r>
        <w:rPr>
          <w:rFonts w:ascii="Arial" w:hAnsi="Arial" w:cs="Arial"/>
          <w:sz w:val="20"/>
          <w:szCs w:val="20"/>
        </w:rPr>
        <w:t>contractual obligations and industry standard requirements. The legislative and regulatory landscapes for privacy, data protection and information security continue to evolve in jurisdictions worldwide, with an increasing focus on privacy and data protecti</w:t>
      </w:r>
      <w:r>
        <w:rPr>
          <w:rFonts w:ascii="Arial" w:hAnsi="Arial" w:cs="Arial"/>
          <w:sz w:val="20"/>
          <w:szCs w:val="20"/>
        </w:rPr>
        <w:t xml:space="preserve">on issues with the potential to affect our business. Failure to comply with any of these laws or regulations could result in litigation, enforcement actions, damages, fines, penalties or adverse publicity and reputational damage, any of which could have a </w:t>
      </w:r>
      <w:r>
        <w:rPr>
          <w:rFonts w:ascii="Arial" w:hAnsi="Arial" w:cs="Arial"/>
          <w:sz w:val="20"/>
          <w:szCs w:val="20"/>
        </w:rPr>
        <w:t>material adverse effect on our business, operating results and financial condition</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The U.S. federal and various state and foreign governments have also adopted or proposed limitations on the collection, distribution, use and storage of data relating to in</w:t>
      </w:r>
      <w:r>
        <w:rPr>
          <w:rFonts w:ascii="Arial" w:hAnsi="Arial" w:cs="Arial"/>
          <w:sz w:val="20"/>
          <w:szCs w:val="20"/>
        </w:rPr>
        <w:t>dividuals and businesses, including the use of contact information and other data for marketing, advertising and other communications with individuals and businesses. In the United States, various laws and regulations apply to the security, collection, pro</w:t>
      </w:r>
      <w:r>
        <w:rPr>
          <w:rFonts w:ascii="Arial" w:hAnsi="Arial" w:cs="Arial"/>
          <w:sz w:val="20"/>
          <w:szCs w:val="20"/>
        </w:rPr>
        <w:t>cessing, storage, use, disclosure and other processing of certain types of data, including the Electronic Communications Privacy Act, the Computer Fraud and Abuse Act, the Gramm Leach Bliley Act, and state and local laws relating to privacy and data securi</w:t>
      </w:r>
      <w:r>
        <w:rPr>
          <w:rFonts w:ascii="Arial" w:hAnsi="Arial" w:cs="Arial"/>
          <w:sz w:val="20"/>
          <w:szCs w:val="20"/>
        </w:rPr>
        <w:t>ty. Additionally, the FTC and many state attorneys general have interpreted and are continuing to interpret federal and state consumer protection laws to impose standards for the online collection, use, dissemination, processing and security of data</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In a</w:t>
      </w:r>
      <w:r>
        <w:rPr>
          <w:rFonts w:ascii="Arial" w:hAnsi="Arial" w:cs="Arial"/>
          <w:sz w:val="20"/>
          <w:szCs w:val="20"/>
        </w:rPr>
        <w:t>ddition, many states in which we operate have laws that protect the privacy and security of sensitive and personal data. Certain U.S. state laws may be more stringent or broader in scope, or offer greater individual rights, with respect to sensitive and pe</w:t>
      </w:r>
      <w:r>
        <w:rPr>
          <w:rFonts w:ascii="Arial" w:hAnsi="Arial" w:cs="Arial"/>
          <w:sz w:val="20"/>
          <w:szCs w:val="20"/>
        </w:rPr>
        <w:t>rsonal information than international, federal, or other state laws, and such laws may differ from each other, which may complicate compliance efforts. For example, in June 2018, California enacted the California Consumer Privacy Act, or the CCPA, which be</w:t>
      </w:r>
      <w:r>
        <w:rPr>
          <w:rFonts w:ascii="Arial" w:hAnsi="Arial" w:cs="Arial"/>
          <w:sz w:val="20"/>
          <w:szCs w:val="20"/>
        </w:rPr>
        <w:t>came operative on January 1, 2020 and broadly defines personal information, gives California residents expanded privacy rights and protections, including the right to access and delete certain personal information, as well as the right to opt-out of certai</w:t>
      </w:r>
      <w:r>
        <w:rPr>
          <w:rFonts w:ascii="Arial" w:hAnsi="Arial" w:cs="Arial"/>
          <w:sz w:val="20"/>
          <w:szCs w:val="20"/>
        </w:rPr>
        <w:t xml:space="preserve">n sales of personal information, and provides for civil penalties for violations and a private right of action for data breaches. This private right of action may increase the likelihood of, and risks associated with, data breach litigation. Additionally, </w:t>
      </w:r>
      <w:r>
        <w:rPr>
          <w:rFonts w:ascii="Arial" w:hAnsi="Arial" w:cs="Arial"/>
          <w:sz w:val="20"/>
          <w:szCs w:val="20"/>
        </w:rPr>
        <w:t>the California Privacy Rights Act, or the CPRA, was passed in November 2020. Effective beginning on January 1, 2023, the CPRA imposes additional obligations on companies covered by the legislation and will significantly modify the CCPA, including by expand</w:t>
      </w:r>
      <w:r>
        <w:rPr>
          <w:rFonts w:ascii="Arial" w:hAnsi="Arial" w:cs="Arial"/>
          <w:sz w:val="20"/>
          <w:szCs w:val="20"/>
        </w:rPr>
        <w:t>ing California residents’ rights with respect to certain sensitive personal information. The CPRA also creates a new state agency that will be vested with authority to implement and enforce the CCPA and the CPRA. The interpretation and enforcement of the C</w:t>
      </w:r>
      <w:r>
        <w:rPr>
          <w:rFonts w:ascii="Arial" w:hAnsi="Arial" w:cs="Arial"/>
          <w:sz w:val="20"/>
          <w:szCs w:val="20"/>
        </w:rPr>
        <w:t>CPA and many aspects of the CPRA remain unclear, and the effects of the CCPA and the CPRA potentially are significant and may require us to modify our data collection or processing practices and policies and to incur substantial costs and expenses in an ef</w:t>
      </w:r>
      <w:r>
        <w:rPr>
          <w:rFonts w:ascii="Arial" w:hAnsi="Arial" w:cs="Arial"/>
          <w:sz w:val="20"/>
          <w:szCs w:val="20"/>
        </w:rPr>
        <w:t>fort to comply and increase our potential exposure to regulatory enforcement and sanctions and litigation</w:t>
      </w:r>
      <w:r>
        <w:rPr>
          <w:rFonts w:ascii="Arial" w:hAnsi="Arial" w:cs="Arial"/>
          <w:sz w:val="20"/>
          <w:szCs w:val="20"/>
        </w:rPr>
        <w:t>.</w:t>
      </w:r>
    </w:p>
    <w:p w:rsidR="00000000" w:rsidRDefault="00010F15">
      <w:pPr>
        <w:pStyle w:val="a3"/>
        <w:spacing w:before="0" w:beforeAutospacing="0" w:after="0" w:afterAutospacing="0"/>
        <w:jc w:val="center"/>
        <w:rPr>
          <w:sz w:val="20"/>
          <w:szCs w:val="20"/>
        </w:rPr>
      </w:pPr>
      <w:r>
        <w:rPr>
          <w:rFonts w:ascii="Arial" w:hAnsi="Arial" w:cs="Arial"/>
          <w:sz w:val="20"/>
          <w:szCs w:val="20"/>
        </w:rPr>
        <w:t>3</w:t>
      </w:r>
      <w:r>
        <w:rPr>
          <w:rFonts w:ascii="Arial" w:hAnsi="Arial" w:cs="Arial"/>
          <w:sz w:val="20"/>
          <w:szCs w:val="20"/>
        </w:rPr>
        <w:t>2</w:t>
      </w:r>
    </w:p>
    <w:p w:rsidR="00000000" w:rsidRDefault="00010F15">
      <w:pPr>
        <w:rPr>
          <w:rFonts w:eastAsia="Times New Roman"/>
        </w:rPr>
      </w:pPr>
      <w:r>
        <w:rPr>
          <w:rFonts w:eastAsia="Times New Roman"/>
        </w:rPr>
        <w:pict>
          <v:rect id="_x0000_i1056"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120" w:beforeAutospacing="0" w:after="0" w:afterAutospacing="0"/>
        <w:ind w:firstLine="539"/>
        <w:rPr>
          <w:sz w:val="20"/>
          <w:szCs w:val="20"/>
        </w:rPr>
      </w:pPr>
      <w:r>
        <w:rPr>
          <w:rFonts w:ascii="Arial" w:hAnsi="Arial" w:cs="Arial"/>
          <w:sz w:val="20"/>
          <w:szCs w:val="20"/>
        </w:rPr>
        <w:t>Certain other state laws impose similar privacy obligations, and all 50 states have laws including obligatio</w:t>
      </w:r>
      <w:r>
        <w:rPr>
          <w:rFonts w:ascii="Arial" w:hAnsi="Arial" w:cs="Arial"/>
          <w:sz w:val="20"/>
          <w:szCs w:val="20"/>
        </w:rPr>
        <w:t>ns to provide notification of security breaches of computer databases that contain personal information to affected individuals, state officers and others. For example, the CCPA has prompted the enactment of several new state laws or amendments of existing</w:t>
      </w:r>
      <w:r>
        <w:rPr>
          <w:rFonts w:ascii="Arial" w:hAnsi="Arial" w:cs="Arial"/>
          <w:sz w:val="20"/>
          <w:szCs w:val="20"/>
        </w:rPr>
        <w:t xml:space="preserve"> state laws, such as in New York, Nevada, Virginia and Colorado. These laws could mark the beginning of a trend toward more stringent privacy legislation in other U.S. states and have prompted a number of proposals for new federal and state-level privacy l</w:t>
      </w:r>
      <w:r>
        <w:rPr>
          <w:rFonts w:ascii="Arial" w:hAnsi="Arial" w:cs="Arial"/>
          <w:sz w:val="20"/>
          <w:szCs w:val="20"/>
        </w:rPr>
        <w:t>egislation. This legislation, if passed, may add additional complexity, variation in requirements, restrictions and potential legal risk, require additional investment of resources in compliance programs, impact strategies and the availability of previousl</w:t>
      </w:r>
      <w:r>
        <w:rPr>
          <w:rFonts w:ascii="Arial" w:hAnsi="Arial" w:cs="Arial"/>
          <w:sz w:val="20"/>
          <w:szCs w:val="20"/>
        </w:rPr>
        <w:t>y useful data and could result in increased compliance costs or changes in business practices and policies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In addition, several foreign countries and governmental bodies, including the European Union, or EU, have established their own laws, rules and regu</w:t>
      </w:r>
      <w:r>
        <w:rPr>
          <w:rFonts w:ascii="Arial" w:hAnsi="Arial" w:cs="Arial"/>
          <w:sz w:val="20"/>
          <w:szCs w:val="20"/>
        </w:rPr>
        <w:t>lations addressing privacy, data protection and information security with regard to the handling and processing of sensitive and personal data obtained from their residents with which we or our billers, financial institutions or partners may need to comply</w:t>
      </w:r>
      <w:r>
        <w:rPr>
          <w:rFonts w:ascii="Arial" w:hAnsi="Arial" w:cs="Arial"/>
          <w:sz w:val="20"/>
          <w:szCs w:val="20"/>
        </w:rPr>
        <w:t xml:space="preserve">. These laws and regulations are in certain cases more restrictive than those in the United States. Laws and regulations in these jurisdictions apply broadly to the collection, use, storage, disclosure and security of various types of data, including data </w:t>
      </w:r>
      <w:r>
        <w:rPr>
          <w:rFonts w:ascii="Arial" w:hAnsi="Arial" w:cs="Arial"/>
          <w:sz w:val="20"/>
          <w:szCs w:val="20"/>
        </w:rPr>
        <w:t>that identifies or may be used to identify an individual, such as names, email addresses and in some jurisdictions, IP addresses. The EU’s privacy, data protection and information security landscapes are currently evolving, resulting in possible significan</w:t>
      </w:r>
      <w:r>
        <w:rPr>
          <w:rFonts w:ascii="Arial" w:hAnsi="Arial" w:cs="Arial"/>
          <w:sz w:val="20"/>
          <w:szCs w:val="20"/>
        </w:rPr>
        <w:t xml:space="preserve">t operational costs for internal compliance and risk to our business. Within the EU, the General Data Protection Regulation, or GDPR, which went into effect in May 2018, contains numerous requirements and changes from previously existing EU law, including </w:t>
      </w:r>
      <w:r>
        <w:rPr>
          <w:rFonts w:ascii="Arial" w:hAnsi="Arial" w:cs="Arial"/>
          <w:sz w:val="20"/>
          <w:szCs w:val="20"/>
        </w:rPr>
        <w:t>more robust, direct obligations on data processors in addition to data controllers, heavier documentation requirements for data protection compliance programs by companies and significantly increases the level of sanctions for non-compliance as compared to</w:t>
      </w:r>
      <w:r>
        <w:rPr>
          <w:rFonts w:ascii="Arial" w:hAnsi="Arial" w:cs="Arial"/>
          <w:sz w:val="20"/>
          <w:szCs w:val="20"/>
        </w:rPr>
        <w:t xml:space="preserve"> previous EU data protection law. In particular, under the GDPR, EU data protection authorities have the power to impose administrative fines for violations of the GDPR of up to a maximum of €20 million or 4% of the data controller’s or data processor’s to</w:t>
      </w:r>
      <w:r>
        <w:rPr>
          <w:rFonts w:ascii="Arial" w:hAnsi="Arial" w:cs="Arial"/>
          <w:sz w:val="20"/>
          <w:szCs w:val="20"/>
        </w:rPr>
        <w:t>tal global turnover for the preceding fiscal year, whichever is higher, and violations of the GDPR may also lead to damages claims by data controllers and data subjects. Such penalties are in addition to any civil litigation claims by data controllers, cus</w:t>
      </w:r>
      <w:r>
        <w:rPr>
          <w:rFonts w:ascii="Arial" w:hAnsi="Arial" w:cs="Arial"/>
          <w:sz w:val="20"/>
          <w:szCs w:val="20"/>
        </w:rPr>
        <w:t>tomers and data subjects. Being subject to the GDPR, we have taken steps to cause our processes to be compliant with applicable portions of the GDPR, but we cannot assure you that such steps will be effective as European authorities continue to issue guida</w:t>
      </w:r>
      <w:r>
        <w:rPr>
          <w:rFonts w:ascii="Arial" w:hAnsi="Arial" w:cs="Arial"/>
          <w:sz w:val="20"/>
          <w:szCs w:val="20"/>
        </w:rPr>
        <w:t>nce concerning the GDPR and how it applies to data processing activities and we may still face the risk of liability under the GDPR. The laws and regulations relating to privacy, data protection and information security are evolving, can be subject to sign</w:t>
      </w:r>
      <w:r>
        <w:rPr>
          <w:rFonts w:ascii="Arial" w:hAnsi="Arial" w:cs="Arial"/>
          <w:sz w:val="20"/>
          <w:szCs w:val="20"/>
        </w:rPr>
        <w:t>ificant change, and may result in ever-increasing regulatory and public scrutiny and escalating levels of enforcement and sanctions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We are also subject to certain obligations under the Health Insurance Portability and Accountability Act of 1996, or HIPAA,</w:t>
      </w:r>
      <w:r>
        <w:rPr>
          <w:rFonts w:ascii="Arial" w:hAnsi="Arial" w:cs="Arial"/>
          <w:sz w:val="20"/>
          <w:szCs w:val="20"/>
        </w:rPr>
        <w:t xml:space="preserve"> as amended by the Health Information Technology for Economic and Clinical Health Act of 2009, as well as certain state laws and related contractual obligations. HIPAA imposes obligations on certain covered entity healthcare providers, health plans and hea</w:t>
      </w:r>
      <w:r>
        <w:rPr>
          <w:rFonts w:ascii="Arial" w:hAnsi="Arial" w:cs="Arial"/>
          <w:sz w:val="20"/>
          <w:szCs w:val="20"/>
        </w:rPr>
        <w:t>lthcare clearinghouses, as well as on business associates, like us, that perform certain services involving the use or disclosure of individually identifiable health information, including mandatory contractual terms, with respect to safeguarding the priva</w:t>
      </w:r>
      <w:r>
        <w:rPr>
          <w:rFonts w:ascii="Arial" w:hAnsi="Arial" w:cs="Arial"/>
          <w:sz w:val="20"/>
          <w:szCs w:val="20"/>
        </w:rPr>
        <w:t>cy, security and transmission of individually identifiable health information</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The scope and interpretation of the laws and regulations relating to privacy, data protection and information security that are or may be applicable to us are often uncertain an</w:t>
      </w:r>
      <w:r>
        <w:rPr>
          <w:rFonts w:ascii="Arial" w:hAnsi="Arial" w:cs="Arial"/>
          <w:sz w:val="20"/>
          <w:szCs w:val="20"/>
        </w:rPr>
        <w:t>d may be conflicting, as a result of the rapidly evolving regulatory framework for privacy issues worldwide. It is possible that these laws may be interpreted and applied in a manner that is inconsistent with our existing data management practices, solutio</w:t>
      </w:r>
      <w:r>
        <w:rPr>
          <w:rFonts w:ascii="Arial" w:hAnsi="Arial" w:cs="Arial"/>
          <w:sz w:val="20"/>
          <w:szCs w:val="20"/>
        </w:rPr>
        <w:t xml:space="preserve">ns or platform capabilities. For example, laws relating to the liability of providers of online services for activities of their users and other third parties are currently being tested by a number of claims, including actions based on invasion of privacy </w:t>
      </w:r>
      <w:r>
        <w:rPr>
          <w:rFonts w:ascii="Arial" w:hAnsi="Arial" w:cs="Arial"/>
          <w:sz w:val="20"/>
          <w:szCs w:val="20"/>
        </w:rPr>
        <w:t xml:space="preserve">and other torts, unfair competition, copyright and trademark infringement, and other theories based on the nature and content of the materials searched, the ads posted or the content provided by users. As a result of the laws that are or may be applicable </w:t>
      </w:r>
      <w:r>
        <w:rPr>
          <w:rFonts w:ascii="Arial" w:hAnsi="Arial" w:cs="Arial"/>
          <w:sz w:val="20"/>
          <w:szCs w:val="20"/>
        </w:rPr>
        <w:t>to us, and due to the sensitive nature of the information we collect, we have implemented policies and procedures to preserve and protect our data and our platform users’ data against loss, misuse, corruption, misappropriation caused by systems failures or</w:t>
      </w:r>
      <w:r>
        <w:rPr>
          <w:rFonts w:ascii="Arial" w:hAnsi="Arial" w:cs="Arial"/>
          <w:sz w:val="20"/>
          <w:szCs w:val="20"/>
        </w:rPr>
        <w:t xml:space="preserve"> unauthorized access. If our policies, procedures or measures relating to privacy, data protection, information security or the processing of data for marketing purposes or consumer communications fail to comply with laws, regulations, policies, legal obli</w:t>
      </w:r>
      <w:r>
        <w:rPr>
          <w:rFonts w:ascii="Arial" w:hAnsi="Arial" w:cs="Arial"/>
          <w:sz w:val="20"/>
          <w:szCs w:val="20"/>
        </w:rPr>
        <w:t>gations or industry standards, we may be subject to governmental enforcement actions, litigation, regulatory investigations, fines, penalties and negative publicity, and could cause our application providers, billers, financial institutions and partners to</w:t>
      </w:r>
      <w:r>
        <w:rPr>
          <w:rFonts w:ascii="Arial" w:hAnsi="Arial" w:cs="Arial"/>
          <w:sz w:val="20"/>
          <w:szCs w:val="20"/>
        </w:rPr>
        <w:t xml:space="preserve"> lose trust in us, and have an adverse effect on our business, operating results and financial condition</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 xml:space="preserve">In addition to government regulation, privacy advocates and industry groups may propose new and different self-regulatory standards that may apply to </w:t>
      </w:r>
      <w:r>
        <w:rPr>
          <w:rFonts w:ascii="Arial" w:hAnsi="Arial" w:cs="Arial"/>
          <w:sz w:val="20"/>
          <w:szCs w:val="20"/>
        </w:rPr>
        <w:t>us. Because the interpretation and application of privacy, data protection and information security laws, regulations, rules and other standards are still uncertain, it is possible that these laws, rules, regulations and other actual or alleged legal oblig</w:t>
      </w:r>
      <w:r>
        <w:rPr>
          <w:rFonts w:ascii="Arial" w:hAnsi="Arial" w:cs="Arial"/>
          <w:sz w:val="20"/>
          <w:szCs w:val="20"/>
        </w:rPr>
        <w:t>ations, such as contractual or self-regulatory obligations, may be interpreted and applied in a manner that is inconsistent with our existing data management practices or the functionality o</w:t>
      </w:r>
      <w:r>
        <w:rPr>
          <w:rFonts w:ascii="Arial" w:hAnsi="Arial" w:cs="Arial"/>
          <w:sz w:val="20"/>
          <w:szCs w:val="20"/>
        </w:rPr>
        <w:t>f</w:t>
      </w:r>
      <w:r>
        <w:rPr>
          <w:rFonts w:ascii="Arial" w:hAnsi="Arial" w:cs="Arial"/>
          <w:sz w:val="20"/>
          <w:szCs w:val="20"/>
        </w:rPr>
        <w:t xml:space="preserve"> </w:t>
      </w:r>
    </w:p>
    <w:p w:rsidR="00000000" w:rsidRDefault="00010F15">
      <w:pPr>
        <w:pStyle w:val="a3"/>
        <w:spacing w:before="0" w:beforeAutospacing="0" w:after="0" w:afterAutospacing="0"/>
        <w:jc w:val="center"/>
        <w:rPr>
          <w:sz w:val="20"/>
          <w:szCs w:val="20"/>
        </w:rPr>
      </w:pPr>
      <w:r>
        <w:rPr>
          <w:rFonts w:ascii="Arial" w:hAnsi="Arial" w:cs="Arial"/>
          <w:sz w:val="20"/>
          <w:szCs w:val="20"/>
        </w:rPr>
        <w:t>3</w:t>
      </w:r>
      <w:r>
        <w:rPr>
          <w:rFonts w:ascii="Arial" w:hAnsi="Arial" w:cs="Arial"/>
          <w:sz w:val="20"/>
          <w:szCs w:val="20"/>
        </w:rPr>
        <w:t>3</w:t>
      </w:r>
    </w:p>
    <w:p w:rsidR="00000000" w:rsidRDefault="00010F15">
      <w:pPr>
        <w:rPr>
          <w:rFonts w:eastAsia="Times New Roman"/>
        </w:rPr>
      </w:pPr>
      <w:r>
        <w:rPr>
          <w:rFonts w:eastAsia="Times New Roman"/>
        </w:rPr>
        <w:pict>
          <v:rect id="_x0000_i1057"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120" w:beforeAutospacing="0" w:after="0" w:afterAutospacing="0"/>
        <w:rPr>
          <w:sz w:val="20"/>
          <w:szCs w:val="20"/>
        </w:rPr>
      </w:pPr>
      <w:r>
        <w:rPr>
          <w:rFonts w:ascii="Arial" w:hAnsi="Arial" w:cs="Arial"/>
          <w:sz w:val="20"/>
          <w:szCs w:val="20"/>
        </w:rPr>
        <w:t>our platform. If so, in addition to the possibility of fines, lawsuits and other claims, we could be required to fundamentally change our business activities and practices or modify our software, which could have an adverse effect on our business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Further,</w:t>
      </w:r>
      <w:r>
        <w:rPr>
          <w:rFonts w:ascii="Arial" w:hAnsi="Arial" w:cs="Arial"/>
          <w:sz w:val="20"/>
          <w:szCs w:val="20"/>
        </w:rPr>
        <w:t xml:space="preserve"> any failure or perceived failure by us, or any third parties with which we do business, to comply with laws, regulations, policies (including our publicly posted privacy policies), procedures, measures, legal or contractual obligations, industry standards</w:t>
      </w:r>
      <w:r>
        <w:rPr>
          <w:rFonts w:ascii="Arial" w:hAnsi="Arial" w:cs="Arial"/>
          <w:sz w:val="20"/>
          <w:szCs w:val="20"/>
        </w:rPr>
        <w:t xml:space="preserve"> or regulatory guidance relating to privacy, data protection or information security may result in governmental investigations and enforcement actions, litigation, fines and penalties, or adverse publicity, and could cause our billers, financial institutio</w:t>
      </w:r>
      <w:r>
        <w:rPr>
          <w:rFonts w:ascii="Arial" w:hAnsi="Arial" w:cs="Arial"/>
          <w:sz w:val="20"/>
          <w:szCs w:val="20"/>
        </w:rPr>
        <w:t>ns and partners to lose trust in us, which could have an adverse effect on our reputation, business, operating results and financial condition. We expect that there will continue to be new proposed laws, regulations and industry standards relating to priva</w:t>
      </w:r>
      <w:r>
        <w:rPr>
          <w:rFonts w:ascii="Arial" w:hAnsi="Arial" w:cs="Arial"/>
          <w:sz w:val="20"/>
          <w:szCs w:val="20"/>
        </w:rPr>
        <w:t>cy, data protection, information security, marketing and consumer communications, and we cannot predict the impact such future laws, regulations and standards may have on our business. Future laws, regulations, standards and other obligations or any change</w:t>
      </w:r>
      <w:r>
        <w:rPr>
          <w:rFonts w:ascii="Arial" w:hAnsi="Arial" w:cs="Arial"/>
          <w:sz w:val="20"/>
          <w:szCs w:val="20"/>
        </w:rPr>
        <w:t>d interpretation of existing laws or regulations may be inconsistent among jurisdictions and may conflict with our current or future practices, which could impair our ability to develop and market new functionality and maintain and grow our biller and fina</w:t>
      </w:r>
      <w:r>
        <w:rPr>
          <w:rFonts w:ascii="Arial" w:hAnsi="Arial" w:cs="Arial"/>
          <w:sz w:val="20"/>
          <w:szCs w:val="20"/>
        </w:rPr>
        <w:t xml:space="preserve">ncial institution base and increase revenue. Additionally, our billers, financial institutions or partners may be subject to differing privacy laws, rules and legislation, which may mean that they require us to be bound by varying contractual requirements </w:t>
      </w:r>
      <w:r>
        <w:rPr>
          <w:rFonts w:ascii="Arial" w:hAnsi="Arial" w:cs="Arial"/>
          <w:sz w:val="20"/>
          <w:szCs w:val="20"/>
        </w:rPr>
        <w:t>applicable to certain other jurisdictions. Future restrictions on the collection, use, processing, storage, sharing or disclosure of various types of data, including financial information and other personal data, or additional requirements for express or i</w:t>
      </w:r>
      <w:r>
        <w:rPr>
          <w:rFonts w:ascii="Arial" w:hAnsi="Arial" w:cs="Arial"/>
          <w:sz w:val="20"/>
          <w:szCs w:val="20"/>
        </w:rPr>
        <w:t xml:space="preserve">mplied consent of our billers, financial institutions, partners or consumers for the collection, use, processing, storage, sharing and disclosure of such information could require us to incur additional costs or modify our platform, possibly in a material </w:t>
      </w:r>
      <w:r>
        <w:rPr>
          <w:rFonts w:ascii="Arial" w:hAnsi="Arial" w:cs="Arial"/>
          <w:sz w:val="20"/>
          <w:szCs w:val="20"/>
        </w:rPr>
        <w:t>manner, and could limit our ability to develop new functionality. Complying with these requirements and changing our policies and practices may be onerous and costly, and we may not be able to respond quickly or effectively to regulatory, legislative and o</w:t>
      </w:r>
      <w:r>
        <w:rPr>
          <w:rFonts w:ascii="Arial" w:hAnsi="Arial" w:cs="Arial"/>
          <w:sz w:val="20"/>
          <w:szCs w:val="20"/>
        </w:rPr>
        <w:t>ther developments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If we are not able to comply with these laws or regulations, or if we become liable under these laws or regulations, we could be directly harmed, including through fines and litigation, and we may be forced to implement new measures to r</w:t>
      </w:r>
      <w:r>
        <w:rPr>
          <w:rFonts w:ascii="Arial" w:hAnsi="Arial" w:cs="Arial"/>
          <w:sz w:val="20"/>
          <w:szCs w:val="20"/>
        </w:rPr>
        <w:t>educe our exposure to this liability. This may require us to expend substantial resources or to discontinue certain products, which would negatively affect our business, operating results and financial condition. In addition, the increased attention focuse</w:t>
      </w:r>
      <w:r>
        <w:rPr>
          <w:rFonts w:ascii="Arial" w:hAnsi="Arial" w:cs="Arial"/>
          <w:sz w:val="20"/>
          <w:szCs w:val="20"/>
        </w:rPr>
        <w:t>d upon liability issues as a result of lawsuits and legislative proposals could harm our reputation or otherwise adversely affect the growth of our business. Furthermore, any costs incurred as a result of this potential liability could harm our operating r</w:t>
      </w:r>
      <w:r>
        <w:rPr>
          <w:rFonts w:ascii="Arial" w:hAnsi="Arial" w:cs="Arial"/>
          <w:sz w:val="20"/>
          <w:szCs w:val="20"/>
        </w:rPr>
        <w:t>esults</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 xml:space="preserve">Our and our billers’ and partners’ communications with existing and potential consumers are subject to laws regulating telephone and email marketing practices, and our or their failure to comply with such communications laws could adversely affect </w:t>
      </w:r>
      <w:r>
        <w:rPr>
          <w:rFonts w:ascii="Arial" w:hAnsi="Arial" w:cs="Arial"/>
          <w:b/>
          <w:bCs/>
          <w:i/>
          <w:iCs/>
          <w:sz w:val="20"/>
          <w:szCs w:val="20"/>
        </w:rPr>
        <w:t>our business, operating results and financial condition and significantly harm our reputation</w:t>
      </w:r>
      <w:r>
        <w:rPr>
          <w:rFonts w:ascii="Arial" w:hAnsi="Arial" w:cs="Arial"/>
          <w:b/>
          <w:bCs/>
          <w:i/>
          <w:iCs/>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 xml:space="preserve">Our platform enables our billers and partners to communicate directly with their consumers, including via email, text messages and telephone calls. Our platform </w:t>
      </w:r>
      <w:r>
        <w:rPr>
          <w:rFonts w:ascii="Arial" w:hAnsi="Arial" w:cs="Arial"/>
          <w:sz w:val="20"/>
          <w:szCs w:val="20"/>
        </w:rPr>
        <w:t>also enables recording and monitoring of calls between our billers and partners and their consumers for training and quality assurance purposes. On occasion we also send communications directly to consumers. These activities are subject to a variety of U.S</w:t>
      </w:r>
      <w:r>
        <w:rPr>
          <w:rFonts w:ascii="Arial" w:hAnsi="Arial" w:cs="Arial"/>
          <w:sz w:val="20"/>
          <w:szCs w:val="20"/>
        </w:rPr>
        <w:t>. state and federal laws, rules and regulations, such as the Telephone Consumer Protection Act of 1991, or the TCPA, the CAN-SPAM Act of 2003, or the CAN-SPAM Act, and others related to telemarketing, recording and monitoring of communications. The TCPA pr</w:t>
      </w:r>
      <w:r>
        <w:rPr>
          <w:rFonts w:ascii="Arial" w:hAnsi="Arial" w:cs="Arial"/>
          <w:sz w:val="20"/>
          <w:szCs w:val="20"/>
        </w:rPr>
        <w:t xml:space="preserve">ohibits companies from making telemarketing calls to numbers listed in the Federal Do-Not-Call Registry and imposes other obligations and limitations on making phone calls and sending text messages to consumers. The CAN-SPAM Act regulates commercial email </w:t>
      </w:r>
      <w:r>
        <w:rPr>
          <w:rFonts w:ascii="Arial" w:hAnsi="Arial" w:cs="Arial"/>
          <w:sz w:val="20"/>
          <w:szCs w:val="20"/>
        </w:rPr>
        <w:t>messages and specifies penalties for the transmission of commercial email messages that do not comply with certain requirements, such as providing an opt-out mechanism for stopping future emails from senders. The TCPA, the CAN-SPAM Act and other communicat</w:t>
      </w:r>
      <w:r>
        <w:rPr>
          <w:rFonts w:ascii="Arial" w:hAnsi="Arial" w:cs="Arial"/>
          <w:sz w:val="20"/>
          <w:szCs w:val="20"/>
        </w:rPr>
        <w:t>ions laws, rules and regulations are subject to varying interpretations by courts and governmental authorities and often require subjective interpretation, making it difficult to predict their application and therefore making compliance efforts more challe</w:t>
      </w:r>
      <w:r>
        <w:rPr>
          <w:rFonts w:ascii="Arial" w:hAnsi="Arial" w:cs="Arial"/>
          <w:sz w:val="20"/>
          <w:szCs w:val="20"/>
        </w:rPr>
        <w:t>nging. We and our billers and partners may be required to comply with these and similar laws, rules and regulations. To comply with these laws, rules and regulations, in some cases we rely on our billers and partners to obtain legally required consents fro</w:t>
      </w:r>
      <w:r>
        <w:rPr>
          <w:rFonts w:ascii="Arial" w:hAnsi="Arial" w:cs="Arial"/>
          <w:sz w:val="20"/>
          <w:szCs w:val="20"/>
        </w:rPr>
        <w:t>m their consumers to receive communications sent using our platform. We cannot, however, be certain that our or their efforts to comply will always be successful. Our business could be adversely affected by changes to the application or interpretation of e</w:t>
      </w:r>
      <w:r>
        <w:rPr>
          <w:rFonts w:ascii="Arial" w:hAnsi="Arial" w:cs="Arial"/>
          <w:sz w:val="20"/>
          <w:szCs w:val="20"/>
        </w:rPr>
        <w:t>xisting laws, rules and regulations governing our platform’s communication capabilities, or the enactment of new laws, rules and regulations, and by our and our billers’ and partners’ failure to comply with such laws, rules and regulations in using our pla</w:t>
      </w:r>
      <w:r>
        <w:rPr>
          <w:rFonts w:ascii="Arial" w:hAnsi="Arial" w:cs="Arial"/>
          <w:sz w:val="20"/>
          <w:szCs w:val="20"/>
        </w:rPr>
        <w:t>tform. If any of these laws, rules or regulations were to significantly restrict our or our billers’ or partners’ ability to use our platform to communicate with existing and potential consumers, we may not be able to develop adequate alternative communica</w:t>
      </w:r>
      <w:r>
        <w:rPr>
          <w:rFonts w:ascii="Arial" w:hAnsi="Arial" w:cs="Arial"/>
          <w:sz w:val="20"/>
          <w:szCs w:val="20"/>
        </w:rPr>
        <w:t xml:space="preserve">tion modules for our platform. Further, our or our billers’ or partners’ non-compliance with these laws, rules and regulations could result in significant financial penalties, litigation, including class action litigation, consent decrees and injunctions, </w:t>
      </w:r>
      <w:r>
        <w:rPr>
          <w:rFonts w:ascii="Arial" w:hAnsi="Arial" w:cs="Arial"/>
          <w:sz w:val="20"/>
          <w:szCs w:val="20"/>
        </w:rPr>
        <w:t>adverse publicity and other negative consequences, any of which could adversely affect our business, operating results and financial condition and significantly harm our reputation</w:t>
      </w:r>
      <w:r>
        <w:rPr>
          <w:rFonts w:ascii="Arial" w:hAnsi="Arial" w:cs="Arial"/>
          <w:sz w:val="20"/>
          <w:szCs w:val="20"/>
        </w:rPr>
        <w:t>.</w:t>
      </w:r>
    </w:p>
    <w:p w:rsidR="00000000" w:rsidRDefault="00010F15">
      <w:pPr>
        <w:pStyle w:val="a3"/>
        <w:spacing w:before="0" w:beforeAutospacing="0" w:after="0" w:afterAutospacing="0"/>
        <w:jc w:val="center"/>
        <w:rPr>
          <w:sz w:val="20"/>
          <w:szCs w:val="20"/>
        </w:rPr>
      </w:pPr>
      <w:r>
        <w:rPr>
          <w:rFonts w:ascii="Arial" w:hAnsi="Arial" w:cs="Arial"/>
          <w:sz w:val="20"/>
          <w:szCs w:val="20"/>
        </w:rPr>
        <w:t>3</w:t>
      </w:r>
      <w:r>
        <w:rPr>
          <w:rFonts w:ascii="Arial" w:hAnsi="Arial" w:cs="Arial"/>
          <w:sz w:val="20"/>
          <w:szCs w:val="20"/>
        </w:rPr>
        <w:t>4</w:t>
      </w:r>
    </w:p>
    <w:p w:rsidR="00000000" w:rsidRDefault="00010F15">
      <w:pPr>
        <w:rPr>
          <w:rFonts w:eastAsia="Times New Roman"/>
        </w:rPr>
      </w:pPr>
      <w:r>
        <w:rPr>
          <w:rFonts w:eastAsia="Times New Roman"/>
        </w:rPr>
        <w:pict>
          <v:rect id="_x0000_i1058"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240" w:beforeAutospacing="0" w:after="0" w:afterAutospacing="0"/>
        <w:rPr>
          <w:sz w:val="20"/>
          <w:szCs w:val="20"/>
        </w:rPr>
      </w:pPr>
      <w:r>
        <w:rPr>
          <w:rFonts w:ascii="Arial" w:hAnsi="Arial" w:cs="Arial"/>
          <w:b/>
          <w:bCs/>
          <w:i/>
          <w:iCs/>
          <w:sz w:val="20"/>
          <w:szCs w:val="20"/>
        </w:rPr>
        <w:t>If we fail to comply with extens</w:t>
      </w:r>
      <w:r>
        <w:rPr>
          <w:rFonts w:ascii="Arial" w:hAnsi="Arial" w:cs="Arial"/>
          <w:b/>
          <w:bCs/>
          <w:i/>
          <w:iCs/>
          <w:sz w:val="20"/>
          <w:szCs w:val="20"/>
        </w:rPr>
        <w:t>ive, complex, overlapping and frequently changing rules, regulations and legal interpretations, our business could be materially harmed</w:t>
      </w:r>
      <w:r>
        <w:rPr>
          <w:rFonts w:ascii="Arial" w:hAnsi="Arial" w:cs="Arial"/>
          <w:b/>
          <w:bCs/>
          <w:i/>
          <w:iCs/>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Our success and increased visibility, and that of the electronic and online billing and payments sector more generally,</w:t>
      </w:r>
      <w:r>
        <w:rPr>
          <w:rFonts w:ascii="Arial" w:hAnsi="Arial" w:cs="Arial"/>
          <w:sz w:val="20"/>
          <w:szCs w:val="20"/>
        </w:rPr>
        <w:t xml:space="preserve"> may result in increased regulatory oversight and enforcement and more restrictive rules and regulations that apply to our business. We are subject to a wide variety of local, state, federal and international laws, rules, regulations, licensing schemes and</w:t>
      </w:r>
      <w:r>
        <w:rPr>
          <w:rFonts w:ascii="Arial" w:hAnsi="Arial" w:cs="Arial"/>
          <w:sz w:val="20"/>
          <w:szCs w:val="20"/>
        </w:rPr>
        <w:t xml:space="preserve"> industry standards in the United States and in other countries in which we operate. These laws, rules, regulations, licensing schemes and standards govern numerous areas that are important to our business. In addition to the payments and financial service</w:t>
      </w:r>
      <w:r>
        <w:rPr>
          <w:rFonts w:ascii="Arial" w:hAnsi="Arial" w:cs="Arial"/>
          <w:sz w:val="20"/>
          <w:szCs w:val="20"/>
        </w:rPr>
        <w:t>s-related regulations, and privacy, data protection and information security-related laws, our business is also subject to, without limitation, rules and regulations applicable to securities, labor and employment, immigration, competition and marketing and</w:t>
      </w:r>
      <w:r>
        <w:rPr>
          <w:rFonts w:ascii="Arial" w:hAnsi="Arial" w:cs="Arial"/>
          <w:sz w:val="20"/>
          <w:szCs w:val="20"/>
        </w:rPr>
        <w:t xml:space="preserve"> communications practices. Laws, rules, regulations, licensing schemes and standards applicable to our business are subject to change and evolving interpretations and application, including by means of legislative changes and executive orders, and it can b</w:t>
      </w:r>
      <w:r>
        <w:rPr>
          <w:rFonts w:ascii="Arial" w:hAnsi="Arial" w:cs="Arial"/>
          <w:sz w:val="20"/>
          <w:szCs w:val="20"/>
        </w:rPr>
        <w:t>e difficult to predict how they may be applied to our business and the way we conduct our operations, particularly as we introduce new products and services and expand into new jurisdictions. We may not be able to respond quickly or effectively to regulato</w:t>
      </w:r>
      <w:r>
        <w:rPr>
          <w:rFonts w:ascii="Arial" w:hAnsi="Arial" w:cs="Arial"/>
          <w:sz w:val="20"/>
          <w:szCs w:val="20"/>
        </w:rPr>
        <w:t>ry, legislative and other developments, and these changes may in turn impair our ability to offer our existing or planned features, products and services and increase our cost of doing business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There can be no assurance that our employees or contractors w</w:t>
      </w:r>
      <w:r>
        <w:rPr>
          <w:rFonts w:ascii="Arial" w:hAnsi="Arial" w:cs="Arial"/>
          <w:sz w:val="20"/>
          <w:szCs w:val="20"/>
        </w:rPr>
        <w:t>ill not violate laws, rules, regulations, licensing schemes and industry standards. Any failure or perceived failure by us or our employees or contractors to comply with existing or new laws, rules, regulations, licensing schemes, industry standards or ord</w:t>
      </w:r>
      <w:r>
        <w:rPr>
          <w:rFonts w:ascii="Arial" w:hAnsi="Arial" w:cs="Arial"/>
          <w:sz w:val="20"/>
          <w:szCs w:val="20"/>
        </w:rPr>
        <w:t>ers of any governmental authority (including changes to or expansion of the interpretation of those laws, regulations, standards or orders), may, among other things</w:t>
      </w:r>
      <w:r>
        <w:rPr>
          <w:rFonts w:ascii="Arial" w:hAnsi="Arial" w:cs="Arial"/>
          <w:sz w:val="20"/>
          <w:szCs w:val="20"/>
        </w:rPr>
        <w:t>:</w:t>
      </w:r>
    </w:p>
    <w:p w:rsidR="00000000" w:rsidRDefault="00010F15">
      <w:pPr>
        <w:divId w:val="502399969"/>
        <w:rPr>
          <w:rFonts w:eastAsia="Times New Roman"/>
        </w:rPr>
      </w:pPr>
      <w:r>
        <w:rPr>
          <w:rFonts w:eastAsia="Times New Roman"/>
          <w:sz w:val="20"/>
          <w:szCs w:val="20"/>
        </w:rPr>
        <w:t>•</w:t>
      </w:r>
    </w:p>
    <w:p w:rsidR="00000000" w:rsidRDefault="00010F15">
      <w:pPr>
        <w:divId w:val="808983398"/>
        <w:rPr>
          <w:rFonts w:eastAsia="Times New Roman"/>
        </w:rPr>
      </w:pPr>
      <w:r>
        <w:rPr>
          <w:rFonts w:ascii="Arial" w:eastAsia="Times New Roman" w:hAnsi="Arial" w:cs="Arial"/>
          <w:sz w:val="20"/>
          <w:szCs w:val="20"/>
        </w:rPr>
        <w:t>subject us to significant fines, penalties, criminal and civil lawsuits, license suspens</w:t>
      </w:r>
      <w:r>
        <w:rPr>
          <w:rFonts w:ascii="Arial" w:eastAsia="Times New Roman" w:hAnsi="Arial" w:cs="Arial"/>
          <w:sz w:val="20"/>
          <w:szCs w:val="20"/>
        </w:rPr>
        <w:t>ion or revocation, forfeiture of significant assets, audits, inquiries, whistleblower complaints, adverse media coverage, investigations and enforcement actions in one or more jurisdictions levied by federal, state, local or foreign regulators, state attor</w:t>
      </w:r>
      <w:r>
        <w:rPr>
          <w:rFonts w:ascii="Arial" w:eastAsia="Times New Roman" w:hAnsi="Arial" w:cs="Arial"/>
          <w:sz w:val="20"/>
          <w:szCs w:val="20"/>
        </w:rPr>
        <w:t>neys general and private plaintiffs who may be acting as private attorneys general pursuant to various applicable federal, state and local laws</w:t>
      </w:r>
      <w:r>
        <w:rPr>
          <w:rFonts w:ascii="Arial" w:eastAsia="Times New Roman" w:hAnsi="Arial" w:cs="Arial"/>
          <w:sz w:val="20"/>
          <w:szCs w:val="20"/>
        </w:rPr>
        <w:t>;</w:t>
      </w:r>
    </w:p>
    <w:p w:rsidR="00000000" w:rsidRDefault="00010F15">
      <w:pPr>
        <w:divId w:val="1142621870"/>
        <w:rPr>
          <w:rFonts w:eastAsia="Times New Roman"/>
        </w:rPr>
      </w:pPr>
      <w:r>
        <w:rPr>
          <w:rFonts w:eastAsia="Times New Roman"/>
          <w:sz w:val="20"/>
          <w:szCs w:val="20"/>
        </w:rPr>
        <w:t>•</w:t>
      </w:r>
    </w:p>
    <w:p w:rsidR="00000000" w:rsidRDefault="00010F15">
      <w:pPr>
        <w:divId w:val="1259100068"/>
        <w:rPr>
          <w:rFonts w:eastAsia="Times New Roman"/>
        </w:rPr>
      </w:pPr>
      <w:r>
        <w:rPr>
          <w:rFonts w:ascii="Arial" w:eastAsia="Times New Roman" w:hAnsi="Arial" w:cs="Arial"/>
          <w:sz w:val="20"/>
          <w:szCs w:val="20"/>
        </w:rPr>
        <w:t>result in additional compliance and licensure requirements</w:t>
      </w:r>
      <w:r>
        <w:rPr>
          <w:rFonts w:ascii="Arial" w:eastAsia="Times New Roman" w:hAnsi="Arial" w:cs="Arial"/>
          <w:sz w:val="20"/>
          <w:szCs w:val="20"/>
        </w:rPr>
        <w:t>;</w:t>
      </w:r>
    </w:p>
    <w:p w:rsidR="00000000" w:rsidRDefault="00010F15">
      <w:pPr>
        <w:divId w:val="399864843"/>
        <w:rPr>
          <w:rFonts w:eastAsia="Times New Roman"/>
        </w:rPr>
      </w:pPr>
      <w:r>
        <w:rPr>
          <w:rFonts w:eastAsia="Times New Roman"/>
          <w:sz w:val="20"/>
          <w:szCs w:val="20"/>
        </w:rPr>
        <w:t>•</w:t>
      </w:r>
    </w:p>
    <w:p w:rsidR="00000000" w:rsidRDefault="00010F15">
      <w:pPr>
        <w:divId w:val="1434401760"/>
        <w:rPr>
          <w:rFonts w:eastAsia="Times New Roman"/>
        </w:rPr>
      </w:pPr>
      <w:r>
        <w:rPr>
          <w:rFonts w:ascii="Arial" w:eastAsia="Times New Roman" w:hAnsi="Arial" w:cs="Arial"/>
          <w:sz w:val="20"/>
          <w:szCs w:val="20"/>
        </w:rPr>
        <w:t>increase regulatory scrutiny of our business</w:t>
      </w:r>
      <w:r>
        <w:rPr>
          <w:rFonts w:ascii="Arial" w:eastAsia="Times New Roman" w:hAnsi="Arial" w:cs="Arial"/>
          <w:sz w:val="20"/>
          <w:szCs w:val="20"/>
        </w:rPr>
        <w:t>;</w:t>
      </w:r>
    </w:p>
    <w:p w:rsidR="00000000" w:rsidRDefault="00010F15">
      <w:pPr>
        <w:divId w:val="1863400301"/>
        <w:rPr>
          <w:rFonts w:eastAsia="Times New Roman"/>
        </w:rPr>
      </w:pPr>
      <w:r>
        <w:rPr>
          <w:rFonts w:eastAsia="Times New Roman"/>
          <w:sz w:val="20"/>
          <w:szCs w:val="20"/>
        </w:rPr>
        <w:t>•</w:t>
      </w:r>
    </w:p>
    <w:p w:rsidR="00000000" w:rsidRDefault="00010F15">
      <w:pPr>
        <w:divId w:val="73010964"/>
        <w:rPr>
          <w:rFonts w:eastAsia="Times New Roman"/>
        </w:rPr>
      </w:pPr>
      <w:r>
        <w:rPr>
          <w:rFonts w:ascii="Arial" w:eastAsia="Times New Roman" w:hAnsi="Arial" w:cs="Arial"/>
          <w:sz w:val="20"/>
          <w:szCs w:val="20"/>
        </w:rPr>
        <w:t>restrict our operations, product features, quality and breadth and depth of functionality; an</w:t>
      </w:r>
      <w:r>
        <w:rPr>
          <w:rFonts w:ascii="Arial" w:eastAsia="Times New Roman" w:hAnsi="Arial" w:cs="Arial"/>
          <w:sz w:val="20"/>
          <w:szCs w:val="20"/>
        </w:rPr>
        <w:t>d</w:t>
      </w:r>
    </w:p>
    <w:p w:rsidR="00000000" w:rsidRDefault="00010F15">
      <w:pPr>
        <w:divId w:val="396364502"/>
        <w:rPr>
          <w:rFonts w:eastAsia="Times New Roman"/>
        </w:rPr>
      </w:pPr>
      <w:r>
        <w:rPr>
          <w:rFonts w:eastAsia="Times New Roman"/>
          <w:sz w:val="20"/>
          <w:szCs w:val="20"/>
        </w:rPr>
        <w:t>•</w:t>
      </w:r>
    </w:p>
    <w:p w:rsidR="00000000" w:rsidRDefault="00010F15">
      <w:pPr>
        <w:divId w:val="1869946719"/>
        <w:rPr>
          <w:rFonts w:eastAsia="Times New Roman"/>
        </w:rPr>
      </w:pPr>
      <w:r>
        <w:rPr>
          <w:rFonts w:ascii="Arial" w:eastAsia="Times New Roman" w:hAnsi="Arial" w:cs="Arial"/>
          <w:sz w:val="20"/>
          <w:szCs w:val="20"/>
        </w:rPr>
        <w:t>force us to change our business practices or comp</w:t>
      </w:r>
      <w:r>
        <w:rPr>
          <w:rFonts w:ascii="Arial" w:eastAsia="Times New Roman" w:hAnsi="Arial" w:cs="Arial"/>
          <w:sz w:val="20"/>
          <w:szCs w:val="20"/>
        </w:rPr>
        <w:t>liance program, make product or operational changes or delay planned product launches or improvements</w:t>
      </w:r>
      <w:r>
        <w:rPr>
          <w:rFonts w:ascii="Arial" w:eastAsia="Times New Roman"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The complexity of U.S. federal and state regulatory and enforcement regimes, coupled with the current and potential future scope of our international ope</w:t>
      </w:r>
      <w:r>
        <w:rPr>
          <w:rFonts w:ascii="Arial" w:hAnsi="Arial" w:cs="Arial"/>
          <w:sz w:val="20"/>
          <w:szCs w:val="20"/>
        </w:rPr>
        <w:t>rations and the evolving regulatory environment, could result in a single event giving rise to many overlapping investigations and legal and regulatory proceedings by multiple government authorities in different jurisdictions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Any of the foregoing could, individually or in the aggregate, harm our reputation as a trusted provider, damage our brand and business, cause us to lose existing billers, financial institutions and partners, prevent us from obtaining new billers, financial</w:t>
      </w:r>
      <w:r>
        <w:rPr>
          <w:rFonts w:ascii="Arial" w:hAnsi="Arial" w:cs="Arial"/>
          <w:sz w:val="20"/>
          <w:szCs w:val="20"/>
        </w:rPr>
        <w:t xml:space="preserve"> institutions and partners, require us to expend significant funds to remedy problems caused by breaches and to avert further breaches, expose us to legal risk and potential liability, and adversely affect our business, operating results and financial cond</w:t>
      </w:r>
      <w:r>
        <w:rPr>
          <w:rFonts w:ascii="Arial" w:hAnsi="Arial" w:cs="Arial"/>
          <w:sz w:val="20"/>
          <w:szCs w:val="20"/>
        </w:rPr>
        <w:t>ition</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We identified material weaknesses in our internal control over financial reporting in connection with the preparation and audit of our financial statements for the fiscal years ended December 31, 2020 and 2019, that continued to exist as of December</w:t>
      </w:r>
      <w:r>
        <w:rPr>
          <w:rFonts w:ascii="Arial" w:hAnsi="Arial" w:cs="Arial"/>
          <w:b/>
          <w:bCs/>
          <w:i/>
          <w:iCs/>
          <w:sz w:val="20"/>
          <w:szCs w:val="20"/>
        </w:rPr>
        <w:t xml:space="preserve"> 31, 2021, and we may identify additional material weaknesses in the future that may cause us to fail to meet our reporting obligations or result in material misstatements of our financial statements. If we fail to remediate any material weaknesses, identi</w:t>
      </w:r>
      <w:r>
        <w:rPr>
          <w:rFonts w:ascii="Arial" w:hAnsi="Arial" w:cs="Arial"/>
          <w:b/>
          <w:bCs/>
          <w:i/>
          <w:iCs/>
          <w:sz w:val="20"/>
          <w:szCs w:val="20"/>
        </w:rPr>
        <w:t>fy additional material weaknesses, or if we otherwise fail to establish and maintain effective internal control over financial reporting, our ability to accurately and timely report our financial results could be adversely affected</w:t>
      </w:r>
      <w:r>
        <w:rPr>
          <w:rFonts w:ascii="Arial" w:hAnsi="Arial" w:cs="Arial"/>
          <w:b/>
          <w:bCs/>
          <w:i/>
          <w:iCs/>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We are required to comp</w:t>
      </w:r>
      <w:r>
        <w:rPr>
          <w:rFonts w:ascii="Arial" w:hAnsi="Arial" w:cs="Arial"/>
          <w:sz w:val="20"/>
          <w:szCs w:val="20"/>
        </w:rPr>
        <w:t>ly with the rules of the SEC implementing Sections 302 and 404 of the Sarbanes-Oxley Act, which require management to certify financial and other information in our quarterly and annual reports and provide an annual management report on the effectiveness o</w:t>
      </w:r>
      <w:r>
        <w:rPr>
          <w:rFonts w:ascii="Arial" w:hAnsi="Arial" w:cs="Arial"/>
          <w:sz w:val="20"/>
          <w:szCs w:val="20"/>
        </w:rPr>
        <w:t>f internal control over financial reporting. Though we will be required to disclose changes made in our internal control over financial reporting on a quarterly basis, we will not be required to make our first annual assessment of our internal control over</w:t>
      </w:r>
      <w:r>
        <w:rPr>
          <w:rFonts w:ascii="Arial" w:hAnsi="Arial" w:cs="Arial"/>
          <w:sz w:val="20"/>
          <w:szCs w:val="20"/>
        </w:rPr>
        <w:t xml:space="preserve"> financial reporting pursuant to Section 404 until the year following our first annual report required to be filed with the SEC. As an emerging growth company, our independent registered public accounting firm will not be required to attest to the effectiv</w:t>
      </w:r>
      <w:r>
        <w:rPr>
          <w:rFonts w:ascii="Arial" w:hAnsi="Arial" w:cs="Arial"/>
          <w:sz w:val="20"/>
          <w:szCs w:val="20"/>
        </w:rPr>
        <w:t>eness of our internal control over financial reportin</w:t>
      </w:r>
      <w:r>
        <w:rPr>
          <w:rFonts w:ascii="Arial" w:hAnsi="Arial" w:cs="Arial"/>
          <w:sz w:val="20"/>
          <w:szCs w:val="20"/>
        </w:rPr>
        <w:t>g</w:t>
      </w:r>
      <w:r>
        <w:rPr>
          <w:rFonts w:ascii="Arial" w:hAnsi="Arial" w:cs="Arial"/>
          <w:sz w:val="20"/>
          <w:szCs w:val="20"/>
        </w:rPr>
        <w:t xml:space="preserve"> </w:t>
      </w:r>
    </w:p>
    <w:p w:rsidR="00000000" w:rsidRDefault="00010F15">
      <w:pPr>
        <w:pStyle w:val="a3"/>
        <w:spacing w:before="0" w:beforeAutospacing="0" w:after="0" w:afterAutospacing="0"/>
        <w:jc w:val="center"/>
        <w:rPr>
          <w:sz w:val="20"/>
          <w:szCs w:val="20"/>
        </w:rPr>
      </w:pPr>
      <w:r>
        <w:rPr>
          <w:rFonts w:ascii="Arial" w:hAnsi="Arial" w:cs="Arial"/>
          <w:sz w:val="20"/>
          <w:szCs w:val="20"/>
        </w:rPr>
        <w:t>3</w:t>
      </w:r>
      <w:r>
        <w:rPr>
          <w:rFonts w:ascii="Arial" w:hAnsi="Arial" w:cs="Arial"/>
          <w:sz w:val="20"/>
          <w:szCs w:val="20"/>
        </w:rPr>
        <w:t>5</w:t>
      </w:r>
    </w:p>
    <w:p w:rsidR="00000000" w:rsidRDefault="00010F15">
      <w:pPr>
        <w:rPr>
          <w:rFonts w:eastAsia="Times New Roman"/>
        </w:rPr>
      </w:pPr>
      <w:r>
        <w:rPr>
          <w:rFonts w:eastAsia="Times New Roman"/>
        </w:rPr>
        <w:pict>
          <v:rect id="_x0000_i1059"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120" w:beforeAutospacing="0" w:after="0" w:afterAutospacing="0"/>
        <w:rPr>
          <w:sz w:val="20"/>
          <w:szCs w:val="20"/>
        </w:rPr>
      </w:pPr>
      <w:r>
        <w:rPr>
          <w:rFonts w:ascii="Arial" w:hAnsi="Arial" w:cs="Arial"/>
          <w:sz w:val="20"/>
          <w:szCs w:val="20"/>
        </w:rPr>
        <w:t>pursuant to Section 404 until the later of the year following our first annual report required to be filed with the SEC or the date we are no longer an emergi</w:t>
      </w:r>
      <w:r>
        <w:rPr>
          <w:rFonts w:ascii="Arial" w:hAnsi="Arial" w:cs="Arial"/>
          <w:sz w:val="20"/>
          <w:szCs w:val="20"/>
        </w:rPr>
        <w:t>ng growth company. If our internal control over financial reporting is not effective, management’s report and our independent registered public accounting firm’s report would be adverse</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In connection with the preparation and audit of our consolidated fina</w:t>
      </w:r>
      <w:r>
        <w:rPr>
          <w:rFonts w:ascii="Arial" w:hAnsi="Arial" w:cs="Arial"/>
          <w:sz w:val="20"/>
          <w:szCs w:val="20"/>
        </w:rPr>
        <w:t xml:space="preserve">ncial statements for the fiscal years ended December 31, 2020 and 2019, we and our independent registered public accounting firm identified certain control deficiencies in the design and implementation of our internal control over financial reporting that </w:t>
      </w:r>
      <w:r>
        <w:rPr>
          <w:rFonts w:ascii="Arial" w:hAnsi="Arial" w:cs="Arial"/>
          <w:sz w:val="20"/>
          <w:szCs w:val="20"/>
        </w:rPr>
        <w:t>constituted material weaknesses. These material weaknesses continued to exist as of December 31, 2021. A material weakness is a deficiency, or a combination of deficiencies, in internal control over financial reporting such that there is a reasonable possi</w:t>
      </w:r>
      <w:r>
        <w:rPr>
          <w:rFonts w:ascii="Arial" w:hAnsi="Arial" w:cs="Arial"/>
          <w:sz w:val="20"/>
          <w:szCs w:val="20"/>
        </w:rPr>
        <w:t>bility that a material misstatement of our financial statements will not be prevented or detected on a timely basis. Our evaluation was based on the Committee of Sponsoring Organizations of the Treadway Commission</w:t>
      </w:r>
      <w:r>
        <w:rPr>
          <w:rFonts w:ascii="Arial" w:hAnsi="Arial" w:cs="Arial"/>
          <w:sz w:val="20"/>
          <w:szCs w:val="20"/>
        </w:rPr>
        <w:t xml:space="preserve"> </w:t>
      </w:r>
      <w:r>
        <w:rPr>
          <w:rFonts w:ascii="Arial" w:hAnsi="Arial" w:cs="Arial"/>
          <w:i/>
          <w:iCs/>
          <w:sz w:val="20"/>
          <w:szCs w:val="20"/>
        </w:rPr>
        <w:t>(COSO) Internal Control—Integrated Framewo</w:t>
      </w:r>
      <w:r>
        <w:rPr>
          <w:rFonts w:ascii="Arial" w:hAnsi="Arial" w:cs="Arial"/>
          <w:i/>
          <w:iCs/>
          <w:sz w:val="20"/>
          <w:szCs w:val="20"/>
        </w:rPr>
        <w:t>r</w:t>
      </w:r>
      <w:r>
        <w:rPr>
          <w:rFonts w:ascii="Arial" w:hAnsi="Arial" w:cs="Arial"/>
          <w:i/>
          <w:iCs/>
          <w:sz w:val="20"/>
          <w:szCs w:val="20"/>
        </w:rPr>
        <w:t>k</w:t>
      </w:r>
      <w:r>
        <w:rPr>
          <w:rFonts w:ascii="Arial" w:hAnsi="Arial" w:cs="Arial"/>
          <w:sz w:val="20"/>
          <w:szCs w:val="20"/>
        </w:rPr>
        <w:t xml:space="preserve"> (2013). These material weaknesses are as follows</w:t>
      </w:r>
      <w:r>
        <w:rPr>
          <w:rFonts w:ascii="Arial" w:hAnsi="Arial" w:cs="Arial"/>
          <w:sz w:val="20"/>
          <w:szCs w:val="20"/>
        </w:rPr>
        <w:t>:</w:t>
      </w:r>
    </w:p>
    <w:p w:rsidR="00000000" w:rsidRDefault="00010F15">
      <w:pPr>
        <w:divId w:val="1827089812"/>
        <w:rPr>
          <w:rFonts w:eastAsia="Times New Roman"/>
        </w:rPr>
      </w:pPr>
      <w:r>
        <w:rPr>
          <w:rFonts w:eastAsia="Times New Roman"/>
          <w:sz w:val="20"/>
          <w:szCs w:val="20"/>
        </w:rPr>
        <w:t>•</w:t>
      </w:r>
    </w:p>
    <w:p w:rsidR="00000000" w:rsidRDefault="00010F15">
      <w:pPr>
        <w:divId w:val="911240352"/>
        <w:rPr>
          <w:rFonts w:eastAsia="Times New Roman"/>
        </w:rPr>
      </w:pPr>
      <w:r>
        <w:rPr>
          <w:rFonts w:ascii="Arial" w:eastAsia="Times New Roman" w:hAnsi="Arial" w:cs="Arial"/>
          <w:sz w:val="20"/>
          <w:szCs w:val="20"/>
        </w:rPr>
        <w:t>We lacked a sufficient number of trained professionals with an appropriate level of accounting knowledge, training and experience to appropriately analyze, record and disclose accounting matters, inclu</w:t>
      </w:r>
      <w:r>
        <w:rPr>
          <w:rFonts w:ascii="Arial" w:eastAsia="Times New Roman" w:hAnsi="Arial" w:cs="Arial"/>
          <w:sz w:val="20"/>
          <w:szCs w:val="20"/>
        </w:rPr>
        <w:t>ding accounting for capitalized internal-use software development costs, identification of reporting units, translation of foreign currency in consolidation, accounting for deferred compensation, calculation of earnings per share and classification of acco</w:t>
      </w:r>
      <w:r>
        <w:rPr>
          <w:rFonts w:ascii="Arial" w:eastAsia="Times New Roman" w:hAnsi="Arial" w:cs="Arial"/>
          <w:sz w:val="20"/>
          <w:szCs w:val="20"/>
        </w:rPr>
        <w:t>unts in the financial statements. Additionally, we did not design and maintain effective controls over verifying the appropriate review and approval of journal entries.</w:t>
      </w:r>
      <w:r>
        <w:rPr>
          <w:rFonts w:ascii="Arial" w:eastAsia="Times New Roman" w:hAnsi="Arial" w:cs="Arial"/>
          <w:sz w:val="20"/>
          <w:szCs w:val="20"/>
        </w:rPr>
        <w:t xml:space="preserve"> </w:t>
      </w:r>
    </w:p>
    <w:p w:rsidR="00000000" w:rsidRDefault="00010F15">
      <w:pPr>
        <w:divId w:val="1437948883"/>
        <w:rPr>
          <w:rFonts w:eastAsia="Times New Roman"/>
        </w:rPr>
      </w:pPr>
      <w:r>
        <w:rPr>
          <w:rFonts w:eastAsia="Times New Roman"/>
          <w:sz w:val="20"/>
          <w:szCs w:val="20"/>
        </w:rPr>
        <w:t>•</w:t>
      </w:r>
    </w:p>
    <w:p w:rsidR="00000000" w:rsidRDefault="00010F15">
      <w:pPr>
        <w:divId w:val="214391309"/>
        <w:rPr>
          <w:rFonts w:eastAsia="Times New Roman"/>
        </w:rPr>
      </w:pPr>
      <w:r>
        <w:rPr>
          <w:rFonts w:ascii="Arial" w:eastAsia="Times New Roman" w:hAnsi="Arial" w:cs="Arial"/>
          <w:sz w:val="20"/>
          <w:szCs w:val="20"/>
        </w:rPr>
        <w:t>We did not design and maintain effective controls relevant to the preparation of our</w:t>
      </w:r>
      <w:r>
        <w:rPr>
          <w:rFonts w:ascii="Arial" w:eastAsia="Times New Roman" w:hAnsi="Arial" w:cs="Arial"/>
          <w:sz w:val="20"/>
          <w:szCs w:val="20"/>
        </w:rPr>
        <w:t xml:space="preserve"> financial statements with respect to certain information technology, or (IT), general controls for information systems. Specifically, we did not design and maintain (1) program change management controls to ensure that IT program and data changes affectin</w:t>
      </w:r>
      <w:r>
        <w:rPr>
          <w:rFonts w:ascii="Arial" w:eastAsia="Times New Roman" w:hAnsi="Arial" w:cs="Arial"/>
          <w:sz w:val="20"/>
          <w:szCs w:val="20"/>
        </w:rPr>
        <w:t>g certain IT applications and underlying accounting records are identified, tested, authorized and implemented appropriately; and (2) user access controls to ensure appropriate segregation of duties and that adequately restrict user and privileged access t</w:t>
      </w:r>
      <w:r>
        <w:rPr>
          <w:rFonts w:ascii="Arial" w:eastAsia="Times New Roman" w:hAnsi="Arial" w:cs="Arial"/>
          <w:sz w:val="20"/>
          <w:szCs w:val="20"/>
        </w:rPr>
        <w:t>o financial applications, programs and data to appropriate company personnel</w:t>
      </w:r>
      <w:r>
        <w:rPr>
          <w:rFonts w:ascii="Arial" w:eastAsia="Times New Roman"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These material weaknesses resulted in misstatements related to capitalized internal-use software development costs, accumulated other comprehensive income, cost of revenue, sales</w:t>
      </w:r>
      <w:r>
        <w:rPr>
          <w:rFonts w:ascii="Arial" w:hAnsi="Arial" w:cs="Arial"/>
          <w:sz w:val="20"/>
          <w:szCs w:val="20"/>
        </w:rPr>
        <w:t xml:space="preserve"> and marketing expenses, research and development expenses, general and administrative expenses, income tax expense, the disclosure of deferred compensation, the classification of revenue, sales and marketing expenses, research and development expenses and</w:t>
      </w:r>
      <w:r>
        <w:rPr>
          <w:rFonts w:ascii="Arial" w:hAnsi="Arial" w:cs="Arial"/>
          <w:sz w:val="20"/>
          <w:szCs w:val="20"/>
        </w:rPr>
        <w:t xml:space="preserve"> general and administrative expenses, the calculation of earnings per share and the disclosure of revenue by geography as of and for the year ended December 31, 2019, which resulted in the restatement of the 2019 consolidated financial statements and a cla</w:t>
      </w:r>
      <w:r>
        <w:rPr>
          <w:rFonts w:ascii="Arial" w:hAnsi="Arial" w:cs="Arial"/>
          <w:sz w:val="20"/>
          <w:szCs w:val="20"/>
        </w:rPr>
        <w:t>ssification adjustment that was recorded to revenue and sales and marketing expenses in the 2020 consolidated financial statements. Additionally, these material weaknesses could result in a misstatement of substantially all of our accounts or disclosures t</w:t>
      </w:r>
      <w:r>
        <w:rPr>
          <w:rFonts w:ascii="Arial" w:hAnsi="Arial" w:cs="Arial"/>
          <w:sz w:val="20"/>
          <w:szCs w:val="20"/>
        </w:rPr>
        <w:t>hat would result in a material misstatement to the annual or interim consolidated financial statements that would not be prevented or detected</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 xml:space="preserve">We are in process of remediating the material weaknesses described above. In 2020, we implemented a new general </w:t>
      </w:r>
      <w:r>
        <w:rPr>
          <w:rFonts w:ascii="Arial" w:hAnsi="Arial" w:cs="Arial"/>
          <w:sz w:val="20"/>
          <w:szCs w:val="20"/>
        </w:rPr>
        <w:t xml:space="preserve">ledger accounting system, including the design of permissions within that system which allow for effective restricted access and segregation of duties to govern the preparation and review of journal entries. Additional remediation measures are ongoing and </w:t>
      </w:r>
      <w:r>
        <w:rPr>
          <w:rFonts w:ascii="Arial" w:hAnsi="Arial" w:cs="Arial"/>
          <w:sz w:val="20"/>
          <w:szCs w:val="20"/>
        </w:rPr>
        <w:t>include the following</w:t>
      </w:r>
      <w:r>
        <w:rPr>
          <w:rFonts w:ascii="Arial" w:hAnsi="Arial" w:cs="Arial"/>
          <w:sz w:val="20"/>
          <w:szCs w:val="20"/>
        </w:rPr>
        <w:t>:</w:t>
      </w:r>
      <w:r>
        <w:rPr>
          <w:rFonts w:ascii="Arial" w:hAnsi="Arial" w:cs="Arial"/>
          <w:sz w:val="20"/>
          <w:szCs w:val="20"/>
        </w:rPr>
        <w:t xml:space="preserve"> </w:t>
      </w:r>
    </w:p>
    <w:p w:rsidR="00000000" w:rsidRDefault="00010F15">
      <w:pPr>
        <w:divId w:val="344554014"/>
        <w:rPr>
          <w:rFonts w:eastAsia="Times New Roman"/>
        </w:rPr>
      </w:pPr>
      <w:r>
        <w:rPr>
          <w:rFonts w:eastAsia="Times New Roman"/>
          <w:sz w:val="20"/>
          <w:szCs w:val="20"/>
        </w:rPr>
        <w:t>•</w:t>
      </w:r>
    </w:p>
    <w:p w:rsidR="00000000" w:rsidRDefault="00010F15">
      <w:pPr>
        <w:divId w:val="1553615654"/>
        <w:rPr>
          <w:rFonts w:eastAsia="Times New Roman"/>
        </w:rPr>
      </w:pPr>
      <w:r>
        <w:rPr>
          <w:rFonts w:ascii="Arial" w:eastAsia="Times New Roman" w:hAnsi="Arial" w:cs="Arial"/>
          <w:sz w:val="20"/>
          <w:szCs w:val="20"/>
        </w:rPr>
        <w:t>enhancing and documenting management review controls over the review of journal entries and the identification and review of complex transactions</w:t>
      </w:r>
      <w:r>
        <w:rPr>
          <w:rFonts w:ascii="Arial" w:eastAsia="Times New Roman" w:hAnsi="Arial" w:cs="Arial"/>
          <w:sz w:val="20"/>
          <w:szCs w:val="20"/>
        </w:rPr>
        <w:t>;</w:t>
      </w:r>
    </w:p>
    <w:p w:rsidR="00000000" w:rsidRDefault="00010F15">
      <w:pPr>
        <w:divId w:val="1441685807"/>
        <w:rPr>
          <w:rFonts w:eastAsia="Times New Roman"/>
        </w:rPr>
      </w:pPr>
      <w:r>
        <w:rPr>
          <w:rFonts w:eastAsia="Times New Roman"/>
          <w:sz w:val="20"/>
          <w:szCs w:val="20"/>
        </w:rPr>
        <w:t>•</w:t>
      </w:r>
    </w:p>
    <w:p w:rsidR="00000000" w:rsidRDefault="00010F15">
      <w:pPr>
        <w:divId w:val="2025394810"/>
        <w:rPr>
          <w:rFonts w:eastAsia="Times New Roman"/>
        </w:rPr>
      </w:pPr>
      <w:r>
        <w:rPr>
          <w:rFonts w:ascii="Arial" w:eastAsia="Times New Roman" w:hAnsi="Arial" w:cs="Arial"/>
          <w:sz w:val="20"/>
          <w:szCs w:val="20"/>
        </w:rPr>
        <w:t>continuing to hire additional personnel with public company experience for our ac</w:t>
      </w:r>
      <w:r>
        <w:rPr>
          <w:rFonts w:ascii="Arial" w:eastAsia="Times New Roman" w:hAnsi="Arial" w:cs="Arial"/>
          <w:sz w:val="20"/>
          <w:szCs w:val="20"/>
        </w:rPr>
        <w:t>counting and finance function; an</w:t>
      </w:r>
      <w:r>
        <w:rPr>
          <w:rFonts w:ascii="Arial" w:eastAsia="Times New Roman" w:hAnsi="Arial" w:cs="Arial"/>
          <w:sz w:val="20"/>
          <w:szCs w:val="20"/>
        </w:rPr>
        <w:t>d</w:t>
      </w:r>
    </w:p>
    <w:p w:rsidR="00000000" w:rsidRDefault="00010F15">
      <w:pPr>
        <w:divId w:val="2024548551"/>
        <w:rPr>
          <w:rFonts w:eastAsia="Times New Roman"/>
        </w:rPr>
      </w:pPr>
      <w:r>
        <w:rPr>
          <w:rFonts w:eastAsia="Times New Roman"/>
          <w:sz w:val="20"/>
          <w:szCs w:val="20"/>
        </w:rPr>
        <w:t>•</w:t>
      </w:r>
    </w:p>
    <w:p w:rsidR="00000000" w:rsidRDefault="00010F15">
      <w:pPr>
        <w:divId w:val="1773084600"/>
        <w:rPr>
          <w:rFonts w:eastAsia="Times New Roman"/>
        </w:rPr>
      </w:pPr>
      <w:r>
        <w:rPr>
          <w:rFonts w:ascii="Arial" w:eastAsia="Times New Roman" w:hAnsi="Arial" w:cs="Arial"/>
          <w:sz w:val="20"/>
          <w:szCs w:val="20"/>
        </w:rPr>
        <w:t xml:space="preserve">designing and implementing comprehensive access control protocols for our relevant IT applications to enforce restricted user and privileged access and implementing controls to review the activities for those users who </w:t>
      </w:r>
      <w:r>
        <w:rPr>
          <w:rFonts w:ascii="Arial" w:eastAsia="Times New Roman" w:hAnsi="Arial" w:cs="Arial"/>
          <w:sz w:val="20"/>
          <w:szCs w:val="20"/>
        </w:rPr>
        <w:t>have privileged access</w:t>
      </w:r>
      <w:r>
        <w:rPr>
          <w:rFonts w:ascii="Arial" w:eastAsia="Times New Roman"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While we believe these efforts will remediate the material weaknesses, we may not be able to complete our evaluation, testing or any required remediation in a timely fashion, or at all. We cannot assure you that the measures we have</w:t>
      </w:r>
      <w:r>
        <w:rPr>
          <w:rFonts w:ascii="Arial" w:hAnsi="Arial" w:cs="Arial"/>
          <w:sz w:val="20"/>
          <w:szCs w:val="20"/>
        </w:rPr>
        <w:t xml:space="preserve"> taken to date and may take in the future will be sufficient to remediate the control deficiencies that led to the identified material weaknesses in internal control over financial reporting or that the measures will prevent or avoid future material weakne</w:t>
      </w:r>
      <w:r>
        <w:rPr>
          <w:rFonts w:ascii="Arial" w:hAnsi="Arial" w:cs="Arial"/>
          <w:sz w:val="20"/>
          <w:szCs w:val="20"/>
        </w:rPr>
        <w:t xml:space="preserve">sses. The effectiveness of our internal control over financial reporting is subject to various inherent limitations, including cost limitations, judgments used in decision making, assumptions about the likelihood of future events, the possibility of human </w:t>
      </w:r>
      <w:r>
        <w:rPr>
          <w:rFonts w:ascii="Arial" w:hAnsi="Arial" w:cs="Arial"/>
          <w:sz w:val="20"/>
          <w:szCs w:val="20"/>
        </w:rPr>
        <w:t>error and the risk of fraud. If we are unable to remediate the material weaknesses, our ability to record, process and report financial information accurately, and to prepare financial statements within the time periods required under SEC rules, could be a</w:t>
      </w:r>
      <w:r>
        <w:rPr>
          <w:rFonts w:ascii="Arial" w:hAnsi="Arial" w:cs="Arial"/>
          <w:sz w:val="20"/>
          <w:szCs w:val="20"/>
        </w:rPr>
        <w:t>dversely affected. This may in turn adversely affect our reputation and business and the market price of our Class A common stock. In addition, any such failures could result in litigation o</w:t>
      </w:r>
      <w:r>
        <w:rPr>
          <w:rFonts w:ascii="Arial" w:hAnsi="Arial" w:cs="Arial"/>
          <w:sz w:val="20"/>
          <w:szCs w:val="20"/>
        </w:rPr>
        <w:t>r</w:t>
      </w:r>
      <w:r>
        <w:rPr>
          <w:rFonts w:ascii="Arial" w:hAnsi="Arial" w:cs="Arial"/>
          <w:sz w:val="20"/>
          <w:szCs w:val="20"/>
        </w:rPr>
        <w:t xml:space="preserve"> </w:t>
      </w:r>
    </w:p>
    <w:p w:rsidR="00000000" w:rsidRDefault="00010F15">
      <w:pPr>
        <w:pStyle w:val="a3"/>
        <w:spacing w:before="0" w:beforeAutospacing="0" w:after="0" w:afterAutospacing="0"/>
        <w:jc w:val="center"/>
        <w:rPr>
          <w:sz w:val="20"/>
          <w:szCs w:val="20"/>
        </w:rPr>
      </w:pPr>
      <w:r>
        <w:rPr>
          <w:rFonts w:ascii="Arial" w:hAnsi="Arial" w:cs="Arial"/>
          <w:sz w:val="20"/>
          <w:szCs w:val="20"/>
        </w:rPr>
        <w:t>3</w:t>
      </w:r>
      <w:r>
        <w:rPr>
          <w:rFonts w:ascii="Arial" w:hAnsi="Arial" w:cs="Arial"/>
          <w:sz w:val="20"/>
          <w:szCs w:val="20"/>
        </w:rPr>
        <w:t>6</w:t>
      </w:r>
    </w:p>
    <w:p w:rsidR="00000000" w:rsidRDefault="00010F15">
      <w:pPr>
        <w:rPr>
          <w:rFonts w:eastAsia="Times New Roman"/>
        </w:rPr>
      </w:pPr>
      <w:r>
        <w:rPr>
          <w:rFonts w:eastAsia="Times New Roman"/>
        </w:rPr>
        <w:pict>
          <v:rect id="_x0000_i1060"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120" w:beforeAutospacing="0" w:after="0" w:afterAutospacing="0"/>
        <w:rPr>
          <w:sz w:val="20"/>
          <w:szCs w:val="20"/>
        </w:rPr>
      </w:pPr>
      <w:r>
        <w:rPr>
          <w:rFonts w:ascii="Arial" w:hAnsi="Arial" w:cs="Arial"/>
          <w:sz w:val="20"/>
          <w:szCs w:val="20"/>
        </w:rPr>
        <w:t>regulatory actions by the SEC or other regulatory authorities, loss of investor confidence, delisting of our Class A common stock and diversion of financial and management resources from the operation of our business</w:t>
      </w:r>
      <w:r>
        <w:rPr>
          <w:rFonts w:ascii="Arial" w:hAnsi="Arial" w:cs="Arial"/>
          <w:sz w:val="20"/>
          <w:szCs w:val="20"/>
        </w:rPr>
        <w:t>.</w:t>
      </w:r>
      <w:r>
        <w:rPr>
          <w:rFonts w:ascii="Arial" w:hAnsi="Arial" w:cs="Arial"/>
          <w:sz w:val="20"/>
          <w:szCs w:val="20"/>
        </w:rPr>
        <w:t xml:space="preserve"> </w:t>
      </w:r>
    </w:p>
    <w:p w:rsidR="00000000" w:rsidRDefault="00010F15">
      <w:pPr>
        <w:pStyle w:val="a3"/>
        <w:spacing w:before="240" w:beforeAutospacing="0" w:after="0" w:afterAutospacing="0"/>
        <w:rPr>
          <w:sz w:val="20"/>
          <w:szCs w:val="20"/>
        </w:rPr>
      </w:pPr>
      <w:r>
        <w:rPr>
          <w:rFonts w:ascii="Arial" w:hAnsi="Arial" w:cs="Arial"/>
          <w:b/>
          <w:bCs/>
          <w:i/>
          <w:iCs/>
          <w:sz w:val="20"/>
          <w:szCs w:val="20"/>
        </w:rPr>
        <w:t>The requirements of being a public co</w:t>
      </w:r>
      <w:r>
        <w:rPr>
          <w:rFonts w:ascii="Arial" w:hAnsi="Arial" w:cs="Arial"/>
          <w:b/>
          <w:bCs/>
          <w:i/>
          <w:iCs/>
          <w:sz w:val="20"/>
          <w:szCs w:val="20"/>
        </w:rPr>
        <w:t>mpany may strain our resources, result in more litigation and divert management’s attention</w:t>
      </w:r>
      <w:r>
        <w:rPr>
          <w:rFonts w:ascii="Arial" w:hAnsi="Arial" w:cs="Arial"/>
          <w:b/>
          <w:bCs/>
          <w:i/>
          <w:iCs/>
          <w:sz w:val="20"/>
          <w:szCs w:val="20"/>
        </w:rPr>
        <w:t>.</w:t>
      </w:r>
      <w:r>
        <w:rPr>
          <w:rFonts w:ascii="Arial" w:hAnsi="Arial" w:cs="Arial"/>
          <w:b/>
          <w:bCs/>
          <w:i/>
          <w:iCs/>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We are subject to the requirements of the Securities Exchange Act of 1934, as amended, or the Exchange Act, the Sarbanes-Oxley Act, the Dodd-Frank Wall Street Reform and Consumer Protection Act, the listing requirements of the New York Stock Exchange and o</w:t>
      </w:r>
      <w:r>
        <w:rPr>
          <w:rFonts w:ascii="Arial" w:hAnsi="Arial" w:cs="Arial"/>
          <w:sz w:val="20"/>
          <w:szCs w:val="20"/>
        </w:rPr>
        <w:t>ther applicable securities rules and regulations. Complying with these rules and regulations has increased and will continue to increase our legal and financial compliance costs, make some activities more difficult, time consuming or costly and increase de</w:t>
      </w:r>
      <w:r>
        <w:rPr>
          <w:rFonts w:ascii="Arial" w:hAnsi="Arial" w:cs="Arial"/>
          <w:sz w:val="20"/>
          <w:szCs w:val="20"/>
        </w:rPr>
        <w:t>mand on our systems and resources. The Sarbanes-Oxley Act requires, among other things, that we maintain effective disclosure controls and procedures and internal control over financial reporting. We are required to disclose changes made in our internal co</w:t>
      </w:r>
      <w:r>
        <w:rPr>
          <w:rFonts w:ascii="Arial" w:hAnsi="Arial" w:cs="Arial"/>
          <w:sz w:val="20"/>
          <w:szCs w:val="20"/>
        </w:rPr>
        <w:t>ntrol and procedures on a quarterly basis. In order to maintain and, if required, improve our disclosure controls and procedures and internal control over financial reporting to meet this standard, significant resources and management oversight are require</w:t>
      </w:r>
      <w:r>
        <w:rPr>
          <w:rFonts w:ascii="Arial" w:hAnsi="Arial" w:cs="Arial"/>
          <w:sz w:val="20"/>
          <w:szCs w:val="20"/>
        </w:rPr>
        <w:t>d. As a result, management’s attention may be diverted from other business concerns, which could adversely affect our business and operating results. We have and may need to continue to hire additional employees or engage outside consultants to comply with</w:t>
      </w:r>
      <w:r>
        <w:rPr>
          <w:rFonts w:ascii="Arial" w:hAnsi="Arial" w:cs="Arial"/>
          <w:sz w:val="20"/>
          <w:szCs w:val="20"/>
        </w:rPr>
        <w:t xml:space="preserve"> these requirements, which has and will increase our costs and expenses</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In addition, changing laws, regulations and standards relating to corporate governance and public disclosure are creating uncertainty for public companies, increasing legal and finan</w:t>
      </w:r>
      <w:r>
        <w:rPr>
          <w:rFonts w:ascii="Arial" w:hAnsi="Arial" w:cs="Arial"/>
          <w:sz w:val="20"/>
          <w:szCs w:val="20"/>
        </w:rPr>
        <w:t>cial compliance costs and making some activities more time consuming. These laws, regulations and standards are subject to varying interpretations, in many cases due to their lack of specificity, and, as a result, their application in practice may evolve o</w:t>
      </w:r>
      <w:r>
        <w:rPr>
          <w:rFonts w:ascii="Arial" w:hAnsi="Arial" w:cs="Arial"/>
          <w:sz w:val="20"/>
          <w:szCs w:val="20"/>
        </w:rPr>
        <w:t>ver time as new guidance is provided by regulatory and governing bodies. This could result in continuing uncertainty regarding compliance matters and higher costs necessitated by ongoing revisions to disclosure and governance practices. We intend to invest</w:t>
      </w:r>
      <w:r>
        <w:rPr>
          <w:rFonts w:ascii="Arial" w:hAnsi="Arial" w:cs="Arial"/>
          <w:sz w:val="20"/>
          <w:szCs w:val="20"/>
        </w:rPr>
        <w:t xml:space="preserve"> resources to comply with evolving laws, regulations and standards, and this investment may result in increased general and administrative expenses and a diversion of management’s time and attention from revenue-generating activities to compliance activiti</w:t>
      </w:r>
      <w:r>
        <w:rPr>
          <w:rFonts w:ascii="Arial" w:hAnsi="Arial" w:cs="Arial"/>
          <w:sz w:val="20"/>
          <w:szCs w:val="20"/>
        </w:rPr>
        <w:t>es. If our efforts to comply with new laws, regulations and standards differ from the activities intended by regulatory or governing bodies, due to ambiguities related to their application and practice or for other reasons, regulatory authorities may initi</w:t>
      </w:r>
      <w:r>
        <w:rPr>
          <w:rFonts w:ascii="Arial" w:hAnsi="Arial" w:cs="Arial"/>
          <w:sz w:val="20"/>
          <w:szCs w:val="20"/>
        </w:rPr>
        <w:t>ate legal proceedings against us and our business may be adversely affected</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These new rules and regulations may make it more expensive for us to maintain director and officer liability insurance, and in the future, we may be required to accept reduced co</w:t>
      </w:r>
      <w:r>
        <w:rPr>
          <w:rFonts w:ascii="Arial" w:hAnsi="Arial" w:cs="Arial"/>
          <w:sz w:val="20"/>
          <w:szCs w:val="20"/>
        </w:rPr>
        <w:t>verage or incur substantially higher costs to obtain coverage. These factors could also make it more difficult for us to attract and retain qualified members of our board of directors, particularly to serve on our audit committee and compensation committee</w:t>
      </w:r>
      <w:r>
        <w:rPr>
          <w:rFonts w:ascii="Arial" w:hAnsi="Arial" w:cs="Arial"/>
          <w:sz w:val="20"/>
          <w:szCs w:val="20"/>
        </w:rPr>
        <w:t>, and qualified executive officers</w:t>
      </w:r>
      <w:r>
        <w:rPr>
          <w:rFonts w:ascii="Arial" w:hAnsi="Arial" w:cs="Arial"/>
          <w:sz w:val="20"/>
          <w:szCs w:val="20"/>
        </w:rPr>
        <w:t>.</w:t>
      </w:r>
      <w:r>
        <w:rPr>
          <w:rFonts w:ascii="Arial" w:hAnsi="Arial" w:cs="Arial"/>
          <w:sz w:val="20"/>
          <w:szCs w:val="20"/>
        </w:rPr>
        <w:t xml:space="preserve"> </w:t>
      </w:r>
    </w:p>
    <w:p w:rsidR="00000000" w:rsidRDefault="00010F15">
      <w:pPr>
        <w:pStyle w:val="a3"/>
        <w:spacing w:before="240" w:beforeAutospacing="0" w:after="0" w:afterAutospacing="0"/>
        <w:rPr>
          <w:sz w:val="20"/>
          <w:szCs w:val="20"/>
        </w:rPr>
      </w:pPr>
      <w:r>
        <w:rPr>
          <w:rFonts w:ascii="Arial" w:hAnsi="Arial" w:cs="Arial"/>
          <w:b/>
          <w:bCs/>
          <w:i/>
          <w:iCs/>
          <w:sz w:val="20"/>
          <w:szCs w:val="20"/>
        </w:rPr>
        <w:t>We are subject to laws and regulations regarding export control, import, economic and trade sanctions, anti-money laundering and counter-terror financing that could impair our ability to compete in international markets</w:t>
      </w:r>
      <w:r>
        <w:rPr>
          <w:rFonts w:ascii="Arial" w:hAnsi="Arial" w:cs="Arial"/>
          <w:b/>
          <w:bCs/>
          <w:i/>
          <w:iCs/>
          <w:sz w:val="20"/>
          <w:szCs w:val="20"/>
        </w:rPr>
        <w:t xml:space="preserve"> or subject us to criminal or civil liability if we violate them</w:t>
      </w:r>
      <w:r>
        <w:rPr>
          <w:rFonts w:ascii="Arial" w:hAnsi="Arial" w:cs="Arial"/>
          <w:b/>
          <w:bCs/>
          <w:i/>
          <w:iCs/>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We plan to expand internationally and will thus become subject to additional laws and regulations for which we will need to implement new regulatory compliance controls. In some cases, our p</w:t>
      </w:r>
      <w:r>
        <w:rPr>
          <w:rFonts w:ascii="Arial" w:hAnsi="Arial" w:cs="Arial"/>
          <w:sz w:val="20"/>
          <w:szCs w:val="20"/>
        </w:rPr>
        <w:t>roducts are subject to export control laws and regulations, including the Export Administration Regulations administered by the U.S. Department of Commerce, and our activities may be subject to trade and economic sanctions, including U.S. economic and trad</w:t>
      </w:r>
      <w:r>
        <w:rPr>
          <w:rFonts w:ascii="Arial" w:hAnsi="Arial" w:cs="Arial"/>
          <w:sz w:val="20"/>
          <w:szCs w:val="20"/>
        </w:rPr>
        <w:t xml:space="preserve">e sanctions administered by the U.S. Department of Treasury’s Office of Foreign Assets Control, or OFAC, which we collectively refer to as trade controls. As such, a license may be required to export or re-export our products, or provide related services, </w:t>
      </w:r>
      <w:r>
        <w:rPr>
          <w:rFonts w:ascii="Arial" w:hAnsi="Arial" w:cs="Arial"/>
          <w:sz w:val="20"/>
          <w:szCs w:val="20"/>
        </w:rPr>
        <w:t>to certain countries and billers and financial institutions. Further, our products incorporating encryption functionality may be subject to special controls applying to encryption items or certain reporting requirements. The process for obtaining necessary</w:t>
      </w:r>
      <w:r>
        <w:rPr>
          <w:rFonts w:ascii="Arial" w:hAnsi="Arial" w:cs="Arial"/>
          <w:sz w:val="20"/>
          <w:szCs w:val="20"/>
        </w:rPr>
        <w:t xml:space="preserve"> licenses may be time-consuming or unsuccessful, potentially causing delays in sales or losses of sales opportunities</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We have procedures in place designed to ensure our compliance with trade controls, with which failure to comply could subject us to both</w:t>
      </w:r>
      <w:r>
        <w:rPr>
          <w:rFonts w:ascii="Arial" w:hAnsi="Arial" w:cs="Arial"/>
          <w:sz w:val="20"/>
          <w:szCs w:val="20"/>
        </w:rPr>
        <w:t xml:space="preserve"> civil and criminal penalties, including substantial fines, possible incarceration of responsible individuals for willful violations, possible loss of our export or import privileges and reputational harm. For example, we have processes in place to comply </w:t>
      </w:r>
      <w:r>
        <w:rPr>
          <w:rFonts w:ascii="Arial" w:hAnsi="Arial" w:cs="Arial"/>
          <w:sz w:val="20"/>
          <w:szCs w:val="20"/>
        </w:rPr>
        <w:t>with the OFAC regulations as well as similar requirements in other jurisdictions. As part of our compliance efforts, we scan our billers against OFAC and other watchlists. If our platform is accessed from a sanctioned country in violation of trade and econ</w:t>
      </w:r>
      <w:r>
        <w:rPr>
          <w:rFonts w:ascii="Arial" w:hAnsi="Arial" w:cs="Arial"/>
          <w:sz w:val="20"/>
          <w:szCs w:val="20"/>
        </w:rPr>
        <w:t>omic sanctions, we could be subject to fines or other enforcement action. Although we have no knowledge that our activities have resulted in violations of trade controls, any failure by us or our partners to comply with applicable laws and regulations woul</w:t>
      </w:r>
      <w:r>
        <w:rPr>
          <w:rFonts w:ascii="Arial" w:hAnsi="Arial" w:cs="Arial"/>
          <w:sz w:val="20"/>
          <w:szCs w:val="20"/>
        </w:rPr>
        <w:t>d have negative consequences for us, including reputational harm, government investigations and penalties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In addition, various countries regulate the import of certain encryption technology, including through import permit and license requirements, and ha</w:t>
      </w:r>
      <w:r>
        <w:rPr>
          <w:rFonts w:ascii="Arial" w:hAnsi="Arial" w:cs="Arial"/>
          <w:sz w:val="20"/>
          <w:szCs w:val="20"/>
        </w:rPr>
        <w:t>ve enacted laws that could limit our ability to distribute our products or could limit billers’ and financial institutions' ability to implement our products in those countries. Changes in our products or changes i</w:t>
      </w:r>
      <w:r>
        <w:rPr>
          <w:rFonts w:ascii="Arial" w:hAnsi="Arial" w:cs="Arial"/>
          <w:sz w:val="20"/>
          <w:szCs w:val="20"/>
        </w:rPr>
        <w:t>n</w:t>
      </w:r>
      <w:r>
        <w:rPr>
          <w:rFonts w:ascii="Arial" w:hAnsi="Arial" w:cs="Arial"/>
          <w:sz w:val="20"/>
          <w:szCs w:val="20"/>
        </w:rPr>
        <w:t xml:space="preserve"> </w:t>
      </w:r>
    </w:p>
    <w:p w:rsidR="00000000" w:rsidRDefault="00010F15">
      <w:pPr>
        <w:pStyle w:val="a3"/>
        <w:spacing w:before="0" w:beforeAutospacing="0" w:after="0" w:afterAutospacing="0"/>
        <w:jc w:val="center"/>
        <w:rPr>
          <w:sz w:val="20"/>
          <w:szCs w:val="20"/>
        </w:rPr>
      </w:pPr>
      <w:r>
        <w:rPr>
          <w:rFonts w:ascii="Arial" w:hAnsi="Arial" w:cs="Arial"/>
          <w:sz w:val="20"/>
          <w:szCs w:val="20"/>
        </w:rPr>
        <w:t>3</w:t>
      </w:r>
      <w:r>
        <w:rPr>
          <w:rFonts w:ascii="Arial" w:hAnsi="Arial" w:cs="Arial"/>
          <w:sz w:val="20"/>
          <w:szCs w:val="20"/>
        </w:rPr>
        <w:t>7</w:t>
      </w:r>
    </w:p>
    <w:p w:rsidR="00000000" w:rsidRDefault="00010F15">
      <w:pPr>
        <w:rPr>
          <w:rFonts w:eastAsia="Times New Roman"/>
        </w:rPr>
      </w:pPr>
      <w:r>
        <w:rPr>
          <w:rFonts w:eastAsia="Times New Roman"/>
        </w:rPr>
        <w:pict>
          <v:rect id="_x0000_i1061"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120" w:beforeAutospacing="0" w:after="0" w:afterAutospacing="0"/>
        <w:rPr>
          <w:sz w:val="20"/>
          <w:szCs w:val="20"/>
        </w:rPr>
      </w:pPr>
      <w:r>
        <w:rPr>
          <w:rFonts w:ascii="Arial" w:hAnsi="Arial" w:cs="Arial"/>
          <w:sz w:val="20"/>
          <w:szCs w:val="20"/>
        </w:rPr>
        <w:t>export and import regulations in such countries may create delays in the introduction of our products into international markets, prevent billers with international operations from deploying our products globally or, in some cases, prevent or delay the e</w:t>
      </w:r>
      <w:r>
        <w:rPr>
          <w:rFonts w:ascii="Arial" w:hAnsi="Arial" w:cs="Arial"/>
          <w:sz w:val="20"/>
          <w:szCs w:val="20"/>
        </w:rPr>
        <w:t>xport or import of our products to certain countries, governments or persons altogether. Any change in export or import laws or regulations, economic sanctions or related legislation, shift in the enforcement or scope of existing export, import or sanction</w:t>
      </w:r>
      <w:r>
        <w:rPr>
          <w:rFonts w:ascii="Arial" w:hAnsi="Arial" w:cs="Arial"/>
          <w:sz w:val="20"/>
          <w:szCs w:val="20"/>
        </w:rPr>
        <w:t>s laws or regulations, or change in the countries, governments, persons or technologies targeted by such export, import or sanctions laws or regulations, could result in decreased use of our products by, or in our decreased ability to export or sell our pr</w:t>
      </w:r>
      <w:r>
        <w:rPr>
          <w:rFonts w:ascii="Arial" w:hAnsi="Arial" w:cs="Arial"/>
          <w:sz w:val="20"/>
          <w:szCs w:val="20"/>
        </w:rPr>
        <w:t>oducts to, existing or potential billers and financial institutions with international operations. Any decreased use of our products or limitation on our ability to export to or sell our products in international markets could adversely affect our business</w:t>
      </w:r>
      <w:r>
        <w:rPr>
          <w:rFonts w:ascii="Arial" w:hAnsi="Arial" w:cs="Arial"/>
          <w:sz w:val="20"/>
          <w:szCs w:val="20"/>
        </w:rPr>
        <w:t>, operating results and financial condition</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We are also subject to various anti-money laundering and counter-terrorist financing laws and regulations around the world that prohibit, among other things, our involvement in transferring the proceeds of crimi</w:t>
      </w:r>
      <w:r>
        <w:rPr>
          <w:rFonts w:ascii="Arial" w:hAnsi="Arial" w:cs="Arial"/>
          <w:sz w:val="20"/>
          <w:szCs w:val="20"/>
        </w:rPr>
        <w:t>nal activities. There has been increased scrutiny in the United States and globally regarding compliance with these laws and regulations, which may require us to further revise or expand our compliance program, including the procedures we use to verify the</w:t>
      </w:r>
      <w:r>
        <w:rPr>
          <w:rFonts w:ascii="Arial" w:hAnsi="Arial" w:cs="Arial"/>
          <w:sz w:val="20"/>
          <w:szCs w:val="20"/>
        </w:rPr>
        <w:t xml:space="preserve"> identity of our billers</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We are subject to anti-corruption, anti-bribery and similar laws, and non-compliance with such laws can subject us to criminal or civil liability and harm our business</w:t>
      </w:r>
      <w:r>
        <w:rPr>
          <w:rFonts w:ascii="Arial" w:hAnsi="Arial" w:cs="Arial"/>
          <w:b/>
          <w:bCs/>
          <w:i/>
          <w:iCs/>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We are subject to the FCPA, U.S. domestic bribery laws and ot</w:t>
      </w:r>
      <w:r>
        <w:rPr>
          <w:rFonts w:ascii="Arial" w:hAnsi="Arial" w:cs="Arial"/>
          <w:sz w:val="20"/>
          <w:szCs w:val="20"/>
        </w:rPr>
        <w:t xml:space="preserve">her anti-corruption laws. Anti-corruption and anti-bribery laws have been enforced aggressively in recent years and are interpreted broadly to generally prohibit companies, their employees and their third-party intermediaries from authorizing, offering or </w:t>
      </w:r>
      <w:r>
        <w:rPr>
          <w:rFonts w:ascii="Arial" w:hAnsi="Arial" w:cs="Arial"/>
          <w:sz w:val="20"/>
          <w:szCs w:val="20"/>
        </w:rPr>
        <w:t>providing, directly or indirectly, improper payments or benefits to recipients in the public sector. These laws also require that we keep accurate books and records and maintain internal controls and compliance procedures designed to prevent any such actio</w:t>
      </w:r>
      <w:r>
        <w:rPr>
          <w:rFonts w:ascii="Arial" w:hAnsi="Arial" w:cs="Arial"/>
          <w:sz w:val="20"/>
          <w:szCs w:val="20"/>
        </w:rPr>
        <w:t>ns. Although we currently only maintain operations in the United States, Canada and India, as we increase our international cross-border business and expand operations abroad, we may engage with business partners and third-party intermediaries to market ou</w:t>
      </w:r>
      <w:r>
        <w:rPr>
          <w:rFonts w:ascii="Arial" w:hAnsi="Arial" w:cs="Arial"/>
          <w:sz w:val="20"/>
          <w:szCs w:val="20"/>
        </w:rPr>
        <w:t>r services and to obtain necessary permits, licenses and other regulatory approvals. Our operations are dependent in part upon transmission bandwidth provided by third-party network providers and access to co-location facilities to house our servers, which</w:t>
      </w:r>
      <w:r>
        <w:rPr>
          <w:rFonts w:ascii="Arial" w:hAnsi="Arial" w:cs="Arial"/>
          <w:sz w:val="20"/>
          <w:szCs w:val="20"/>
        </w:rPr>
        <w:t xml:space="preserve"> in some countries may be state owned. Similarly, some of our billers and financial institutions may be state-owned, in each case exposing us to potential risks. In addition, we or our third-party intermediaries may have direct or indirect interactions wit</w:t>
      </w:r>
      <w:r>
        <w:rPr>
          <w:rFonts w:ascii="Arial" w:hAnsi="Arial" w:cs="Arial"/>
          <w:sz w:val="20"/>
          <w:szCs w:val="20"/>
        </w:rPr>
        <w:t>h officials and employees of government agencies or state-owned or affiliated entities. We can be held liable for the corrupt or other illegal activities of these third-party intermediaries, our employees, representatives, contractors, partners and agents,</w:t>
      </w:r>
      <w:r>
        <w:rPr>
          <w:rFonts w:ascii="Arial" w:hAnsi="Arial" w:cs="Arial"/>
          <w:sz w:val="20"/>
          <w:szCs w:val="20"/>
        </w:rPr>
        <w:t xml:space="preserve"> even if we do not explicitly authorize such activities. We cannot assure you that all of our employees and agents will not take actions in violation of our policies and applicable law, for which we may be ultimately held responsible. As we increase our in</w:t>
      </w:r>
      <w:r>
        <w:rPr>
          <w:rFonts w:ascii="Arial" w:hAnsi="Arial" w:cs="Arial"/>
          <w:sz w:val="20"/>
          <w:szCs w:val="20"/>
        </w:rPr>
        <w:t>ternational business, our risks under these laws may increase</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Detecting, investigating and resolving actual or alleged violations of anti-corruption laws can require a significant diversion of time, resources and attention from management. In addition, no</w:t>
      </w:r>
      <w:r>
        <w:rPr>
          <w:rFonts w:ascii="Arial" w:hAnsi="Arial" w:cs="Arial"/>
          <w:sz w:val="20"/>
          <w:szCs w:val="20"/>
        </w:rPr>
        <w:t>ncompliance with anti-corruption or anti-bribery laws could subject us to whistleblower complaints, investigations, sanctions, settlements, prosecution, enforcement actions, fines, damages, other civil or criminal penalties, injunctions, suspension or deba</w:t>
      </w:r>
      <w:r>
        <w:rPr>
          <w:rFonts w:ascii="Arial" w:hAnsi="Arial" w:cs="Arial"/>
          <w:sz w:val="20"/>
          <w:szCs w:val="20"/>
        </w:rPr>
        <w:t xml:space="preserve">rment from contracting with certain persons, reputational harm, adverse media coverage and other collateral consequences. If any subpoenas are received or investigations are launched, or governmental or other sanctions are imposed, or if we do not prevail </w:t>
      </w:r>
      <w:r>
        <w:rPr>
          <w:rFonts w:ascii="Arial" w:hAnsi="Arial" w:cs="Arial"/>
          <w:sz w:val="20"/>
          <w:szCs w:val="20"/>
        </w:rPr>
        <w:t>in any possible civil or criminal proceeding, our business, operating results and financial condition could be materially harmed</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Changes in our effective tax rate or tax liability may adversely affect our operating results</w:t>
      </w:r>
      <w:r>
        <w:rPr>
          <w:rFonts w:ascii="Arial" w:hAnsi="Arial" w:cs="Arial"/>
          <w:b/>
          <w:bCs/>
          <w:i/>
          <w:iCs/>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Our effective tax rate could in</w:t>
      </w:r>
      <w:r>
        <w:rPr>
          <w:rFonts w:ascii="Arial" w:hAnsi="Arial" w:cs="Arial"/>
          <w:sz w:val="20"/>
          <w:szCs w:val="20"/>
        </w:rPr>
        <w:t>crease due to several factors, including</w:t>
      </w:r>
      <w:r>
        <w:rPr>
          <w:rFonts w:ascii="Arial" w:hAnsi="Arial" w:cs="Arial"/>
          <w:sz w:val="20"/>
          <w:szCs w:val="20"/>
        </w:rPr>
        <w:t>:</w:t>
      </w:r>
    </w:p>
    <w:p w:rsidR="00000000" w:rsidRDefault="00010F15">
      <w:pPr>
        <w:divId w:val="2079091575"/>
        <w:rPr>
          <w:rFonts w:eastAsia="Times New Roman"/>
        </w:rPr>
      </w:pPr>
      <w:r>
        <w:rPr>
          <w:rFonts w:eastAsia="Times New Roman"/>
          <w:sz w:val="20"/>
          <w:szCs w:val="20"/>
        </w:rPr>
        <w:t>•</w:t>
      </w:r>
    </w:p>
    <w:p w:rsidR="00000000" w:rsidRDefault="00010F15">
      <w:pPr>
        <w:divId w:val="1988431272"/>
        <w:rPr>
          <w:rFonts w:eastAsia="Times New Roman"/>
        </w:rPr>
      </w:pPr>
      <w:r>
        <w:rPr>
          <w:rFonts w:ascii="Arial" w:eastAsia="Times New Roman" w:hAnsi="Arial" w:cs="Arial"/>
          <w:sz w:val="20"/>
          <w:szCs w:val="20"/>
        </w:rPr>
        <w:t>changes in the relative amounts of income before taxes in the various jurisdictions in which we operate due to differing statutory tax rates in various jurisdictions</w:t>
      </w:r>
      <w:r>
        <w:rPr>
          <w:rFonts w:ascii="Arial" w:eastAsia="Times New Roman" w:hAnsi="Arial" w:cs="Arial"/>
          <w:sz w:val="20"/>
          <w:szCs w:val="20"/>
        </w:rPr>
        <w:t>;</w:t>
      </w:r>
    </w:p>
    <w:p w:rsidR="00000000" w:rsidRDefault="00010F15">
      <w:pPr>
        <w:divId w:val="1566913964"/>
        <w:rPr>
          <w:rFonts w:eastAsia="Times New Roman"/>
        </w:rPr>
      </w:pPr>
      <w:r>
        <w:rPr>
          <w:rFonts w:eastAsia="Times New Roman"/>
          <w:sz w:val="20"/>
          <w:szCs w:val="20"/>
        </w:rPr>
        <w:t>•</w:t>
      </w:r>
    </w:p>
    <w:p w:rsidR="00000000" w:rsidRDefault="00010F15">
      <w:pPr>
        <w:divId w:val="1721131194"/>
        <w:rPr>
          <w:rFonts w:eastAsia="Times New Roman"/>
        </w:rPr>
      </w:pPr>
      <w:r>
        <w:rPr>
          <w:rFonts w:ascii="Arial" w:eastAsia="Times New Roman" w:hAnsi="Arial" w:cs="Arial"/>
          <w:sz w:val="20"/>
          <w:szCs w:val="20"/>
        </w:rPr>
        <w:t>changes in tax laws, tax treaties and regulations or the interpretation thereof, including the Tax Cuts and Jobs Act of 2017, as modified by the Coronavirus Aid, Relief, and Economic Security Act and the Emergency Coronavirus Relief Act</w:t>
      </w:r>
      <w:r>
        <w:rPr>
          <w:rFonts w:ascii="Arial" w:eastAsia="Times New Roman" w:hAnsi="Arial" w:cs="Arial"/>
          <w:sz w:val="20"/>
          <w:szCs w:val="20"/>
        </w:rPr>
        <w:t>;</w:t>
      </w:r>
    </w:p>
    <w:p w:rsidR="00000000" w:rsidRDefault="00010F15">
      <w:pPr>
        <w:divId w:val="270279478"/>
        <w:rPr>
          <w:rFonts w:eastAsia="Times New Roman"/>
        </w:rPr>
      </w:pPr>
      <w:r>
        <w:rPr>
          <w:rFonts w:eastAsia="Times New Roman"/>
          <w:sz w:val="20"/>
          <w:szCs w:val="20"/>
        </w:rPr>
        <w:t>•</w:t>
      </w:r>
    </w:p>
    <w:p w:rsidR="00000000" w:rsidRDefault="00010F15">
      <w:pPr>
        <w:divId w:val="366878809"/>
        <w:rPr>
          <w:rFonts w:eastAsia="Times New Roman"/>
        </w:rPr>
      </w:pPr>
      <w:r>
        <w:rPr>
          <w:rFonts w:ascii="Arial" w:eastAsia="Times New Roman" w:hAnsi="Arial" w:cs="Arial"/>
          <w:sz w:val="20"/>
          <w:szCs w:val="20"/>
        </w:rPr>
        <w:t>changes to our a</w:t>
      </w:r>
      <w:r>
        <w:rPr>
          <w:rFonts w:ascii="Arial" w:eastAsia="Times New Roman" w:hAnsi="Arial" w:cs="Arial"/>
          <w:sz w:val="20"/>
          <w:szCs w:val="20"/>
        </w:rPr>
        <w:t>ssessment about our ability to realize our deferred tax assets that are based on estimates of our future results, the prudence and feasibility of possible tax planning strategies and the economic and political environments in which we do business</w:t>
      </w:r>
      <w:r>
        <w:rPr>
          <w:rFonts w:ascii="Arial" w:eastAsia="Times New Roman" w:hAnsi="Arial" w:cs="Arial"/>
          <w:sz w:val="20"/>
          <w:szCs w:val="20"/>
        </w:rPr>
        <w:t>;</w:t>
      </w:r>
    </w:p>
    <w:p w:rsidR="00000000" w:rsidRDefault="00010F15">
      <w:pPr>
        <w:divId w:val="1992251169"/>
        <w:rPr>
          <w:rFonts w:eastAsia="Times New Roman"/>
        </w:rPr>
      </w:pPr>
      <w:r>
        <w:rPr>
          <w:rFonts w:eastAsia="Times New Roman"/>
          <w:sz w:val="20"/>
          <w:szCs w:val="20"/>
        </w:rPr>
        <w:t>•</w:t>
      </w:r>
    </w:p>
    <w:p w:rsidR="00000000" w:rsidRDefault="00010F15">
      <w:pPr>
        <w:divId w:val="1864710498"/>
        <w:rPr>
          <w:rFonts w:eastAsia="Times New Roman"/>
        </w:rPr>
      </w:pPr>
      <w:r>
        <w:rPr>
          <w:rFonts w:ascii="Arial" w:eastAsia="Times New Roman" w:hAnsi="Arial" w:cs="Arial"/>
          <w:sz w:val="20"/>
          <w:szCs w:val="20"/>
        </w:rPr>
        <w:t>the ou</w:t>
      </w:r>
      <w:r>
        <w:rPr>
          <w:rFonts w:ascii="Arial" w:eastAsia="Times New Roman" w:hAnsi="Arial" w:cs="Arial"/>
          <w:sz w:val="20"/>
          <w:szCs w:val="20"/>
        </w:rPr>
        <w:t>tcome of current and future tax audits, examinations or administrative appeals; an</w:t>
      </w:r>
      <w:r>
        <w:rPr>
          <w:rFonts w:ascii="Arial" w:eastAsia="Times New Roman" w:hAnsi="Arial" w:cs="Arial"/>
          <w:sz w:val="20"/>
          <w:szCs w:val="20"/>
        </w:rPr>
        <w:t>d</w:t>
      </w:r>
    </w:p>
    <w:p w:rsidR="00000000" w:rsidRDefault="00010F15">
      <w:pPr>
        <w:divId w:val="555170234"/>
        <w:rPr>
          <w:rFonts w:eastAsia="Times New Roman"/>
        </w:rPr>
      </w:pPr>
      <w:r>
        <w:rPr>
          <w:rFonts w:eastAsia="Times New Roman"/>
          <w:sz w:val="20"/>
          <w:szCs w:val="20"/>
        </w:rPr>
        <w:t>•</w:t>
      </w:r>
    </w:p>
    <w:p w:rsidR="00000000" w:rsidRDefault="00010F15">
      <w:pPr>
        <w:divId w:val="1033118350"/>
        <w:rPr>
          <w:rFonts w:eastAsia="Times New Roman"/>
        </w:rPr>
      </w:pPr>
      <w:r>
        <w:rPr>
          <w:rFonts w:ascii="Arial" w:eastAsia="Times New Roman" w:hAnsi="Arial" w:cs="Arial"/>
          <w:sz w:val="20"/>
          <w:szCs w:val="20"/>
        </w:rPr>
        <w:t>limitations or adverse findings regarding our ability to do business in some jurisdictions</w:t>
      </w:r>
      <w:r>
        <w:rPr>
          <w:rFonts w:ascii="Arial" w:eastAsia="Times New Roman"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Any of these developments could adversely affect our operating results</w:t>
      </w:r>
      <w:r>
        <w:rPr>
          <w:rFonts w:ascii="Arial" w:hAnsi="Arial" w:cs="Arial"/>
          <w:sz w:val="20"/>
          <w:szCs w:val="20"/>
        </w:rPr>
        <w:t>.</w:t>
      </w:r>
    </w:p>
    <w:p w:rsidR="00000000" w:rsidRDefault="00010F15">
      <w:pPr>
        <w:pStyle w:val="a3"/>
        <w:spacing w:before="0" w:beforeAutospacing="0" w:after="0" w:afterAutospacing="0"/>
        <w:jc w:val="center"/>
        <w:rPr>
          <w:sz w:val="20"/>
          <w:szCs w:val="20"/>
        </w:rPr>
      </w:pPr>
      <w:r>
        <w:rPr>
          <w:rFonts w:ascii="Arial" w:hAnsi="Arial" w:cs="Arial"/>
          <w:sz w:val="20"/>
          <w:szCs w:val="20"/>
        </w:rPr>
        <w:t>3</w:t>
      </w:r>
      <w:r>
        <w:rPr>
          <w:rFonts w:ascii="Arial" w:hAnsi="Arial" w:cs="Arial"/>
          <w:sz w:val="20"/>
          <w:szCs w:val="20"/>
        </w:rPr>
        <w:t>8</w:t>
      </w:r>
    </w:p>
    <w:p w:rsidR="00000000" w:rsidRDefault="00010F15">
      <w:pPr>
        <w:rPr>
          <w:rFonts w:eastAsia="Times New Roman"/>
        </w:rPr>
      </w:pPr>
      <w:r>
        <w:rPr>
          <w:rFonts w:eastAsia="Times New Roman"/>
        </w:rPr>
        <w:pict>
          <v:rect id="_x0000_i1062"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240" w:beforeAutospacing="0" w:after="0" w:afterAutospacing="0"/>
        <w:jc w:val="center"/>
        <w:rPr>
          <w:sz w:val="20"/>
          <w:szCs w:val="20"/>
        </w:rPr>
      </w:pPr>
      <w:r>
        <w:rPr>
          <w:rFonts w:ascii="Arial" w:hAnsi="Arial" w:cs="Arial"/>
          <w:b/>
          <w:bCs/>
          <w:sz w:val="20"/>
          <w:szCs w:val="20"/>
        </w:rPr>
        <w:t>Risks Related to Our Technology and Intellectual Propert</w:t>
      </w:r>
      <w:r>
        <w:rPr>
          <w:rFonts w:ascii="Arial" w:hAnsi="Arial" w:cs="Arial"/>
          <w:b/>
          <w:bCs/>
          <w:sz w:val="20"/>
          <w:szCs w:val="20"/>
        </w:rPr>
        <w:t>y</w:t>
      </w:r>
    </w:p>
    <w:p w:rsidR="00000000" w:rsidRDefault="00010F15">
      <w:pPr>
        <w:pStyle w:val="a3"/>
        <w:spacing w:before="120" w:beforeAutospacing="0" w:after="0" w:afterAutospacing="0"/>
        <w:rPr>
          <w:sz w:val="20"/>
          <w:szCs w:val="20"/>
        </w:rPr>
      </w:pPr>
      <w:r>
        <w:rPr>
          <w:rFonts w:ascii="Arial" w:hAnsi="Arial" w:cs="Arial"/>
          <w:b/>
          <w:bCs/>
          <w:i/>
          <w:iCs/>
          <w:sz w:val="20"/>
          <w:szCs w:val="20"/>
        </w:rPr>
        <w:t>If we are unable to ensure that our platform interoperates with a variety of software suites, applications and other technologies that are developed by others, in</w:t>
      </w:r>
      <w:r>
        <w:rPr>
          <w:rFonts w:ascii="Arial" w:hAnsi="Arial" w:cs="Arial"/>
          <w:b/>
          <w:bCs/>
          <w:i/>
          <w:iCs/>
          <w:sz w:val="20"/>
          <w:szCs w:val="20"/>
        </w:rPr>
        <w:t>cluding our partners, or if there are performance issues with such third-party systems, our solutions will not operate effectively, we may become less competitive and our business, operating results and financial condition may be harmed</w:t>
      </w:r>
      <w:r>
        <w:rPr>
          <w:rFonts w:ascii="Arial" w:hAnsi="Arial" w:cs="Arial"/>
          <w:b/>
          <w:bCs/>
          <w:i/>
          <w:iCs/>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 xml:space="preserve">Our platform must </w:t>
      </w:r>
      <w:r>
        <w:rPr>
          <w:rFonts w:ascii="Arial" w:hAnsi="Arial" w:cs="Arial"/>
          <w:sz w:val="20"/>
          <w:szCs w:val="20"/>
        </w:rPr>
        <w:t>integrate with a variety of software suites, applications and other technologies that are developed by third parties, and we need to continuously modify and enhance our platform to adapt to changes in such software and other technologies. In particular, we</w:t>
      </w:r>
      <w:r>
        <w:rPr>
          <w:rFonts w:ascii="Arial" w:hAnsi="Arial" w:cs="Arial"/>
          <w:sz w:val="20"/>
          <w:szCs w:val="20"/>
        </w:rPr>
        <w:t xml:space="preserve"> have developed our platform to be able to easily integrate with key third-party applications of our software partners. We are typically subject to standard terms and conditions of providers of software or other technology, which govern the distribution an</w:t>
      </w:r>
      <w:r>
        <w:rPr>
          <w:rFonts w:ascii="Arial" w:hAnsi="Arial" w:cs="Arial"/>
          <w:sz w:val="20"/>
          <w:szCs w:val="20"/>
        </w:rPr>
        <w:t>d operation of such software and other technologies and are subject to change by such providers from time to time. Our business will be harmed if any provider of such software or other technologies</w:t>
      </w:r>
      <w:r>
        <w:rPr>
          <w:rFonts w:ascii="Arial" w:hAnsi="Arial" w:cs="Arial"/>
          <w:sz w:val="20"/>
          <w:szCs w:val="20"/>
        </w:rPr>
        <w:t>:</w:t>
      </w:r>
    </w:p>
    <w:p w:rsidR="00000000" w:rsidRDefault="00010F15">
      <w:pPr>
        <w:divId w:val="337657047"/>
        <w:rPr>
          <w:rFonts w:eastAsia="Times New Roman"/>
        </w:rPr>
      </w:pPr>
      <w:r>
        <w:rPr>
          <w:rFonts w:eastAsia="Times New Roman"/>
          <w:sz w:val="20"/>
          <w:szCs w:val="20"/>
        </w:rPr>
        <w:t>•</w:t>
      </w:r>
    </w:p>
    <w:p w:rsidR="00000000" w:rsidRDefault="00010F15">
      <w:pPr>
        <w:divId w:val="768617856"/>
        <w:rPr>
          <w:rFonts w:eastAsia="Times New Roman"/>
        </w:rPr>
      </w:pPr>
      <w:r>
        <w:rPr>
          <w:rFonts w:ascii="Arial" w:eastAsia="Times New Roman" w:hAnsi="Arial" w:cs="Arial"/>
          <w:sz w:val="20"/>
          <w:szCs w:val="20"/>
        </w:rPr>
        <w:t>discontinues or limits our access to its software or other technologies</w:t>
      </w:r>
      <w:r>
        <w:rPr>
          <w:rFonts w:ascii="Arial" w:eastAsia="Times New Roman" w:hAnsi="Arial" w:cs="Arial"/>
          <w:sz w:val="20"/>
          <w:szCs w:val="20"/>
        </w:rPr>
        <w:t>;</w:t>
      </w:r>
    </w:p>
    <w:p w:rsidR="00000000" w:rsidRDefault="00010F15">
      <w:pPr>
        <w:divId w:val="780995075"/>
        <w:rPr>
          <w:rFonts w:eastAsia="Times New Roman"/>
        </w:rPr>
      </w:pPr>
      <w:r>
        <w:rPr>
          <w:rFonts w:eastAsia="Times New Roman"/>
          <w:sz w:val="20"/>
          <w:szCs w:val="20"/>
        </w:rPr>
        <w:t>•</w:t>
      </w:r>
    </w:p>
    <w:p w:rsidR="00000000" w:rsidRDefault="00010F15">
      <w:pPr>
        <w:divId w:val="616907345"/>
        <w:rPr>
          <w:rFonts w:eastAsia="Times New Roman"/>
        </w:rPr>
      </w:pPr>
      <w:r>
        <w:rPr>
          <w:rFonts w:ascii="Arial" w:eastAsia="Times New Roman" w:hAnsi="Arial" w:cs="Arial"/>
          <w:sz w:val="20"/>
          <w:szCs w:val="20"/>
        </w:rPr>
        <w:t>modifies its terms of service or other legal terms or policies, including fees charged to, or other restrictions on us</w:t>
      </w:r>
      <w:r>
        <w:rPr>
          <w:rFonts w:ascii="Arial" w:eastAsia="Times New Roman" w:hAnsi="Arial" w:cs="Arial"/>
          <w:sz w:val="20"/>
          <w:szCs w:val="20"/>
        </w:rPr>
        <w:t>;</w:t>
      </w:r>
    </w:p>
    <w:p w:rsidR="00000000" w:rsidRDefault="00010F15">
      <w:pPr>
        <w:divId w:val="917329536"/>
        <w:rPr>
          <w:rFonts w:eastAsia="Times New Roman"/>
        </w:rPr>
      </w:pPr>
      <w:r>
        <w:rPr>
          <w:rFonts w:eastAsia="Times New Roman"/>
          <w:sz w:val="20"/>
          <w:szCs w:val="20"/>
        </w:rPr>
        <w:t>•</w:t>
      </w:r>
    </w:p>
    <w:p w:rsidR="00000000" w:rsidRDefault="00010F15">
      <w:pPr>
        <w:divId w:val="839124483"/>
        <w:rPr>
          <w:rFonts w:eastAsia="Times New Roman"/>
        </w:rPr>
      </w:pPr>
      <w:r>
        <w:rPr>
          <w:rFonts w:ascii="Arial" w:eastAsia="Times New Roman" w:hAnsi="Arial" w:cs="Arial"/>
          <w:sz w:val="20"/>
          <w:szCs w:val="20"/>
        </w:rPr>
        <w:t>changes how information is accessed by us or our billers, f</w:t>
      </w:r>
      <w:r>
        <w:rPr>
          <w:rFonts w:ascii="Arial" w:eastAsia="Times New Roman" w:hAnsi="Arial" w:cs="Arial"/>
          <w:sz w:val="20"/>
          <w:szCs w:val="20"/>
        </w:rPr>
        <w:t>inancial institutions or partners or their consumers</w:t>
      </w:r>
      <w:r>
        <w:rPr>
          <w:rFonts w:ascii="Arial" w:eastAsia="Times New Roman" w:hAnsi="Arial" w:cs="Arial"/>
          <w:sz w:val="20"/>
          <w:szCs w:val="20"/>
        </w:rPr>
        <w:t>;</w:t>
      </w:r>
    </w:p>
    <w:p w:rsidR="00000000" w:rsidRDefault="00010F15">
      <w:pPr>
        <w:divId w:val="1048143190"/>
        <w:rPr>
          <w:rFonts w:eastAsia="Times New Roman"/>
        </w:rPr>
      </w:pPr>
      <w:r>
        <w:rPr>
          <w:rFonts w:eastAsia="Times New Roman"/>
          <w:sz w:val="20"/>
          <w:szCs w:val="20"/>
        </w:rPr>
        <w:t>•</w:t>
      </w:r>
    </w:p>
    <w:p w:rsidR="00000000" w:rsidRDefault="00010F15">
      <w:pPr>
        <w:divId w:val="347803057"/>
        <w:rPr>
          <w:rFonts w:eastAsia="Times New Roman"/>
        </w:rPr>
      </w:pPr>
      <w:r>
        <w:rPr>
          <w:rFonts w:ascii="Arial" w:eastAsia="Times New Roman" w:hAnsi="Arial" w:cs="Arial"/>
          <w:sz w:val="20"/>
          <w:szCs w:val="20"/>
        </w:rPr>
        <w:t>has performance or other problems that affect the perception of our platform, products or services</w:t>
      </w:r>
      <w:r>
        <w:rPr>
          <w:rFonts w:ascii="Arial" w:eastAsia="Times New Roman" w:hAnsi="Arial" w:cs="Arial"/>
          <w:sz w:val="20"/>
          <w:szCs w:val="20"/>
        </w:rPr>
        <w:t>;</w:t>
      </w:r>
    </w:p>
    <w:p w:rsidR="00000000" w:rsidRDefault="00010F15">
      <w:pPr>
        <w:divId w:val="1130049016"/>
        <w:rPr>
          <w:rFonts w:eastAsia="Times New Roman"/>
        </w:rPr>
      </w:pPr>
      <w:r>
        <w:rPr>
          <w:rFonts w:eastAsia="Times New Roman"/>
          <w:sz w:val="20"/>
          <w:szCs w:val="20"/>
        </w:rPr>
        <w:t>•</w:t>
      </w:r>
    </w:p>
    <w:p w:rsidR="00000000" w:rsidRDefault="00010F15">
      <w:pPr>
        <w:divId w:val="952395264"/>
        <w:rPr>
          <w:rFonts w:eastAsia="Times New Roman"/>
        </w:rPr>
      </w:pPr>
      <w:r>
        <w:rPr>
          <w:rFonts w:ascii="Arial" w:eastAsia="Times New Roman" w:hAnsi="Arial" w:cs="Arial"/>
          <w:sz w:val="20"/>
          <w:szCs w:val="20"/>
        </w:rPr>
        <w:t>establishes exclusive or more favorable relationships with one or more of our competitors; o</w:t>
      </w:r>
      <w:r>
        <w:rPr>
          <w:rFonts w:ascii="Arial" w:eastAsia="Times New Roman" w:hAnsi="Arial" w:cs="Arial"/>
          <w:sz w:val="20"/>
          <w:szCs w:val="20"/>
        </w:rPr>
        <w:t>r</w:t>
      </w:r>
    </w:p>
    <w:p w:rsidR="00000000" w:rsidRDefault="00010F15">
      <w:pPr>
        <w:divId w:val="2047214426"/>
        <w:rPr>
          <w:rFonts w:eastAsia="Times New Roman"/>
        </w:rPr>
      </w:pPr>
      <w:r>
        <w:rPr>
          <w:rFonts w:eastAsia="Times New Roman"/>
          <w:sz w:val="20"/>
          <w:szCs w:val="20"/>
        </w:rPr>
        <w:t>•</w:t>
      </w:r>
    </w:p>
    <w:p w:rsidR="00000000" w:rsidRDefault="00010F15">
      <w:pPr>
        <w:divId w:val="436215279"/>
        <w:rPr>
          <w:rFonts w:eastAsia="Times New Roman"/>
        </w:rPr>
      </w:pPr>
      <w:r>
        <w:rPr>
          <w:rFonts w:ascii="Arial" w:eastAsia="Times New Roman" w:hAnsi="Arial" w:cs="Arial"/>
          <w:sz w:val="20"/>
          <w:szCs w:val="20"/>
        </w:rPr>
        <w:t>develops or otherwise favors its own competitive offerings over our platform or products</w:t>
      </w:r>
      <w:r>
        <w:rPr>
          <w:rFonts w:ascii="Arial" w:eastAsia="Times New Roman"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For example, to deliver a comprehensive solution, our platform integra</w:t>
      </w:r>
      <w:r>
        <w:rPr>
          <w:rFonts w:ascii="Arial" w:hAnsi="Arial" w:cs="Arial"/>
          <w:sz w:val="20"/>
          <w:szCs w:val="20"/>
        </w:rPr>
        <w:t>tes with offerings of popular software providers, including Oracle and SAP, through application program interfaces, or APIs, made available by these software providers. If any providers of software or other technologies change the features of their APIs, d</w:t>
      </w:r>
      <w:r>
        <w:rPr>
          <w:rFonts w:ascii="Arial" w:hAnsi="Arial" w:cs="Arial"/>
          <w:sz w:val="20"/>
          <w:szCs w:val="20"/>
        </w:rPr>
        <w:t>iscontinue their support of such APIs, restrict our access to their APIs or alter the terms governing their use in a manner that is adverse to our business, we will not be able to provide synchronization capabilities, which could significantly diminish the</w:t>
      </w:r>
      <w:r>
        <w:rPr>
          <w:rFonts w:ascii="Arial" w:hAnsi="Arial" w:cs="Arial"/>
          <w:sz w:val="20"/>
          <w:szCs w:val="20"/>
        </w:rPr>
        <w:t xml:space="preserve"> value of our platform and harm our business, operating results and financial condition</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Third-party services and products are constantly evolving, and we may not be able to modify our platform to assure its compatibility with that of other third parties a</w:t>
      </w:r>
      <w:r>
        <w:rPr>
          <w:rFonts w:ascii="Arial" w:hAnsi="Arial" w:cs="Arial"/>
          <w:sz w:val="20"/>
          <w:szCs w:val="20"/>
        </w:rPr>
        <w:t>s they continue to develop or emerge in the future, or we may not be able to make such modifications in a timely and cost-effective manner. In addition, some of our competitors may be able to disrupt the operations or compatibility of our platform with the</w:t>
      </w:r>
      <w:r>
        <w:rPr>
          <w:rFonts w:ascii="Arial" w:hAnsi="Arial" w:cs="Arial"/>
          <w:sz w:val="20"/>
          <w:szCs w:val="20"/>
        </w:rPr>
        <w:t>ir products or services, or exert strong business influence on our ability to, and terms on which we, operate our platform. Should any of our competitors modify their products or standards in a manner that degrades the functionality of our platform or give</w:t>
      </w:r>
      <w:r>
        <w:rPr>
          <w:rFonts w:ascii="Arial" w:hAnsi="Arial" w:cs="Arial"/>
          <w:sz w:val="20"/>
          <w:szCs w:val="20"/>
        </w:rPr>
        <w:t xml:space="preserve">s preferential treatment to our competitors or competitive products, whether to enhance their competitive position or for any other reason, the interoperability of our platform with these products could decrease and our business, results of operations and </w:t>
      </w:r>
      <w:r>
        <w:rPr>
          <w:rFonts w:ascii="Arial" w:hAnsi="Arial" w:cs="Arial"/>
          <w:sz w:val="20"/>
          <w:szCs w:val="20"/>
        </w:rPr>
        <w:t>financial condition would be harmed. If we are not permitted or able to integrate with these and other third-party software suites, applications and other technologies in the future, our business, results of operations and financial condition would be harm</w:t>
      </w:r>
      <w:r>
        <w:rPr>
          <w:rFonts w:ascii="Arial" w:hAnsi="Arial" w:cs="Arial"/>
          <w:sz w:val="20"/>
          <w:szCs w:val="20"/>
        </w:rPr>
        <w:t>ed</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Furthermore, the functionality of our platform also depends on our and our partners’ ability to integrate our platform with their offerings. These partners periodically update and change their systems, and although we have been able to adapt our platfo</w:t>
      </w:r>
      <w:r>
        <w:rPr>
          <w:rFonts w:ascii="Arial" w:hAnsi="Arial" w:cs="Arial"/>
          <w:sz w:val="20"/>
          <w:szCs w:val="20"/>
        </w:rPr>
        <w:t>rm to their evolving needs in the past, there can be no guarantee that we will be able to do so in the future or in a way such that our billers, financial institutions or partners or their consumers are satisfied with the quality of work performed by us or</w:t>
      </w:r>
      <w:r>
        <w:rPr>
          <w:rFonts w:ascii="Arial" w:hAnsi="Arial" w:cs="Arial"/>
          <w:sz w:val="20"/>
          <w:szCs w:val="20"/>
        </w:rPr>
        <w:t xml:space="preserve"> with the technical support services rendered. In particular, if we are unable to adapt to the needs of our partners’ platforms, software and solutions, our billers’, financial institutions' and partners’ operations may be disrupted, which could result in </w:t>
      </w:r>
      <w:r>
        <w:rPr>
          <w:rFonts w:ascii="Arial" w:hAnsi="Arial" w:cs="Arial"/>
          <w:sz w:val="20"/>
          <w:szCs w:val="20"/>
        </w:rPr>
        <w:t>disputes with our billers, financial institutions or partners or their consumers or other third parties and additional costs to address the situation. Additionally, our billers, financial institutions and partners may terminate their relationship with us a</w:t>
      </w:r>
      <w:r>
        <w:rPr>
          <w:rFonts w:ascii="Arial" w:hAnsi="Arial" w:cs="Arial"/>
          <w:sz w:val="20"/>
          <w:szCs w:val="20"/>
        </w:rPr>
        <w:t>nd we may lose access to large numbers of consumers and biller and financial institution referrals as a result</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Any negative publicity related to our solutions, regardless of its accuracy or whether the ultimate cause of any poor performance actually resul</w:t>
      </w:r>
      <w:r>
        <w:rPr>
          <w:rFonts w:ascii="Arial" w:hAnsi="Arial" w:cs="Arial"/>
          <w:sz w:val="20"/>
          <w:szCs w:val="20"/>
        </w:rPr>
        <w:t>ts from our platform, or from the systems of our billers, financial institutions, partners or consumers, may adversely affect our reputation, business, operating results and financial condition</w:t>
      </w:r>
      <w:r>
        <w:rPr>
          <w:rFonts w:ascii="Arial" w:hAnsi="Arial" w:cs="Arial"/>
          <w:sz w:val="20"/>
          <w:szCs w:val="20"/>
        </w:rPr>
        <w:t>.</w: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0" w:beforeAutospacing="0" w:after="0" w:afterAutospacing="0"/>
        <w:jc w:val="center"/>
        <w:rPr>
          <w:sz w:val="20"/>
          <w:szCs w:val="20"/>
        </w:rPr>
      </w:pPr>
      <w:r>
        <w:rPr>
          <w:rFonts w:ascii="Arial" w:hAnsi="Arial" w:cs="Arial"/>
          <w:sz w:val="20"/>
          <w:szCs w:val="20"/>
        </w:rPr>
        <w:t>3</w:t>
      </w:r>
      <w:r>
        <w:rPr>
          <w:rFonts w:ascii="Arial" w:hAnsi="Arial" w:cs="Arial"/>
          <w:sz w:val="20"/>
          <w:szCs w:val="20"/>
        </w:rPr>
        <w:t>9</w:t>
      </w:r>
    </w:p>
    <w:p w:rsidR="00000000" w:rsidRDefault="00010F15">
      <w:pPr>
        <w:rPr>
          <w:rFonts w:eastAsia="Times New Roman"/>
        </w:rPr>
      </w:pPr>
      <w:r>
        <w:rPr>
          <w:rFonts w:eastAsia="Times New Roman"/>
        </w:rPr>
        <w:pict>
          <v:rect id="_x0000_i1063"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240" w:beforeAutospacing="0" w:after="0" w:afterAutospacing="0"/>
        <w:rPr>
          <w:sz w:val="20"/>
          <w:szCs w:val="20"/>
        </w:rPr>
      </w:pPr>
      <w:r>
        <w:rPr>
          <w:rFonts w:ascii="Arial" w:hAnsi="Arial" w:cs="Arial"/>
          <w:b/>
          <w:bCs/>
          <w:i/>
          <w:iCs/>
          <w:sz w:val="20"/>
          <w:szCs w:val="20"/>
        </w:rPr>
        <w:t>Interruptions or d</w:t>
      </w:r>
      <w:r>
        <w:rPr>
          <w:rFonts w:ascii="Arial" w:hAnsi="Arial" w:cs="Arial"/>
          <w:b/>
          <w:bCs/>
          <w:i/>
          <w:iCs/>
          <w:sz w:val="20"/>
          <w:szCs w:val="20"/>
        </w:rPr>
        <w:t>elays in the services provided by our third-party data centers or internet service providers could impair the delivery of our platform. Any changes in the systems that these providers make available to us that degrade the functionality of our platform, imp</w:t>
      </w:r>
      <w:r>
        <w:rPr>
          <w:rFonts w:ascii="Arial" w:hAnsi="Arial" w:cs="Arial"/>
          <w:b/>
          <w:bCs/>
          <w:i/>
          <w:iCs/>
          <w:sz w:val="20"/>
          <w:szCs w:val="20"/>
        </w:rPr>
        <w:t>ose additional costs or requirements on us, or give preferential treatment to competitors’ services, including their own services, could materially and adversely affect usage of our products and services</w:t>
      </w:r>
      <w:r>
        <w:rPr>
          <w:rFonts w:ascii="Arial" w:hAnsi="Arial" w:cs="Arial"/>
          <w:b/>
          <w:bCs/>
          <w:i/>
          <w:iCs/>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Our third-party service providers are ultimately re</w:t>
      </w:r>
      <w:r>
        <w:rPr>
          <w:rFonts w:ascii="Arial" w:hAnsi="Arial" w:cs="Arial"/>
          <w:sz w:val="20"/>
          <w:szCs w:val="20"/>
        </w:rPr>
        <w:t>sponsible for maintaining their own network security, disaster recovery and system management procedures, and our review processes for such providers may be insufficient to identify, prevent or mitigate adverse events. The owners and operators of our curre</w:t>
      </w:r>
      <w:r>
        <w:rPr>
          <w:rFonts w:ascii="Arial" w:hAnsi="Arial" w:cs="Arial"/>
          <w:sz w:val="20"/>
          <w:szCs w:val="20"/>
        </w:rPr>
        <w:t>nt and future hosting facilities do not guarantee that our billers’ or partners’ or their consumers’ access to our solutions will be uninterrupted, error-free or secure. We or our third-party service providers may experience website disruptions, outages an</w:t>
      </w:r>
      <w:r>
        <w:rPr>
          <w:rFonts w:ascii="Arial" w:hAnsi="Arial" w:cs="Arial"/>
          <w:sz w:val="20"/>
          <w:szCs w:val="20"/>
        </w:rPr>
        <w:t>d other performance problems. We have periodically experienced service disruptions in the past, and we cannot assure you that we will not experience service interruptions or delays in the future. We depend on our third-party service providers to protect th</w:t>
      </w:r>
      <w:r>
        <w:rPr>
          <w:rFonts w:ascii="Arial" w:hAnsi="Arial" w:cs="Arial"/>
          <w:sz w:val="20"/>
          <w:szCs w:val="20"/>
        </w:rPr>
        <w:t>eir infrastructure against damage, interruption and other performance problems, maintain their respective configuration, architecture and interconnection specifications and protect information stored by such providers, as well as on internet service provid</w:t>
      </w:r>
      <w:r>
        <w:rPr>
          <w:rFonts w:ascii="Arial" w:hAnsi="Arial" w:cs="Arial"/>
          <w:sz w:val="20"/>
          <w:szCs w:val="20"/>
        </w:rPr>
        <w:t>ers to transmit data. We may also incur significant costs for using alternative equipment or taking other actions in preparation for, or in reaction to, events that damage the data storage services we use</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Although we have disaster recovery plans that use</w:t>
      </w:r>
      <w:r>
        <w:rPr>
          <w:rFonts w:ascii="Arial" w:hAnsi="Arial" w:cs="Arial"/>
          <w:sz w:val="20"/>
          <w:szCs w:val="20"/>
        </w:rPr>
        <w:t xml:space="preserve"> multiple data storage locations, any incident affecting their infrastructure that may be caused by fire, flood, severe storm, earthquake, power loss, telecommunications failures, unauthorized entry or intrusion, sabotage, criminal acts, intentional acts o</w:t>
      </w:r>
      <w:r>
        <w:rPr>
          <w:rFonts w:ascii="Arial" w:hAnsi="Arial" w:cs="Arial"/>
          <w:sz w:val="20"/>
          <w:szCs w:val="20"/>
        </w:rPr>
        <w:t>f vandalism and other misconduct, computer viruses and disabling devices, natural disasters, military actions, terrorist attacks, negligence, infrastructure changes, human or software errors, fraud, spikes in biller, financial institution, partner or consu</w:t>
      </w:r>
      <w:r>
        <w:rPr>
          <w:rFonts w:ascii="Arial" w:hAnsi="Arial" w:cs="Arial"/>
          <w:sz w:val="20"/>
          <w:szCs w:val="20"/>
        </w:rPr>
        <w:t>mer usage and denial of service issues, hardware failures, improper operation, data loss, compromise or corruption, cybersecurity attacks, wars, hurricanes, tornadoes and other similar events beyond our control could negatively affect our platform. In some</w:t>
      </w:r>
      <w:r>
        <w:rPr>
          <w:rFonts w:ascii="Arial" w:hAnsi="Arial" w:cs="Arial"/>
          <w:sz w:val="20"/>
          <w:szCs w:val="20"/>
        </w:rPr>
        <w:t xml:space="preserve"> instances, we may not be able to identify the cause or causes of these performance problems within an acceptable period of time. Any prolonged service disruption affecting our platform for any of the foregoing reasons could result in lengthy interruptions</w:t>
      </w:r>
      <w:r>
        <w:rPr>
          <w:rFonts w:ascii="Arial" w:hAnsi="Arial" w:cs="Arial"/>
          <w:sz w:val="20"/>
          <w:szCs w:val="20"/>
        </w:rPr>
        <w:t xml:space="preserve"> in the delivery of our platform, products or services, cause system interruptions, prevent our billers, financial institutions, partners or consumers from accessing their accounts online, damage our reputation with current and potential billers, financial</w:t>
      </w:r>
      <w:r>
        <w:rPr>
          <w:rFonts w:ascii="Arial" w:hAnsi="Arial" w:cs="Arial"/>
          <w:sz w:val="20"/>
          <w:szCs w:val="20"/>
        </w:rPr>
        <w:t xml:space="preserve"> institutions, partners or consumers, expose us to liability, cause us to lose billers, financial institutions, partners or consumers, cause the loss or unavailability of critical data, prevent us from supporting our platform, products or services, result </w:t>
      </w:r>
      <w:r>
        <w:rPr>
          <w:rFonts w:ascii="Arial" w:hAnsi="Arial" w:cs="Arial"/>
          <w:sz w:val="20"/>
          <w:szCs w:val="20"/>
        </w:rPr>
        <w:t>in regulatory investigations, enforcement actions and litigation or cause us to incur additional expense in investigating, remediating and responding to these disruptions and arranging for new facilities and support or otherwise harm our business</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Also, i</w:t>
      </w:r>
      <w:r>
        <w:rPr>
          <w:rFonts w:ascii="Arial" w:hAnsi="Arial" w:cs="Arial"/>
          <w:sz w:val="20"/>
          <w:szCs w:val="20"/>
        </w:rPr>
        <w:t>n the event of damage or interruption, our insurance policies may not adequately compensate us for any losses that we may incur. System failures or outages, including any potential disruptions due to significantly increased global demand on certain cloud-b</w:t>
      </w:r>
      <w:r>
        <w:rPr>
          <w:rFonts w:ascii="Arial" w:hAnsi="Arial" w:cs="Arial"/>
          <w:sz w:val="20"/>
          <w:szCs w:val="20"/>
        </w:rPr>
        <w:t>ased systems during the COVID-19 pandemic, could compromise our ability to perform these functions in a timely manner, which could harm our ability to conduct business or delay our financial reporting. Such failures could adversely affect our operating res</w:t>
      </w:r>
      <w:r>
        <w:rPr>
          <w:rFonts w:ascii="Arial" w:hAnsi="Arial" w:cs="Arial"/>
          <w:sz w:val="20"/>
          <w:szCs w:val="20"/>
        </w:rPr>
        <w:t>ults and financial condition. In addition, certain of our third-party service providers are required to notify us if they experience a security breach or unauthorized disclosure of certain personal information, or, in some cases, confidential data or infor</w:t>
      </w:r>
      <w:r>
        <w:rPr>
          <w:rFonts w:ascii="Arial" w:hAnsi="Arial" w:cs="Arial"/>
          <w:sz w:val="20"/>
          <w:szCs w:val="20"/>
        </w:rPr>
        <w:t>mation of ours or our billers, financial institutions, partners or consumers, and their failure to timely notify us of such a breach or disclosure may cause us to incur significant costs or otherwise harm our business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Our platform is accessed by many bill</w:t>
      </w:r>
      <w:r>
        <w:rPr>
          <w:rFonts w:ascii="Arial" w:hAnsi="Arial" w:cs="Arial"/>
          <w:sz w:val="20"/>
          <w:szCs w:val="20"/>
        </w:rPr>
        <w:t>ers, financial institutions, partners and consumers, often at the same time. As we continue to expand the number of our billers, financial institutions, partners and consumers, and products available through our platform, we may not be able to scale our te</w:t>
      </w:r>
      <w:r>
        <w:rPr>
          <w:rFonts w:ascii="Arial" w:hAnsi="Arial" w:cs="Arial"/>
          <w:sz w:val="20"/>
          <w:szCs w:val="20"/>
        </w:rPr>
        <w:t>chnology to accommodate the increased capacity requirements, which may result in interruptions or delays in service. In addition, the failure of data centers, internet service providers or other third-party service providers to meet our capacity requiremen</w:t>
      </w:r>
      <w:r>
        <w:rPr>
          <w:rFonts w:ascii="Arial" w:hAnsi="Arial" w:cs="Arial"/>
          <w:sz w:val="20"/>
          <w:szCs w:val="20"/>
        </w:rPr>
        <w:t>ts could result in interruptions or delays in access to our platform or impede our ability to grow our business and scale our operations. If our third-party infrastructure service agreements are terminated, or there is a lapse of service, interruption of i</w:t>
      </w:r>
      <w:r>
        <w:rPr>
          <w:rFonts w:ascii="Arial" w:hAnsi="Arial" w:cs="Arial"/>
          <w:sz w:val="20"/>
          <w:szCs w:val="20"/>
        </w:rPr>
        <w:t>nternet service provider connectivity, or damage to data centers, we could experience interruptions in access to our platform as well as delays and additional expense in arranging new facilities and services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 xml:space="preserve">We also depend on third-party internet-hosting </w:t>
      </w:r>
      <w:r>
        <w:rPr>
          <w:rFonts w:ascii="Arial" w:hAnsi="Arial" w:cs="Arial"/>
          <w:sz w:val="20"/>
          <w:szCs w:val="20"/>
        </w:rPr>
        <w:t>providers and continuous and uninterrupted access to the internet through third-party bandwidth providers to operate our business. If we lose the services of one or more of our internet-hosting or bandwidth providers for any reason or if their services are</w:t>
      </w:r>
      <w:r>
        <w:rPr>
          <w:rFonts w:ascii="Arial" w:hAnsi="Arial" w:cs="Arial"/>
          <w:sz w:val="20"/>
          <w:szCs w:val="20"/>
        </w:rPr>
        <w:t xml:space="preserve"> disrupted, for example due to viruses, ransomware, denial of service or other attacks on their systems, or due to human error, intentional bad acts, power loss, hardware failures, telecommunications failures, fires, wars, terrorist attacks, floods, earthq</w:t>
      </w:r>
      <w:r>
        <w:rPr>
          <w:rFonts w:ascii="Arial" w:hAnsi="Arial" w:cs="Arial"/>
          <w:sz w:val="20"/>
          <w:szCs w:val="20"/>
        </w:rPr>
        <w:t>uakes, hurricanes, tornadoes or similar catastrophic events, we could experience disruption in our ability to offer our solutions and adverse perception of our solutions’ reliability, or we could be required to retain the services of replacement providers,</w:t>
      </w:r>
      <w:r>
        <w:rPr>
          <w:rFonts w:ascii="Arial" w:hAnsi="Arial" w:cs="Arial"/>
          <w:sz w:val="20"/>
          <w:szCs w:val="20"/>
        </w:rPr>
        <w:t xml:space="preserve"> which could increase our operating costs and materially and adversely affect our business, operating results and financial condition</w:t>
      </w:r>
      <w:r>
        <w:rPr>
          <w:rFonts w:ascii="Arial" w:hAnsi="Arial" w:cs="Arial"/>
          <w:sz w:val="20"/>
          <w:szCs w:val="20"/>
        </w:rPr>
        <w:t>.</w:t>
      </w:r>
    </w:p>
    <w:p w:rsidR="00000000" w:rsidRDefault="00010F15">
      <w:pPr>
        <w:pStyle w:val="a3"/>
        <w:spacing w:before="0" w:beforeAutospacing="0" w:after="0" w:afterAutospacing="0"/>
        <w:jc w:val="center"/>
        <w:rPr>
          <w:sz w:val="20"/>
          <w:szCs w:val="20"/>
        </w:rPr>
      </w:pPr>
      <w:r>
        <w:rPr>
          <w:rFonts w:ascii="Arial" w:hAnsi="Arial" w:cs="Arial"/>
          <w:sz w:val="20"/>
          <w:szCs w:val="20"/>
        </w:rPr>
        <w:t>4</w:t>
      </w:r>
      <w:r>
        <w:rPr>
          <w:rFonts w:ascii="Arial" w:hAnsi="Arial" w:cs="Arial"/>
          <w:sz w:val="20"/>
          <w:szCs w:val="20"/>
        </w:rPr>
        <w:t>0</w:t>
      </w:r>
    </w:p>
    <w:p w:rsidR="00000000" w:rsidRDefault="00010F15">
      <w:pPr>
        <w:rPr>
          <w:rFonts w:eastAsia="Times New Roman"/>
        </w:rPr>
      </w:pPr>
      <w:r>
        <w:rPr>
          <w:rFonts w:eastAsia="Times New Roman"/>
        </w:rPr>
        <w:pict>
          <v:rect id="_x0000_i1064"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120" w:beforeAutospacing="0" w:after="0" w:afterAutospacing="0"/>
        <w:ind w:firstLine="539"/>
        <w:rPr>
          <w:sz w:val="20"/>
          <w:szCs w:val="20"/>
        </w:rPr>
      </w:pPr>
      <w:r>
        <w:rPr>
          <w:rFonts w:ascii="Arial" w:hAnsi="Arial" w:cs="Arial"/>
          <w:sz w:val="20"/>
          <w:szCs w:val="20"/>
        </w:rPr>
        <w:t>Furthermore, prolonged interruption in the availability, or reduction in the spe</w:t>
      </w:r>
      <w:r>
        <w:rPr>
          <w:rFonts w:ascii="Arial" w:hAnsi="Arial" w:cs="Arial"/>
          <w:sz w:val="20"/>
          <w:szCs w:val="20"/>
        </w:rPr>
        <w:t xml:space="preserve">ed or other functionality, of our platform, products or services could materially harm our reputation and business. Frequent or persistent interruptions in accessing our platform, products and services could cause billers, financial institutions, partners </w:t>
      </w:r>
      <w:r>
        <w:rPr>
          <w:rFonts w:ascii="Arial" w:hAnsi="Arial" w:cs="Arial"/>
          <w:sz w:val="20"/>
          <w:szCs w:val="20"/>
        </w:rPr>
        <w:t>or consumers to believe that our platform, products and services are unreliable, leading them to switch to our competitors or to avoid our platform, products and services, and could permanently harm our reputation and business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Additionally, as our billers</w:t>
      </w:r>
      <w:r>
        <w:rPr>
          <w:rFonts w:ascii="Arial" w:hAnsi="Arial" w:cs="Arial"/>
          <w:sz w:val="20"/>
          <w:szCs w:val="20"/>
        </w:rPr>
        <w:t>, financial institutions and partners and their consumers may use our platform for critical transactions, any errors, defects or other infrastructure problems could result in damage to such billers’, financial institutions', partners’ or consumers’ busines</w:t>
      </w:r>
      <w:r>
        <w:rPr>
          <w:rFonts w:ascii="Arial" w:hAnsi="Arial" w:cs="Arial"/>
          <w:sz w:val="20"/>
          <w:szCs w:val="20"/>
        </w:rPr>
        <w:t xml:space="preserve">ses. These billers, financial institutions, partners and consumers could seek significant compensation from us for their losses and our insurance policies may be insufficient to cover a claim. Even if unsuccessful, this type of claim may be time-consuming </w:t>
      </w:r>
      <w:r>
        <w:rPr>
          <w:rFonts w:ascii="Arial" w:hAnsi="Arial" w:cs="Arial"/>
          <w:sz w:val="20"/>
          <w:szCs w:val="20"/>
        </w:rPr>
        <w:t>and costly for us to defend. Any of the foregoing could have a material adverse effect on our business, operating results and financial condition</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We may experience software and technology defects, undetected errors, development delays or other performance</w:t>
      </w:r>
      <w:r>
        <w:rPr>
          <w:rFonts w:ascii="Arial" w:hAnsi="Arial" w:cs="Arial"/>
          <w:b/>
          <w:bCs/>
          <w:i/>
          <w:iCs/>
          <w:sz w:val="20"/>
          <w:szCs w:val="20"/>
        </w:rPr>
        <w:t xml:space="preserve"> problems in our software and other technology used as part of our platform, which could damage biller, financial institution and partner relations, harm our reputation, result in significant costs to us, decrease our potential profitability and expose us </w:t>
      </w:r>
      <w:r>
        <w:rPr>
          <w:rFonts w:ascii="Arial" w:hAnsi="Arial" w:cs="Arial"/>
          <w:b/>
          <w:bCs/>
          <w:i/>
          <w:iCs/>
          <w:sz w:val="20"/>
          <w:szCs w:val="20"/>
        </w:rPr>
        <w:t>to substantial liability</w:t>
      </w:r>
      <w:r>
        <w:rPr>
          <w:rFonts w:ascii="Arial" w:hAnsi="Arial" w:cs="Arial"/>
          <w:b/>
          <w:bCs/>
          <w:i/>
          <w:iCs/>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Our software and other technology used as part of our platform may contain undetected errors, viruses or defects when implemented or when new functionality is released, as we may modify, enhance, upgrade and implement new systems,</w:t>
      </w:r>
      <w:r>
        <w:rPr>
          <w:rFonts w:ascii="Arial" w:hAnsi="Arial" w:cs="Arial"/>
          <w:sz w:val="20"/>
          <w:szCs w:val="20"/>
        </w:rPr>
        <w:t xml:space="preserve"> procedures and controls to reflect changes in our business, technological advancements and changing industry trends. Despite extensive testing, from time to time we have discovered and may in the future discover defects or errors in our solutions. Any per</w:t>
      </w:r>
      <w:r>
        <w:rPr>
          <w:rFonts w:ascii="Arial" w:hAnsi="Arial" w:cs="Arial"/>
          <w:sz w:val="20"/>
          <w:szCs w:val="20"/>
        </w:rPr>
        <w:t>formance problems or defects in our solutions could materially and adversely affect our business, operating results and financial conditions. Defects, errors or other similar performance problems or disruptions, whether in connection with day-to-day operat</w:t>
      </w:r>
      <w:r>
        <w:rPr>
          <w:rFonts w:ascii="Arial" w:hAnsi="Arial" w:cs="Arial"/>
          <w:sz w:val="20"/>
          <w:szCs w:val="20"/>
        </w:rPr>
        <w:t>ions or otherwise, could be costly for us, adversely affect our billers’, financial institutions' or partners’ businesses, harm our reputation and result in reduced sales or a loss of, or delay in, the market acceptance of our solutions. In addition, if we</w:t>
      </w:r>
      <w:r>
        <w:rPr>
          <w:rFonts w:ascii="Arial" w:hAnsi="Arial" w:cs="Arial"/>
          <w:sz w:val="20"/>
          <w:szCs w:val="20"/>
        </w:rPr>
        <w:t xml:space="preserve"> have any such errors, defects or other performance problems, our billers, financial institutions or partners could seek to terminate, or elect not to renew, their contracts with us, delay or withhold payment or make claims against us. Any of these actions</w:t>
      </w:r>
      <w:r>
        <w:rPr>
          <w:rFonts w:ascii="Arial" w:hAnsi="Arial" w:cs="Arial"/>
          <w:sz w:val="20"/>
          <w:szCs w:val="20"/>
        </w:rPr>
        <w:t xml:space="preserve"> could result in liability, lost business, increased insurance costs, difficulty in collecting accounts receivable, costly litigation or adverse publicity, which could materially and adversely affect our business, operating results and financial condition.</w:t>
      </w:r>
      <w:r>
        <w:rPr>
          <w:rFonts w:ascii="Arial" w:hAnsi="Arial" w:cs="Arial"/>
          <w:sz w:val="20"/>
          <w:szCs w:val="20"/>
        </w:rPr>
        <w:t xml:space="preserve"> Additionally, our software uses open-source software and any defects or security vulnerabilities in such open-source software could materially and adversely affect our business, operating results and financial condition. In addition, we rely on technologi</w:t>
      </w:r>
      <w:r>
        <w:rPr>
          <w:rFonts w:ascii="Arial" w:hAnsi="Arial" w:cs="Arial"/>
          <w:sz w:val="20"/>
          <w:szCs w:val="20"/>
        </w:rPr>
        <w:t>es and software supplied by third parties that may also contain undetected errors, viruses or defects. Software defects and errors or delays in electronic bill presentment or our facilitation of payment processing could result in additional development cos</w:t>
      </w:r>
      <w:r>
        <w:rPr>
          <w:rFonts w:ascii="Arial" w:hAnsi="Arial" w:cs="Arial"/>
          <w:sz w:val="20"/>
          <w:szCs w:val="20"/>
        </w:rPr>
        <w:t xml:space="preserve">ts, diversion of technical and other resources from our other development efforts, loss of credibility with current or potential billers, financial institutions, partners and consumers, harm to our reputation and exposure to liability claims, any of which </w:t>
      </w:r>
      <w:r>
        <w:rPr>
          <w:rFonts w:ascii="Arial" w:hAnsi="Arial" w:cs="Arial"/>
          <w:sz w:val="20"/>
          <w:szCs w:val="20"/>
        </w:rPr>
        <w:t>could result in a material adverse effect on our business, operating results and financial condition</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We use open source software in our platform and products, which may pose particular risks to our proprietary software in a manner that could subject us to litigation or other actions, negatively affect our ability to sell our products or otherwise adversel</w:t>
      </w:r>
      <w:r>
        <w:rPr>
          <w:rFonts w:ascii="Arial" w:hAnsi="Arial" w:cs="Arial"/>
          <w:b/>
          <w:bCs/>
          <w:i/>
          <w:iCs/>
          <w:sz w:val="20"/>
          <w:szCs w:val="20"/>
        </w:rPr>
        <w:t>y affect our business, operating results and financial condition</w:t>
      </w:r>
      <w:r>
        <w:rPr>
          <w:rFonts w:ascii="Arial" w:hAnsi="Arial" w:cs="Arial"/>
          <w:b/>
          <w:bCs/>
          <w:i/>
          <w:iCs/>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Our platform incorporates software modules licensed to us by third-party authors under “open source” licenses, and we expect to continue to incorporate open source software in our products a</w:t>
      </w:r>
      <w:r>
        <w:rPr>
          <w:rFonts w:ascii="Arial" w:hAnsi="Arial" w:cs="Arial"/>
          <w:sz w:val="20"/>
          <w:szCs w:val="20"/>
        </w:rPr>
        <w:t>nd platform in the future. Some open source licenses contain requirements that those who distribute open source software as part of their own software product also make publicly available all or part of the source code for modifications or derivative works</w:t>
      </w:r>
      <w:r>
        <w:rPr>
          <w:rFonts w:ascii="Arial" w:hAnsi="Arial" w:cs="Arial"/>
          <w:sz w:val="20"/>
          <w:szCs w:val="20"/>
        </w:rPr>
        <w:t xml:space="preserve"> created based on the type of open source software they use, or grant other licenses to their intellectual property on unfavorable terms or at no cost, and we may be subject to such requirements</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The terms of many open source licenses to which we are subj</w:t>
      </w:r>
      <w:r>
        <w:rPr>
          <w:rFonts w:ascii="Arial" w:hAnsi="Arial" w:cs="Arial"/>
          <w:sz w:val="20"/>
          <w:szCs w:val="20"/>
        </w:rPr>
        <w:t>ect have not been interpreted by U.S. or foreign courts, and there is a risk that these licenses could be construed in a way that could impose unanticipated conditions or restrictions on our ability to provide, or distribute our platform, products or servi</w:t>
      </w:r>
      <w:r>
        <w:rPr>
          <w:rFonts w:ascii="Arial" w:hAnsi="Arial" w:cs="Arial"/>
          <w:sz w:val="20"/>
          <w:szCs w:val="20"/>
        </w:rPr>
        <w:t>ces related to, the open source software subject to those licenses. In addition, the public availability of such software may make it easier for others to compromise our platform. Although we generally monitor our use of open source software to avoid subje</w:t>
      </w:r>
      <w:r>
        <w:rPr>
          <w:rFonts w:ascii="Arial" w:hAnsi="Arial" w:cs="Arial"/>
          <w:sz w:val="20"/>
          <w:szCs w:val="20"/>
        </w:rPr>
        <w:t>cting our platform to conditions we do not intend and to try to ensure that none is used in a manner that would require us to disclose our proprietary source code or that would otherwise breach the terms of an open source agreement, such use could inadvert</w:t>
      </w:r>
      <w:r>
        <w:rPr>
          <w:rFonts w:ascii="Arial" w:hAnsi="Arial" w:cs="Arial"/>
          <w:sz w:val="20"/>
          <w:szCs w:val="20"/>
        </w:rPr>
        <w:t xml:space="preserve">ently occur, or could be claimed to have occurred, in part because open source license terms are often ambiguous. Moreover, we cannot assure you that our processes for controlling our use of open source software in our platform, products and services will </w:t>
      </w:r>
      <w:r>
        <w:rPr>
          <w:rFonts w:ascii="Arial" w:hAnsi="Arial" w:cs="Arial"/>
          <w:sz w:val="20"/>
          <w:szCs w:val="20"/>
        </w:rPr>
        <w:t>be effective. From time to time, there have been claims challenging the ownership of open source software against companies that incorporate it into their products. Likewise, we could become subject to lawsuits and face claims from third parties claiming o</w:t>
      </w:r>
      <w:r>
        <w:rPr>
          <w:rFonts w:ascii="Arial" w:hAnsi="Arial" w:cs="Arial"/>
          <w:sz w:val="20"/>
          <w:szCs w:val="20"/>
        </w:rPr>
        <w:t>wnership of, or demanding release of, any open source software or derivative works that w</w:t>
      </w:r>
      <w:r>
        <w:rPr>
          <w:rFonts w:ascii="Arial" w:hAnsi="Arial" w:cs="Arial"/>
          <w:sz w:val="20"/>
          <w:szCs w:val="20"/>
        </w:rPr>
        <w:t>e</w:t>
      </w:r>
      <w:r>
        <w:rPr>
          <w:rFonts w:ascii="Arial" w:hAnsi="Arial" w:cs="Arial"/>
          <w:sz w:val="20"/>
          <w:szCs w:val="20"/>
        </w:rPr>
        <w:t xml:space="preserve"> </w:t>
      </w:r>
    </w:p>
    <w:p w:rsidR="00000000" w:rsidRDefault="00010F15">
      <w:pPr>
        <w:pStyle w:val="a3"/>
        <w:spacing w:before="0" w:beforeAutospacing="0" w:after="0" w:afterAutospacing="0"/>
        <w:jc w:val="center"/>
        <w:rPr>
          <w:sz w:val="20"/>
          <w:szCs w:val="20"/>
        </w:rPr>
      </w:pPr>
      <w:r>
        <w:rPr>
          <w:rFonts w:ascii="Arial" w:hAnsi="Arial" w:cs="Arial"/>
          <w:sz w:val="20"/>
          <w:szCs w:val="20"/>
        </w:rPr>
        <w:t>4</w:t>
      </w:r>
      <w:r>
        <w:rPr>
          <w:rFonts w:ascii="Arial" w:hAnsi="Arial" w:cs="Arial"/>
          <w:sz w:val="20"/>
          <w:szCs w:val="20"/>
        </w:rPr>
        <w:t>1</w:t>
      </w:r>
    </w:p>
    <w:p w:rsidR="00000000" w:rsidRDefault="00010F15">
      <w:pPr>
        <w:rPr>
          <w:rFonts w:eastAsia="Times New Roman"/>
        </w:rPr>
      </w:pPr>
      <w:r>
        <w:rPr>
          <w:rFonts w:eastAsia="Times New Roman"/>
        </w:rPr>
        <w:pict>
          <v:rect id="_x0000_i1065"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120" w:beforeAutospacing="0" w:after="0" w:afterAutospacing="0"/>
        <w:rPr>
          <w:sz w:val="20"/>
          <w:szCs w:val="20"/>
        </w:rPr>
      </w:pPr>
      <w:r>
        <w:rPr>
          <w:rFonts w:ascii="Arial" w:hAnsi="Arial" w:cs="Arial"/>
          <w:sz w:val="20"/>
          <w:szCs w:val="20"/>
        </w:rPr>
        <w:t>have developed using such software, which could include our proprietary source code, or otherwise seeking to enforce the terms of the applicable open source license. These claims could result in litigation and could require us to make our software source c</w:t>
      </w:r>
      <w:r>
        <w:rPr>
          <w:rFonts w:ascii="Arial" w:hAnsi="Arial" w:cs="Arial"/>
          <w:sz w:val="20"/>
          <w:szCs w:val="20"/>
        </w:rPr>
        <w:t>ode freely available, purchase a costly license or cease offering the implicated products or services. Litigation could be costly for us to defend, have a negative effect on our business, operating results and financial condition or require us to devote ad</w:t>
      </w:r>
      <w:r>
        <w:rPr>
          <w:rFonts w:ascii="Arial" w:hAnsi="Arial" w:cs="Arial"/>
          <w:sz w:val="20"/>
          <w:szCs w:val="20"/>
        </w:rPr>
        <w:t>ditional research and development resources to change our products. If we are held to have breached or failed to fully comply with all the terms and conditions of an open source software license, we could face infringement or other liability, or be require</w:t>
      </w:r>
      <w:r>
        <w:rPr>
          <w:rFonts w:ascii="Arial" w:hAnsi="Arial" w:cs="Arial"/>
          <w:sz w:val="20"/>
          <w:szCs w:val="20"/>
        </w:rPr>
        <w:t>d to seek costly licenses from third parties, to continue providing our offerings on terms that are not economically feasible, to re-engineer our platform (which could involve substantial time and resources), to discontinue or delay the provision of our of</w:t>
      </w:r>
      <w:r>
        <w:rPr>
          <w:rFonts w:ascii="Arial" w:hAnsi="Arial" w:cs="Arial"/>
          <w:sz w:val="20"/>
          <w:szCs w:val="20"/>
        </w:rPr>
        <w:t>ferings if re-engineering could not be accomplished on a timely basis or to make generally available, in source code form, our proprietary code, any of which could adversely affect our business, operating results and financial condition</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In addition to ris</w:t>
      </w:r>
      <w:r>
        <w:rPr>
          <w:rFonts w:ascii="Arial" w:hAnsi="Arial" w:cs="Arial"/>
          <w:sz w:val="20"/>
          <w:szCs w:val="20"/>
        </w:rPr>
        <w:t>ks related to complying with applicable license requirements, a release of our proprietary code could also allow our competitors to create similar offerings with lower development effort and time and ultimately could result in a loss of our competitive adv</w:t>
      </w:r>
      <w:r>
        <w:rPr>
          <w:rFonts w:ascii="Arial" w:hAnsi="Arial" w:cs="Arial"/>
          <w:sz w:val="20"/>
          <w:szCs w:val="20"/>
        </w:rPr>
        <w:t>antages. Furthermore, use and distribution of open source software may entail greater risks than use of third-party commercial software, as open source licensors generally do not provide support, warranties, indemnification or other contractual protections</w:t>
      </w:r>
      <w:r>
        <w:rPr>
          <w:rFonts w:ascii="Arial" w:hAnsi="Arial" w:cs="Arial"/>
          <w:sz w:val="20"/>
          <w:szCs w:val="20"/>
        </w:rPr>
        <w:t xml:space="preserve"> regarding infringement claims or the quality of the code. There is little legal precedent in this area and any actual or claimed requirement to disclose our proprietary source code or pay damages for breach of contract could harm our business and could he</w:t>
      </w:r>
      <w:r>
        <w:rPr>
          <w:rFonts w:ascii="Arial" w:hAnsi="Arial" w:cs="Arial"/>
          <w:sz w:val="20"/>
          <w:szCs w:val="20"/>
        </w:rPr>
        <w:t>lp third parties, including our competitors, develop products and services that are similar to or better than ours. Any of these risks could be difficult to eliminate or manage, and, if not addressed, could materially and adversely affect our business, ope</w:t>
      </w:r>
      <w:r>
        <w:rPr>
          <w:rFonts w:ascii="Arial" w:hAnsi="Arial" w:cs="Arial"/>
          <w:sz w:val="20"/>
          <w:szCs w:val="20"/>
        </w:rPr>
        <w:t>rating results and financial condition</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If we fail to adequately obtain, maintain, protect or enforce our intellectual property and proprietary rights, our competitive position could be impaired, our reputation could be harmed and we may lose valuable asse</w:t>
      </w:r>
      <w:r>
        <w:rPr>
          <w:rFonts w:ascii="Arial" w:hAnsi="Arial" w:cs="Arial"/>
          <w:b/>
          <w:bCs/>
          <w:i/>
          <w:iCs/>
          <w:sz w:val="20"/>
          <w:szCs w:val="20"/>
        </w:rPr>
        <w:t>ts, generate less revenue and incur costly litigation to protect our rights</w:t>
      </w:r>
      <w:r>
        <w:rPr>
          <w:rFonts w:ascii="Arial" w:hAnsi="Arial" w:cs="Arial"/>
          <w:b/>
          <w:bCs/>
          <w:i/>
          <w:iCs/>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Our success is dependent, in part, upon protecting our intellectual property and proprietary technology. We rely on a combination of patents, copyrights, trademarks, service marks</w:t>
      </w:r>
      <w:r>
        <w:rPr>
          <w:rFonts w:ascii="Arial" w:hAnsi="Arial" w:cs="Arial"/>
          <w:sz w:val="20"/>
          <w:szCs w:val="20"/>
        </w:rPr>
        <w:t xml:space="preserve">, trade secret laws and contractual provisions with our employees, independent contractors, consultants and third parties with whom we have relationships to establish and protect our intellectual property and proprietary rights. However, the steps we take </w:t>
      </w:r>
      <w:r>
        <w:rPr>
          <w:rFonts w:ascii="Arial" w:hAnsi="Arial" w:cs="Arial"/>
          <w:sz w:val="20"/>
          <w:szCs w:val="20"/>
        </w:rPr>
        <w:t>to protect our intellectual property may be inadequate, may not afford complete protection and may not adequately permit us to gain or keep any competitive advantage or otherwise fail to prevent unauthorized use or disclosure of our confidential informatio</w:t>
      </w:r>
      <w:r>
        <w:rPr>
          <w:rFonts w:ascii="Arial" w:hAnsi="Arial" w:cs="Arial"/>
          <w:sz w:val="20"/>
          <w:szCs w:val="20"/>
        </w:rPr>
        <w:t>n, intellectual property or technology, and may not provide an adequate remedy in the event of unauthorized use or disclosure of our confidential information, intellectual property or technology</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Various factors outside our control pose a threat to our int</w:t>
      </w:r>
      <w:r>
        <w:rPr>
          <w:rFonts w:ascii="Arial" w:hAnsi="Arial" w:cs="Arial"/>
          <w:sz w:val="20"/>
          <w:szCs w:val="20"/>
        </w:rPr>
        <w:t>ellectual property rights, as well as to our products, services and technologies. Although we have been issued patents in the United States and Canada and have additional patent applications pending, we may be unable to obtain patent protection for the tec</w:t>
      </w:r>
      <w:r>
        <w:rPr>
          <w:rFonts w:ascii="Arial" w:hAnsi="Arial" w:cs="Arial"/>
          <w:sz w:val="20"/>
          <w:szCs w:val="20"/>
        </w:rPr>
        <w:t>hnology covered in our patent applications or obtain the coverage originally sought. In addition, any patents issued in the future may not provide us with competitive advantages or may be successfully challenged by third parties, which could result in them</w:t>
      </w:r>
      <w:r>
        <w:rPr>
          <w:rFonts w:ascii="Arial" w:hAnsi="Arial" w:cs="Arial"/>
          <w:sz w:val="20"/>
          <w:szCs w:val="20"/>
        </w:rPr>
        <w:t xml:space="preserve"> being narrowed in scope or declared invalid or unenforceable. For example, it is possible that third parties, including our competitors, may obtain patents relating to technologies that overlap or compete with our technology. If third parties obtain paten</w:t>
      </w:r>
      <w:r>
        <w:rPr>
          <w:rFonts w:ascii="Arial" w:hAnsi="Arial" w:cs="Arial"/>
          <w:sz w:val="20"/>
          <w:szCs w:val="20"/>
        </w:rPr>
        <w:t>t protection with respect to such technologies, they may assert that our technology infringes their patents and seek to charge us a licensing fee or otherwise preclude the use of our technology or file suit against us. Any of our patents, trademarks or oth</w:t>
      </w:r>
      <w:r>
        <w:rPr>
          <w:rFonts w:ascii="Arial" w:hAnsi="Arial" w:cs="Arial"/>
          <w:sz w:val="20"/>
          <w:szCs w:val="20"/>
        </w:rPr>
        <w:t>er intellectual property rights may lapse, be abandoned, be challenged or circumvented by others or invalidated through administrative process or litigation. We also may allow certain of our registered intellectual property rights, or our pending applicati</w:t>
      </w:r>
      <w:r>
        <w:rPr>
          <w:rFonts w:ascii="Arial" w:hAnsi="Arial" w:cs="Arial"/>
          <w:sz w:val="20"/>
          <w:szCs w:val="20"/>
        </w:rPr>
        <w:t>ons for intellectual property rights, to lapse or to become abandoned if we determine that obtaining or maintaining the applicable registered intellectual property rights is not worthwhile. Despite our efforts to protect our intellectual property and propr</w:t>
      </w:r>
      <w:r>
        <w:rPr>
          <w:rFonts w:ascii="Arial" w:hAnsi="Arial" w:cs="Arial"/>
          <w:sz w:val="20"/>
          <w:szCs w:val="20"/>
        </w:rPr>
        <w:t>ietary rights, there can be no guarantee that such rights will be sufficient to protect against others offering products or services that are substantially similar to ours, independently developing similar products, duplicating any of our products, designi</w:t>
      </w:r>
      <w:r>
        <w:rPr>
          <w:rFonts w:ascii="Arial" w:hAnsi="Arial" w:cs="Arial"/>
          <w:sz w:val="20"/>
          <w:szCs w:val="20"/>
        </w:rPr>
        <w:t>ng around our patents, adopting trade names or domain names similar to ours, competing with our business or attempting to copy aspects of our technology and using information that we consider proprietary, thereby impeding our ability to promote our platfor</w:t>
      </w:r>
      <w:r>
        <w:rPr>
          <w:rFonts w:ascii="Arial" w:hAnsi="Arial" w:cs="Arial"/>
          <w:sz w:val="20"/>
          <w:szCs w:val="20"/>
        </w:rPr>
        <w:t>m and possibly leading to biller, financial institution or consumer confusion. Furthermore, legal standards relating to the validity, enforceability and scope of protection of intellectual property rights are uncertain. Despite our precautions, it may be p</w:t>
      </w:r>
      <w:r>
        <w:rPr>
          <w:rFonts w:ascii="Arial" w:hAnsi="Arial" w:cs="Arial"/>
          <w:sz w:val="20"/>
          <w:szCs w:val="20"/>
        </w:rPr>
        <w:t>ossible for unauthorized third parties to copy our products and use information that we regard as proprietary to create products and services that compete with ours</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We cannot guarantee that our ability to assert our intellectual property rights against p</w:t>
      </w:r>
      <w:r>
        <w:rPr>
          <w:rFonts w:ascii="Arial" w:hAnsi="Arial" w:cs="Arial"/>
          <w:sz w:val="20"/>
          <w:szCs w:val="20"/>
        </w:rPr>
        <w:t>otential competitors or to settle current or future disputes will not be limited by our agreements with third parties. Further, no assurance can be given that our agreements will be effective in controlling access to and distribution of our products and pr</w:t>
      </w:r>
      <w:r>
        <w:rPr>
          <w:rFonts w:ascii="Arial" w:hAnsi="Arial" w:cs="Arial"/>
          <w:sz w:val="20"/>
          <w:szCs w:val="20"/>
        </w:rPr>
        <w:t>oprietary information, and they do not prevent our competitors or partners from independently developing technologies that are substantially equivalent or superior to our platform</w:t>
      </w:r>
      <w:r>
        <w:rPr>
          <w:rFonts w:ascii="Arial" w:hAnsi="Arial" w:cs="Arial"/>
          <w:sz w:val="20"/>
          <w:szCs w:val="20"/>
        </w:rPr>
        <w:t>.</w:t>
      </w:r>
    </w:p>
    <w:p w:rsidR="00000000" w:rsidRDefault="00010F15">
      <w:pPr>
        <w:pStyle w:val="a3"/>
        <w:spacing w:before="0" w:beforeAutospacing="0" w:after="0" w:afterAutospacing="0"/>
        <w:jc w:val="center"/>
        <w:rPr>
          <w:sz w:val="20"/>
          <w:szCs w:val="20"/>
        </w:rPr>
      </w:pPr>
      <w:r>
        <w:rPr>
          <w:rFonts w:ascii="Arial" w:hAnsi="Arial" w:cs="Arial"/>
          <w:sz w:val="20"/>
          <w:szCs w:val="20"/>
        </w:rPr>
        <w:t>4</w:t>
      </w:r>
      <w:r>
        <w:rPr>
          <w:rFonts w:ascii="Arial" w:hAnsi="Arial" w:cs="Arial"/>
          <w:sz w:val="20"/>
          <w:szCs w:val="20"/>
        </w:rPr>
        <w:t>2</w:t>
      </w:r>
    </w:p>
    <w:p w:rsidR="00000000" w:rsidRDefault="00010F15">
      <w:pPr>
        <w:rPr>
          <w:rFonts w:eastAsia="Times New Roman"/>
        </w:rPr>
      </w:pPr>
      <w:r>
        <w:rPr>
          <w:rFonts w:eastAsia="Times New Roman"/>
        </w:rPr>
        <w:pict>
          <v:rect id="_x0000_i1066"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120" w:beforeAutospacing="0" w:after="0" w:afterAutospacing="0"/>
        <w:ind w:firstLine="539"/>
        <w:rPr>
          <w:sz w:val="20"/>
          <w:szCs w:val="20"/>
        </w:rPr>
      </w:pPr>
      <w:r>
        <w:rPr>
          <w:rFonts w:ascii="Arial" w:hAnsi="Arial" w:cs="Arial"/>
          <w:sz w:val="20"/>
          <w:szCs w:val="20"/>
        </w:rPr>
        <w:t>We will not be able to protect our</w:t>
      </w:r>
      <w:r>
        <w:rPr>
          <w:rFonts w:ascii="Arial" w:hAnsi="Arial" w:cs="Arial"/>
          <w:sz w:val="20"/>
          <w:szCs w:val="20"/>
        </w:rPr>
        <w:t xml:space="preserve"> intellectual property rights if we are unable to enforce our rights or if we do not detect unauthorized use of our intellectual property rights. Despite our efforts to protect our proprietary rights, unauthorized parties may attempt to copy, reverse engin</w:t>
      </w:r>
      <w:r>
        <w:rPr>
          <w:rFonts w:ascii="Arial" w:hAnsi="Arial" w:cs="Arial"/>
          <w:sz w:val="20"/>
          <w:szCs w:val="20"/>
        </w:rPr>
        <w:t>eer or otherwise obtain and use our products, technology, systems, methods, processes, intellectual property and other information that we regard as proprietary to create products and services that compete with ours. We cannot be certain that we will be ab</w:t>
      </w:r>
      <w:r>
        <w:rPr>
          <w:rFonts w:ascii="Arial" w:hAnsi="Arial" w:cs="Arial"/>
          <w:sz w:val="20"/>
          <w:szCs w:val="20"/>
        </w:rPr>
        <w:t>le to prevent unauthorized use of our products, technology, systems, methods and processes or infringement, misappropriation or other violation of our intellectual property, particularly in foreign countries where the laws may not protect our proprietary r</w:t>
      </w:r>
      <w:r>
        <w:rPr>
          <w:rFonts w:ascii="Arial" w:hAnsi="Arial" w:cs="Arial"/>
          <w:sz w:val="20"/>
          <w:szCs w:val="20"/>
        </w:rPr>
        <w:t>ights as comprehensively as in the United States, if at all. In addition, any changes in, or unexpected interpretations of, intellectual property laws may compromise our ability to enforce our trade secret and intellectual property rights. Failure to obtai</w:t>
      </w:r>
      <w:r>
        <w:rPr>
          <w:rFonts w:ascii="Arial" w:hAnsi="Arial" w:cs="Arial"/>
          <w:sz w:val="20"/>
          <w:szCs w:val="20"/>
        </w:rPr>
        <w:t>n or maintain protection of our trade secrets or other proprietary information could harm our competitive position and materially and adversely affect our business, operating results and financial condition</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 xml:space="preserve">In addition to registered intellectual property </w:t>
      </w:r>
      <w:r>
        <w:rPr>
          <w:rFonts w:ascii="Arial" w:hAnsi="Arial" w:cs="Arial"/>
          <w:sz w:val="20"/>
          <w:szCs w:val="20"/>
        </w:rPr>
        <w:t>rights such as issued patents and trademark registrations, we rely on non-registered proprietary information and technology, such as copyrights, trade secrets, confidential information, know-how and technical information. In order to protect our proprietar</w:t>
      </w:r>
      <w:r>
        <w:rPr>
          <w:rFonts w:ascii="Arial" w:hAnsi="Arial" w:cs="Arial"/>
          <w:sz w:val="20"/>
          <w:szCs w:val="20"/>
        </w:rPr>
        <w:t>y information and technology, we rely in part on confidentiality and intellectual property assignment agreements with our employees and contractors involved in the development of material intellectual property for us, which place restrictions on the employ</w:t>
      </w:r>
      <w:r>
        <w:rPr>
          <w:rFonts w:ascii="Arial" w:hAnsi="Arial" w:cs="Arial"/>
          <w:sz w:val="20"/>
          <w:szCs w:val="20"/>
        </w:rPr>
        <w:t xml:space="preserve">ees’ and contractors’ use and disclosure of this intellectual property. However, these agreements may not be self-executing, sufficient in scope or enforceable or may not provide meaningful protection for our trade secrets or other proprietary information </w:t>
      </w:r>
      <w:r>
        <w:rPr>
          <w:rFonts w:ascii="Arial" w:hAnsi="Arial" w:cs="Arial"/>
          <w:sz w:val="20"/>
          <w:szCs w:val="20"/>
        </w:rPr>
        <w:t>in the event of unauthorized use or disclosure or other breaches of the agreements. We cannot guarantee that we have entered into such agreements with each person or entity that may have or have had access to our trade secrets or proprietary information or</w:t>
      </w:r>
      <w:r>
        <w:rPr>
          <w:rFonts w:ascii="Arial" w:hAnsi="Arial" w:cs="Arial"/>
          <w:sz w:val="20"/>
          <w:szCs w:val="20"/>
        </w:rPr>
        <w:t xml:space="preserve"> otherwise developed intellectual property for us, including our technology and processes. Individuals that were involved in the development of intellectual property for us or who had access to our intellectual property but who are not subject to invention</w:t>
      </w:r>
      <w:r>
        <w:rPr>
          <w:rFonts w:ascii="Arial" w:hAnsi="Arial" w:cs="Arial"/>
          <w:sz w:val="20"/>
          <w:szCs w:val="20"/>
        </w:rPr>
        <w:t xml:space="preserve"> assignment agreements may make adverse ownership claims to our current and future intellectual property</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Additionally, these agreements may be insufficient or breached, or this intellectual property, including trade secrets, may otherwise be disclosed or</w:t>
      </w:r>
      <w:r>
        <w:rPr>
          <w:rFonts w:ascii="Arial" w:hAnsi="Arial" w:cs="Arial"/>
          <w:sz w:val="20"/>
          <w:szCs w:val="20"/>
        </w:rPr>
        <w:t xml:space="preserve"> become known to our competitors, which could cause us to lose any competitive advantage resulting from this intellectual property. We may not be able to obtain adequate remedies for such breaches. Additionally, to the extent that our employees, independen</w:t>
      </w:r>
      <w:r>
        <w:rPr>
          <w:rFonts w:ascii="Arial" w:hAnsi="Arial" w:cs="Arial"/>
          <w:sz w:val="20"/>
          <w:szCs w:val="20"/>
        </w:rPr>
        <w:t>t contractors or other third parties with whom we do business use intellectual property owned by others in their work for us, disputes may arise as to the rights in related or resulting works of authorship, know-how and inventions. The loss of trade secret</w:t>
      </w:r>
      <w:r>
        <w:rPr>
          <w:rFonts w:ascii="Arial" w:hAnsi="Arial" w:cs="Arial"/>
          <w:sz w:val="20"/>
          <w:szCs w:val="20"/>
        </w:rPr>
        <w:t xml:space="preserve"> protection could make it easier for third parties to compete with our products and services by copying functionality</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Effective patent, copyright, trademark, service mark, trade secret and domain name protection is time-consuming and expensive. We may not</w:t>
      </w:r>
      <w:r>
        <w:rPr>
          <w:rFonts w:ascii="Arial" w:hAnsi="Arial" w:cs="Arial"/>
          <w:sz w:val="20"/>
          <w:szCs w:val="20"/>
        </w:rPr>
        <w:t xml:space="preserve"> be able to obtain protection for our technology and even if we are successful in obtaining effective patent, copyright, trademark, service mark, trade secret and domain name protection, it is expensive to maintain these rights, both in terms of applicatio</w:t>
      </w:r>
      <w:r>
        <w:rPr>
          <w:rFonts w:ascii="Arial" w:hAnsi="Arial" w:cs="Arial"/>
          <w:sz w:val="20"/>
          <w:szCs w:val="20"/>
        </w:rPr>
        <w:t>n and maintenance costs, and the time and cost required to defend our rights could be substantial. Moreover, our failure to develop and properly manage and protect new intellectual property could hurt our market position and business opportunities. Further</w:t>
      </w:r>
      <w:r>
        <w:rPr>
          <w:rFonts w:ascii="Arial" w:hAnsi="Arial" w:cs="Arial"/>
          <w:sz w:val="20"/>
          <w:szCs w:val="20"/>
        </w:rPr>
        <w:t>more, changes to U.S. or foreign intellectual property laws and regulations may jeopardize the enforceability and validity of our intellectual property portfolio and harm our ability to obtain patent protection, including for some of our unique business me</w:t>
      </w:r>
      <w:r>
        <w:rPr>
          <w:rFonts w:ascii="Arial" w:hAnsi="Arial" w:cs="Arial"/>
          <w:sz w:val="20"/>
          <w:szCs w:val="20"/>
        </w:rPr>
        <w:t xml:space="preserve">thods. We may be unable to obtain trademark protection for our products and brands, and our existing trademark registrations and applications, and any trademarks that may be used in the future, may not provide us with competitive advantages or distinguish </w:t>
      </w:r>
      <w:r>
        <w:rPr>
          <w:rFonts w:ascii="Arial" w:hAnsi="Arial" w:cs="Arial"/>
          <w:sz w:val="20"/>
          <w:szCs w:val="20"/>
        </w:rPr>
        <w:t>our products and services from those of our competitors. We do not and may not own registered trademarks for all trademarks and logos used in our business in the jurisdictions in which we operate or may operate in the future. In addition, our trademarks ma</w:t>
      </w:r>
      <w:r>
        <w:rPr>
          <w:rFonts w:ascii="Arial" w:hAnsi="Arial" w:cs="Arial"/>
          <w:sz w:val="20"/>
          <w:szCs w:val="20"/>
        </w:rPr>
        <w:t>y be contested or found to be unenforceable, weak or invalid, and we may not be able to prevent third parties from infringing or otherwise violating them. Litigation may be necessary to enforce our intellectual property rights, to protect our trade secrets</w:t>
      </w:r>
      <w:r>
        <w:rPr>
          <w:rFonts w:ascii="Arial" w:hAnsi="Arial" w:cs="Arial"/>
          <w:sz w:val="20"/>
          <w:szCs w:val="20"/>
        </w:rPr>
        <w:t xml:space="preserve"> or to determine the validity and scope of the proprietary rights of others, which could result in substantial costs and diversion of our resources. In addition, our efforts may be met with defenses and counterclaims challenging the validity and enforceabi</w:t>
      </w:r>
      <w:r>
        <w:rPr>
          <w:rFonts w:ascii="Arial" w:hAnsi="Arial" w:cs="Arial"/>
          <w:sz w:val="20"/>
          <w:szCs w:val="20"/>
        </w:rPr>
        <w:t>lity of our intellectual property rights or may result in a court determining that our intellectual property rights are unenforceable. Further, we have and may in the future employ individuals who previously were employed by our competitors, and, as a resu</w:t>
      </w:r>
      <w:r>
        <w:rPr>
          <w:rFonts w:ascii="Arial" w:hAnsi="Arial" w:cs="Arial"/>
          <w:sz w:val="20"/>
          <w:szCs w:val="20"/>
        </w:rPr>
        <w:t>lt, those competitors may bring claims against such individuals or us alleging their intellectual property rights have been infringed, misappropriated or otherwise violated. If we are unable to cost-effectively protect our intellectual property rights, our</w:t>
      </w:r>
      <w:r>
        <w:rPr>
          <w:rFonts w:ascii="Arial" w:hAnsi="Arial" w:cs="Arial"/>
          <w:sz w:val="20"/>
          <w:szCs w:val="20"/>
        </w:rPr>
        <w:t xml:space="preserve"> business would be harmed. If competitors are able to use our technology or develop proprietary technology similar to ours or competing technologies, our ability to compete effectively and our growth prospects would be adversely affected</w:t>
      </w:r>
      <w:r>
        <w:rPr>
          <w:rFonts w:ascii="Arial" w:hAnsi="Arial" w:cs="Arial"/>
          <w:sz w:val="20"/>
          <w:szCs w:val="20"/>
        </w:rPr>
        <w:t>.</w:t>
      </w:r>
    </w:p>
    <w:p w:rsidR="00000000" w:rsidRDefault="00010F15">
      <w:pPr>
        <w:pStyle w:val="a3"/>
        <w:spacing w:before="0" w:beforeAutospacing="0" w:after="0" w:afterAutospacing="0"/>
        <w:jc w:val="center"/>
        <w:rPr>
          <w:sz w:val="20"/>
          <w:szCs w:val="20"/>
        </w:rPr>
      </w:pPr>
      <w:r>
        <w:rPr>
          <w:rFonts w:ascii="Arial" w:hAnsi="Arial" w:cs="Arial"/>
          <w:sz w:val="20"/>
          <w:szCs w:val="20"/>
        </w:rPr>
        <w:t>4</w:t>
      </w:r>
      <w:r>
        <w:rPr>
          <w:rFonts w:ascii="Arial" w:hAnsi="Arial" w:cs="Arial"/>
          <w:sz w:val="20"/>
          <w:szCs w:val="20"/>
        </w:rPr>
        <w:t>3</w:t>
      </w:r>
    </w:p>
    <w:p w:rsidR="00000000" w:rsidRDefault="00010F15">
      <w:pPr>
        <w:rPr>
          <w:rFonts w:eastAsia="Times New Roman"/>
        </w:rPr>
      </w:pPr>
      <w:r>
        <w:rPr>
          <w:rFonts w:eastAsia="Times New Roman"/>
        </w:rPr>
        <w:pict>
          <v:rect id="_x0000_i1067"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240" w:beforeAutospacing="0" w:after="0" w:afterAutospacing="0"/>
        <w:rPr>
          <w:sz w:val="20"/>
          <w:szCs w:val="20"/>
        </w:rPr>
      </w:pPr>
      <w:r>
        <w:rPr>
          <w:rFonts w:ascii="Arial" w:hAnsi="Arial" w:cs="Arial"/>
          <w:b/>
          <w:bCs/>
          <w:i/>
          <w:iCs/>
          <w:sz w:val="20"/>
          <w:szCs w:val="20"/>
        </w:rPr>
        <w:t>We and our billers, financial institutions and partners and their consumers and other third parties that use our platform obtain, provide and process a large amount of sensitive and personal data. Any real or perceived improper or u</w:t>
      </w:r>
      <w:r>
        <w:rPr>
          <w:rFonts w:ascii="Arial" w:hAnsi="Arial" w:cs="Arial"/>
          <w:b/>
          <w:bCs/>
          <w:i/>
          <w:iCs/>
          <w:sz w:val="20"/>
          <w:szCs w:val="20"/>
        </w:rPr>
        <w:t>nauthorized use of, disclosure of or access to such data could harm our reputation as a trusted brand, as well as have a material adverse effect on our business, operating results and financial condition</w:t>
      </w:r>
      <w:r>
        <w:rPr>
          <w:rFonts w:ascii="Arial" w:hAnsi="Arial" w:cs="Arial"/>
          <w:b/>
          <w:bCs/>
          <w:i/>
          <w:iCs/>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We and our billers, financial institutions and partners and their consumers and the third-party vendors and data centers that we use obtain, provide and process large amounts of sensitive and personal data, including data provided by and related to consume</w:t>
      </w:r>
      <w:r>
        <w:rPr>
          <w:rFonts w:ascii="Arial" w:hAnsi="Arial" w:cs="Arial"/>
          <w:sz w:val="20"/>
          <w:szCs w:val="20"/>
        </w:rPr>
        <w:t>rs and their transactions, as well as other data of the counterparties to their payments. We face risks, including to our reputation as a trusted brand, in the handling and protection of this data, and these risks will increase as our business continues to</w:t>
      </w:r>
      <w:r>
        <w:rPr>
          <w:rFonts w:ascii="Arial" w:hAnsi="Arial" w:cs="Arial"/>
          <w:sz w:val="20"/>
          <w:szCs w:val="20"/>
        </w:rPr>
        <w:t xml:space="preserve"> expand to include new products and technologies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 xml:space="preserve">Cybersecurity threats and attacks, privacy and security breaches and incidents, insider threats or other incidents and malicious internet-based activity continue to increase generally, evolve in nature and </w:t>
      </w:r>
      <w:r>
        <w:rPr>
          <w:rFonts w:ascii="Arial" w:hAnsi="Arial" w:cs="Arial"/>
          <w:sz w:val="20"/>
          <w:szCs w:val="20"/>
        </w:rPr>
        <w:t xml:space="preserve">become more sophisticated, and providers of cloud-based services have frequently been targeted by such attacks, particularly in the financial technology sector. These cybersecurity challenges, including threats to our own IT infrastructure or those of our </w:t>
      </w:r>
      <w:r>
        <w:rPr>
          <w:rFonts w:ascii="Arial" w:hAnsi="Arial" w:cs="Arial"/>
          <w:sz w:val="20"/>
          <w:szCs w:val="20"/>
        </w:rPr>
        <w:t>billers, financial institutions or partners or their consumers or third-party service providers, may take a variety of forms ranging from stolen bank accounts, business email compromise, biller or financial institution employee fraud, account takeover, che</w:t>
      </w:r>
      <w:r>
        <w:rPr>
          <w:rFonts w:ascii="Arial" w:hAnsi="Arial" w:cs="Arial"/>
          <w:sz w:val="20"/>
          <w:szCs w:val="20"/>
        </w:rPr>
        <w:t>ck fraud or cybersecurity attacks, to “mega breaches” targeted against cloud-based services and other hosted software, which could be initiated by individual or groups of hackers or sophisticated cyber criminals. A cybersecurity incident or breach could re</w:t>
      </w:r>
      <w:r>
        <w:rPr>
          <w:rFonts w:ascii="Arial" w:hAnsi="Arial" w:cs="Arial"/>
          <w:sz w:val="20"/>
          <w:szCs w:val="20"/>
        </w:rPr>
        <w:t>sult in loss, compromise, corruption or disclosure of confidential information, intellectual property and sensitive and personal data or data we rely on to provide our solutions and impair our ability to provide our solutions and meet our billers’, financi</w:t>
      </w:r>
      <w:r>
        <w:rPr>
          <w:rFonts w:ascii="Arial" w:hAnsi="Arial" w:cs="Arial"/>
          <w:sz w:val="20"/>
          <w:szCs w:val="20"/>
        </w:rPr>
        <w:t>al institutions' or partners’ or their consumers’ requirements, or cause production downtimes and compromised data. We may be unable to anticipate or prevent techniques used in the future to obtain unauthorized access or to sabotage systems because they ch</w:t>
      </w:r>
      <w:r>
        <w:rPr>
          <w:rFonts w:ascii="Arial" w:hAnsi="Arial" w:cs="Arial"/>
          <w:sz w:val="20"/>
          <w:szCs w:val="20"/>
        </w:rPr>
        <w:t>ange frequently and often are not detected until after an incident has occurred. As we increase our biller and financial institution base and our brand becomes more widely known and recognized, third parties may increasingly seek to compromise our security</w:t>
      </w:r>
      <w:r>
        <w:rPr>
          <w:rFonts w:ascii="Arial" w:hAnsi="Arial" w:cs="Arial"/>
          <w:sz w:val="20"/>
          <w:szCs w:val="20"/>
        </w:rPr>
        <w:t xml:space="preserve"> controls or gain unauthorized access to our sensitive corporate information or our billers’, financial institutions' or partners’ or their consumers’ sensitive and personal data. Information security risks for technology companies such as ours have signif</w:t>
      </w:r>
      <w:r>
        <w:rPr>
          <w:rFonts w:ascii="Arial" w:hAnsi="Arial" w:cs="Arial"/>
          <w:sz w:val="20"/>
          <w:szCs w:val="20"/>
        </w:rPr>
        <w:t>icantly increased in recent years in part because of the proliferation of new technologies, the use of the internet and telecommunications technologies to conduct financial transactions, and the increased sophistication and activities of organized crime, h</w:t>
      </w:r>
      <w:r>
        <w:rPr>
          <w:rFonts w:ascii="Arial" w:hAnsi="Arial" w:cs="Arial"/>
          <w:sz w:val="20"/>
          <w:szCs w:val="20"/>
        </w:rPr>
        <w:t>ackers, terrorists and other external parties as well as nation-state and nation-state-supported actors. Additionally, geopolitical events and resulting government activity could lead to information security threats and attacks by affected jurisdictions an</w:t>
      </w:r>
      <w:r>
        <w:rPr>
          <w:rFonts w:ascii="Arial" w:hAnsi="Arial" w:cs="Arial"/>
          <w:sz w:val="20"/>
          <w:szCs w:val="20"/>
        </w:rPr>
        <w:t>d their sympathizers. Because of our position in the financial services industry, we believe that we are likely to continue to be a target of such threats and attacks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We have administrative, technical and physical security measures in place, and we have p</w:t>
      </w:r>
      <w:r>
        <w:rPr>
          <w:rFonts w:ascii="Arial" w:hAnsi="Arial" w:cs="Arial"/>
          <w:sz w:val="20"/>
          <w:szCs w:val="20"/>
        </w:rPr>
        <w:t>olicies and procedures in place to contractually require service providers to whom we disclose data to implement and maintain reasonable privacy, data protection and information security measures. However, if our privacy protection, data protection or info</w:t>
      </w:r>
      <w:r>
        <w:rPr>
          <w:rFonts w:ascii="Arial" w:hAnsi="Arial" w:cs="Arial"/>
          <w:sz w:val="20"/>
          <w:szCs w:val="20"/>
        </w:rPr>
        <w:t>rmation security measures or those of the previously mentioned third parties are inadequate or are breached or otherwise compromised as a result of third-party action, employee or contractor error, malfeasance, malware, phishing, hacking attacks, system er</w:t>
      </w:r>
      <w:r>
        <w:rPr>
          <w:rFonts w:ascii="Arial" w:hAnsi="Arial" w:cs="Arial"/>
          <w:sz w:val="20"/>
          <w:szCs w:val="20"/>
        </w:rPr>
        <w:t>ror, software bugs or defects in our products, trickery, process failure, or otherwise, and, as a result, there is improper disclosure of, or someone obtains unauthorized access to or exfiltrates funds or accesses, modifies, corrupts, or destroys any sensi</w:t>
      </w:r>
      <w:r>
        <w:rPr>
          <w:rFonts w:ascii="Arial" w:hAnsi="Arial" w:cs="Arial"/>
          <w:sz w:val="20"/>
          <w:szCs w:val="20"/>
        </w:rPr>
        <w:t>tive and personal data, including personally identifiable information, on our systems or our partners’ systems, or if we suffer a ransomware or advanced persistent threat attack, or if any of the foregoing is reported or perceived to have occurred, our rep</w:t>
      </w:r>
      <w:r>
        <w:rPr>
          <w:rFonts w:ascii="Arial" w:hAnsi="Arial" w:cs="Arial"/>
          <w:sz w:val="20"/>
          <w:szCs w:val="20"/>
        </w:rPr>
        <w:t xml:space="preserve">utation and business could be damaged. Recent high-profile security breaches and related disclosures of sensitive and personal data by large institutions suggest that the risk of such events is significant, even if privacy, data protection and information </w:t>
      </w:r>
      <w:r>
        <w:rPr>
          <w:rFonts w:ascii="Arial" w:hAnsi="Arial" w:cs="Arial"/>
          <w:sz w:val="20"/>
          <w:szCs w:val="20"/>
        </w:rPr>
        <w:t xml:space="preserve">security measures are implemented and enforced. If sensitive and personal data is unavailable, lost, modified, corrupted, or destroyed without authorization or improperly disclosed or threatened to be disclosed, we could incur significant costs associated </w:t>
      </w:r>
      <w:r>
        <w:rPr>
          <w:rFonts w:ascii="Arial" w:hAnsi="Arial" w:cs="Arial"/>
          <w:sz w:val="20"/>
          <w:szCs w:val="20"/>
        </w:rPr>
        <w:t>with remediation and the implementation of additional security measures, and may incur significant liability and financial loss and be subject to regulatory scrutiny, investigations, proceedings and penalties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In addition, because we leverage third-party s</w:t>
      </w:r>
      <w:r>
        <w:rPr>
          <w:rFonts w:ascii="Arial" w:hAnsi="Arial" w:cs="Arial"/>
          <w:sz w:val="20"/>
          <w:szCs w:val="20"/>
        </w:rPr>
        <w:t>ervice providers, including cloud, software, data center and other critical technology vendors to deliver our solutions to our billers, financial institutions, partners or consumers and their clients, we rely heavily on the data security technology practic</w:t>
      </w:r>
      <w:r>
        <w:rPr>
          <w:rFonts w:ascii="Arial" w:hAnsi="Arial" w:cs="Arial"/>
          <w:sz w:val="20"/>
          <w:szCs w:val="20"/>
        </w:rPr>
        <w:t xml:space="preserve">es and policies adopted by these third-party service providers. Such third-party service providers have access to sensitive and personal data and other data about our billers, partners and employees, as well as consumers using our products and services to </w:t>
      </w:r>
      <w:r>
        <w:rPr>
          <w:rFonts w:ascii="Arial" w:hAnsi="Arial" w:cs="Arial"/>
          <w:sz w:val="20"/>
          <w:szCs w:val="20"/>
        </w:rPr>
        <w:t>pay the bills of our billers, financial institutions and some of these providers in turn may subcontract with other third-party service providers. Our ability to monitor our third-party service providers’ data security is limited. There have been and may c</w:t>
      </w:r>
      <w:r>
        <w:rPr>
          <w:rFonts w:ascii="Arial" w:hAnsi="Arial" w:cs="Arial"/>
          <w:sz w:val="20"/>
          <w:szCs w:val="20"/>
        </w:rPr>
        <w:t xml:space="preserve">ontinue to be significant supply chain attacks, and we cannot guarantee that our or our third-party service providers’ software or systems have not been breached or compromised or that they do not contain exploitable defects or bugs that could result in a </w:t>
      </w:r>
      <w:r>
        <w:rPr>
          <w:rFonts w:ascii="Arial" w:hAnsi="Arial" w:cs="Arial"/>
          <w:sz w:val="20"/>
          <w:szCs w:val="20"/>
        </w:rPr>
        <w:t>breach of or disruption to our systems or the systems of third parties that support us and our services. A vulnerability in our third-part</w:t>
      </w:r>
      <w:r>
        <w:rPr>
          <w:rFonts w:ascii="Arial" w:hAnsi="Arial" w:cs="Arial"/>
          <w:sz w:val="20"/>
          <w:szCs w:val="20"/>
        </w:rPr>
        <w:t>y</w:t>
      </w:r>
      <w:r>
        <w:rPr>
          <w:rFonts w:ascii="Arial" w:hAnsi="Arial" w:cs="Arial"/>
          <w:sz w:val="20"/>
          <w:szCs w:val="20"/>
        </w:rPr>
        <w:t xml:space="preserve"> </w:t>
      </w:r>
    </w:p>
    <w:p w:rsidR="00000000" w:rsidRDefault="00010F15">
      <w:pPr>
        <w:pStyle w:val="a3"/>
        <w:spacing w:before="0" w:beforeAutospacing="0" w:after="0" w:afterAutospacing="0"/>
        <w:jc w:val="center"/>
        <w:rPr>
          <w:sz w:val="20"/>
          <w:szCs w:val="20"/>
        </w:rPr>
      </w:pPr>
      <w:r>
        <w:rPr>
          <w:rFonts w:ascii="Arial" w:hAnsi="Arial" w:cs="Arial"/>
          <w:sz w:val="20"/>
          <w:szCs w:val="20"/>
        </w:rPr>
        <w:t>4</w:t>
      </w:r>
      <w:r>
        <w:rPr>
          <w:rFonts w:ascii="Arial" w:hAnsi="Arial" w:cs="Arial"/>
          <w:sz w:val="20"/>
          <w:szCs w:val="20"/>
        </w:rPr>
        <w:t>4</w:t>
      </w:r>
    </w:p>
    <w:p w:rsidR="00000000" w:rsidRDefault="00010F15">
      <w:pPr>
        <w:rPr>
          <w:rFonts w:eastAsia="Times New Roman"/>
        </w:rPr>
      </w:pPr>
      <w:r>
        <w:rPr>
          <w:rFonts w:eastAsia="Times New Roman"/>
        </w:rPr>
        <w:pict>
          <v:rect id="_x0000_i1068"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120" w:beforeAutospacing="0" w:after="0" w:afterAutospacing="0"/>
        <w:rPr>
          <w:sz w:val="20"/>
          <w:szCs w:val="20"/>
        </w:rPr>
      </w:pPr>
      <w:r>
        <w:rPr>
          <w:rFonts w:ascii="Arial" w:hAnsi="Arial" w:cs="Arial"/>
          <w:sz w:val="20"/>
          <w:szCs w:val="20"/>
        </w:rPr>
        <w:t>service providers’ software or systems, a failure of our third-party servi</w:t>
      </w:r>
      <w:r>
        <w:rPr>
          <w:rFonts w:ascii="Arial" w:hAnsi="Arial" w:cs="Arial"/>
          <w:sz w:val="20"/>
          <w:szCs w:val="20"/>
        </w:rPr>
        <w:t>ce providers’ safeguards, policies or procedures, or a breach of a third-party service provider’s software or systems could result in the compromise of the confidentiality, integrity or availability of our systems or the data housed in our third-party solu</w:t>
      </w:r>
      <w:r>
        <w:rPr>
          <w:rFonts w:ascii="Arial" w:hAnsi="Arial" w:cs="Arial"/>
          <w:sz w:val="20"/>
          <w:szCs w:val="20"/>
        </w:rPr>
        <w:t>tions. Techniques used to sabotage or obtain unauthorized access to systems are constantly evolving and our third-party service providers may face difficulties or delays in identifying breaches and compromises, and notifying us of any such breaches and com</w:t>
      </w:r>
      <w:r>
        <w:rPr>
          <w:rFonts w:ascii="Arial" w:hAnsi="Arial" w:cs="Arial"/>
          <w:sz w:val="20"/>
          <w:szCs w:val="20"/>
        </w:rPr>
        <w:t>promises. This could cause us to face delays in responding to any such breach or compromise and providing any required notifications to consumers or other third parties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In addition, our financial institution strategic partners conduct regular audits of ou</w:t>
      </w:r>
      <w:r>
        <w:rPr>
          <w:rFonts w:ascii="Arial" w:hAnsi="Arial" w:cs="Arial"/>
          <w:sz w:val="20"/>
          <w:szCs w:val="20"/>
        </w:rPr>
        <w:t xml:space="preserve">r cybersecurity program, and if any of them were to conclude that our systems and procedures are insufficiently rigorous, they could terminate their relationships with us, and our financial results and business would be adversely affected. Under our terms </w:t>
      </w:r>
      <w:r>
        <w:rPr>
          <w:rFonts w:ascii="Arial" w:hAnsi="Arial" w:cs="Arial"/>
          <w:sz w:val="20"/>
          <w:szCs w:val="20"/>
        </w:rPr>
        <w:t>of service and our contracts with strategic partners, if there is a breach of payment information that we store, we could be liable to the partner for their losses and related expenses. Additionally, if our own confidential business information were improp</w:t>
      </w:r>
      <w:r>
        <w:rPr>
          <w:rFonts w:ascii="Arial" w:hAnsi="Arial" w:cs="Arial"/>
          <w:sz w:val="20"/>
          <w:szCs w:val="20"/>
        </w:rPr>
        <w:t>erly disclosed, our business could be materially and adversely affected. A core aspect of our business is the reliability and security of our platform. Any perceived or actual breach of security or security incident, regardless of how it occurs or the exte</w:t>
      </w:r>
      <w:r>
        <w:rPr>
          <w:rFonts w:ascii="Arial" w:hAnsi="Arial" w:cs="Arial"/>
          <w:sz w:val="20"/>
          <w:szCs w:val="20"/>
        </w:rPr>
        <w:t>nt of the breach or incident, could have a significant impact on our reputation as a trusted brand, cause us to lose existing billers, financial institutions, partners and consumers, prevent us from obtaining new billers, financial institutions, partners a</w:t>
      </w:r>
      <w:r>
        <w:rPr>
          <w:rFonts w:ascii="Arial" w:hAnsi="Arial" w:cs="Arial"/>
          <w:sz w:val="20"/>
          <w:szCs w:val="20"/>
        </w:rPr>
        <w:t>nd consumers, require us to expend significant funds to remedy problems caused by breaches and incidents and implement measures to prevent further breaches and incidents, and expose us to legal risk and potential liability including those resulting from go</w:t>
      </w:r>
      <w:r>
        <w:rPr>
          <w:rFonts w:ascii="Arial" w:hAnsi="Arial" w:cs="Arial"/>
          <w:sz w:val="20"/>
          <w:szCs w:val="20"/>
        </w:rPr>
        <w:t>vernmental or regulatory investigations, class action litigation, indemnity obligations, damages for contract breach or penalties for violation of security obligations and costs associated with remediation, such as fraud monitoring and forensics, all of wh</w:t>
      </w:r>
      <w:r>
        <w:rPr>
          <w:rFonts w:ascii="Arial" w:hAnsi="Arial" w:cs="Arial"/>
          <w:sz w:val="20"/>
          <w:szCs w:val="20"/>
        </w:rPr>
        <w:t xml:space="preserve">ich could divert resources and attention of our management and key personnel away from our business operations and materially and adversely affect our business, operating results and financial condition. Any actual or perceived security breach or incident </w:t>
      </w:r>
      <w:r>
        <w:rPr>
          <w:rFonts w:ascii="Arial" w:hAnsi="Arial" w:cs="Arial"/>
          <w:sz w:val="20"/>
          <w:szCs w:val="20"/>
        </w:rPr>
        <w:t>at a third-party service provider providing services to us or our billers, financial institutions, partners or consumers could have similar effects. Further, as the current COVID-19 pandemic continues to result in a significant number of people working fro</w:t>
      </w:r>
      <w:r>
        <w:rPr>
          <w:rFonts w:ascii="Arial" w:hAnsi="Arial" w:cs="Arial"/>
          <w:sz w:val="20"/>
          <w:szCs w:val="20"/>
        </w:rPr>
        <w:t>m home, these cybersecurity risks may be heightened by an increased attack surface across our business and those of our partners and service providers. We cannot guarantee that our efforts, or the efforts of those upon whom we rely and partner with, will b</w:t>
      </w:r>
      <w:r>
        <w:rPr>
          <w:rFonts w:ascii="Arial" w:hAnsi="Arial" w:cs="Arial"/>
          <w:sz w:val="20"/>
          <w:szCs w:val="20"/>
        </w:rPr>
        <w:t>e successful in preventing any such information security incidents or protecting sensitive and personal data that they obtain and process on our behalf</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Federal, state and international regulations may require us or our billers, financial institutions or p</w:t>
      </w:r>
      <w:r>
        <w:rPr>
          <w:rFonts w:ascii="Arial" w:hAnsi="Arial" w:cs="Arial"/>
          <w:sz w:val="20"/>
          <w:szCs w:val="20"/>
        </w:rPr>
        <w:t xml:space="preserve">artners to notify governmental entities and individuals of data security incidents involving certain types of personal and sensitive data or information technology systems. Security compromises experienced by others in our industry, our billers, financial </w:t>
      </w:r>
      <w:r>
        <w:rPr>
          <w:rFonts w:ascii="Arial" w:hAnsi="Arial" w:cs="Arial"/>
          <w:sz w:val="20"/>
          <w:szCs w:val="20"/>
        </w:rPr>
        <w:t>institutions or partners or their consumers, our third-party service providers or us may lead to public disclosures and widespread negative publicity. Any security compromise in our industry, whether actual or perceived, could erode consumer, biller, finan</w:t>
      </w:r>
      <w:r>
        <w:rPr>
          <w:rFonts w:ascii="Arial" w:hAnsi="Arial" w:cs="Arial"/>
          <w:sz w:val="20"/>
          <w:szCs w:val="20"/>
        </w:rPr>
        <w:t>cial institution or partner confidence in the effectiveness of our security measures, negatively impact our ability to attract new billers, financial institutions, partners and consumers, cause existing billers, financial institutions, partners and consume</w:t>
      </w:r>
      <w:r>
        <w:rPr>
          <w:rFonts w:ascii="Arial" w:hAnsi="Arial" w:cs="Arial"/>
          <w:sz w:val="20"/>
          <w:szCs w:val="20"/>
        </w:rPr>
        <w:t>rs to elect not to renew or expand their use of our platform, services and products or subject us to third-party lawsuits, regulatory fines or other actions or liabilities, which could materially and adversely affect our business, operating results and fin</w:t>
      </w:r>
      <w:r>
        <w:rPr>
          <w:rFonts w:ascii="Arial" w:hAnsi="Arial" w:cs="Arial"/>
          <w:sz w:val="20"/>
          <w:szCs w:val="20"/>
        </w:rPr>
        <w:t>ancial condition</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In addition, some of our billers, financial institutions and partners contractually require notification of data security compromises and include representations and warranties in their contracts with us that our platform, products and se</w:t>
      </w:r>
      <w:r>
        <w:rPr>
          <w:rFonts w:ascii="Arial" w:hAnsi="Arial" w:cs="Arial"/>
          <w:sz w:val="20"/>
          <w:szCs w:val="20"/>
        </w:rPr>
        <w:t>rvices comply with certain legal and technical standards related to data security and privacy and meet certain service levels. In our contracts, a data security compromise or operational disruption impacting us or one of our critical vendors, or system una</w:t>
      </w:r>
      <w:r>
        <w:rPr>
          <w:rFonts w:ascii="Arial" w:hAnsi="Arial" w:cs="Arial"/>
          <w:sz w:val="20"/>
          <w:szCs w:val="20"/>
        </w:rPr>
        <w:t>vailability or damage due to other circumstances, may constitute a material breach and give rise to a biller’s, financial institution's or partner’s right to terminate their contract with us. In these circumstances, it may be difficult or impossible to cur</w:t>
      </w:r>
      <w:r>
        <w:rPr>
          <w:rFonts w:ascii="Arial" w:hAnsi="Arial" w:cs="Arial"/>
          <w:sz w:val="20"/>
          <w:szCs w:val="20"/>
        </w:rPr>
        <w:t>e such a breach in order to prevent billers, financial institutions or partners from potentially terminating their contracts with us. Furthermore, although our contracts typically include limitations on our potential liability, we cannot ensure that such l</w:t>
      </w:r>
      <w:r>
        <w:rPr>
          <w:rFonts w:ascii="Arial" w:hAnsi="Arial" w:cs="Arial"/>
          <w:sz w:val="20"/>
          <w:szCs w:val="20"/>
        </w:rPr>
        <w:t>imitations of liability would be adequate or apply to data security compromises</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While we maintain cybersecurity insurance, our insurance may be insufficient or may not cover all liabilities incurred by any security breach or incident. We also cannot be c</w:t>
      </w:r>
      <w:r>
        <w:rPr>
          <w:rFonts w:ascii="Arial" w:hAnsi="Arial" w:cs="Arial"/>
          <w:sz w:val="20"/>
          <w:szCs w:val="20"/>
        </w:rPr>
        <w:t>ertain that our insurance coverage will be adequate for data handling or data security liabilities actually incurred, that insurance will continue to be available to us on economically reasonable terms, or at all, or that any insurer will not deny coverage</w:t>
      </w:r>
      <w:r>
        <w:rPr>
          <w:rFonts w:ascii="Arial" w:hAnsi="Arial" w:cs="Arial"/>
          <w:sz w:val="20"/>
          <w:szCs w:val="20"/>
        </w:rPr>
        <w:t xml:space="preserve"> as to any future claim. The successful assertion of one or more large claims against us that exceed available insurance coverage, litigation to pursue claims under our insurance policies or the occurrence of changes in our insurance policies, including pr</w:t>
      </w:r>
      <w:r>
        <w:rPr>
          <w:rFonts w:ascii="Arial" w:hAnsi="Arial" w:cs="Arial"/>
          <w:sz w:val="20"/>
          <w:szCs w:val="20"/>
        </w:rPr>
        <w:t>emium increases or the imposition of large deductible or co-insurance requirements, or denials of coverage, could have a material adverse effect on our business, reputation, operating results and financial condition</w:t>
      </w:r>
      <w:r>
        <w:rPr>
          <w:rFonts w:ascii="Arial" w:hAnsi="Arial" w:cs="Arial"/>
          <w:sz w:val="20"/>
          <w:szCs w:val="20"/>
        </w:rPr>
        <w:t>.</w:t>
      </w:r>
    </w:p>
    <w:p w:rsidR="00000000" w:rsidRDefault="00010F15">
      <w:pPr>
        <w:pStyle w:val="a3"/>
        <w:spacing w:before="0" w:beforeAutospacing="0" w:after="0" w:afterAutospacing="0"/>
        <w:jc w:val="center"/>
        <w:rPr>
          <w:sz w:val="20"/>
          <w:szCs w:val="20"/>
        </w:rPr>
      </w:pPr>
      <w:r>
        <w:rPr>
          <w:rFonts w:ascii="Arial" w:hAnsi="Arial" w:cs="Arial"/>
          <w:sz w:val="20"/>
          <w:szCs w:val="20"/>
        </w:rPr>
        <w:t>4</w:t>
      </w:r>
      <w:r>
        <w:rPr>
          <w:rFonts w:ascii="Arial" w:hAnsi="Arial" w:cs="Arial"/>
          <w:sz w:val="20"/>
          <w:szCs w:val="20"/>
        </w:rPr>
        <w:t>5</w:t>
      </w:r>
    </w:p>
    <w:p w:rsidR="00000000" w:rsidRDefault="00010F15">
      <w:pPr>
        <w:rPr>
          <w:rFonts w:eastAsia="Times New Roman"/>
        </w:rPr>
      </w:pPr>
      <w:r>
        <w:rPr>
          <w:rFonts w:eastAsia="Times New Roman"/>
        </w:rPr>
        <w:pict>
          <v:rect id="_x0000_i1069"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240" w:beforeAutospacing="0" w:after="0" w:afterAutospacing="0"/>
        <w:rPr>
          <w:sz w:val="20"/>
          <w:szCs w:val="20"/>
        </w:rPr>
      </w:pPr>
      <w:r>
        <w:rPr>
          <w:rFonts w:ascii="Arial" w:hAnsi="Arial" w:cs="Arial"/>
          <w:b/>
          <w:bCs/>
          <w:i/>
          <w:iCs/>
          <w:sz w:val="20"/>
          <w:szCs w:val="20"/>
        </w:rPr>
        <w:t>We may in the future become subject to or initiate intellectual property disputes, which are costly and time-consuming to defend against or pursue, and may subject us to significant liability and increased costs of doing business</w:t>
      </w:r>
      <w:r>
        <w:rPr>
          <w:rFonts w:ascii="Arial" w:hAnsi="Arial" w:cs="Arial"/>
          <w:b/>
          <w:bCs/>
          <w:i/>
          <w:iCs/>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We may in the future be</w:t>
      </w:r>
      <w:r>
        <w:rPr>
          <w:rFonts w:ascii="Arial" w:hAnsi="Arial" w:cs="Arial"/>
          <w:sz w:val="20"/>
          <w:szCs w:val="20"/>
        </w:rPr>
        <w:t>come subject to and involved in lawsuits, disputes, legal proceedings or claims to protect or enforce our intellectual property rights, and we may be subject to claims by third parties that we have infringed, misappropriated or otherwise violated their int</w:t>
      </w:r>
      <w:r>
        <w:rPr>
          <w:rFonts w:ascii="Arial" w:hAnsi="Arial" w:cs="Arial"/>
          <w:sz w:val="20"/>
          <w:szCs w:val="20"/>
        </w:rPr>
        <w:t>ellectual property. Even if we believe that particular intellectual property-related claims are without merit, litigation may be necessary to determine the scope and validity of intellectual property or proprietary rights of others or to protect or enforce</w:t>
      </w:r>
      <w:r>
        <w:rPr>
          <w:rFonts w:ascii="Arial" w:hAnsi="Arial" w:cs="Arial"/>
          <w:sz w:val="20"/>
          <w:szCs w:val="20"/>
        </w:rPr>
        <w:t xml:space="preserve"> our intellectual property rights. The ultimate outcome of any allegation is often uncertain and, regardless of the outcome, lawsuits, with or without merit, are time-consuming and expensive to resolve and they divert management’s time and attention and re</w:t>
      </w:r>
      <w:r>
        <w:rPr>
          <w:rFonts w:ascii="Arial" w:hAnsi="Arial" w:cs="Arial"/>
          <w:sz w:val="20"/>
          <w:szCs w:val="20"/>
        </w:rPr>
        <w:t xml:space="preserve">quire us to, among other things, redesign or stop providing our products or services, pay substantial amounts to satisfy judgments or settle claims or lawsuits, pay substantial royalty or licensing fees, or satisfy indemnification obligations that we have </w:t>
      </w:r>
      <w:r>
        <w:rPr>
          <w:rFonts w:ascii="Arial" w:hAnsi="Arial" w:cs="Arial"/>
          <w:sz w:val="20"/>
          <w:szCs w:val="20"/>
        </w:rPr>
        <w:t>with certain parties with whom we have commercial relationships. Although we carry insurance, our insurance may not cover potential claims of this type or may not be adequate to indemnify us for all liability that may be imposed. We cannot predict the outc</w:t>
      </w:r>
      <w:r>
        <w:rPr>
          <w:rFonts w:ascii="Arial" w:hAnsi="Arial" w:cs="Arial"/>
          <w:sz w:val="20"/>
          <w:szCs w:val="20"/>
        </w:rPr>
        <w:t>ome of lawsuits and cannot assure you that the results of any such actions will not have an adverse effect on our business, operating results or financial condition</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The software industry is characterized by the existence of many patents, copyrights, trade</w:t>
      </w:r>
      <w:r>
        <w:rPr>
          <w:rFonts w:ascii="Arial" w:hAnsi="Arial" w:cs="Arial"/>
          <w:sz w:val="20"/>
          <w:szCs w:val="20"/>
        </w:rPr>
        <w:t>marks, trade secrets and other intellectual property rights. Companies in the software industry are often required to defend against litigation claims based on allegations of infringement or other violations of intellectual property rights. Our technologie</w:t>
      </w:r>
      <w:r>
        <w:rPr>
          <w:rFonts w:ascii="Arial" w:hAnsi="Arial" w:cs="Arial"/>
          <w:sz w:val="20"/>
          <w:szCs w:val="20"/>
        </w:rPr>
        <w:t xml:space="preserve">s may not be able to withstand any third-party claims against their use. We could also face trade name or trademark or service mark infringement claims brought by owners of other registered or unregistered trademarks or service marks, including trademarks </w:t>
      </w:r>
      <w:r>
        <w:rPr>
          <w:rFonts w:ascii="Arial" w:hAnsi="Arial" w:cs="Arial"/>
          <w:sz w:val="20"/>
          <w:szCs w:val="20"/>
        </w:rPr>
        <w:t>or service marks that may incorporate variations of our brand names. Any claims related to our intellectual property or biller, financial institution or consumer confusion related to our marketplace could damage our reputation and adversely affect our grow</w:t>
      </w:r>
      <w:r>
        <w:rPr>
          <w:rFonts w:ascii="Arial" w:hAnsi="Arial" w:cs="Arial"/>
          <w:sz w:val="20"/>
          <w:szCs w:val="20"/>
        </w:rPr>
        <w:t>th prospects. In addition, many companies have the capability to dedicate substantially greater resources to enforce their intellectual property rights and to defend claims that may be brought against them than we do. Any litigation may also involve patent</w:t>
      </w:r>
      <w:r>
        <w:rPr>
          <w:rFonts w:ascii="Arial" w:hAnsi="Arial" w:cs="Arial"/>
          <w:sz w:val="20"/>
          <w:szCs w:val="20"/>
        </w:rPr>
        <w:t xml:space="preserve"> holding companies or other adverse patent owners that have no relevant product revenue, and therefore, our patents may provide little or no deterrence as we would not be able to assert them against such entities or individuals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If a third party is able to</w:t>
      </w:r>
      <w:r>
        <w:rPr>
          <w:rFonts w:ascii="Arial" w:hAnsi="Arial" w:cs="Arial"/>
          <w:sz w:val="20"/>
          <w:szCs w:val="20"/>
        </w:rPr>
        <w:t xml:space="preserve"> obtain an injunction preventing us from accessing such third-party’s intellectual property rights, or if we cannot license or develop alternative technology for any infringing aspect of our business, we would be forced to limit or stop sales of our produc</w:t>
      </w:r>
      <w:r>
        <w:rPr>
          <w:rFonts w:ascii="Arial" w:hAnsi="Arial" w:cs="Arial"/>
          <w:sz w:val="20"/>
          <w:szCs w:val="20"/>
        </w:rPr>
        <w:t>ts or cease business activities related to such intellectual property. Any inability to license third-party technology in the future would have an adverse effect on our business or operating results and would adversely affect our ability to compete</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We al</w:t>
      </w:r>
      <w:r>
        <w:rPr>
          <w:rFonts w:ascii="Arial" w:hAnsi="Arial" w:cs="Arial"/>
          <w:sz w:val="20"/>
          <w:szCs w:val="20"/>
        </w:rPr>
        <w:t>so are, and may in the future become, contractually obligated to indemnify our billers, financial institutions and partners in the event of infringement, misappropriation or other violation of a third party’s intellectual property rights. Responding to suc</w:t>
      </w:r>
      <w:r>
        <w:rPr>
          <w:rFonts w:ascii="Arial" w:hAnsi="Arial" w:cs="Arial"/>
          <w:sz w:val="20"/>
          <w:szCs w:val="20"/>
        </w:rPr>
        <w:t>h claims, regardless of their merit, can be time-consuming, costly to defend and damaging to our reputation and brand</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Our business and platform depend in part on intellectual property and proprietary rights and technology licensed from or otherwise made available to us by third parties</w:t>
      </w:r>
      <w:r>
        <w:rPr>
          <w:rFonts w:ascii="Arial" w:hAnsi="Arial" w:cs="Arial"/>
          <w:b/>
          <w:bCs/>
          <w:i/>
          <w:iCs/>
          <w:sz w:val="20"/>
          <w:szCs w:val="20"/>
        </w:rPr>
        <w:t>.</w:t>
      </w:r>
      <w:r>
        <w:rPr>
          <w:rFonts w:ascii="Arial" w:hAnsi="Arial" w:cs="Arial"/>
          <w:b/>
          <w:bCs/>
          <w:i/>
          <w:iCs/>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 xml:space="preserve">Much of our business and our platform rely on key technologies developed or licensed </w:t>
      </w:r>
      <w:r>
        <w:rPr>
          <w:rFonts w:ascii="Arial" w:hAnsi="Arial" w:cs="Arial"/>
          <w:sz w:val="20"/>
          <w:szCs w:val="20"/>
        </w:rPr>
        <w:t>by third parties. These third-party software components may become obsolete, defective or incompatible with future versions of our services, relationships with the third-party licensors or technology providers may deteriorate, or our agreements with the th</w:t>
      </w:r>
      <w:r>
        <w:rPr>
          <w:rFonts w:ascii="Arial" w:hAnsi="Arial" w:cs="Arial"/>
          <w:sz w:val="20"/>
          <w:szCs w:val="20"/>
        </w:rPr>
        <w:t>ird-party licensors or technology providers may expire or be terminated. Additionally, some of these licenses or other grants of rights may not be available to us in the future on terms that are acceptable, or at all, or that allow our platform, products a</w:t>
      </w:r>
      <w:r>
        <w:rPr>
          <w:rFonts w:ascii="Arial" w:hAnsi="Arial" w:cs="Arial"/>
          <w:sz w:val="20"/>
          <w:szCs w:val="20"/>
        </w:rPr>
        <w:t>nd services to remain competitive. Our inability to obtain licenses or rights on favorable terms could have a material and adverse effect on our business and results of operations. Furthermore, incorporating intellectual property or proprietary rights lice</w:t>
      </w:r>
      <w:r>
        <w:rPr>
          <w:rFonts w:ascii="Arial" w:hAnsi="Arial" w:cs="Arial"/>
          <w:sz w:val="20"/>
          <w:szCs w:val="20"/>
        </w:rPr>
        <w:t xml:space="preserve">nsed from or otherwise made available to us by third parties on a non-exclusive basis in our products or services could limit our ability to protect the intellectual property and proprietary rights in our services and our ability to restrict third parties </w:t>
      </w:r>
      <w:r>
        <w:rPr>
          <w:rFonts w:ascii="Arial" w:hAnsi="Arial" w:cs="Arial"/>
          <w:sz w:val="20"/>
          <w:szCs w:val="20"/>
        </w:rPr>
        <w:t>from developing, selling or otherwise providing similar or competitive technology using the same third-party intellectual property or proprietary rights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We believe we have all the necessary licenses and other grants of rights from third parties to use tec</w:t>
      </w:r>
      <w:r>
        <w:rPr>
          <w:rFonts w:ascii="Arial" w:hAnsi="Arial" w:cs="Arial"/>
          <w:sz w:val="20"/>
          <w:szCs w:val="20"/>
        </w:rPr>
        <w:t>hnology and software that we do not own. A third party could, however, allege that we are infringing its rights, which may deter our ability to obtain licenses or other grants of rights on commercially reasonable terms from the third party, if at all, or c</w:t>
      </w:r>
      <w:r>
        <w:rPr>
          <w:rFonts w:ascii="Arial" w:hAnsi="Arial" w:cs="Arial"/>
          <w:sz w:val="20"/>
          <w:szCs w:val="20"/>
        </w:rPr>
        <w:t>ause the third party to commence litigation against us. Our failure to obtain necessary licenses or other rights, or litigation or claims arising out of intellectual property matters, may harm or restrict our business. Even if we were able to obtain a lice</w:t>
      </w:r>
      <w:r>
        <w:rPr>
          <w:rFonts w:ascii="Arial" w:hAnsi="Arial" w:cs="Arial"/>
          <w:sz w:val="20"/>
          <w:szCs w:val="20"/>
        </w:rPr>
        <w:t>nse or other grant of rights, it could be non-exclusive, thereby giving our competitors and other third parties access t</w:t>
      </w:r>
      <w:r>
        <w:rPr>
          <w:rFonts w:ascii="Arial" w:hAnsi="Arial" w:cs="Arial"/>
          <w:sz w:val="20"/>
          <w:szCs w:val="20"/>
        </w:rPr>
        <w:t>o</w:t>
      </w:r>
      <w:r>
        <w:rPr>
          <w:rFonts w:ascii="Arial" w:hAnsi="Arial" w:cs="Arial"/>
          <w:sz w:val="20"/>
          <w:szCs w:val="20"/>
        </w:rPr>
        <w:t xml:space="preserve"> </w:t>
      </w:r>
    </w:p>
    <w:p w:rsidR="00000000" w:rsidRDefault="00010F15">
      <w:pPr>
        <w:pStyle w:val="a3"/>
        <w:spacing w:before="0" w:beforeAutospacing="0" w:after="0" w:afterAutospacing="0"/>
        <w:jc w:val="center"/>
        <w:rPr>
          <w:sz w:val="20"/>
          <w:szCs w:val="20"/>
        </w:rPr>
      </w:pPr>
      <w:r>
        <w:rPr>
          <w:rFonts w:ascii="Arial" w:hAnsi="Arial" w:cs="Arial"/>
          <w:sz w:val="20"/>
          <w:szCs w:val="20"/>
        </w:rPr>
        <w:t>4</w:t>
      </w:r>
      <w:r>
        <w:rPr>
          <w:rFonts w:ascii="Arial" w:hAnsi="Arial" w:cs="Arial"/>
          <w:sz w:val="20"/>
          <w:szCs w:val="20"/>
        </w:rPr>
        <w:t>6</w:t>
      </w:r>
    </w:p>
    <w:p w:rsidR="00000000" w:rsidRDefault="00010F15">
      <w:pPr>
        <w:rPr>
          <w:rFonts w:eastAsia="Times New Roman"/>
        </w:rPr>
      </w:pPr>
      <w:r>
        <w:rPr>
          <w:rFonts w:eastAsia="Times New Roman"/>
        </w:rPr>
        <w:pict>
          <v:rect id="_x0000_i1070"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120" w:beforeAutospacing="0" w:after="0" w:afterAutospacing="0"/>
        <w:rPr>
          <w:sz w:val="20"/>
          <w:szCs w:val="20"/>
        </w:rPr>
      </w:pPr>
      <w:r>
        <w:rPr>
          <w:rFonts w:ascii="Arial" w:hAnsi="Arial" w:cs="Arial"/>
          <w:sz w:val="20"/>
          <w:szCs w:val="20"/>
        </w:rPr>
        <w:t>the same technologies licensed to or otherwise made available to us. In addition, we could be found liable for significant monetary damages, including treble damages and attorneys’ fees, if we are found to have willful</w:t>
      </w:r>
      <w:r>
        <w:rPr>
          <w:rFonts w:ascii="Arial" w:hAnsi="Arial" w:cs="Arial"/>
          <w:sz w:val="20"/>
          <w:szCs w:val="20"/>
        </w:rPr>
        <w:t>ly infringed a patent or other intellectual property right. Any such litigation or the failure to obtain any necessary licenses or other rights could adversely impact our business, financial position, results of operations and liquidity</w:t>
      </w:r>
      <w:r>
        <w:rPr>
          <w:rFonts w:ascii="Arial" w:hAnsi="Arial" w:cs="Arial"/>
          <w:sz w:val="20"/>
          <w:szCs w:val="20"/>
        </w:rPr>
        <w:t>.</w:t>
      </w:r>
    </w:p>
    <w:p w:rsidR="00000000" w:rsidRDefault="00010F15">
      <w:pPr>
        <w:pStyle w:val="a3"/>
        <w:spacing w:before="240" w:beforeAutospacing="0" w:after="0" w:afterAutospacing="0"/>
        <w:jc w:val="center"/>
        <w:rPr>
          <w:sz w:val="20"/>
          <w:szCs w:val="20"/>
        </w:rPr>
      </w:pPr>
      <w:r>
        <w:rPr>
          <w:rFonts w:ascii="Arial" w:hAnsi="Arial" w:cs="Arial"/>
          <w:b/>
          <w:bCs/>
          <w:sz w:val="20"/>
          <w:szCs w:val="20"/>
        </w:rPr>
        <w:t>Risks Related to O</w:t>
      </w:r>
      <w:r>
        <w:rPr>
          <w:rFonts w:ascii="Arial" w:hAnsi="Arial" w:cs="Arial"/>
          <w:b/>
          <w:bCs/>
          <w:sz w:val="20"/>
          <w:szCs w:val="20"/>
        </w:rPr>
        <w:t>ur Class A Common Stoc</w:t>
      </w:r>
      <w:r>
        <w:rPr>
          <w:rFonts w:ascii="Arial" w:hAnsi="Arial" w:cs="Arial"/>
          <w:b/>
          <w:bCs/>
          <w:sz w:val="20"/>
          <w:szCs w:val="20"/>
        </w:rPr>
        <w:t>k</w:t>
      </w:r>
      <w:r>
        <w:rPr>
          <w:rFonts w:ascii="Arial" w:hAnsi="Arial" w:cs="Arial"/>
          <w:b/>
          <w:bCs/>
          <w:sz w:val="20"/>
          <w:szCs w:val="20"/>
        </w:rPr>
        <w:t xml:space="preserve"> </w:t>
      </w:r>
    </w:p>
    <w:p w:rsidR="00000000" w:rsidRDefault="00010F15">
      <w:pPr>
        <w:pStyle w:val="a3"/>
        <w:spacing w:before="120" w:beforeAutospacing="0" w:after="0" w:afterAutospacing="0"/>
        <w:rPr>
          <w:sz w:val="20"/>
          <w:szCs w:val="20"/>
        </w:rPr>
      </w:pPr>
      <w:r>
        <w:rPr>
          <w:rFonts w:ascii="Arial" w:hAnsi="Arial" w:cs="Arial"/>
          <w:b/>
          <w:bCs/>
          <w:i/>
          <w:iCs/>
          <w:sz w:val="20"/>
          <w:szCs w:val="20"/>
        </w:rPr>
        <w:t>The market price of our Class A common stock may be volatile or may decline steeply or suddenly regardless of our operating performance, and we may not be able to meet investor or analyst expectations</w:t>
      </w:r>
      <w:r>
        <w:rPr>
          <w:rFonts w:ascii="Arial" w:hAnsi="Arial" w:cs="Arial"/>
          <w:b/>
          <w:bCs/>
          <w:i/>
          <w:iCs/>
          <w:sz w:val="20"/>
          <w:szCs w:val="20"/>
        </w:rPr>
        <w:t>.</w:t>
      </w:r>
      <w:r>
        <w:rPr>
          <w:rFonts w:ascii="Arial" w:hAnsi="Arial" w:cs="Arial"/>
          <w:b/>
          <w:bCs/>
          <w:i/>
          <w:iCs/>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The market price of our Clas</w:t>
      </w:r>
      <w:r>
        <w:rPr>
          <w:rFonts w:ascii="Arial" w:hAnsi="Arial" w:cs="Arial"/>
          <w:sz w:val="20"/>
          <w:szCs w:val="20"/>
        </w:rPr>
        <w:t>s A common stock has, and may continue to, fluctuate or decline significantly in response to numerous factors, including those described in this “Risk Factors” section, many of which are beyond our control and may not be related to our operating performanc</w:t>
      </w:r>
      <w:r>
        <w:rPr>
          <w:rFonts w:ascii="Arial" w:hAnsi="Arial" w:cs="Arial"/>
          <w:sz w:val="20"/>
          <w:szCs w:val="20"/>
        </w:rPr>
        <w:t>e. These fluctuations could cause you to lose all or part of your investment in our Class A common stock. Factors that could cause fluctuations in the market price of our Class A common stock include the following</w:t>
      </w:r>
      <w:r>
        <w:rPr>
          <w:rFonts w:ascii="Arial" w:hAnsi="Arial" w:cs="Arial"/>
          <w:sz w:val="20"/>
          <w:szCs w:val="20"/>
        </w:rPr>
        <w:t>:</w:t>
      </w:r>
    </w:p>
    <w:p w:rsidR="00000000" w:rsidRDefault="00010F15">
      <w:pPr>
        <w:divId w:val="561065956"/>
        <w:rPr>
          <w:rFonts w:eastAsia="Times New Roman"/>
        </w:rPr>
      </w:pPr>
      <w:r>
        <w:rPr>
          <w:rFonts w:eastAsia="Times New Roman"/>
          <w:sz w:val="20"/>
          <w:szCs w:val="20"/>
        </w:rPr>
        <w:t>•</w:t>
      </w:r>
    </w:p>
    <w:p w:rsidR="00000000" w:rsidRDefault="00010F15">
      <w:pPr>
        <w:divId w:val="357004994"/>
        <w:rPr>
          <w:rFonts w:eastAsia="Times New Roman"/>
        </w:rPr>
      </w:pPr>
      <w:r>
        <w:rPr>
          <w:rFonts w:ascii="Arial" w:eastAsia="Times New Roman" w:hAnsi="Arial" w:cs="Arial"/>
          <w:sz w:val="20"/>
          <w:szCs w:val="20"/>
        </w:rPr>
        <w:t>the continued impact of the COVID-19 pa</w:t>
      </w:r>
      <w:r>
        <w:rPr>
          <w:rFonts w:ascii="Arial" w:eastAsia="Times New Roman" w:hAnsi="Arial" w:cs="Arial"/>
          <w:sz w:val="20"/>
          <w:szCs w:val="20"/>
        </w:rPr>
        <w:t>ndemic, including but not limited to market volatility and economic disruption caused by the pandemic</w:t>
      </w:r>
      <w:r>
        <w:rPr>
          <w:rFonts w:ascii="Arial" w:eastAsia="Times New Roman" w:hAnsi="Arial" w:cs="Arial"/>
          <w:sz w:val="20"/>
          <w:szCs w:val="20"/>
        </w:rPr>
        <w:t>;</w:t>
      </w:r>
    </w:p>
    <w:p w:rsidR="00000000" w:rsidRDefault="00010F15">
      <w:pPr>
        <w:divId w:val="913734654"/>
        <w:rPr>
          <w:rFonts w:eastAsia="Times New Roman"/>
        </w:rPr>
      </w:pPr>
      <w:r>
        <w:rPr>
          <w:rFonts w:eastAsia="Times New Roman"/>
          <w:sz w:val="20"/>
          <w:szCs w:val="20"/>
        </w:rPr>
        <w:t>•</w:t>
      </w:r>
    </w:p>
    <w:p w:rsidR="00000000" w:rsidRDefault="00010F15">
      <w:pPr>
        <w:divId w:val="1616133889"/>
        <w:rPr>
          <w:rFonts w:eastAsia="Times New Roman"/>
        </w:rPr>
      </w:pPr>
      <w:r>
        <w:rPr>
          <w:rFonts w:ascii="Arial" w:eastAsia="Times New Roman" w:hAnsi="Arial" w:cs="Arial"/>
          <w:sz w:val="20"/>
          <w:szCs w:val="20"/>
        </w:rPr>
        <w:t>actual or anticipated fluctuations in our operating results;</w:t>
      </w:r>
      <w:r>
        <w:rPr>
          <w:rFonts w:ascii="Arial" w:eastAsia="Times New Roman" w:hAnsi="Arial" w:cs="Arial"/>
          <w:sz w:val="20"/>
          <w:szCs w:val="20"/>
        </w:rPr>
        <w:t xml:space="preserve"> </w:t>
      </w:r>
    </w:p>
    <w:p w:rsidR="00000000" w:rsidRDefault="00010F15">
      <w:pPr>
        <w:divId w:val="2004120785"/>
        <w:rPr>
          <w:rFonts w:eastAsia="Times New Roman"/>
        </w:rPr>
      </w:pPr>
      <w:r>
        <w:rPr>
          <w:rFonts w:eastAsia="Times New Roman"/>
          <w:sz w:val="20"/>
          <w:szCs w:val="20"/>
        </w:rPr>
        <w:t>•</w:t>
      </w:r>
    </w:p>
    <w:p w:rsidR="00000000" w:rsidRDefault="00010F15">
      <w:pPr>
        <w:divId w:val="1989168810"/>
        <w:rPr>
          <w:rFonts w:eastAsia="Times New Roman"/>
        </w:rPr>
      </w:pPr>
      <w:r>
        <w:rPr>
          <w:rFonts w:ascii="Arial" w:eastAsia="Times New Roman" w:hAnsi="Arial" w:cs="Arial"/>
          <w:sz w:val="20"/>
          <w:szCs w:val="20"/>
        </w:rPr>
        <w:t>variations between our actual operating results and the expectations of securities anal</w:t>
      </w:r>
      <w:r>
        <w:rPr>
          <w:rFonts w:ascii="Arial" w:eastAsia="Times New Roman" w:hAnsi="Arial" w:cs="Arial"/>
          <w:sz w:val="20"/>
          <w:szCs w:val="20"/>
        </w:rPr>
        <w:t>ysts, investors and the financial community;</w:t>
      </w:r>
      <w:r>
        <w:rPr>
          <w:rFonts w:ascii="Arial" w:eastAsia="Times New Roman" w:hAnsi="Arial" w:cs="Arial"/>
          <w:sz w:val="20"/>
          <w:szCs w:val="20"/>
        </w:rPr>
        <w:t xml:space="preserve"> </w:t>
      </w:r>
    </w:p>
    <w:p w:rsidR="00000000" w:rsidRDefault="00010F15">
      <w:pPr>
        <w:divId w:val="1515338629"/>
        <w:rPr>
          <w:rFonts w:eastAsia="Times New Roman"/>
        </w:rPr>
      </w:pPr>
      <w:r>
        <w:rPr>
          <w:rFonts w:eastAsia="Times New Roman"/>
          <w:sz w:val="20"/>
          <w:szCs w:val="20"/>
        </w:rPr>
        <w:t>•</w:t>
      </w:r>
    </w:p>
    <w:p w:rsidR="00000000" w:rsidRDefault="00010F15">
      <w:pPr>
        <w:divId w:val="502625837"/>
        <w:rPr>
          <w:rFonts w:eastAsia="Times New Roman"/>
        </w:rPr>
      </w:pPr>
      <w:r>
        <w:rPr>
          <w:rFonts w:ascii="Arial" w:eastAsia="Times New Roman" w:hAnsi="Arial" w:cs="Arial"/>
          <w:sz w:val="20"/>
          <w:szCs w:val="20"/>
        </w:rPr>
        <w:t>any forward-looking financial or operating information we may provide to the public or securities analysts, any changes in this information or our failure to meet expectations based on this information;</w:t>
      </w:r>
      <w:r>
        <w:rPr>
          <w:rFonts w:ascii="Arial" w:eastAsia="Times New Roman" w:hAnsi="Arial" w:cs="Arial"/>
          <w:sz w:val="20"/>
          <w:szCs w:val="20"/>
        </w:rPr>
        <w:t xml:space="preserve"> </w:t>
      </w:r>
    </w:p>
    <w:p w:rsidR="00000000" w:rsidRDefault="00010F15">
      <w:pPr>
        <w:divId w:val="1611401133"/>
        <w:rPr>
          <w:rFonts w:eastAsia="Times New Roman"/>
        </w:rPr>
      </w:pPr>
      <w:r>
        <w:rPr>
          <w:rFonts w:eastAsia="Times New Roman"/>
          <w:sz w:val="20"/>
          <w:szCs w:val="20"/>
        </w:rPr>
        <w:t>•</w:t>
      </w:r>
    </w:p>
    <w:p w:rsidR="00000000" w:rsidRDefault="00010F15">
      <w:pPr>
        <w:divId w:val="1819953079"/>
        <w:rPr>
          <w:rFonts w:eastAsia="Times New Roman"/>
        </w:rPr>
      </w:pPr>
      <w:r>
        <w:rPr>
          <w:rFonts w:ascii="Arial" w:eastAsia="Times New Roman" w:hAnsi="Arial" w:cs="Arial"/>
          <w:sz w:val="20"/>
          <w:szCs w:val="20"/>
        </w:rPr>
        <w:t>ac</w:t>
      </w:r>
      <w:r>
        <w:rPr>
          <w:rFonts w:ascii="Arial" w:eastAsia="Times New Roman" w:hAnsi="Arial" w:cs="Arial"/>
          <w:sz w:val="20"/>
          <w:szCs w:val="20"/>
        </w:rPr>
        <w:t>tions of securities analysts who initiate or maintain coverage of us, changes in financial estimates by any securities analysts who follow our company or our failure to meet these estimates or the expectations of investors;</w:t>
      </w:r>
      <w:r>
        <w:rPr>
          <w:rFonts w:ascii="Arial" w:eastAsia="Times New Roman" w:hAnsi="Arial" w:cs="Arial"/>
          <w:sz w:val="20"/>
          <w:szCs w:val="20"/>
        </w:rPr>
        <w:t xml:space="preserve"> </w:t>
      </w:r>
    </w:p>
    <w:p w:rsidR="00000000" w:rsidRDefault="00010F15">
      <w:pPr>
        <w:divId w:val="1995183745"/>
        <w:rPr>
          <w:rFonts w:eastAsia="Times New Roman"/>
        </w:rPr>
      </w:pPr>
      <w:r>
        <w:rPr>
          <w:rFonts w:eastAsia="Times New Roman"/>
          <w:sz w:val="20"/>
          <w:szCs w:val="20"/>
        </w:rPr>
        <w:t>•</w:t>
      </w:r>
    </w:p>
    <w:p w:rsidR="00000000" w:rsidRDefault="00010F15">
      <w:pPr>
        <w:divId w:val="334916972"/>
        <w:rPr>
          <w:rFonts w:eastAsia="Times New Roman"/>
        </w:rPr>
      </w:pPr>
      <w:r>
        <w:rPr>
          <w:rFonts w:ascii="Arial" w:eastAsia="Times New Roman" w:hAnsi="Arial" w:cs="Arial"/>
          <w:sz w:val="20"/>
          <w:szCs w:val="20"/>
        </w:rPr>
        <w:t>whether investors or securiti</w:t>
      </w:r>
      <w:r>
        <w:rPr>
          <w:rFonts w:ascii="Arial" w:eastAsia="Times New Roman" w:hAnsi="Arial" w:cs="Arial"/>
          <w:sz w:val="20"/>
          <w:szCs w:val="20"/>
        </w:rPr>
        <w:t>es analysts view our stock structure unfavorably, particularly our dual-class structure and the significant voting control of AKKR and our founder and chief executive officer</w:t>
      </w:r>
      <w:r>
        <w:rPr>
          <w:rFonts w:ascii="Arial" w:eastAsia="Times New Roman" w:hAnsi="Arial" w:cs="Arial"/>
          <w:sz w:val="20"/>
          <w:szCs w:val="20"/>
        </w:rPr>
        <w:t>;</w:t>
      </w:r>
    </w:p>
    <w:p w:rsidR="00000000" w:rsidRDefault="00010F15">
      <w:pPr>
        <w:divId w:val="91974955"/>
        <w:rPr>
          <w:rFonts w:eastAsia="Times New Roman"/>
        </w:rPr>
      </w:pPr>
      <w:r>
        <w:rPr>
          <w:rFonts w:eastAsia="Times New Roman"/>
          <w:sz w:val="20"/>
          <w:szCs w:val="20"/>
        </w:rPr>
        <w:t>•</w:t>
      </w:r>
    </w:p>
    <w:p w:rsidR="00000000" w:rsidRDefault="00010F15">
      <w:pPr>
        <w:divId w:val="1791169047"/>
        <w:rPr>
          <w:rFonts w:eastAsia="Times New Roman"/>
        </w:rPr>
      </w:pPr>
      <w:r>
        <w:rPr>
          <w:rFonts w:ascii="Arial" w:eastAsia="Times New Roman" w:hAnsi="Arial" w:cs="Arial"/>
          <w:sz w:val="20"/>
          <w:szCs w:val="20"/>
        </w:rPr>
        <w:t>additional shares of our Class A common stock being sold into the market by us</w:t>
      </w:r>
      <w:r>
        <w:rPr>
          <w:rFonts w:ascii="Arial" w:eastAsia="Times New Roman" w:hAnsi="Arial" w:cs="Arial"/>
          <w:sz w:val="20"/>
          <w:szCs w:val="20"/>
        </w:rPr>
        <w:t xml:space="preserve"> or our existing stockholders, or the anticipation of such sales, including if existing stockholders sell shares into the market</w:t>
      </w:r>
      <w:r>
        <w:rPr>
          <w:rFonts w:ascii="Arial" w:eastAsia="Times New Roman" w:hAnsi="Arial" w:cs="Arial"/>
          <w:sz w:val="20"/>
          <w:szCs w:val="20"/>
        </w:rPr>
        <w:t>;</w:t>
      </w:r>
    </w:p>
    <w:p w:rsidR="00000000" w:rsidRDefault="00010F15">
      <w:pPr>
        <w:divId w:val="419639545"/>
        <w:rPr>
          <w:rFonts w:eastAsia="Times New Roman"/>
        </w:rPr>
      </w:pPr>
      <w:r>
        <w:rPr>
          <w:rFonts w:eastAsia="Times New Roman"/>
          <w:sz w:val="20"/>
          <w:szCs w:val="20"/>
        </w:rPr>
        <w:t>•</w:t>
      </w:r>
    </w:p>
    <w:p w:rsidR="00000000" w:rsidRDefault="00010F15">
      <w:pPr>
        <w:divId w:val="552235430"/>
        <w:rPr>
          <w:rFonts w:eastAsia="Times New Roman"/>
        </w:rPr>
      </w:pPr>
      <w:r>
        <w:rPr>
          <w:rFonts w:ascii="Arial" w:eastAsia="Times New Roman" w:hAnsi="Arial" w:cs="Arial"/>
          <w:sz w:val="20"/>
          <w:szCs w:val="20"/>
        </w:rPr>
        <w:t>announcements by us or our competitors of significant products or features, technical innovations, acquisitions, strategic p</w:t>
      </w:r>
      <w:r>
        <w:rPr>
          <w:rFonts w:ascii="Arial" w:eastAsia="Times New Roman" w:hAnsi="Arial" w:cs="Arial"/>
          <w:sz w:val="20"/>
          <w:szCs w:val="20"/>
        </w:rPr>
        <w:t>artnerships, joint ventures or capital commitments;</w:t>
      </w:r>
      <w:r>
        <w:rPr>
          <w:rFonts w:ascii="Arial" w:eastAsia="Times New Roman" w:hAnsi="Arial" w:cs="Arial"/>
          <w:sz w:val="20"/>
          <w:szCs w:val="20"/>
        </w:rPr>
        <w:t xml:space="preserve"> </w:t>
      </w:r>
    </w:p>
    <w:p w:rsidR="00000000" w:rsidRDefault="00010F15">
      <w:pPr>
        <w:divId w:val="1040326544"/>
        <w:rPr>
          <w:rFonts w:eastAsia="Times New Roman"/>
        </w:rPr>
      </w:pPr>
      <w:r>
        <w:rPr>
          <w:rFonts w:eastAsia="Times New Roman"/>
          <w:sz w:val="20"/>
          <w:szCs w:val="20"/>
        </w:rPr>
        <w:t>•</w:t>
      </w:r>
    </w:p>
    <w:p w:rsidR="00000000" w:rsidRDefault="00010F15">
      <w:pPr>
        <w:divId w:val="1356032533"/>
        <w:rPr>
          <w:rFonts w:eastAsia="Times New Roman"/>
        </w:rPr>
      </w:pPr>
      <w:r>
        <w:rPr>
          <w:rFonts w:ascii="Arial" w:eastAsia="Times New Roman" w:hAnsi="Arial" w:cs="Arial"/>
          <w:sz w:val="20"/>
          <w:szCs w:val="20"/>
        </w:rPr>
        <w:t>changes in operating performance and stock market valuations of companies in our industry, including our competitors;</w:t>
      </w:r>
      <w:r>
        <w:rPr>
          <w:rFonts w:ascii="Arial" w:eastAsia="Times New Roman" w:hAnsi="Arial" w:cs="Arial"/>
          <w:sz w:val="20"/>
          <w:szCs w:val="20"/>
        </w:rPr>
        <w:t xml:space="preserve"> </w:t>
      </w:r>
    </w:p>
    <w:p w:rsidR="00000000" w:rsidRDefault="00010F15">
      <w:pPr>
        <w:divId w:val="262031720"/>
        <w:rPr>
          <w:rFonts w:eastAsia="Times New Roman"/>
        </w:rPr>
      </w:pPr>
      <w:r>
        <w:rPr>
          <w:rFonts w:eastAsia="Times New Roman"/>
          <w:sz w:val="20"/>
          <w:szCs w:val="20"/>
        </w:rPr>
        <w:t>•</w:t>
      </w:r>
    </w:p>
    <w:p w:rsidR="00000000" w:rsidRDefault="00010F15">
      <w:pPr>
        <w:divId w:val="1621573393"/>
        <w:rPr>
          <w:rFonts w:eastAsia="Times New Roman"/>
        </w:rPr>
      </w:pPr>
      <w:r>
        <w:rPr>
          <w:rFonts w:ascii="Arial" w:eastAsia="Times New Roman" w:hAnsi="Arial" w:cs="Arial"/>
          <w:sz w:val="20"/>
          <w:szCs w:val="20"/>
        </w:rPr>
        <w:t>price and volume fluctuations in the overall stock market, including as a result of trends in trading patterns or the economy as a whol</w:t>
      </w:r>
      <w:r>
        <w:rPr>
          <w:rFonts w:ascii="Arial" w:eastAsia="Times New Roman" w:hAnsi="Arial" w:cs="Arial"/>
          <w:sz w:val="20"/>
          <w:szCs w:val="20"/>
        </w:rPr>
        <w:t>e;</w:t>
      </w:r>
      <w:r>
        <w:rPr>
          <w:rFonts w:ascii="Arial" w:eastAsia="Times New Roman" w:hAnsi="Arial" w:cs="Arial"/>
          <w:sz w:val="20"/>
          <w:szCs w:val="20"/>
        </w:rPr>
        <w:t xml:space="preserve"> </w:t>
      </w:r>
    </w:p>
    <w:p w:rsidR="00000000" w:rsidRDefault="00010F15">
      <w:pPr>
        <w:divId w:val="569191920"/>
        <w:rPr>
          <w:rFonts w:eastAsia="Times New Roman"/>
        </w:rPr>
      </w:pPr>
      <w:r>
        <w:rPr>
          <w:rFonts w:eastAsia="Times New Roman"/>
          <w:sz w:val="20"/>
          <w:szCs w:val="20"/>
        </w:rPr>
        <w:t>•</w:t>
      </w:r>
    </w:p>
    <w:p w:rsidR="00000000" w:rsidRDefault="00010F15">
      <w:pPr>
        <w:divId w:val="1216088492"/>
        <w:rPr>
          <w:rFonts w:eastAsia="Times New Roman"/>
        </w:rPr>
      </w:pPr>
      <w:r>
        <w:rPr>
          <w:rFonts w:ascii="Arial" w:eastAsia="Times New Roman" w:hAnsi="Arial" w:cs="Arial"/>
          <w:sz w:val="20"/>
          <w:szCs w:val="20"/>
        </w:rPr>
        <w:t>lawsuits, claims or investigations threatened, filed or initiated against us;</w:t>
      </w:r>
      <w:r>
        <w:rPr>
          <w:rFonts w:ascii="Arial" w:eastAsia="Times New Roman" w:hAnsi="Arial" w:cs="Arial"/>
          <w:sz w:val="20"/>
          <w:szCs w:val="20"/>
        </w:rPr>
        <w:t xml:space="preserve"> </w:t>
      </w:r>
    </w:p>
    <w:p w:rsidR="00000000" w:rsidRDefault="00010F15">
      <w:pPr>
        <w:divId w:val="1303390590"/>
        <w:rPr>
          <w:rFonts w:eastAsia="Times New Roman"/>
        </w:rPr>
      </w:pPr>
      <w:r>
        <w:rPr>
          <w:rFonts w:eastAsia="Times New Roman"/>
          <w:sz w:val="20"/>
          <w:szCs w:val="20"/>
        </w:rPr>
        <w:t>•</w:t>
      </w:r>
    </w:p>
    <w:p w:rsidR="00000000" w:rsidRDefault="00010F15">
      <w:pPr>
        <w:divId w:val="1388533921"/>
        <w:rPr>
          <w:rFonts w:eastAsia="Times New Roman"/>
        </w:rPr>
      </w:pPr>
      <w:r>
        <w:rPr>
          <w:rFonts w:ascii="Arial" w:eastAsia="Times New Roman" w:hAnsi="Arial" w:cs="Arial"/>
          <w:sz w:val="20"/>
          <w:szCs w:val="20"/>
        </w:rPr>
        <w:t>developments in new legislation and pending lawsuits or regulatory actions, including interim or final rulings by judicial or regulatory bodies; and</w:t>
      </w:r>
      <w:r>
        <w:rPr>
          <w:rFonts w:ascii="Arial" w:eastAsia="Times New Roman" w:hAnsi="Arial" w:cs="Arial"/>
          <w:sz w:val="20"/>
          <w:szCs w:val="20"/>
        </w:rPr>
        <w:t xml:space="preserve"> </w:t>
      </w:r>
    </w:p>
    <w:p w:rsidR="00000000" w:rsidRDefault="00010F15">
      <w:pPr>
        <w:divId w:val="1773697153"/>
        <w:rPr>
          <w:rFonts w:eastAsia="Times New Roman"/>
        </w:rPr>
      </w:pPr>
      <w:r>
        <w:rPr>
          <w:rFonts w:eastAsia="Times New Roman"/>
          <w:sz w:val="20"/>
          <w:szCs w:val="20"/>
        </w:rPr>
        <w:t>•</w:t>
      </w:r>
    </w:p>
    <w:p w:rsidR="00000000" w:rsidRDefault="00010F15">
      <w:pPr>
        <w:divId w:val="1491872884"/>
        <w:rPr>
          <w:rFonts w:eastAsia="Times New Roman"/>
        </w:rPr>
      </w:pPr>
      <w:r>
        <w:rPr>
          <w:rFonts w:ascii="Arial" w:eastAsia="Times New Roman" w:hAnsi="Arial" w:cs="Arial"/>
          <w:sz w:val="20"/>
          <w:szCs w:val="20"/>
        </w:rPr>
        <w:t>other events or f</w:t>
      </w:r>
      <w:r>
        <w:rPr>
          <w:rFonts w:ascii="Arial" w:eastAsia="Times New Roman" w:hAnsi="Arial" w:cs="Arial"/>
          <w:sz w:val="20"/>
          <w:szCs w:val="20"/>
        </w:rPr>
        <w:t>actors, including those resulting from war or incidents of terrorism, or responses to these events.</w:t>
      </w:r>
      <w:r>
        <w:rPr>
          <w:rFonts w:ascii="Arial" w:eastAsia="Times New Roman"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In addition, extreme price and volume fluctuations in the stock markets have affected and continue to affect many other technology companies’ stock prices. Often, their stock prices have fluctuated in ways unrelated or disproportionate to the companies’ op</w:t>
      </w:r>
      <w:r>
        <w:rPr>
          <w:rFonts w:ascii="Arial" w:hAnsi="Arial" w:cs="Arial"/>
          <w:sz w:val="20"/>
          <w:szCs w:val="20"/>
        </w:rPr>
        <w:t xml:space="preserve">erating performance. In the past, stockholders have filed securities class action litigation following periods of market volatility. If we were to become involved in securities litigation, it could subject us to substantial costs, divert resources and the </w:t>
      </w:r>
      <w:r>
        <w:rPr>
          <w:rFonts w:ascii="Arial" w:hAnsi="Arial" w:cs="Arial"/>
          <w:sz w:val="20"/>
          <w:szCs w:val="20"/>
        </w:rPr>
        <w:t>attention of management from our business and seriously harm our business</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Moreover, because of these fluctuations, comparing our operating results on a period-to-period basis may not be meaningful. You should not rely on our past results as an indication</w:t>
      </w:r>
      <w:r>
        <w:rPr>
          <w:rFonts w:ascii="Arial" w:hAnsi="Arial" w:cs="Arial"/>
          <w:sz w:val="20"/>
          <w:szCs w:val="20"/>
        </w:rPr>
        <w:t xml:space="preserve"> of our future performance. This variability and unpredictability could also result in our failing to meet the expectations of industry or financial analysts or investors for any period. If our revenue or operating results fall below the expectations of an</w:t>
      </w:r>
      <w:r>
        <w:rPr>
          <w:rFonts w:ascii="Arial" w:hAnsi="Arial" w:cs="Arial"/>
          <w:sz w:val="20"/>
          <w:szCs w:val="20"/>
        </w:rPr>
        <w:t>alysts or investors or below any forecasts we may provide to the market, or if the forecasts we provide to the market are below the expectations of analysts or investors, the price of our Class A common stock could decline substantially. Such a stock price</w:t>
      </w:r>
      <w:r>
        <w:rPr>
          <w:rFonts w:ascii="Arial" w:hAnsi="Arial" w:cs="Arial"/>
          <w:sz w:val="20"/>
          <w:szCs w:val="20"/>
        </w:rPr>
        <w:t xml:space="preserve"> decline could occur even when we have met any previously publicly stated revenue or earnings forecasts that we may provide</w:t>
      </w:r>
      <w:r>
        <w:rPr>
          <w:rFonts w:ascii="Arial" w:hAnsi="Arial" w:cs="Arial"/>
          <w:sz w:val="20"/>
          <w:szCs w:val="20"/>
        </w:rPr>
        <w:t>.</w:t>
      </w:r>
      <w:r>
        <w:rPr>
          <w:rFonts w:ascii="Arial" w:hAnsi="Arial" w:cs="Arial"/>
          <w:sz w:val="20"/>
          <w:szCs w:val="20"/>
        </w:rPr>
        <w:t xml:space="preserve"> </w:t>
      </w:r>
    </w:p>
    <w:p w:rsidR="00000000" w:rsidRDefault="00010F15">
      <w:pPr>
        <w:pStyle w:val="a3"/>
        <w:spacing w:before="0" w:beforeAutospacing="0" w:after="0" w:afterAutospacing="0"/>
        <w:jc w:val="center"/>
        <w:rPr>
          <w:sz w:val="20"/>
          <w:szCs w:val="20"/>
        </w:rPr>
      </w:pPr>
      <w:r>
        <w:rPr>
          <w:rFonts w:ascii="Arial" w:hAnsi="Arial" w:cs="Arial"/>
          <w:sz w:val="20"/>
          <w:szCs w:val="20"/>
        </w:rPr>
        <w:t>4</w:t>
      </w:r>
      <w:r>
        <w:rPr>
          <w:rFonts w:ascii="Arial" w:hAnsi="Arial" w:cs="Arial"/>
          <w:sz w:val="20"/>
          <w:szCs w:val="20"/>
        </w:rPr>
        <w:t>7</w:t>
      </w:r>
    </w:p>
    <w:p w:rsidR="00000000" w:rsidRDefault="00010F15">
      <w:pPr>
        <w:rPr>
          <w:rFonts w:eastAsia="Times New Roman"/>
        </w:rPr>
      </w:pPr>
      <w:r>
        <w:rPr>
          <w:rFonts w:eastAsia="Times New Roman"/>
        </w:rPr>
        <w:pict>
          <v:rect id="_x0000_i1071"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240" w:beforeAutospacing="0" w:after="0" w:afterAutospacing="0"/>
        <w:rPr>
          <w:sz w:val="20"/>
          <w:szCs w:val="20"/>
        </w:rPr>
      </w:pPr>
      <w:r>
        <w:rPr>
          <w:rFonts w:ascii="Arial" w:hAnsi="Arial" w:cs="Arial"/>
          <w:b/>
          <w:bCs/>
          <w:i/>
          <w:iCs/>
          <w:sz w:val="20"/>
          <w:szCs w:val="20"/>
        </w:rPr>
        <w:t>Future sales of shares, or the perception that such sales could occur, could cause our s</w:t>
      </w:r>
      <w:r>
        <w:rPr>
          <w:rFonts w:ascii="Arial" w:hAnsi="Arial" w:cs="Arial"/>
          <w:b/>
          <w:bCs/>
          <w:i/>
          <w:iCs/>
          <w:sz w:val="20"/>
          <w:szCs w:val="20"/>
        </w:rPr>
        <w:t>tock price to decline</w:t>
      </w:r>
      <w:r>
        <w:rPr>
          <w:rFonts w:ascii="Arial" w:hAnsi="Arial" w:cs="Arial"/>
          <w:b/>
          <w:bCs/>
          <w:i/>
          <w:iCs/>
          <w:sz w:val="20"/>
          <w:szCs w:val="20"/>
        </w:rPr>
        <w:t>.</w:t>
      </w:r>
      <w:r>
        <w:rPr>
          <w:rFonts w:ascii="Arial" w:hAnsi="Arial" w:cs="Arial"/>
          <w:b/>
          <w:bCs/>
          <w:i/>
          <w:iCs/>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Sales of a substantial number of shares of our Class A common stock, particularly sales by our directors, executive officers and principal stockholders, or the perception that such sales may occur could cause the market price of our</w:t>
      </w:r>
      <w:r>
        <w:rPr>
          <w:rFonts w:ascii="Arial" w:hAnsi="Arial" w:cs="Arial"/>
          <w:sz w:val="20"/>
          <w:szCs w:val="20"/>
        </w:rPr>
        <w:t xml:space="preserve"> Class A common stock to fall or make it more difficult for you to sell your Class A common stock at a time and price that you deem appropriate</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As of December 31, 2021, we had 17,251,079 shares of Class A common stock and 103,388,082 shares of Class B com</w:t>
      </w:r>
      <w:r>
        <w:rPr>
          <w:rFonts w:ascii="Arial" w:hAnsi="Arial" w:cs="Arial"/>
          <w:sz w:val="20"/>
          <w:szCs w:val="20"/>
        </w:rPr>
        <w:t>mon stock issued and outstanding. These shares may be sold in the public market in the United States, subject to prior registration in the United States, if required, or reliance upon an exemption from U.S. registration, including, in the case of shares he</w:t>
      </w:r>
      <w:r>
        <w:rPr>
          <w:rFonts w:ascii="Arial" w:hAnsi="Arial" w:cs="Arial"/>
          <w:sz w:val="20"/>
          <w:szCs w:val="20"/>
        </w:rPr>
        <w:t>ld by affiliates or control persons, compliance with the volume restrictions of Rule 144</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In addition, 512,637 shares of Class A common stock and 6,848,660 shares of Class B common stock were subject to outstanding equity awards as of December 31, 2021. We</w:t>
      </w:r>
      <w:r>
        <w:rPr>
          <w:rFonts w:ascii="Arial" w:hAnsi="Arial" w:cs="Arial"/>
          <w:sz w:val="20"/>
          <w:szCs w:val="20"/>
        </w:rPr>
        <w:t xml:space="preserve"> have registered the offer and sale of all shares of Class A common stock and Class B common stock subject to equity awards outstanding and reserved for issuance under our 2012 Equity Incentive Plan and 2021 Equity Incentive Plan. The shares covered by tha</w:t>
      </w:r>
      <w:r>
        <w:rPr>
          <w:rFonts w:ascii="Arial" w:hAnsi="Arial" w:cs="Arial"/>
          <w:sz w:val="20"/>
          <w:szCs w:val="20"/>
        </w:rPr>
        <w:t>t registration statement are eligible for resale in the public markets, subject to Rule 144 limitations applicable to affiliates. If these additional shares are sold, or if it is perceived that they will be sold in the public market, the market price of ou</w:t>
      </w:r>
      <w:r>
        <w:rPr>
          <w:rFonts w:ascii="Arial" w:hAnsi="Arial" w:cs="Arial"/>
          <w:sz w:val="20"/>
          <w:szCs w:val="20"/>
        </w:rPr>
        <w:t>r Class A common stock could decline</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 xml:space="preserve">Furthermore, up to 509,370 shares of Class A common stock may be issuable pursuant to a warrant agreement with JPMC Strategic Investments I Corporation. These shares will become eligible for sale in the public market </w:t>
      </w:r>
      <w:r>
        <w:rPr>
          <w:rFonts w:ascii="Arial" w:hAnsi="Arial" w:cs="Arial"/>
          <w:sz w:val="20"/>
          <w:szCs w:val="20"/>
        </w:rPr>
        <w:t>to the extent permitted by the vesting terms of the warrant, and Rules 144 and 701 of the Securities Act</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As of December 31, 2021, the holders of approximately 107 million shares of our Class A common stock and Class B common stock, or certain permitted t</w:t>
      </w:r>
      <w:r>
        <w:rPr>
          <w:rFonts w:ascii="Arial" w:hAnsi="Arial" w:cs="Arial"/>
          <w:sz w:val="20"/>
          <w:szCs w:val="20"/>
        </w:rPr>
        <w:t>ransferees, are entitled to require us to file registration statements for the public resale of the shares of Class A common stock, including shares issuable upon conversion of their shares of Class B common stock, or to include such shares in registration</w:t>
      </w:r>
      <w:r>
        <w:rPr>
          <w:rFonts w:ascii="Arial" w:hAnsi="Arial" w:cs="Arial"/>
          <w:sz w:val="20"/>
          <w:szCs w:val="20"/>
        </w:rPr>
        <w:t xml:space="preserve"> statements that we may file, subject to certain conditions. If we register the offer and sale of shares for the holders of registration rights, those shares can be freely sold in the public market upon registration</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 xml:space="preserve">The dual class structure of our common </w:t>
      </w:r>
      <w:r>
        <w:rPr>
          <w:rFonts w:ascii="Arial" w:hAnsi="Arial" w:cs="Arial"/>
          <w:b/>
          <w:bCs/>
          <w:i/>
          <w:iCs/>
          <w:sz w:val="20"/>
          <w:szCs w:val="20"/>
        </w:rPr>
        <w:t>stock and our stockholders agreement have the effect of concentrating voting control with AKKR and our founder and chief executive officer, which limits or precludes your ability to influence corporate matters for the foreseeable future and may depress the</w:t>
      </w:r>
      <w:r>
        <w:rPr>
          <w:rFonts w:ascii="Arial" w:hAnsi="Arial" w:cs="Arial"/>
          <w:b/>
          <w:bCs/>
          <w:i/>
          <w:iCs/>
          <w:sz w:val="20"/>
          <w:szCs w:val="20"/>
        </w:rPr>
        <w:t xml:space="preserve"> market price of our Class A common stock</w:t>
      </w:r>
      <w:r>
        <w:rPr>
          <w:rFonts w:ascii="Arial" w:hAnsi="Arial" w:cs="Arial"/>
          <w:b/>
          <w:bCs/>
          <w:i/>
          <w:iCs/>
          <w:sz w:val="20"/>
          <w:szCs w:val="20"/>
        </w:rPr>
        <w:t>.</w:t>
      </w:r>
      <w:r>
        <w:rPr>
          <w:rFonts w:ascii="Arial" w:hAnsi="Arial" w:cs="Arial"/>
          <w:b/>
          <w:bCs/>
          <w:i/>
          <w:iCs/>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Our Class B common stock has ten votes per share and our Class A common stock has one vote per share. Because of the ten-to-one voting ratio between our Class B common stock and Class A common stock, AKKR and our</w:t>
      </w:r>
      <w:r>
        <w:rPr>
          <w:rFonts w:ascii="Arial" w:hAnsi="Arial" w:cs="Arial"/>
          <w:sz w:val="20"/>
          <w:szCs w:val="20"/>
        </w:rPr>
        <w:t xml:space="preserve"> founder and chief executive officer, collectively controlled approximately 97.6% of the voting power of our outstanding common stock as of December 31, 2021 and therefore are able to control all matters submitted to our stockholders and will continue to c</w:t>
      </w:r>
      <w:r>
        <w:rPr>
          <w:rFonts w:ascii="Arial" w:hAnsi="Arial" w:cs="Arial"/>
          <w:sz w:val="20"/>
          <w:szCs w:val="20"/>
        </w:rPr>
        <w:t>ontrol such matters so long as the shares of Class B common stock represent at least 9.1% of all outstanding shares of our Class A common stock and Class B common stock, including the election of directors, amendments of our organizational documents, compe</w:t>
      </w:r>
      <w:r>
        <w:rPr>
          <w:rFonts w:ascii="Arial" w:hAnsi="Arial" w:cs="Arial"/>
          <w:sz w:val="20"/>
          <w:szCs w:val="20"/>
        </w:rPr>
        <w:t>nsation matters and any merger, consolidation, sale of all or substantially all of our assets, or other major corporate transaction requiring stockholder approval. This concentrated control will limit or preclude your ability to influence corporate matters</w:t>
      </w:r>
      <w:r>
        <w:rPr>
          <w:rFonts w:ascii="Arial" w:hAnsi="Arial" w:cs="Arial"/>
          <w:sz w:val="20"/>
          <w:szCs w:val="20"/>
        </w:rPr>
        <w:t xml:space="preserve"> for the foreseeable future</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Further, the stockholders agreement we have entered into with AKKR provides that, for so long as AKKR or certain of its permitted transferees hold more of our outstanding common stock than Mr. Sharma and certain of his affilia</w:t>
      </w:r>
      <w:r>
        <w:rPr>
          <w:rFonts w:ascii="Arial" w:hAnsi="Arial" w:cs="Arial"/>
          <w:sz w:val="20"/>
          <w:szCs w:val="20"/>
        </w:rPr>
        <w:t>tes, AKKR has the right to nominate (x) five directors to our board of directors for so long as AKKR beneficially owns at least 10% of our outstanding common stock and (y) two directors to our board of directors for so long as AKKR beneficially owns at lea</w:t>
      </w:r>
      <w:r>
        <w:rPr>
          <w:rFonts w:ascii="Arial" w:hAnsi="Arial" w:cs="Arial"/>
          <w:sz w:val="20"/>
          <w:szCs w:val="20"/>
        </w:rPr>
        <w:t xml:space="preserve">st 5% but less than 10% of our outstanding common stock. Moreover, after such time as AKKR ceases to hold more of our outstanding common stock than Mr. Sharma and certain of his affiliates, AKKR will continue to have the right to nominate two directors to </w:t>
      </w:r>
      <w:r>
        <w:rPr>
          <w:rFonts w:ascii="Arial" w:hAnsi="Arial" w:cs="Arial"/>
          <w:sz w:val="20"/>
          <w:szCs w:val="20"/>
        </w:rPr>
        <w:t>our board of directors until such time as AKKR ceases to beneficially own at least 5% of our outstanding common stock</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Future transfers by holders of Class B common stock will generally result in those shares converting to Class A common stock, subject to limited exceptions, such as transfers to affiliates, members or partners of AKKR and transfers for estate planning purp</w:t>
      </w:r>
      <w:r>
        <w:rPr>
          <w:rFonts w:ascii="Arial" w:hAnsi="Arial" w:cs="Arial"/>
          <w:sz w:val="20"/>
          <w:szCs w:val="20"/>
        </w:rPr>
        <w:t>oses so long as the transferring holder retains exclusive voting and dispositive power with respect to the shares transferred. The conversion of Class B common stock to Class A common stock will have the effect, over time, of increasing the relative voting</w:t>
      </w:r>
      <w:r>
        <w:rPr>
          <w:rFonts w:ascii="Arial" w:hAnsi="Arial" w:cs="Arial"/>
          <w:sz w:val="20"/>
          <w:szCs w:val="20"/>
        </w:rPr>
        <w:t xml:space="preserve"> power of those holders of Class B common stock who retain their shares in the long term</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In addition, certain index providers have implemented restrictions on including companies with multiple-class share structures in certain of their indices. The FTSE R</w:t>
      </w:r>
      <w:r>
        <w:rPr>
          <w:rFonts w:ascii="Arial" w:hAnsi="Arial" w:cs="Arial"/>
          <w:sz w:val="20"/>
          <w:szCs w:val="20"/>
        </w:rPr>
        <w:t>ussell requires new constituents of its indices to have greater than 5% of the company’s voting rights in the hands of public stockholders, and S&amp;P Dow Jones does not admit companies wit</w:t>
      </w:r>
      <w:r>
        <w:rPr>
          <w:rFonts w:ascii="Arial" w:hAnsi="Arial" w:cs="Arial"/>
          <w:sz w:val="20"/>
          <w:szCs w:val="20"/>
        </w:rPr>
        <w:t>h</w:t>
      </w:r>
      <w:r>
        <w:rPr>
          <w:rFonts w:ascii="Arial" w:hAnsi="Arial" w:cs="Arial"/>
          <w:sz w:val="20"/>
          <w:szCs w:val="20"/>
        </w:rPr>
        <w:t xml:space="preserve"> </w:t>
      </w:r>
    </w:p>
    <w:p w:rsidR="00000000" w:rsidRDefault="00010F15">
      <w:pPr>
        <w:pStyle w:val="a3"/>
        <w:spacing w:before="0" w:beforeAutospacing="0" w:after="0" w:afterAutospacing="0"/>
        <w:jc w:val="center"/>
        <w:rPr>
          <w:sz w:val="20"/>
          <w:szCs w:val="20"/>
        </w:rPr>
      </w:pPr>
      <w:r>
        <w:rPr>
          <w:rFonts w:ascii="Arial" w:hAnsi="Arial" w:cs="Arial"/>
          <w:sz w:val="20"/>
          <w:szCs w:val="20"/>
        </w:rPr>
        <w:t>4</w:t>
      </w:r>
      <w:r>
        <w:rPr>
          <w:rFonts w:ascii="Arial" w:hAnsi="Arial" w:cs="Arial"/>
          <w:sz w:val="20"/>
          <w:szCs w:val="20"/>
        </w:rPr>
        <w:t>8</w:t>
      </w:r>
    </w:p>
    <w:p w:rsidR="00000000" w:rsidRDefault="00010F15">
      <w:pPr>
        <w:rPr>
          <w:rFonts w:eastAsia="Times New Roman"/>
        </w:rPr>
      </w:pPr>
      <w:r>
        <w:rPr>
          <w:rFonts w:eastAsia="Times New Roman"/>
        </w:rPr>
        <w:pict>
          <v:rect id="_x0000_i1072"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120" w:beforeAutospacing="0" w:after="0" w:afterAutospacing="0"/>
        <w:rPr>
          <w:sz w:val="20"/>
          <w:szCs w:val="20"/>
        </w:rPr>
      </w:pPr>
      <w:r>
        <w:rPr>
          <w:rFonts w:ascii="Arial" w:hAnsi="Arial" w:cs="Arial"/>
          <w:sz w:val="20"/>
          <w:szCs w:val="20"/>
        </w:rPr>
        <w:t>multiple-class share struc</w:t>
      </w:r>
      <w:r>
        <w:rPr>
          <w:rFonts w:ascii="Arial" w:hAnsi="Arial" w:cs="Arial"/>
          <w:sz w:val="20"/>
          <w:szCs w:val="20"/>
        </w:rPr>
        <w:t>tures to certain of its indices. Affected indices include the Russell 2000 and the S&amp;P 500, S&amp;P MidCap 400 and S&amp;P SmallCap 600, which together make up the S&amp;P Composite 1500. The dual class structure of our common stock makes us ineligible for inclusion i</w:t>
      </w:r>
      <w:r>
        <w:rPr>
          <w:rFonts w:ascii="Arial" w:hAnsi="Arial" w:cs="Arial"/>
          <w:sz w:val="20"/>
          <w:szCs w:val="20"/>
        </w:rPr>
        <w:t xml:space="preserve">n these indices and we cannot assure you that other stock indices will not take similar actions. It is unclear what effect, if any, these policies have on the valuations of publicly traded companies excluded from such indices, but it is possible that they </w:t>
      </w:r>
      <w:r>
        <w:rPr>
          <w:rFonts w:ascii="Arial" w:hAnsi="Arial" w:cs="Arial"/>
          <w:sz w:val="20"/>
          <w:szCs w:val="20"/>
        </w:rPr>
        <w:t>may depress valuations, as compared to similar companies that are included. Further, given the sustained flow of investment funds into passive strategies that seek to track certain indices, exclusion from certain stock indices will likely preclude investme</w:t>
      </w:r>
      <w:r>
        <w:rPr>
          <w:rFonts w:ascii="Arial" w:hAnsi="Arial" w:cs="Arial"/>
          <w:sz w:val="20"/>
          <w:szCs w:val="20"/>
        </w:rPr>
        <w:t>nt by many of these funds and could make our Class A common stock less attractive to other investors. As a result, the market price of our Class A common stock could be adversely affected</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 xml:space="preserve">AKKR controls us and its interests may conflict with ours or yours </w:t>
      </w:r>
      <w:r>
        <w:rPr>
          <w:rFonts w:ascii="Arial" w:hAnsi="Arial" w:cs="Arial"/>
          <w:b/>
          <w:bCs/>
          <w:i/>
          <w:iCs/>
          <w:sz w:val="20"/>
          <w:szCs w:val="20"/>
        </w:rPr>
        <w:t>in the future</w:t>
      </w:r>
      <w:r>
        <w:rPr>
          <w:rFonts w:ascii="Arial" w:hAnsi="Arial" w:cs="Arial"/>
          <w:b/>
          <w:bCs/>
          <w:i/>
          <w:iCs/>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As of December 31, 2021, AKKR controlled approximately 79.2% of the voting power of our outstanding common stock. As a result, AKKR has the ability to elect all of the members of our board of directors and thereby control our policies and op</w:t>
      </w:r>
      <w:r>
        <w:rPr>
          <w:rFonts w:ascii="Arial" w:hAnsi="Arial" w:cs="Arial"/>
          <w:sz w:val="20"/>
          <w:szCs w:val="20"/>
        </w:rPr>
        <w:t>erations, including the appointment of management, future issuances of our Class A common stock or other securities, the payment of dividends, if any, on our Class A common stock, the incurrence of debt by us, amendments to our certificate of incorporation</w:t>
      </w:r>
      <w:r>
        <w:rPr>
          <w:rFonts w:ascii="Arial" w:hAnsi="Arial" w:cs="Arial"/>
          <w:sz w:val="20"/>
          <w:szCs w:val="20"/>
        </w:rPr>
        <w:t xml:space="preserve"> and bylaws, and the entering into extraordinary transactions, and the interests of AKKR may not in all cases be aligned with our or your interests</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AKKR may have an interest in pursuing acquisitions, divestitures and other transactions that, in its judgm</w:t>
      </w:r>
      <w:r>
        <w:rPr>
          <w:rFonts w:ascii="Arial" w:hAnsi="Arial" w:cs="Arial"/>
          <w:sz w:val="20"/>
          <w:szCs w:val="20"/>
        </w:rPr>
        <w:t>ent, could enhance its investment in us, even though such transactions might involve risks to you. For example, AKKR could cause us to make acquisitions that increase our indebtedness or cause us to sell revenue-generating assets. Moreover, AKKR will be ab</w:t>
      </w:r>
      <w:r>
        <w:rPr>
          <w:rFonts w:ascii="Arial" w:hAnsi="Arial" w:cs="Arial"/>
          <w:sz w:val="20"/>
          <w:szCs w:val="20"/>
        </w:rPr>
        <w:t>le to determine the outcome of all matters requiring stockholder approval and will be able to cause or prevent a change of control of our company or a change in the composition of our board of directors and could preclude any acquisition of our company. Th</w:t>
      </w:r>
      <w:r>
        <w:rPr>
          <w:rFonts w:ascii="Arial" w:hAnsi="Arial" w:cs="Arial"/>
          <w:sz w:val="20"/>
          <w:szCs w:val="20"/>
        </w:rPr>
        <w:t>is concentration of voting control could deprive you of an opportunity to receive a premium for your shares of Class A common stock as part of a sale of our company and ultimately might affect the market price of our Class A common stock</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So long as AKKR c</w:t>
      </w:r>
      <w:r>
        <w:rPr>
          <w:rFonts w:ascii="Arial" w:hAnsi="Arial" w:cs="Arial"/>
          <w:sz w:val="20"/>
          <w:szCs w:val="20"/>
        </w:rPr>
        <w:t>ontinues to beneficially own a sufficient number of shares of Class B common stock, even if it beneficially owns significantly less than 50% of the shares of our outstanding common stock, it will continue to be able to effectively control our decisions. Fo</w:t>
      </w:r>
      <w:r>
        <w:rPr>
          <w:rFonts w:ascii="Arial" w:hAnsi="Arial" w:cs="Arial"/>
          <w:sz w:val="20"/>
          <w:szCs w:val="20"/>
        </w:rPr>
        <w:t>r example, if our Class B common stock amounted to 15% of our outstanding common stock, beneficial owners of our Class B common stock (including AKKR), would collectively control approximately 64% of the voting power of our common stock. Moreover, AKKR wil</w:t>
      </w:r>
      <w:r>
        <w:rPr>
          <w:rFonts w:ascii="Arial" w:hAnsi="Arial" w:cs="Arial"/>
          <w:sz w:val="20"/>
          <w:szCs w:val="20"/>
        </w:rPr>
        <w:t>l continue to have the right to nominate directors to our board of directors under our stockholders agreement for so long as AKKR beneficially owns at least 5% of our outstanding common stock</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Our certificate of incorporation contains provisions renouncing</w:t>
      </w:r>
      <w:r>
        <w:rPr>
          <w:rFonts w:ascii="Arial" w:hAnsi="Arial" w:cs="Arial"/>
          <w:b/>
          <w:bCs/>
          <w:i/>
          <w:iCs/>
          <w:sz w:val="20"/>
          <w:szCs w:val="20"/>
        </w:rPr>
        <w:t xml:space="preserve"> our interest and expectation to participate in certain corporate opportunities identified by, or presented to, AKKR or its affiliates, which could create conflicts of interest and have a material adverse effect on our business, results of operations, fina</w:t>
      </w:r>
      <w:r>
        <w:rPr>
          <w:rFonts w:ascii="Arial" w:hAnsi="Arial" w:cs="Arial"/>
          <w:b/>
          <w:bCs/>
          <w:i/>
          <w:iCs/>
          <w:sz w:val="20"/>
          <w:szCs w:val="20"/>
        </w:rPr>
        <w:t>ncial condition and prospects if attractive corporate opportunities are allocated by AKKR to itself, its affiliates or third parties instead of to us</w:t>
      </w:r>
      <w:r>
        <w:rPr>
          <w:rFonts w:ascii="Arial" w:hAnsi="Arial" w:cs="Arial"/>
          <w:b/>
          <w:bCs/>
          <w:i/>
          <w:iCs/>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AKKR, our controlling stockholder, is in the business of making investments in companies and may from tim</w:t>
      </w:r>
      <w:r>
        <w:rPr>
          <w:rFonts w:ascii="Arial" w:hAnsi="Arial" w:cs="Arial"/>
          <w:sz w:val="20"/>
          <w:szCs w:val="20"/>
        </w:rPr>
        <w:t xml:space="preserve">e to time acquire and hold interests in businesses that compete directly or indirectly with us or that would be complementary to our business if we acquired them. Our certificate of incorporation provides that, to the fullest extent permitted by law, none </w:t>
      </w:r>
      <w:r>
        <w:rPr>
          <w:rFonts w:ascii="Arial" w:hAnsi="Arial" w:cs="Arial"/>
          <w:sz w:val="20"/>
          <w:szCs w:val="20"/>
        </w:rPr>
        <w:t xml:space="preserve">of AKKR or its affiliates, or any of their respective directors, partners, principals, officers, members, managers or employees, including any of the foregoing who serve as our officers or directors (all of whom we refer to as the “Exempted Persons”), has </w:t>
      </w:r>
      <w:r>
        <w:rPr>
          <w:rFonts w:ascii="Arial" w:hAnsi="Arial" w:cs="Arial"/>
          <w:sz w:val="20"/>
          <w:szCs w:val="20"/>
        </w:rPr>
        <w:t>any duty to refrain from engaging directly or indirectly in the same or similar business activities or lines of business as us or any of our affiliates. In addition, to the fullest extent permitted by law, in the event that any Exempted Person is presented</w:t>
      </w:r>
      <w:r>
        <w:rPr>
          <w:rFonts w:ascii="Arial" w:hAnsi="Arial" w:cs="Arial"/>
          <w:sz w:val="20"/>
          <w:szCs w:val="20"/>
        </w:rPr>
        <w:t xml:space="preserve"> with a business opportunity, even if the opportunity is one that we or our affiliates might reasonably be deemed to have pursued or had the ability or desire to pursue if granted the opportunity to do so, such Exempted Person has no duty to communicate or</w:t>
      </w:r>
      <w:r>
        <w:rPr>
          <w:rFonts w:ascii="Arial" w:hAnsi="Arial" w:cs="Arial"/>
          <w:sz w:val="20"/>
          <w:szCs w:val="20"/>
        </w:rPr>
        <w:t xml:space="preserve"> offer such business opportunity to us or any of our affiliates. No Exempted Person will be liable to us, any of our affiliates or our stockholders for breach of any fiduciary or other duty, solely by reason of the fact that any such Exempted Person pursue</w:t>
      </w:r>
      <w:r>
        <w:rPr>
          <w:rFonts w:ascii="Arial" w:hAnsi="Arial" w:cs="Arial"/>
          <w:sz w:val="20"/>
          <w:szCs w:val="20"/>
        </w:rPr>
        <w:t>s or acquires such business opportunity, sells, assigns, transfers or directs such business opportunity to another person or fails to present such business opportunity, or information regarding such business opportunity, to us or any of our affiliates. The</w:t>
      </w:r>
      <w:r>
        <w:rPr>
          <w:rFonts w:ascii="Arial" w:hAnsi="Arial" w:cs="Arial"/>
          <w:sz w:val="20"/>
          <w:szCs w:val="20"/>
        </w:rPr>
        <w:t>se provisions could create conflicts of interest and have a material adverse effect on our business, results of operations, financial condition and prospects if attractive business opportunities are allocated by AKKR or another Exempted Person to itself, i</w:t>
      </w:r>
      <w:r>
        <w:rPr>
          <w:rFonts w:ascii="Arial" w:hAnsi="Arial" w:cs="Arial"/>
          <w:sz w:val="20"/>
          <w:szCs w:val="20"/>
        </w:rPr>
        <w:t>ts affiliates or third parties instead of to us</w:t>
      </w:r>
      <w:r>
        <w:rPr>
          <w:rFonts w:ascii="Arial" w:hAnsi="Arial" w:cs="Arial"/>
          <w:sz w:val="20"/>
          <w:szCs w:val="20"/>
        </w:rPr>
        <w:t>.</w:t>
      </w:r>
    </w:p>
    <w:p w:rsidR="00000000" w:rsidRDefault="00010F15">
      <w:pPr>
        <w:pStyle w:val="a3"/>
        <w:spacing w:before="0" w:beforeAutospacing="0" w:after="0" w:afterAutospacing="0"/>
        <w:jc w:val="center"/>
        <w:rPr>
          <w:sz w:val="20"/>
          <w:szCs w:val="20"/>
        </w:rPr>
      </w:pPr>
      <w:r>
        <w:rPr>
          <w:rFonts w:ascii="Arial" w:hAnsi="Arial" w:cs="Arial"/>
          <w:sz w:val="20"/>
          <w:szCs w:val="20"/>
        </w:rPr>
        <w:t>4</w:t>
      </w:r>
      <w:r>
        <w:rPr>
          <w:rFonts w:ascii="Arial" w:hAnsi="Arial" w:cs="Arial"/>
          <w:sz w:val="20"/>
          <w:szCs w:val="20"/>
        </w:rPr>
        <w:t>9</w:t>
      </w:r>
    </w:p>
    <w:p w:rsidR="00000000" w:rsidRDefault="00010F15">
      <w:pPr>
        <w:rPr>
          <w:rFonts w:eastAsia="Times New Roman"/>
        </w:rPr>
      </w:pPr>
      <w:r>
        <w:rPr>
          <w:rFonts w:eastAsia="Times New Roman"/>
        </w:rPr>
        <w:pict>
          <v:rect id="_x0000_i1073"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240" w:beforeAutospacing="0" w:after="0" w:afterAutospacing="0"/>
        <w:rPr>
          <w:sz w:val="20"/>
          <w:szCs w:val="20"/>
        </w:rPr>
      </w:pPr>
      <w:r>
        <w:rPr>
          <w:rFonts w:ascii="Arial" w:hAnsi="Arial" w:cs="Arial"/>
          <w:b/>
          <w:bCs/>
          <w:i/>
          <w:iCs/>
          <w:sz w:val="20"/>
          <w:szCs w:val="20"/>
        </w:rPr>
        <w:t>If securities or industry analysts either do not publish research about us or publish inaccurate or unfavorable research about us, our business or our market, or if t</w:t>
      </w:r>
      <w:r>
        <w:rPr>
          <w:rFonts w:ascii="Arial" w:hAnsi="Arial" w:cs="Arial"/>
          <w:b/>
          <w:bCs/>
          <w:i/>
          <w:iCs/>
          <w:sz w:val="20"/>
          <w:szCs w:val="20"/>
        </w:rPr>
        <w:t>hey adversely change their recommendations regarding our Class A common stock, the market price or trading volume of our Class A common stock could decline</w:t>
      </w:r>
      <w:r>
        <w:rPr>
          <w:rFonts w:ascii="Arial" w:hAnsi="Arial" w:cs="Arial"/>
          <w:b/>
          <w:bCs/>
          <w:i/>
          <w:iCs/>
          <w:sz w:val="20"/>
          <w:szCs w:val="20"/>
        </w:rPr>
        <w:t>.</w:t>
      </w:r>
      <w:r>
        <w:rPr>
          <w:rFonts w:ascii="Arial" w:hAnsi="Arial" w:cs="Arial"/>
          <w:b/>
          <w:bCs/>
          <w:i/>
          <w:iCs/>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The trading market for our Class A common stock will be influenced in part by the research and rep</w:t>
      </w:r>
      <w:r>
        <w:rPr>
          <w:rFonts w:ascii="Arial" w:hAnsi="Arial" w:cs="Arial"/>
          <w:sz w:val="20"/>
          <w:szCs w:val="20"/>
        </w:rPr>
        <w:t>orts that securities or industry analysts may publish about us, our business, our market or our competitors. If one or more of the analysts initiate research with an unfavorable rating or downgrade our Class A common stock, provide a more favorable recomme</w:t>
      </w:r>
      <w:r>
        <w:rPr>
          <w:rFonts w:ascii="Arial" w:hAnsi="Arial" w:cs="Arial"/>
          <w:sz w:val="20"/>
          <w:szCs w:val="20"/>
        </w:rPr>
        <w:t>ndation about our competitors or publish inaccurate or unfavorable research about our business, our Class A common stock price would likely decline. If any analyst who may cover us were to cease coverage of us or fail to regularly publish reports on us, we</w:t>
      </w:r>
      <w:r>
        <w:rPr>
          <w:rFonts w:ascii="Arial" w:hAnsi="Arial" w:cs="Arial"/>
          <w:sz w:val="20"/>
          <w:szCs w:val="20"/>
        </w:rPr>
        <w:t xml:space="preserve"> could lose visibility in the financial markets, which in turn could cause the market price or trading volume of our Class A common stock to decline</w:t>
      </w:r>
      <w:r>
        <w:rPr>
          <w:rFonts w:ascii="Arial" w:hAnsi="Arial" w:cs="Arial"/>
          <w:sz w:val="20"/>
          <w:szCs w:val="20"/>
        </w:rPr>
        <w:t>.</w:t>
      </w:r>
      <w:r>
        <w:rPr>
          <w:rFonts w:ascii="Arial" w:hAnsi="Arial" w:cs="Arial"/>
          <w:sz w:val="20"/>
          <w:szCs w:val="20"/>
        </w:rPr>
        <w:t xml:space="preserve"> </w:t>
      </w:r>
    </w:p>
    <w:p w:rsidR="00000000" w:rsidRDefault="00010F15">
      <w:pPr>
        <w:pStyle w:val="a3"/>
        <w:spacing w:before="240" w:beforeAutospacing="0" w:after="0" w:afterAutospacing="0"/>
        <w:rPr>
          <w:sz w:val="20"/>
          <w:szCs w:val="20"/>
        </w:rPr>
      </w:pPr>
      <w:r>
        <w:rPr>
          <w:rFonts w:ascii="Arial" w:hAnsi="Arial" w:cs="Arial"/>
          <w:b/>
          <w:bCs/>
          <w:i/>
          <w:iCs/>
          <w:sz w:val="20"/>
          <w:szCs w:val="20"/>
        </w:rPr>
        <w:t>We are an emerging growth company, and any decision on our part to comply only with certain reduced repor</w:t>
      </w:r>
      <w:r>
        <w:rPr>
          <w:rFonts w:ascii="Arial" w:hAnsi="Arial" w:cs="Arial"/>
          <w:b/>
          <w:bCs/>
          <w:i/>
          <w:iCs/>
          <w:sz w:val="20"/>
          <w:szCs w:val="20"/>
        </w:rPr>
        <w:t>ting and disclosure requirements applicable to emerging growth companies could make our Class A common stock less attractive to investors</w:t>
      </w:r>
      <w:r>
        <w:rPr>
          <w:rFonts w:ascii="Arial" w:hAnsi="Arial" w:cs="Arial"/>
          <w:b/>
          <w:bCs/>
          <w:i/>
          <w:iCs/>
          <w:sz w:val="20"/>
          <w:szCs w:val="20"/>
        </w:rPr>
        <w:t>.</w:t>
      </w:r>
      <w:r>
        <w:rPr>
          <w:rFonts w:ascii="Arial" w:hAnsi="Arial" w:cs="Arial"/>
          <w:b/>
          <w:bCs/>
          <w:i/>
          <w:iCs/>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We are an emerging growth company, and for as long as we continue to be an emerging growth company, we may choose to</w:t>
      </w:r>
      <w:r>
        <w:rPr>
          <w:rFonts w:ascii="Arial" w:hAnsi="Arial" w:cs="Arial"/>
          <w:sz w:val="20"/>
          <w:szCs w:val="20"/>
        </w:rPr>
        <w:t xml:space="preserve"> take advantage of exemptions from various reporting requirements applicable to other public companies but not to “emerging growth companies,” including</w:t>
      </w:r>
      <w:r>
        <w:rPr>
          <w:rFonts w:ascii="Arial" w:hAnsi="Arial" w:cs="Arial"/>
          <w:sz w:val="20"/>
          <w:szCs w:val="20"/>
        </w:rPr>
        <w:t>:</w:t>
      </w:r>
      <w:r>
        <w:rPr>
          <w:rFonts w:ascii="Arial" w:hAnsi="Arial" w:cs="Arial"/>
          <w:sz w:val="20"/>
          <w:szCs w:val="20"/>
        </w:rPr>
        <w:t xml:space="preserve"> </w:t>
      </w:r>
    </w:p>
    <w:p w:rsidR="00000000" w:rsidRDefault="00010F15">
      <w:pPr>
        <w:divId w:val="2130007183"/>
        <w:rPr>
          <w:rFonts w:eastAsia="Times New Roman"/>
        </w:rPr>
      </w:pPr>
      <w:r>
        <w:rPr>
          <w:rFonts w:eastAsia="Times New Roman"/>
          <w:sz w:val="20"/>
          <w:szCs w:val="20"/>
        </w:rPr>
        <w:t>•</w:t>
      </w:r>
    </w:p>
    <w:p w:rsidR="00000000" w:rsidRDefault="00010F15">
      <w:pPr>
        <w:divId w:val="430860022"/>
        <w:rPr>
          <w:rFonts w:eastAsia="Times New Roman"/>
        </w:rPr>
      </w:pPr>
      <w:r>
        <w:rPr>
          <w:rFonts w:ascii="Arial" w:eastAsia="Times New Roman" w:hAnsi="Arial" w:cs="Arial"/>
          <w:sz w:val="20"/>
          <w:szCs w:val="20"/>
        </w:rPr>
        <w:t xml:space="preserve">exemption from the requirement to have our registered independent public accounting firm attest to </w:t>
      </w:r>
      <w:r>
        <w:rPr>
          <w:rFonts w:ascii="Arial" w:eastAsia="Times New Roman" w:hAnsi="Arial" w:cs="Arial"/>
          <w:sz w:val="20"/>
          <w:szCs w:val="20"/>
        </w:rPr>
        <w:t>management’s assessment of our internal control over financial reporting</w:t>
      </w:r>
      <w:r>
        <w:rPr>
          <w:rFonts w:ascii="Arial" w:eastAsia="Times New Roman" w:hAnsi="Arial" w:cs="Arial"/>
          <w:sz w:val="20"/>
          <w:szCs w:val="20"/>
        </w:rPr>
        <w:t>;</w:t>
      </w:r>
    </w:p>
    <w:p w:rsidR="00000000" w:rsidRDefault="00010F15">
      <w:pPr>
        <w:divId w:val="1600143396"/>
        <w:rPr>
          <w:rFonts w:eastAsia="Times New Roman"/>
        </w:rPr>
      </w:pPr>
      <w:r>
        <w:rPr>
          <w:rFonts w:eastAsia="Times New Roman"/>
          <w:sz w:val="20"/>
          <w:szCs w:val="20"/>
        </w:rPr>
        <w:t>•</w:t>
      </w:r>
    </w:p>
    <w:p w:rsidR="00000000" w:rsidRDefault="00010F15">
      <w:pPr>
        <w:divId w:val="3674739"/>
        <w:rPr>
          <w:rFonts w:eastAsia="Times New Roman"/>
        </w:rPr>
      </w:pPr>
      <w:r>
        <w:rPr>
          <w:rFonts w:ascii="Arial" w:eastAsia="Times New Roman" w:hAnsi="Arial" w:cs="Arial"/>
          <w:sz w:val="20"/>
          <w:szCs w:val="20"/>
        </w:rPr>
        <w:t>exemption from compliance with the requirement of the PCAOB regarding the communication of critical audit matters in the auditor’</w:t>
      </w:r>
      <w:r>
        <w:rPr>
          <w:rFonts w:ascii="Arial" w:eastAsia="Times New Roman" w:hAnsi="Arial" w:cs="Arial"/>
          <w:sz w:val="20"/>
          <w:szCs w:val="20"/>
        </w:rPr>
        <w:t>s report on the financial statements;</w:t>
      </w:r>
      <w:r>
        <w:rPr>
          <w:rFonts w:ascii="Arial" w:eastAsia="Times New Roman" w:hAnsi="Arial" w:cs="Arial"/>
          <w:sz w:val="20"/>
          <w:szCs w:val="20"/>
        </w:rPr>
        <w:t xml:space="preserve"> </w:t>
      </w:r>
    </w:p>
    <w:p w:rsidR="00000000" w:rsidRDefault="00010F15">
      <w:pPr>
        <w:divId w:val="1563448068"/>
        <w:rPr>
          <w:rFonts w:eastAsia="Times New Roman"/>
        </w:rPr>
      </w:pPr>
      <w:r>
        <w:rPr>
          <w:rFonts w:eastAsia="Times New Roman"/>
          <w:sz w:val="20"/>
          <w:szCs w:val="20"/>
        </w:rPr>
        <w:t>•</w:t>
      </w:r>
    </w:p>
    <w:p w:rsidR="00000000" w:rsidRDefault="00010F15">
      <w:pPr>
        <w:divId w:val="1330140125"/>
        <w:rPr>
          <w:rFonts w:eastAsia="Times New Roman"/>
        </w:rPr>
      </w:pPr>
      <w:r>
        <w:rPr>
          <w:rFonts w:ascii="Arial" w:eastAsia="Times New Roman" w:hAnsi="Arial" w:cs="Arial"/>
          <w:sz w:val="20"/>
          <w:szCs w:val="20"/>
        </w:rPr>
        <w:t>reduced disclosure about our executive compensation arrangements; an</w:t>
      </w:r>
      <w:r>
        <w:rPr>
          <w:rFonts w:ascii="Arial" w:eastAsia="Times New Roman" w:hAnsi="Arial" w:cs="Arial"/>
          <w:sz w:val="20"/>
          <w:szCs w:val="20"/>
        </w:rPr>
        <w:t>d</w:t>
      </w:r>
    </w:p>
    <w:p w:rsidR="00000000" w:rsidRDefault="00010F15">
      <w:pPr>
        <w:divId w:val="102001592"/>
        <w:rPr>
          <w:rFonts w:eastAsia="Times New Roman"/>
        </w:rPr>
      </w:pPr>
      <w:r>
        <w:rPr>
          <w:rFonts w:eastAsia="Times New Roman"/>
          <w:sz w:val="20"/>
          <w:szCs w:val="20"/>
        </w:rPr>
        <w:t>•</w:t>
      </w:r>
    </w:p>
    <w:p w:rsidR="00000000" w:rsidRDefault="00010F15">
      <w:pPr>
        <w:divId w:val="1452741647"/>
        <w:rPr>
          <w:rFonts w:eastAsia="Times New Roman"/>
        </w:rPr>
      </w:pPr>
      <w:r>
        <w:rPr>
          <w:rFonts w:ascii="Arial" w:eastAsia="Times New Roman" w:hAnsi="Arial" w:cs="Arial"/>
          <w:sz w:val="20"/>
          <w:szCs w:val="20"/>
        </w:rPr>
        <w:t>exemption from the requirement to hold non-binding advisory votes on executive compensation or golden parachute arrangements.</w:t>
      </w:r>
      <w:r>
        <w:rPr>
          <w:rFonts w:ascii="Arial" w:eastAsia="Times New Roman"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In addition, the JOBS Act provides that an emerging growth company may take advantage of an extended transition period for comply</w:t>
      </w:r>
      <w:r>
        <w:rPr>
          <w:rFonts w:ascii="Arial" w:hAnsi="Arial" w:cs="Arial"/>
          <w:sz w:val="20"/>
          <w:szCs w:val="20"/>
        </w:rPr>
        <w:t>ing with new or revised accounting standards, delaying the adoption of these accounting standards until they would apply to private companies unless it otherwise irrevocably elects not to avail itself of this exemption. We have elected to use this extended</w:t>
      </w:r>
      <w:r>
        <w:rPr>
          <w:rFonts w:ascii="Arial" w:hAnsi="Arial" w:cs="Arial"/>
          <w:sz w:val="20"/>
          <w:szCs w:val="20"/>
        </w:rPr>
        <w:t xml:space="preserve"> transition period until we are no longer an emerging growth company or until we affirmatively and irrevocably opt out of the extended transition period. As a result, our consolidated financial statements may not be comparable to the financial statements o</w:t>
      </w:r>
      <w:r>
        <w:rPr>
          <w:rFonts w:ascii="Arial" w:hAnsi="Arial" w:cs="Arial"/>
          <w:sz w:val="20"/>
          <w:szCs w:val="20"/>
        </w:rPr>
        <w:t>f companies that comply with new or revised accounting pronouncements as of public company effective dates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Our status as an emerging growth company will end as soon as any of the following takes place</w:t>
      </w:r>
      <w:r>
        <w:rPr>
          <w:rFonts w:ascii="Arial" w:hAnsi="Arial" w:cs="Arial"/>
          <w:sz w:val="20"/>
          <w:szCs w:val="20"/>
        </w:rPr>
        <w:t>:</w:t>
      </w:r>
      <w:r>
        <w:rPr>
          <w:rFonts w:ascii="Arial" w:hAnsi="Arial" w:cs="Arial"/>
          <w:sz w:val="20"/>
          <w:szCs w:val="20"/>
        </w:rPr>
        <w:t xml:space="preserve"> </w:t>
      </w:r>
    </w:p>
    <w:p w:rsidR="00000000" w:rsidRDefault="00010F15">
      <w:pPr>
        <w:divId w:val="1312909017"/>
        <w:rPr>
          <w:rFonts w:eastAsia="Times New Roman"/>
        </w:rPr>
      </w:pPr>
      <w:r>
        <w:rPr>
          <w:rFonts w:eastAsia="Times New Roman"/>
          <w:sz w:val="20"/>
          <w:szCs w:val="20"/>
        </w:rPr>
        <w:t>•</w:t>
      </w:r>
    </w:p>
    <w:p w:rsidR="00000000" w:rsidRDefault="00010F15">
      <w:pPr>
        <w:divId w:val="420837123"/>
        <w:rPr>
          <w:rFonts w:eastAsia="Times New Roman"/>
        </w:rPr>
      </w:pPr>
      <w:r>
        <w:rPr>
          <w:rFonts w:ascii="Arial" w:eastAsia="Times New Roman" w:hAnsi="Arial" w:cs="Arial"/>
          <w:sz w:val="20"/>
          <w:szCs w:val="20"/>
        </w:rPr>
        <w:t>the last day of the fiscal year in which we have a</w:t>
      </w:r>
      <w:r>
        <w:rPr>
          <w:rFonts w:ascii="Arial" w:eastAsia="Times New Roman" w:hAnsi="Arial" w:cs="Arial"/>
          <w:sz w:val="20"/>
          <w:szCs w:val="20"/>
        </w:rPr>
        <w:t>t least $1.07 billion in annual revenue;</w:t>
      </w:r>
      <w:r>
        <w:rPr>
          <w:rFonts w:ascii="Arial" w:eastAsia="Times New Roman" w:hAnsi="Arial" w:cs="Arial"/>
          <w:sz w:val="20"/>
          <w:szCs w:val="20"/>
        </w:rPr>
        <w:t xml:space="preserve"> </w:t>
      </w:r>
    </w:p>
    <w:p w:rsidR="00000000" w:rsidRDefault="00010F15">
      <w:pPr>
        <w:divId w:val="1098718199"/>
        <w:rPr>
          <w:rFonts w:eastAsia="Times New Roman"/>
        </w:rPr>
      </w:pPr>
      <w:r>
        <w:rPr>
          <w:rFonts w:eastAsia="Times New Roman"/>
          <w:sz w:val="20"/>
          <w:szCs w:val="20"/>
        </w:rPr>
        <w:t>•</w:t>
      </w:r>
    </w:p>
    <w:p w:rsidR="00000000" w:rsidRDefault="00010F15">
      <w:pPr>
        <w:divId w:val="1016083311"/>
        <w:rPr>
          <w:rFonts w:eastAsia="Times New Roman"/>
        </w:rPr>
      </w:pPr>
      <w:r>
        <w:rPr>
          <w:rFonts w:ascii="Arial" w:eastAsia="Times New Roman" w:hAnsi="Arial" w:cs="Arial"/>
          <w:sz w:val="20"/>
          <w:szCs w:val="20"/>
        </w:rPr>
        <w:t>the date we qualify as a “large accelerated filer,” with at least $700.0 million of equity securities held by non-affiliates</w:t>
      </w:r>
      <w:r>
        <w:rPr>
          <w:rFonts w:ascii="Arial" w:eastAsia="Times New Roman" w:hAnsi="Arial" w:cs="Arial"/>
          <w:sz w:val="20"/>
          <w:szCs w:val="20"/>
        </w:rPr>
        <w:t>;</w:t>
      </w:r>
    </w:p>
    <w:p w:rsidR="00000000" w:rsidRDefault="00010F15">
      <w:pPr>
        <w:divId w:val="777725447"/>
        <w:rPr>
          <w:rFonts w:eastAsia="Times New Roman"/>
        </w:rPr>
      </w:pPr>
      <w:r>
        <w:rPr>
          <w:rFonts w:eastAsia="Times New Roman"/>
          <w:sz w:val="20"/>
          <w:szCs w:val="20"/>
        </w:rPr>
        <w:t>•</w:t>
      </w:r>
    </w:p>
    <w:p w:rsidR="00000000" w:rsidRDefault="00010F15">
      <w:pPr>
        <w:divId w:val="1955092634"/>
        <w:rPr>
          <w:rFonts w:eastAsia="Times New Roman"/>
        </w:rPr>
      </w:pPr>
      <w:r>
        <w:rPr>
          <w:rFonts w:ascii="Arial" w:eastAsia="Times New Roman" w:hAnsi="Arial" w:cs="Arial"/>
          <w:sz w:val="20"/>
          <w:szCs w:val="20"/>
        </w:rPr>
        <w:t>the date on which we have issued, in any three-year period, more than $1.0 billion i</w:t>
      </w:r>
      <w:r>
        <w:rPr>
          <w:rFonts w:ascii="Arial" w:eastAsia="Times New Roman" w:hAnsi="Arial" w:cs="Arial"/>
          <w:sz w:val="20"/>
          <w:szCs w:val="20"/>
        </w:rPr>
        <w:t>n non-convertible debt securities; or</w:t>
      </w:r>
      <w:r>
        <w:rPr>
          <w:rFonts w:ascii="Arial" w:eastAsia="Times New Roman" w:hAnsi="Arial" w:cs="Arial"/>
          <w:sz w:val="20"/>
          <w:szCs w:val="20"/>
        </w:rPr>
        <w:t xml:space="preserve"> </w:t>
      </w:r>
    </w:p>
    <w:p w:rsidR="00000000" w:rsidRDefault="00010F15">
      <w:pPr>
        <w:divId w:val="62992795"/>
        <w:rPr>
          <w:rFonts w:eastAsia="Times New Roman"/>
        </w:rPr>
      </w:pPr>
      <w:r>
        <w:rPr>
          <w:rFonts w:eastAsia="Times New Roman"/>
          <w:sz w:val="20"/>
          <w:szCs w:val="20"/>
        </w:rPr>
        <w:t>•</w:t>
      </w:r>
    </w:p>
    <w:p w:rsidR="00000000" w:rsidRDefault="00010F15">
      <w:pPr>
        <w:divId w:val="1871065939"/>
        <w:rPr>
          <w:rFonts w:eastAsia="Times New Roman"/>
        </w:rPr>
      </w:pPr>
      <w:r>
        <w:rPr>
          <w:rFonts w:ascii="Arial" w:eastAsia="Times New Roman" w:hAnsi="Arial" w:cs="Arial"/>
          <w:sz w:val="20"/>
          <w:szCs w:val="20"/>
        </w:rPr>
        <w:t>December 31, 2026.</w:t>
      </w:r>
      <w:r>
        <w:rPr>
          <w:rFonts w:ascii="Arial" w:eastAsia="Times New Roman"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We cannot predict if investors will find our Class A common stock less attractive if we choose to rely on any of the exemptions afforded emerging growth companies. If some investors find our Clas</w:t>
      </w:r>
      <w:r>
        <w:rPr>
          <w:rFonts w:ascii="Arial" w:hAnsi="Arial" w:cs="Arial"/>
          <w:sz w:val="20"/>
          <w:szCs w:val="20"/>
        </w:rPr>
        <w:t>s A common stock less attractive because we rely on any of these exemptions, there may be a less active trading market for our Class A common stock and the market price of our Class A common stock may be more volatile</w:t>
      </w:r>
      <w:r>
        <w:rPr>
          <w:rFonts w:ascii="Arial" w:hAnsi="Arial" w:cs="Arial"/>
          <w:sz w:val="20"/>
          <w:szCs w:val="20"/>
        </w:rPr>
        <w:t>.</w:t>
      </w:r>
      <w:r>
        <w:rPr>
          <w:rFonts w:ascii="Arial" w:hAnsi="Arial" w:cs="Arial"/>
          <w:sz w:val="20"/>
          <w:szCs w:val="20"/>
        </w:rPr>
        <w:t xml:space="preserve"> </w:t>
      </w:r>
    </w:p>
    <w:p w:rsidR="00000000" w:rsidRDefault="00010F15">
      <w:pPr>
        <w:pStyle w:val="a3"/>
        <w:spacing w:before="240" w:beforeAutospacing="0" w:after="0" w:afterAutospacing="0"/>
        <w:rPr>
          <w:sz w:val="20"/>
          <w:szCs w:val="20"/>
        </w:rPr>
      </w:pPr>
      <w:r>
        <w:rPr>
          <w:rFonts w:ascii="Arial" w:hAnsi="Arial" w:cs="Arial"/>
          <w:b/>
          <w:bCs/>
          <w:i/>
          <w:iCs/>
          <w:sz w:val="20"/>
          <w:szCs w:val="20"/>
        </w:rPr>
        <w:t>We have elected to take advantage of</w:t>
      </w:r>
      <w:r>
        <w:rPr>
          <w:rFonts w:ascii="Arial" w:hAnsi="Arial" w:cs="Arial"/>
          <w:b/>
          <w:bCs/>
          <w:i/>
          <w:iCs/>
          <w:sz w:val="20"/>
          <w:szCs w:val="20"/>
        </w:rPr>
        <w:t xml:space="preserve"> the “controlled company” exemption to the corporate governance rules for New York Stock Exchange-listed companies, which could make our Class A common stock less attractive to some investors or otherwise harm our stock price</w:t>
      </w:r>
      <w:r>
        <w:rPr>
          <w:rFonts w:ascii="Arial" w:hAnsi="Arial" w:cs="Arial"/>
          <w:b/>
          <w:bCs/>
          <w:i/>
          <w:iCs/>
          <w:sz w:val="20"/>
          <w:szCs w:val="20"/>
        </w:rPr>
        <w:t>.</w:t>
      </w:r>
      <w:r>
        <w:rPr>
          <w:rFonts w:ascii="Arial" w:hAnsi="Arial" w:cs="Arial"/>
          <w:b/>
          <w:bCs/>
          <w:i/>
          <w:iCs/>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 xml:space="preserve">AKKR controls a majority of </w:t>
      </w:r>
      <w:r>
        <w:rPr>
          <w:rFonts w:ascii="Arial" w:hAnsi="Arial" w:cs="Arial"/>
          <w:sz w:val="20"/>
          <w:szCs w:val="20"/>
        </w:rPr>
        <w:t>the voting power of our outstanding common stock. Because we qualify as a “controlled company” under the corporate governance rules for New York Stock Exchange-listed companies, we are not required to have a majority of our board of directors be independen</w:t>
      </w:r>
      <w:r>
        <w:rPr>
          <w:rFonts w:ascii="Arial" w:hAnsi="Arial" w:cs="Arial"/>
          <w:sz w:val="20"/>
          <w:szCs w:val="20"/>
        </w:rPr>
        <w:t xml:space="preserve">t, nor are we required to have an independent compensation committee or an independent nominating function. In light of our status as a controlled company, in the future we could elect not to have a majority of our board of directors be independent or not </w:t>
      </w:r>
      <w:r>
        <w:rPr>
          <w:rFonts w:ascii="Arial" w:hAnsi="Arial" w:cs="Arial"/>
          <w:sz w:val="20"/>
          <w:szCs w:val="20"/>
        </w:rPr>
        <w:t>to have an independent compensation committee or nominating and corporate governance committee. Accordingly, should the interests of our management an</w:t>
      </w:r>
      <w:r>
        <w:rPr>
          <w:rFonts w:ascii="Arial" w:hAnsi="Arial" w:cs="Arial"/>
          <w:sz w:val="20"/>
          <w:szCs w:val="20"/>
        </w:rPr>
        <w:t>d</w:t>
      </w:r>
      <w:r>
        <w:rPr>
          <w:rFonts w:ascii="Arial" w:hAnsi="Arial" w:cs="Arial"/>
          <w:sz w:val="20"/>
          <w:szCs w:val="20"/>
        </w:rPr>
        <w:t xml:space="preserve"> </w:t>
      </w:r>
    </w:p>
    <w:p w:rsidR="00000000" w:rsidRDefault="00010F15">
      <w:pPr>
        <w:pStyle w:val="a3"/>
        <w:spacing w:before="0" w:beforeAutospacing="0" w:after="0" w:afterAutospacing="0"/>
        <w:jc w:val="center"/>
        <w:rPr>
          <w:sz w:val="20"/>
          <w:szCs w:val="20"/>
        </w:rPr>
      </w:pPr>
      <w:r>
        <w:rPr>
          <w:rFonts w:ascii="Arial" w:hAnsi="Arial" w:cs="Arial"/>
          <w:sz w:val="20"/>
          <w:szCs w:val="20"/>
        </w:rPr>
        <w:t>5</w:t>
      </w:r>
      <w:r>
        <w:rPr>
          <w:rFonts w:ascii="Arial" w:hAnsi="Arial" w:cs="Arial"/>
          <w:sz w:val="20"/>
          <w:szCs w:val="20"/>
        </w:rPr>
        <w:t>0</w:t>
      </w:r>
    </w:p>
    <w:p w:rsidR="00000000" w:rsidRDefault="00010F15">
      <w:pPr>
        <w:rPr>
          <w:rFonts w:eastAsia="Times New Roman"/>
        </w:rPr>
      </w:pPr>
      <w:r>
        <w:rPr>
          <w:rFonts w:eastAsia="Times New Roman"/>
        </w:rPr>
        <w:pict>
          <v:rect id="_x0000_i1074"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120" w:beforeAutospacing="0" w:after="0" w:afterAutospacing="0"/>
        <w:rPr>
          <w:sz w:val="20"/>
          <w:szCs w:val="20"/>
        </w:rPr>
      </w:pPr>
      <w:r>
        <w:rPr>
          <w:rFonts w:ascii="Arial" w:hAnsi="Arial" w:cs="Arial"/>
          <w:sz w:val="20"/>
          <w:szCs w:val="20"/>
        </w:rPr>
        <w:t>AKKR differ from those of other stockholders, the other stockh</w:t>
      </w:r>
      <w:r>
        <w:rPr>
          <w:rFonts w:ascii="Arial" w:hAnsi="Arial" w:cs="Arial"/>
          <w:sz w:val="20"/>
          <w:szCs w:val="20"/>
        </w:rPr>
        <w:t>olders may not have the same protections afforded to stockholders of companies that are subject to all of the corporate governance rules for New York Stock Exchange-listed companies. Our status as a controlled company could make our Class A common stock le</w:t>
      </w:r>
      <w:r>
        <w:rPr>
          <w:rFonts w:ascii="Arial" w:hAnsi="Arial" w:cs="Arial"/>
          <w:sz w:val="20"/>
          <w:szCs w:val="20"/>
        </w:rPr>
        <w:t>ss attractive to some investors or otherwise harm our stock price</w:t>
      </w:r>
      <w:r>
        <w:rPr>
          <w:rFonts w:ascii="Arial" w:hAnsi="Arial" w:cs="Arial"/>
          <w:sz w:val="20"/>
          <w:szCs w:val="20"/>
        </w:rPr>
        <w:t>.</w:t>
      </w:r>
      <w:r>
        <w:rPr>
          <w:rFonts w:ascii="Arial" w:hAnsi="Arial" w:cs="Arial"/>
          <w:sz w:val="20"/>
          <w:szCs w:val="20"/>
        </w:rPr>
        <w:t xml:space="preserve"> </w:t>
      </w:r>
    </w:p>
    <w:p w:rsidR="00000000" w:rsidRDefault="00010F15">
      <w:pPr>
        <w:pStyle w:val="a3"/>
        <w:spacing w:before="240" w:beforeAutospacing="0" w:after="0" w:afterAutospacing="0"/>
        <w:rPr>
          <w:sz w:val="20"/>
          <w:szCs w:val="20"/>
        </w:rPr>
      </w:pPr>
      <w:r>
        <w:rPr>
          <w:rFonts w:ascii="Arial" w:hAnsi="Arial" w:cs="Arial"/>
          <w:b/>
          <w:bCs/>
          <w:i/>
          <w:iCs/>
          <w:sz w:val="20"/>
          <w:szCs w:val="20"/>
        </w:rPr>
        <w:t>Future securities issuances could result in significant dilution to our stockholders and impair the market price of our Class A common stock</w:t>
      </w:r>
      <w:r>
        <w:rPr>
          <w:rFonts w:ascii="Arial" w:hAnsi="Arial" w:cs="Arial"/>
          <w:b/>
          <w:bCs/>
          <w:i/>
          <w:iCs/>
          <w:sz w:val="20"/>
          <w:szCs w:val="20"/>
        </w:rPr>
        <w:t>.</w:t>
      </w:r>
      <w:r>
        <w:rPr>
          <w:rFonts w:ascii="Arial" w:hAnsi="Arial" w:cs="Arial"/>
          <w:b/>
          <w:bCs/>
          <w:i/>
          <w:iCs/>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Future issuances of shares of our Class A com</w:t>
      </w:r>
      <w:r>
        <w:rPr>
          <w:rFonts w:ascii="Arial" w:hAnsi="Arial" w:cs="Arial"/>
          <w:sz w:val="20"/>
          <w:szCs w:val="20"/>
        </w:rPr>
        <w:t>mon stock, including in connection with acquisitions, or the conversion of a substantial number of shares of our Class B common stock, or the perception that these sales or conversions may occur, could depress the market price of our Class A common stock a</w:t>
      </w:r>
      <w:r>
        <w:rPr>
          <w:rFonts w:ascii="Arial" w:hAnsi="Arial" w:cs="Arial"/>
          <w:sz w:val="20"/>
          <w:szCs w:val="20"/>
        </w:rPr>
        <w:t>nd result in dilution to existing holders of our Class A common stock. Also, to the extent outstanding options to purchase shares of our Class B common stock are exercised or options or other equity-based awards are issued or become vested, there will be f</w:t>
      </w:r>
      <w:r>
        <w:rPr>
          <w:rFonts w:ascii="Arial" w:hAnsi="Arial" w:cs="Arial"/>
          <w:sz w:val="20"/>
          <w:szCs w:val="20"/>
        </w:rPr>
        <w:t>urther dilution. The amount of dilution could be substantial depending upon the size of the issuances or exercises. Furthermore, we may issue additional equity securities that could have rights senior to those of our Class A common stock</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Anti-takeover provisions in our charter documents and under Washington law could make an acquisition of us difficult, limit attempts by our stockholders to replace or remove our current management and depress the market price of our Class A common stock</w:t>
      </w:r>
      <w:r>
        <w:rPr>
          <w:rFonts w:ascii="Arial" w:hAnsi="Arial" w:cs="Arial"/>
          <w:b/>
          <w:bCs/>
          <w:i/>
          <w:iCs/>
          <w:sz w:val="20"/>
          <w:szCs w:val="20"/>
        </w:rPr>
        <w:t>.</w:t>
      </w:r>
      <w:r>
        <w:rPr>
          <w:rFonts w:ascii="Arial" w:hAnsi="Arial" w:cs="Arial"/>
          <w:b/>
          <w:bCs/>
          <w:i/>
          <w:iCs/>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In addition to AKKR controlling a substantial majority of the voting power of our outstanding common stock, our certificate of incorporation and bylaws contain provisions that could depress the market price of our Class A common stock by acting to discoura</w:t>
      </w:r>
      <w:r>
        <w:rPr>
          <w:rFonts w:ascii="Arial" w:hAnsi="Arial" w:cs="Arial"/>
          <w:sz w:val="20"/>
          <w:szCs w:val="20"/>
        </w:rPr>
        <w:t>ge, delay or prevent a change of control of our company or changes in our management that the stockholders of our company may deem advantageous. Among other things, these provisions provide that</w:t>
      </w:r>
      <w:r>
        <w:rPr>
          <w:rFonts w:ascii="Arial" w:hAnsi="Arial" w:cs="Arial"/>
          <w:sz w:val="20"/>
          <w:szCs w:val="20"/>
        </w:rPr>
        <w:t>:</w:t>
      </w:r>
      <w:r>
        <w:rPr>
          <w:rFonts w:ascii="Arial" w:hAnsi="Arial" w:cs="Arial"/>
          <w:sz w:val="20"/>
          <w:szCs w:val="20"/>
        </w:rPr>
        <w:t xml:space="preserve"> </w:t>
      </w:r>
    </w:p>
    <w:p w:rsidR="00000000" w:rsidRDefault="00010F15">
      <w:pPr>
        <w:divId w:val="849685570"/>
        <w:rPr>
          <w:rFonts w:eastAsia="Times New Roman"/>
        </w:rPr>
      </w:pPr>
      <w:r>
        <w:rPr>
          <w:rFonts w:eastAsia="Times New Roman"/>
          <w:sz w:val="20"/>
          <w:szCs w:val="20"/>
        </w:rPr>
        <w:t>•</w:t>
      </w:r>
    </w:p>
    <w:p w:rsidR="00000000" w:rsidRDefault="00010F15">
      <w:pPr>
        <w:divId w:val="380061065"/>
        <w:rPr>
          <w:rFonts w:eastAsia="Times New Roman"/>
        </w:rPr>
      </w:pPr>
      <w:r>
        <w:rPr>
          <w:rFonts w:ascii="Arial" w:eastAsia="Times New Roman" w:hAnsi="Arial" w:cs="Arial"/>
          <w:sz w:val="20"/>
          <w:szCs w:val="20"/>
        </w:rPr>
        <w:t>we have a dual class common stock structure, with differi</w:t>
      </w:r>
      <w:r>
        <w:rPr>
          <w:rFonts w:ascii="Arial" w:eastAsia="Times New Roman" w:hAnsi="Arial" w:cs="Arial"/>
          <w:sz w:val="20"/>
          <w:szCs w:val="20"/>
        </w:rPr>
        <w:t>ng voting rights</w:t>
      </w:r>
      <w:r>
        <w:rPr>
          <w:rFonts w:ascii="Arial" w:eastAsia="Times New Roman" w:hAnsi="Arial" w:cs="Arial"/>
          <w:sz w:val="20"/>
          <w:szCs w:val="20"/>
        </w:rPr>
        <w:t>;</w:t>
      </w:r>
    </w:p>
    <w:p w:rsidR="00000000" w:rsidRDefault="00010F15">
      <w:pPr>
        <w:divId w:val="1090616794"/>
        <w:rPr>
          <w:rFonts w:eastAsia="Times New Roman"/>
        </w:rPr>
      </w:pPr>
      <w:r>
        <w:rPr>
          <w:rFonts w:eastAsia="Times New Roman"/>
          <w:sz w:val="20"/>
          <w:szCs w:val="20"/>
        </w:rPr>
        <w:t>•</w:t>
      </w:r>
    </w:p>
    <w:p w:rsidR="00000000" w:rsidRDefault="00010F15">
      <w:pPr>
        <w:divId w:val="2128961901"/>
        <w:rPr>
          <w:rFonts w:eastAsia="Times New Roman"/>
        </w:rPr>
      </w:pPr>
      <w:r>
        <w:rPr>
          <w:rFonts w:ascii="Arial" w:eastAsia="Times New Roman" w:hAnsi="Arial" w:cs="Arial"/>
          <w:sz w:val="20"/>
          <w:szCs w:val="20"/>
        </w:rPr>
        <w:t>the authorized number of directors may be changed only by resolution of the board of directors</w:t>
      </w:r>
      <w:r>
        <w:rPr>
          <w:rFonts w:ascii="Arial" w:eastAsia="Times New Roman" w:hAnsi="Arial" w:cs="Arial"/>
          <w:sz w:val="20"/>
          <w:szCs w:val="20"/>
        </w:rPr>
        <w:t>;</w:t>
      </w:r>
    </w:p>
    <w:p w:rsidR="00000000" w:rsidRDefault="00010F15">
      <w:pPr>
        <w:divId w:val="121466982"/>
        <w:rPr>
          <w:rFonts w:eastAsia="Times New Roman"/>
        </w:rPr>
      </w:pPr>
      <w:r>
        <w:rPr>
          <w:rFonts w:eastAsia="Times New Roman"/>
          <w:sz w:val="20"/>
          <w:szCs w:val="20"/>
        </w:rPr>
        <w:t>•</w:t>
      </w:r>
    </w:p>
    <w:p w:rsidR="00000000" w:rsidRDefault="00010F15">
      <w:pPr>
        <w:divId w:val="1044644294"/>
        <w:rPr>
          <w:rFonts w:eastAsia="Times New Roman"/>
        </w:rPr>
      </w:pPr>
      <w:r>
        <w:rPr>
          <w:rFonts w:ascii="Arial" w:eastAsia="Times New Roman" w:hAnsi="Arial" w:cs="Arial"/>
          <w:sz w:val="20"/>
          <w:szCs w:val="20"/>
        </w:rPr>
        <w:t>any vacancies on the board of directors and any newly created directorships may only be filled by the affirmative vote of a majority of di</w:t>
      </w:r>
      <w:r>
        <w:rPr>
          <w:rFonts w:ascii="Arial" w:eastAsia="Times New Roman" w:hAnsi="Arial" w:cs="Arial"/>
          <w:sz w:val="20"/>
          <w:szCs w:val="20"/>
        </w:rPr>
        <w:t>rectors then in office, even if less than a quorum</w:t>
      </w:r>
      <w:r>
        <w:rPr>
          <w:rFonts w:ascii="Arial" w:eastAsia="Times New Roman" w:hAnsi="Arial" w:cs="Arial"/>
          <w:sz w:val="20"/>
          <w:szCs w:val="20"/>
        </w:rPr>
        <w:t>;</w:t>
      </w:r>
    </w:p>
    <w:p w:rsidR="00000000" w:rsidRDefault="00010F15">
      <w:pPr>
        <w:divId w:val="840657867"/>
        <w:rPr>
          <w:rFonts w:eastAsia="Times New Roman"/>
        </w:rPr>
      </w:pPr>
      <w:r>
        <w:rPr>
          <w:rFonts w:eastAsia="Times New Roman"/>
          <w:sz w:val="20"/>
          <w:szCs w:val="20"/>
        </w:rPr>
        <w:t>•</w:t>
      </w:r>
    </w:p>
    <w:p w:rsidR="00000000" w:rsidRDefault="00010F15">
      <w:pPr>
        <w:divId w:val="429546490"/>
        <w:rPr>
          <w:rFonts w:eastAsia="Times New Roman"/>
        </w:rPr>
      </w:pPr>
      <w:r>
        <w:rPr>
          <w:rFonts w:ascii="Arial" w:eastAsia="Times New Roman" w:hAnsi="Arial" w:cs="Arial"/>
          <w:sz w:val="20"/>
          <w:szCs w:val="20"/>
        </w:rPr>
        <w:t>our board of directors is divided into three classes, each of which stands for election once every three years</w:t>
      </w:r>
      <w:r>
        <w:rPr>
          <w:rFonts w:ascii="Arial" w:eastAsia="Times New Roman" w:hAnsi="Arial" w:cs="Arial"/>
          <w:sz w:val="20"/>
          <w:szCs w:val="20"/>
        </w:rPr>
        <w:t>;</w:t>
      </w:r>
    </w:p>
    <w:p w:rsidR="00000000" w:rsidRDefault="00010F15">
      <w:pPr>
        <w:divId w:val="1817916781"/>
        <w:rPr>
          <w:rFonts w:eastAsia="Times New Roman"/>
        </w:rPr>
      </w:pPr>
      <w:r>
        <w:rPr>
          <w:rFonts w:eastAsia="Times New Roman"/>
          <w:sz w:val="20"/>
          <w:szCs w:val="20"/>
        </w:rPr>
        <w:t>•</w:t>
      </w:r>
    </w:p>
    <w:p w:rsidR="00000000" w:rsidRDefault="00010F15">
      <w:pPr>
        <w:divId w:val="1050697"/>
        <w:rPr>
          <w:rFonts w:eastAsia="Times New Roman"/>
        </w:rPr>
      </w:pPr>
      <w:r>
        <w:rPr>
          <w:rFonts w:ascii="Arial" w:eastAsia="Times New Roman" w:hAnsi="Arial" w:cs="Arial"/>
          <w:sz w:val="20"/>
          <w:szCs w:val="20"/>
        </w:rPr>
        <w:t>there is no cumulative voting</w:t>
      </w:r>
      <w:r>
        <w:rPr>
          <w:rFonts w:ascii="Arial" w:eastAsia="Times New Roman" w:hAnsi="Arial" w:cs="Arial"/>
          <w:sz w:val="20"/>
          <w:szCs w:val="20"/>
        </w:rPr>
        <w:t>;</w:t>
      </w:r>
    </w:p>
    <w:p w:rsidR="00000000" w:rsidRDefault="00010F15">
      <w:pPr>
        <w:divId w:val="1384259382"/>
        <w:rPr>
          <w:rFonts w:eastAsia="Times New Roman"/>
        </w:rPr>
      </w:pPr>
      <w:r>
        <w:rPr>
          <w:rFonts w:eastAsia="Times New Roman"/>
          <w:sz w:val="20"/>
          <w:szCs w:val="20"/>
        </w:rPr>
        <w:t>•</w:t>
      </w:r>
    </w:p>
    <w:p w:rsidR="00000000" w:rsidRDefault="00010F15">
      <w:pPr>
        <w:divId w:val="534273746"/>
        <w:rPr>
          <w:rFonts w:eastAsia="Times New Roman"/>
        </w:rPr>
      </w:pPr>
      <w:r>
        <w:rPr>
          <w:rFonts w:ascii="Arial" w:eastAsia="Times New Roman" w:hAnsi="Arial" w:cs="Arial"/>
          <w:sz w:val="20"/>
          <w:szCs w:val="20"/>
        </w:rPr>
        <w:t>the board of directors may issue “blank check” preferre</w:t>
      </w:r>
      <w:r>
        <w:rPr>
          <w:rFonts w:ascii="Arial" w:eastAsia="Times New Roman" w:hAnsi="Arial" w:cs="Arial"/>
          <w:sz w:val="20"/>
          <w:szCs w:val="20"/>
        </w:rPr>
        <w:t>d stock that our board of directors could use to implement a stockholder rights plan;</w:t>
      </w:r>
      <w:r>
        <w:rPr>
          <w:rFonts w:ascii="Arial" w:eastAsia="Times New Roman" w:hAnsi="Arial" w:cs="Arial"/>
          <w:sz w:val="20"/>
          <w:szCs w:val="20"/>
        </w:rPr>
        <w:t xml:space="preserve"> </w:t>
      </w:r>
    </w:p>
    <w:p w:rsidR="00000000" w:rsidRDefault="00010F15">
      <w:pPr>
        <w:divId w:val="2034571388"/>
        <w:rPr>
          <w:rFonts w:eastAsia="Times New Roman"/>
        </w:rPr>
      </w:pPr>
      <w:r>
        <w:rPr>
          <w:rFonts w:eastAsia="Times New Roman"/>
          <w:sz w:val="20"/>
          <w:szCs w:val="20"/>
        </w:rPr>
        <w:t>•</w:t>
      </w:r>
    </w:p>
    <w:p w:rsidR="00000000" w:rsidRDefault="00010F15">
      <w:pPr>
        <w:divId w:val="1616056107"/>
        <w:rPr>
          <w:rFonts w:eastAsia="Times New Roman"/>
        </w:rPr>
      </w:pPr>
      <w:r>
        <w:rPr>
          <w:rFonts w:ascii="Arial" w:eastAsia="Times New Roman" w:hAnsi="Arial" w:cs="Arial"/>
          <w:sz w:val="20"/>
          <w:szCs w:val="20"/>
        </w:rPr>
        <w:t>the board of directors may adopt, alter or repeal our bylaws;</w:t>
      </w:r>
      <w:r>
        <w:rPr>
          <w:rFonts w:ascii="Arial" w:eastAsia="Times New Roman" w:hAnsi="Arial" w:cs="Arial"/>
          <w:sz w:val="20"/>
          <w:szCs w:val="20"/>
        </w:rPr>
        <w:t xml:space="preserve"> </w:t>
      </w:r>
    </w:p>
    <w:p w:rsidR="00000000" w:rsidRDefault="00010F15">
      <w:pPr>
        <w:divId w:val="176818151"/>
        <w:rPr>
          <w:rFonts w:eastAsia="Times New Roman"/>
        </w:rPr>
      </w:pPr>
      <w:r>
        <w:rPr>
          <w:rFonts w:eastAsia="Times New Roman"/>
          <w:sz w:val="20"/>
          <w:szCs w:val="20"/>
        </w:rPr>
        <w:t>•</w:t>
      </w:r>
    </w:p>
    <w:p w:rsidR="00000000" w:rsidRDefault="00010F15">
      <w:pPr>
        <w:divId w:val="1777367903"/>
        <w:rPr>
          <w:rFonts w:eastAsia="Times New Roman"/>
        </w:rPr>
      </w:pPr>
      <w:r>
        <w:rPr>
          <w:rFonts w:ascii="Arial" w:eastAsia="Times New Roman" w:hAnsi="Arial" w:cs="Arial"/>
          <w:sz w:val="20"/>
          <w:szCs w:val="20"/>
        </w:rPr>
        <w:t>the forum for certain litigation against us is restricted to Delaware; and</w:t>
      </w:r>
      <w:r>
        <w:rPr>
          <w:rFonts w:ascii="Arial" w:eastAsia="Times New Roman" w:hAnsi="Arial" w:cs="Arial"/>
          <w:sz w:val="20"/>
          <w:szCs w:val="20"/>
        </w:rPr>
        <w:t xml:space="preserve"> </w:t>
      </w:r>
    </w:p>
    <w:p w:rsidR="00000000" w:rsidRDefault="00010F15">
      <w:pPr>
        <w:divId w:val="585312080"/>
        <w:rPr>
          <w:rFonts w:eastAsia="Times New Roman"/>
        </w:rPr>
      </w:pPr>
      <w:r>
        <w:rPr>
          <w:rFonts w:eastAsia="Times New Roman"/>
          <w:sz w:val="20"/>
          <w:szCs w:val="20"/>
        </w:rPr>
        <w:t>•</w:t>
      </w:r>
    </w:p>
    <w:p w:rsidR="00000000" w:rsidRDefault="00010F15">
      <w:pPr>
        <w:divId w:val="823620877"/>
        <w:rPr>
          <w:rFonts w:eastAsia="Times New Roman"/>
        </w:rPr>
      </w:pPr>
      <w:r>
        <w:rPr>
          <w:rFonts w:ascii="Arial" w:eastAsia="Times New Roman" w:hAnsi="Arial" w:cs="Arial"/>
          <w:sz w:val="20"/>
          <w:szCs w:val="20"/>
        </w:rPr>
        <w:t>stockholders seeking to present proposals before a meeting of stockholders or to nominate candidates for election as directors at a meeting of stockholders must provide notice in</w:t>
      </w:r>
      <w:r>
        <w:rPr>
          <w:rFonts w:ascii="Arial" w:eastAsia="Times New Roman" w:hAnsi="Arial" w:cs="Arial"/>
          <w:sz w:val="20"/>
          <w:szCs w:val="20"/>
        </w:rPr>
        <w:t xml:space="preserve"> writing in a timely manner, and also meet specific requirements as to the form and content of a stockholder’s notice</w:t>
      </w:r>
      <w:r>
        <w:rPr>
          <w:rFonts w:ascii="Arial" w:eastAsia="Times New Roman"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Additional provisions will become effective on such date when AKKR and its affiliates cease to beneficially own in the aggregate, directl</w:t>
      </w:r>
      <w:r>
        <w:rPr>
          <w:rFonts w:ascii="Arial" w:hAnsi="Arial" w:cs="Arial"/>
          <w:sz w:val="20"/>
          <w:szCs w:val="20"/>
        </w:rPr>
        <w:t>y or indirectly, at least 50% of the voting power of our capital stock, which, among other things, provide that</w:t>
      </w:r>
      <w:r>
        <w:rPr>
          <w:rFonts w:ascii="Arial" w:hAnsi="Arial" w:cs="Arial"/>
          <w:sz w:val="20"/>
          <w:szCs w:val="20"/>
        </w:rPr>
        <w:t>:</w:t>
      </w:r>
    </w:p>
    <w:p w:rsidR="00000000" w:rsidRDefault="00010F15">
      <w:pPr>
        <w:divId w:val="1731924464"/>
        <w:rPr>
          <w:rFonts w:eastAsia="Times New Roman"/>
        </w:rPr>
      </w:pPr>
      <w:r>
        <w:rPr>
          <w:rFonts w:eastAsia="Times New Roman"/>
          <w:sz w:val="20"/>
          <w:szCs w:val="20"/>
        </w:rPr>
        <w:t>•</w:t>
      </w:r>
    </w:p>
    <w:p w:rsidR="00000000" w:rsidRDefault="00010F15">
      <w:pPr>
        <w:divId w:val="822311951"/>
        <w:rPr>
          <w:rFonts w:eastAsia="Times New Roman"/>
        </w:rPr>
      </w:pPr>
      <w:r>
        <w:rPr>
          <w:rFonts w:ascii="Arial" w:eastAsia="Times New Roman" w:hAnsi="Arial" w:cs="Arial"/>
          <w:sz w:val="20"/>
          <w:szCs w:val="20"/>
        </w:rPr>
        <w:t>stockholders may not call special meetings of stockholders or act by written consent</w:t>
      </w:r>
      <w:r>
        <w:rPr>
          <w:rFonts w:ascii="Arial" w:eastAsia="Times New Roman" w:hAnsi="Arial" w:cs="Arial"/>
          <w:sz w:val="20"/>
          <w:szCs w:val="20"/>
        </w:rPr>
        <w:t>;</w:t>
      </w:r>
    </w:p>
    <w:p w:rsidR="00000000" w:rsidRDefault="00010F15">
      <w:pPr>
        <w:divId w:val="159201792"/>
        <w:rPr>
          <w:rFonts w:eastAsia="Times New Roman"/>
        </w:rPr>
      </w:pPr>
      <w:r>
        <w:rPr>
          <w:rFonts w:eastAsia="Times New Roman"/>
          <w:sz w:val="20"/>
          <w:szCs w:val="20"/>
        </w:rPr>
        <w:t>•</w:t>
      </w:r>
    </w:p>
    <w:p w:rsidR="00000000" w:rsidRDefault="00010F15">
      <w:pPr>
        <w:divId w:val="975255816"/>
        <w:rPr>
          <w:rFonts w:eastAsia="Times New Roman"/>
        </w:rPr>
      </w:pPr>
      <w:r>
        <w:rPr>
          <w:rFonts w:ascii="Arial" w:eastAsia="Times New Roman" w:hAnsi="Arial" w:cs="Arial"/>
          <w:sz w:val="20"/>
          <w:szCs w:val="20"/>
        </w:rPr>
        <w:t>directors may only be removed from office for cause a</w:t>
      </w:r>
      <w:r>
        <w:rPr>
          <w:rFonts w:ascii="Arial" w:eastAsia="Times New Roman" w:hAnsi="Arial" w:cs="Arial"/>
          <w:sz w:val="20"/>
          <w:szCs w:val="20"/>
        </w:rPr>
        <w:t>nd with the affirmative vote of at least a majority of the voting power of our outstanding capital stock; an</w:t>
      </w:r>
      <w:r>
        <w:rPr>
          <w:rFonts w:ascii="Arial" w:eastAsia="Times New Roman" w:hAnsi="Arial" w:cs="Arial"/>
          <w:sz w:val="20"/>
          <w:szCs w:val="20"/>
        </w:rPr>
        <w:t>d</w:t>
      </w:r>
    </w:p>
    <w:p w:rsidR="00000000" w:rsidRDefault="00010F15">
      <w:pPr>
        <w:divId w:val="2138794890"/>
        <w:rPr>
          <w:rFonts w:eastAsia="Times New Roman"/>
        </w:rPr>
      </w:pPr>
      <w:r>
        <w:rPr>
          <w:rFonts w:eastAsia="Times New Roman"/>
          <w:sz w:val="20"/>
          <w:szCs w:val="20"/>
        </w:rPr>
        <w:t>•</w:t>
      </w:r>
    </w:p>
    <w:p w:rsidR="00000000" w:rsidRDefault="00010F15">
      <w:pPr>
        <w:divId w:val="916481788"/>
        <w:rPr>
          <w:rFonts w:eastAsia="Times New Roman"/>
        </w:rPr>
      </w:pPr>
      <w:r>
        <w:rPr>
          <w:rFonts w:ascii="Arial" w:eastAsia="Times New Roman" w:hAnsi="Arial" w:cs="Arial"/>
          <w:sz w:val="20"/>
          <w:szCs w:val="20"/>
        </w:rPr>
        <w:t>amending certain provisions of our certificate of incorporation and bylaws will be subject to super-majority voting thresholds</w:t>
      </w:r>
      <w:r>
        <w:rPr>
          <w:rFonts w:ascii="Arial" w:eastAsia="Times New Roman"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 xml:space="preserve">Moreover, our certificate of incorporation contains a provision that provides us with protections similar to Section 203 of the </w:t>
      </w:r>
      <w:r>
        <w:rPr>
          <w:rFonts w:ascii="Arial" w:hAnsi="Arial" w:cs="Arial"/>
          <w:sz w:val="20"/>
          <w:szCs w:val="20"/>
        </w:rPr>
        <w:t>General Corporation Law of the State of Delaware, or the DGCL, and prevents us from engaging in a business combination with certain interested stockholders (excluding AKKR, certain of its direct or indirect transferees and any group as to which AKKR is a p</w:t>
      </w:r>
      <w:r>
        <w:rPr>
          <w:rFonts w:ascii="Arial" w:hAnsi="Arial" w:cs="Arial"/>
          <w:sz w:val="20"/>
          <w:szCs w:val="20"/>
        </w:rPr>
        <w:t>arty), including a person who owns 15% or more of our voting stock for a period of three years from the date such person acquired such common stock, unless approval from our board of directors or stockholders is obtained prior to the acquisition and subjec</w:t>
      </w:r>
      <w:r>
        <w:rPr>
          <w:rFonts w:ascii="Arial" w:hAnsi="Arial" w:cs="Arial"/>
          <w:sz w:val="20"/>
          <w:szCs w:val="20"/>
        </w:rPr>
        <w:t>t to other exceptions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In addition, because our principal executive offices are located in Washington, the anti-takeover provisions of the Washington Business Corporation Act may apply to us under certain circumstances now or in the future. These provision</w:t>
      </w:r>
      <w:r>
        <w:rPr>
          <w:rFonts w:ascii="Arial" w:hAnsi="Arial" w:cs="Arial"/>
          <w:sz w:val="20"/>
          <w:szCs w:val="20"/>
        </w:rPr>
        <w:t>s</w:t>
      </w:r>
      <w:r>
        <w:rPr>
          <w:rFonts w:ascii="Arial" w:hAnsi="Arial" w:cs="Arial"/>
          <w:sz w:val="20"/>
          <w:szCs w:val="20"/>
        </w:rPr>
        <w:t xml:space="preserve"> </w:t>
      </w:r>
    </w:p>
    <w:p w:rsidR="00000000" w:rsidRDefault="00010F15">
      <w:pPr>
        <w:pStyle w:val="a3"/>
        <w:spacing w:before="0" w:beforeAutospacing="0" w:after="0" w:afterAutospacing="0"/>
        <w:jc w:val="center"/>
        <w:rPr>
          <w:sz w:val="20"/>
          <w:szCs w:val="20"/>
        </w:rPr>
      </w:pPr>
      <w:r>
        <w:rPr>
          <w:rFonts w:ascii="Arial" w:hAnsi="Arial" w:cs="Arial"/>
          <w:sz w:val="20"/>
          <w:szCs w:val="20"/>
        </w:rPr>
        <w:t>5</w:t>
      </w:r>
      <w:r>
        <w:rPr>
          <w:rFonts w:ascii="Arial" w:hAnsi="Arial" w:cs="Arial"/>
          <w:sz w:val="20"/>
          <w:szCs w:val="20"/>
        </w:rPr>
        <w:t>1</w:t>
      </w:r>
    </w:p>
    <w:p w:rsidR="00000000" w:rsidRDefault="00010F15">
      <w:pPr>
        <w:rPr>
          <w:rFonts w:eastAsia="Times New Roman"/>
        </w:rPr>
      </w:pPr>
      <w:r>
        <w:rPr>
          <w:rFonts w:eastAsia="Times New Roman"/>
        </w:rPr>
        <w:pict>
          <v:rect id="_x0000_i1075"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120" w:beforeAutospacing="0" w:after="0" w:afterAutospacing="0"/>
        <w:rPr>
          <w:sz w:val="20"/>
          <w:szCs w:val="20"/>
        </w:rPr>
      </w:pPr>
      <w:r>
        <w:rPr>
          <w:rFonts w:ascii="Arial" w:hAnsi="Arial" w:cs="Arial"/>
          <w:sz w:val="20"/>
          <w:szCs w:val="20"/>
        </w:rPr>
        <w:t>prohibit a “target corporation” from engaging in any of a broad range of business combinations with any stockholder constituting an “acquiring person” for a period of five years following the date on which the st</w:t>
      </w:r>
      <w:r>
        <w:rPr>
          <w:rFonts w:ascii="Arial" w:hAnsi="Arial" w:cs="Arial"/>
          <w:sz w:val="20"/>
          <w:szCs w:val="20"/>
        </w:rPr>
        <w:t>ockholder became an “acquiring person.</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Any provision of our certificate of incorporation or bylaws, or under Washington law, that has the effect of delaying or deterring a change in control could limit the opportunity for our stockholders to receive a pr</w:t>
      </w:r>
      <w:r>
        <w:rPr>
          <w:rFonts w:ascii="Arial" w:hAnsi="Arial" w:cs="Arial"/>
          <w:sz w:val="20"/>
          <w:szCs w:val="20"/>
        </w:rPr>
        <w:t>emium for their shares of our common stock, and could also affect the price that some investors are willing to pay for our Class A common stock</w:t>
      </w:r>
      <w:r>
        <w:rPr>
          <w:rFonts w:ascii="Arial" w:hAnsi="Arial" w:cs="Arial"/>
          <w:sz w:val="20"/>
          <w:szCs w:val="20"/>
        </w:rPr>
        <w:t>.</w:t>
      </w:r>
      <w:r>
        <w:rPr>
          <w:rFonts w:ascii="Arial" w:hAnsi="Arial" w:cs="Arial"/>
          <w:sz w:val="20"/>
          <w:szCs w:val="20"/>
        </w:rPr>
        <w:t xml:space="preserve"> </w:t>
      </w:r>
    </w:p>
    <w:p w:rsidR="00000000" w:rsidRDefault="00010F15">
      <w:pPr>
        <w:pStyle w:val="a3"/>
        <w:spacing w:before="240" w:beforeAutospacing="0" w:after="0" w:afterAutospacing="0"/>
        <w:rPr>
          <w:sz w:val="20"/>
          <w:szCs w:val="20"/>
        </w:rPr>
      </w:pPr>
      <w:r>
        <w:rPr>
          <w:rFonts w:ascii="Arial" w:hAnsi="Arial" w:cs="Arial"/>
          <w:b/>
          <w:bCs/>
          <w:i/>
          <w:iCs/>
          <w:sz w:val="20"/>
          <w:szCs w:val="20"/>
        </w:rPr>
        <w:t xml:space="preserve">Our bylaws designate a state or federal court located within the State of Delaware as the exclusive forum for </w:t>
      </w:r>
      <w:r>
        <w:rPr>
          <w:rFonts w:ascii="Arial" w:hAnsi="Arial" w:cs="Arial"/>
          <w:b/>
          <w:bCs/>
          <w:i/>
          <w:iCs/>
          <w:sz w:val="20"/>
          <w:szCs w:val="20"/>
        </w:rPr>
        <w:t>substantially all disputes between us and our stockholders, and also provide that the federal district courts are the exclusive forum for resolving any complaint asserting a cause of action arising under the Securities Act, each of which could limit our st</w:t>
      </w:r>
      <w:r>
        <w:rPr>
          <w:rFonts w:ascii="Arial" w:hAnsi="Arial" w:cs="Arial"/>
          <w:b/>
          <w:bCs/>
          <w:i/>
          <w:iCs/>
          <w:sz w:val="20"/>
          <w:szCs w:val="20"/>
        </w:rPr>
        <w:t>ockholders’ ability to choose the judicial forum for disputes with us or our directors, officers, stockholders or employees</w:t>
      </w:r>
      <w:r>
        <w:rPr>
          <w:rFonts w:ascii="Arial" w:hAnsi="Arial" w:cs="Arial"/>
          <w:b/>
          <w:bCs/>
          <w:i/>
          <w:iCs/>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Our bylaws provide that, unless we consent in writing to the selection of an alternative forum, the sole and exclusive forum for (1</w:t>
      </w:r>
      <w:r>
        <w:rPr>
          <w:rFonts w:ascii="Arial" w:hAnsi="Arial" w:cs="Arial"/>
          <w:sz w:val="20"/>
          <w:szCs w:val="20"/>
        </w:rPr>
        <w:t>) any derivative action or proceeding brought on our behalf, (2) any action asserting a claim of breach of a fiduciary duty owed by any of our directors, stockholders, officers or other employees to us or our stockholders, (3) any action arising pursuant t</w:t>
      </w:r>
      <w:r>
        <w:rPr>
          <w:rFonts w:ascii="Arial" w:hAnsi="Arial" w:cs="Arial"/>
          <w:sz w:val="20"/>
          <w:szCs w:val="20"/>
        </w:rPr>
        <w:t>o any provision of the DGCL, our certificate of incorporation or our bylaws or (4) any other action asserting a claim that is governed by the internal affairs doctrine shall be the Court of Chancery of the State of Delaware (or, if the Court of Chancery do</w:t>
      </w:r>
      <w:r>
        <w:rPr>
          <w:rFonts w:ascii="Arial" w:hAnsi="Arial" w:cs="Arial"/>
          <w:sz w:val="20"/>
          <w:szCs w:val="20"/>
        </w:rPr>
        <w:t>es not have jurisdiction, another State court in Delaware or the federal district court for the District of Delaware), except for any claim as to which such court determines that there is an indispensable party not subject to the jurisdiction of such court</w:t>
      </w:r>
      <w:r>
        <w:rPr>
          <w:rFonts w:ascii="Arial" w:hAnsi="Arial" w:cs="Arial"/>
          <w:sz w:val="20"/>
          <w:szCs w:val="20"/>
        </w:rPr>
        <w:t xml:space="preserve"> (and the indispensable party does not consent to the personal jurisdiction of such court within ten days following such determination), which is vested in the exclusive jurisdiction of a court or forum other than such court or for which such court does no</w:t>
      </w:r>
      <w:r>
        <w:rPr>
          <w:rFonts w:ascii="Arial" w:hAnsi="Arial" w:cs="Arial"/>
          <w:sz w:val="20"/>
          <w:szCs w:val="20"/>
        </w:rPr>
        <w:t>t have subject matter jurisdiction. This provision does not apply to any action brought to enforce a duty or liability created by the Exchange Act and the rules and regulations thereunder</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Section 22 of the Securities Act establishes concurrent jurisdicti</w:t>
      </w:r>
      <w:r>
        <w:rPr>
          <w:rFonts w:ascii="Arial" w:hAnsi="Arial" w:cs="Arial"/>
          <w:sz w:val="20"/>
          <w:szCs w:val="20"/>
        </w:rPr>
        <w:t xml:space="preserve">on for federal and state courts over Securities Act claims. Accordingly, both state and federal courts have jurisdiction to hear such claims. To prevent having to litigate claims in multiple jurisdictions and the threat of inconsistent or contrary rulings </w:t>
      </w:r>
      <w:r>
        <w:rPr>
          <w:rFonts w:ascii="Arial" w:hAnsi="Arial" w:cs="Arial"/>
          <w:sz w:val="20"/>
          <w:szCs w:val="20"/>
        </w:rPr>
        <w:t>by different courts, among other considerations, our bylaws also provide that, unless we consent in writing to the selection of an alternative forum, the federal district courts of the United States are the sole and exclusive forum for resolving any compla</w:t>
      </w:r>
      <w:r>
        <w:rPr>
          <w:rFonts w:ascii="Arial" w:hAnsi="Arial" w:cs="Arial"/>
          <w:sz w:val="20"/>
          <w:szCs w:val="20"/>
        </w:rPr>
        <w:t>int asserting a cause of action arising under the Securities Act</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Any person or entity purchasing or otherwise acquiring or holding or owning (or continuing to hold or own) any interest in any of our securities shall be deemed to have notice of and consent</w:t>
      </w:r>
      <w:r>
        <w:rPr>
          <w:rFonts w:ascii="Arial" w:hAnsi="Arial" w:cs="Arial"/>
          <w:sz w:val="20"/>
          <w:szCs w:val="20"/>
        </w:rPr>
        <w:t>ed to the foregoing bylaw provisions. Although we believe these exclusive forum provisions benefit us by providing increased consistency in the application of Delaware law and federal securities laws in the types of lawsuits to which each applies, the excl</w:t>
      </w:r>
      <w:r>
        <w:rPr>
          <w:rFonts w:ascii="Arial" w:hAnsi="Arial" w:cs="Arial"/>
          <w:sz w:val="20"/>
          <w:szCs w:val="20"/>
        </w:rPr>
        <w:t xml:space="preserve">usive forum provisions may limit a stockholder’s ability to bring a claim in a judicial forum of its choosing for disputes with us or our current or former directors, officers, stockholders or other employees, which may discourage such lawsuits against us </w:t>
      </w:r>
      <w:r>
        <w:rPr>
          <w:rFonts w:ascii="Arial" w:hAnsi="Arial" w:cs="Arial"/>
          <w:sz w:val="20"/>
          <w:szCs w:val="20"/>
        </w:rPr>
        <w:t>and our current and former directors, officers, stockholders and other employees. Our stockholders will not be deemed to have waived our compliance with the federal securities laws and the rules and regulations thereunder as a result of our exclusive forum</w:t>
      </w:r>
      <w:r>
        <w:rPr>
          <w:rFonts w:ascii="Arial" w:hAnsi="Arial" w:cs="Arial"/>
          <w:sz w:val="20"/>
          <w:szCs w:val="20"/>
        </w:rPr>
        <w:t xml:space="preserve"> provisions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Further, the enforceability of similar exclusive forum provisions in other companies’ organizational documents has been challenged in legal proceedings, and it is possible that a court of law could rule that these types of provisions are inapp</w:t>
      </w:r>
      <w:r>
        <w:rPr>
          <w:rFonts w:ascii="Arial" w:hAnsi="Arial" w:cs="Arial"/>
          <w:sz w:val="20"/>
          <w:szCs w:val="20"/>
        </w:rPr>
        <w:t>licable or unenforceable if they are challenged in a proceeding or otherwise. If a court were to find either exclusive forum provision contained in our bylaws to be inapplicable or unenforceable in an action, we may incur significant additional costs assoc</w:t>
      </w:r>
      <w:r>
        <w:rPr>
          <w:rFonts w:ascii="Arial" w:hAnsi="Arial" w:cs="Arial"/>
          <w:sz w:val="20"/>
          <w:szCs w:val="20"/>
        </w:rPr>
        <w:t>iated with resolving such action in other jurisdictions, all of which could harm our results of operations</w:t>
      </w:r>
      <w:r>
        <w:rPr>
          <w:rFonts w:ascii="Arial" w:hAnsi="Arial" w:cs="Arial"/>
          <w:sz w:val="20"/>
          <w:szCs w:val="20"/>
        </w:rPr>
        <w:t>.</w:t>
      </w:r>
    </w:p>
    <w:p w:rsidR="00000000" w:rsidRDefault="00010F15">
      <w:pPr>
        <w:pStyle w:val="a3"/>
        <w:spacing w:before="0" w:beforeAutospacing="0" w:after="0" w:afterAutospacing="0"/>
        <w:rPr>
          <w:sz w:val="20"/>
          <w:szCs w:val="20"/>
        </w:rPr>
      </w:pPr>
      <w:hyperlink w:anchor="item_1b" w:history="1">
        <w:r>
          <w:rPr>
            <w:rStyle w:val="a4"/>
            <w:rFonts w:ascii="Arial" w:hAnsi="Arial" w:cs="Arial"/>
            <w:b/>
            <w:bCs/>
            <w:sz w:val="20"/>
            <w:szCs w:val="20"/>
          </w:rPr>
          <w:t>Item 1B. Unresolved Staff Comment</w:t>
        </w:r>
        <w:r>
          <w:rPr>
            <w:rStyle w:val="a4"/>
            <w:rFonts w:ascii="Arial" w:hAnsi="Arial" w:cs="Arial"/>
            <w:b/>
            <w:bCs/>
            <w:sz w:val="20"/>
            <w:szCs w:val="20"/>
          </w:rPr>
          <w:t>s</w:t>
        </w:r>
      </w:hyperlink>
    </w:p>
    <w:p w:rsidR="00000000" w:rsidRDefault="00010F15">
      <w:pPr>
        <w:pStyle w:val="a3"/>
        <w:spacing w:before="240" w:beforeAutospacing="0" w:after="0" w:afterAutospacing="0"/>
        <w:ind w:firstLine="539"/>
        <w:rPr>
          <w:sz w:val="20"/>
          <w:szCs w:val="20"/>
        </w:rPr>
      </w:pPr>
      <w:r>
        <w:rPr>
          <w:rFonts w:ascii="Arial" w:hAnsi="Arial" w:cs="Arial"/>
          <w:sz w:val="20"/>
          <w:szCs w:val="20"/>
        </w:rPr>
        <w:t>None</w:t>
      </w:r>
      <w:r>
        <w:rPr>
          <w:rFonts w:ascii="Arial" w:hAnsi="Arial" w:cs="Arial"/>
          <w:sz w:val="20"/>
          <w:szCs w:val="20"/>
        </w:rPr>
        <w:t>.</w:t>
      </w:r>
    </w:p>
    <w:p w:rsidR="00000000" w:rsidRDefault="00010F15">
      <w:pPr>
        <w:pStyle w:val="a3"/>
        <w:spacing w:before="360" w:beforeAutospacing="0" w:after="120" w:afterAutospacing="0"/>
        <w:rPr>
          <w:sz w:val="20"/>
          <w:szCs w:val="20"/>
        </w:rPr>
      </w:pPr>
      <w:hyperlink w:anchor="item_2_properties" w:history="1">
        <w:r>
          <w:rPr>
            <w:rStyle w:val="a4"/>
            <w:rFonts w:ascii="Arial" w:hAnsi="Arial" w:cs="Arial"/>
            <w:b/>
            <w:bCs/>
            <w:sz w:val="20"/>
            <w:szCs w:val="20"/>
          </w:rPr>
          <w:t xml:space="preserve">Item 2. </w:t>
        </w:r>
        <w:r>
          <w:rPr>
            <w:rStyle w:val="a4"/>
            <w:rFonts w:ascii="Arial" w:hAnsi="Arial" w:cs="Arial"/>
            <w:b/>
            <w:bCs/>
            <w:sz w:val="20"/>
            <w:szCs w:val="20"/>
          </w:rPr>
          <w:t>P</w:t>
        </w:r>
        <w:r>
          <w:rPr>
            <w:rStyle w:val="a4"/>
            <w:rFonts w:ascii="Arial" w:hAnsi="Arial" w:cs="Arial"/>
            <w:b/>
            <w:bCs/>
            <w:sz w:val="20"/>
            <w:szCs w:val="20"/>
          </w:rPr>
          <w:t>ropertie</w:t>
        </w:r>
        <w:r>
          <w:rPr>
            <w:rStyle w:val="a4"/>
            <w:rFonts w:ascii="Arial" w:hAnsi="Arial" w:cs="Arial"/>
            <w:b/>
            <w:bCs/>
            <w:sz w:val="20"/>
            <w:szCs w:val="20"/>
          </w:rPr>
          <w:t>s</w:t>
        </w:r>
      </w:hyperlink>
    </w:p>
    <w:p w:rsidR="00000000" w:rsidRDefault="00010F15">
      <w:pPr>
        <w:pStyle w:val="a3"/>
        <w:spacing w:before="0" w:beforeAutospacing="0" w:after="120" w:afterAutospacing="0"/>
        <w:ind w:firstLine="539"/>
        <w:rPr>
          <w:sz w:val="20"/>
          <w:szCs w:val="20"/>
        </w:rPr>
      </w:pPr>
      <w:r>
        <w:rPr>
          <w:rFonts w:ascii="Arial" w:hAnsi="Arial" w:cs="Arial"/>
          <w:sz w:val="20"/>
          <w:szCs w:val="20"/>
        </w:rPr>
        <w:t>We are headquarter</w:t>
      </w:r>
      <w:r>
        <w:rPr>
          <w:rFonts w:ascii="Arial" w:hAnsi="Arial" w:cs="Arial"/>
          <w:sz w:val="20"/>
          <w:szCs w:val="20"/>
        </w:rPr>
        <w:t>ed in Redmond, Washington. We also lease office space in Charlotte, North Carolina, Richmond Hill, Canada (part of the Greater Toronto Area), Blacksburg, Virginia and Cromwell, Connecticut, as well as in Delhi, Gurugram, Punjab and Bangalore, India. The ta</w:t>
      </w:r>
      <w:r>
        <w:rPr>
          <w:rFonts w:ascii="Arial" w:hAnsi="Arial" w:cs="Arial"/>
          <w:sz w:val="20"/>
          <w:szCs w:val="20"/>
        </w:rPr>
        <w:t>ble below sets forth certain information regarding these properties, all of which are leased</w:t>
      </w:r>
      <w:r>
        <w:rPr>
          <w:rFonts w:ascii="Arial" w:hAnsi="Arial" w:cs="Arial"/>
          <w:sz w:val="20"/>
          <w:szCs w:val="20"/>
        </w:rPr>
        <w:t>.</w:t>
      </w:r>
      <w:r>
        <w:rPr>
          <w:rFonts w:ascii="Arial" w:hAnsi="Arial" w:cs="Arial"/>
          <w:sz w:val="20"/>
          <w:szCs w:val="20"/>
        </w:rPr>
        <w:t xml:space="preserve"> </w:t>
      </w:r>
    </w:p>
    <w:p w:rsidR="00000000" w:rsidRDefault="00010F15">
      <w:pPr>
        <w:pStyle w:val="a3"/>
        <w:spacing w:before="0" w:beforeAutospacing="0" w:after="0" w:afterAutospacing="0"/>
        <w:jc w:val="center"/>
        <w:rPr>
          <w:sz w:val="20"/>
          <w:szCs w:val="20"/>
        </w:rPr>
      </w:pPr>
      <w:r>
        <w:rPr>
          <w:rFonts w:ascii="Arial" w:hAnsi="Arial" w:cs="Arial"/>
          <w:sz w:val="20"/>
          <w:szCs w:val="20"/>
        </w:rPr>
        <w:t>5</w:t>
      </w:r>
      <w:r>
        <w:rPr>
          <w:rFonts w:ascii="Arial" w:hAnsi="Arial" w:cs="Arial"/>
          <w:sz w:val="20"/>
          <w:szCs w:val="20"/>
        </w:rPr>
        <w:t>2</w:t>
      </w:r>
    </w:p>
    <w:p w:rsidR="00000000" w:rsidRDefault="00010F15">
      <w:pPr>
        <w:rPr>
          <w:rFonts w:eastAsia="Times New Roman"/>
        </w:rPr>
      </w:pPr>
      <w:r>
        <w:rPr>
          <w:rFonts w:eastAsia="Times New Roman"/>
        </w:rPr>
        <w:pict>
          <v:rect id="_x0000_i1076"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39"/>
        <w:gridCol w:w="116"/>
        <w:gridCol w:w="1794"/>
        <w:gridCol w:w="116"/>
        <w:gridCol w:w="1118"/>
        <w:gridCol w:w="116"/>
        <w:gridCol w:w="1507"/>
      </w:tblGrid>
      <w:tr w:rsidR="00000000">
        <w:trPr>
          <w:tblCellSpacing w:w="15" w:type="dxa"/>
        </w:trPr>
        <w:tc>
          <w:tcPr>
            <w:tcW w:w="2174" w:type="pct"/>
            <w:vAlign w:val="center"/>
            <w:hideMark/>
          </w:tcPr>
          <w:p w:rsidR="00000000" w:rsidRDefault="00010F15">
            <w:pPr>
              <w:rPr>
                <w:sz w:val="20"/>
                <w:szCs w:val="20"/>
              </w:rPr>
            </w:pPr>
          </w:p>
        </w:tc>
        <w:tc>
          <w:tcPr>
            <w:tcW w:w="54" w:type="pct"/>
            <w:vAlign w:val="center"/>
            <w:hideMark/>
          </w:tcPr>
          <w:p w:rsidR="00000000" w:rsidRDefault="00010F15">
            <w:pPr>
              <w:rPr>
                <w:rFonts w:eastAsia="Times New Roman"/>
                <w:sz w:val="20"/>
                <w:szCs w:val="20"/>
              </w:rPr>
            </w:pPr>
          </w:p>
        </w:tc>
        <w:tc>
          <w:tcPr>
            <w:tcW w:w="1111" w:type="pct"/>
            <w:vAlign w:val="center"/>
            <w:hideMark/>
          </w:tcPr>
          <w:p w:rsidR="00000000" w:rsidRDefault="00010F15">
            <w:pPr>
              <w:rPr>
                <w:rFonts w:eastAsia="Times New Roman"/>
                <w:sz w:val="20"/>
                <w:szCs w:val="20"/>
              </w:rPr>
            </w:pPr>
          </w:p>
        </w:tc>
        <w:tc>
          <w:tcPr>
            <w:tcW w:w="54" w:type="pct"/>
            <w:vAlign w:val="center"/>
            <w:hideMark/>
          </w:tcPr>
          <w:p w:rsidR="00000000" w:rsidRDefault="00010F15">
            <w:pPr>
              <w:rPr>
                <w:rFonts w:eastAsia="Times New Roman"/>
                <w:sz w:val="20"/>
                <w:szCs w:val="20"/>
              </w:rPr>
            </w:pPr>
          </w:p>
        </w:tc>
        <w:tc>
          <w:tcPr>
            <w:tcW w:w="632" w:type="pct"/>
            <w:vAlign w:val="center"/>
            <w:hideMark/>
          </w:tcPr>
          <w:p w:rsidR="00000000" w:rsidRDefault="00010F15">
            <w:pPr>
              <w:rPr>
                <w:rFonts w:eastAsia="Times New Roman"/>
                <w:sz w:val="20"/>
                <w:szCs w:val="20"/>
              </w:rPr>
            </w:pPr>
          </w:p>
        </w:tc>
        <w:tc>
          <w:tcPr>
            <w:tcW w:w="50" w:type="pct"/>
            <w:vAlign w:val="center"/>
            <w:hideMark/>
          </w:tcPr>
          <w:p w:rsidR="00000000" w:rsidRDefault="00010F15">
            <w:pPr>
              <w:rPr>
                <w:rFonts w:eastAsia="Times New Roman"/>
                <w:sz w:val="20"/>
                <w:szCs w:val="20"/>
              </w:rPr>
            </w:pPr>
          </w:p>
        </w:tc>
        <w:tc>
          <w:tcPr>
            <w:tcW w:w="923" w:type="pct"/>
            <w:vAlign w:val="center"/>
            <w:hideMark/>
          </w:tcPr>
          <w:p w:rsidR="00000000" w:rsidRDefault="00010F15">
            <w:pPr>
              <w:rPr>
                <w:rFonts w:eastAsia="Times New Roman"/>
                <w:sz w:val="20"/>
                <w:szCs w:val="20"/>
              </w:rPr>
            </w:pPr>
          </w:p>
        </w:tc>
      </w:tr>
      <w:tr w:rsidR="00000000">
        <w:trPr>
          <w:trHeight w:val="160"/>
          <w:tblCellSpacing w:w="15" w:type="dxa"/>
        </w:trPr>
        <w:tc>
          <w:tcPr>
            <w:tcW w:w="0" w:type="auto"/>
            <w:tcBorders>
              <w:bottom w:val="single" w:sz="4" w:space="0" w:color="auto"/>
            </w:tcBorders>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Locatio</w:t>
            </w:r>
            <w:r>
              <w:rPr>
                <w:rFonts w:ascii="Arial" w:hAnsi="Arial" w:cs="Arial"/>
                <w:b/>
                <w:bCs/>
                <w:sz w:val="16"/>
                <w:szCs w:val="16"/>
              </w:rPr>
              <w:t>n</w:t>
            </w:r>
          </w:p>
        </w:tc>
        <w:tc>
          <w:tcPr>
            <w:tcW w:w="0" w:type="auto"/>
            <w:hideMark/>
          </w:tcPr>
          <w:p w:rsidR="00000000" w:rsidRDefault="00010F15">
            <w:pPr>
              <w:pStyle w:val="a3"/>
              <w:spacing w:before="0" w:beforeAutospacing="0" w:after="0" w:afterAutospacing="0"/>
              <w:rPr>
                <w:sz w:val="16"/>
                <w:szCs w:val="16"/>
              </w:rPr>
            </w:pPr>
            <w:r>
              <w:rPr>
                <w:sz w:val="16"/>
                <w:szCs w:val="16"/>
              </w:rPr>
              <w:t> </w:t>
            </w:r>
          </w:p>
        </w:tc>
        <w:tc>
          <w:tcPr>
            <w:tcW w:w="0" w:type="auto"/>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Typ</w:t>
            </w:r>
            <w:r>
              <w:rPr>
                <w:rFonts w:ascii="Arial" w:hAnsi="Arial" w:cs="Arial"/>
                <w:b/>
                <w:bCs/>
                <w:sz w:val="16"/>
                <w:szCs w:val="16"/>
              </w:rPr>
              <w:t>e</w:t>
            </w:r>
          </w:p>
        </w:tc>
        <w:tc>
          <w:tcPr>
            <w:tcW w:w="0" w:type="auto"/>
            <w:hideMark/>
          </w:tcPr>
          <w:p w:rsidR="00000000" w:rsidRDefault="00010F15">
            <w:pPr>
              <w:pStyle w:val="a3"/>
              <w:spacing w:before="0" w:beforeAutospacing="0" w:after="0" w:afterAutospacing="0"/>
              <w:rPr>
                <w:sz w:val="16"/>
                <w:szCs w:val="16"/>
              </w:rPr>
            </w:pPr>
            <w:r>
              <w:rPr>
                <w:sz w:val="16"/>
                <w:szCs w:val="16"/>
              </w:rPr>
              <w:t> </w:t>
            </w:r>
          </w:p>
        </w:tc>
        <w:tc>
          <w:tcPr>
            <w:tcW w:w="0" w:type="auto"/>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Square Footag</w:t>
            </w:r>
            <w:r>
              <w:rPr>
                <w:rFonts w:ascii="Arial" w:hAnsi="Arial" w:cs="Arial"/>
                <w:b/>
                <w:bCs/>
                <w:sz w:val="16"/>
                <w:szCs w:val="16"/>
              </w:rPr>
              <w:t>e</w:t>
            </w:r>
          </w:p>
          <w:p w:rsidR="00000000" w:rsidRDefault="00010F15">
            <w:pPr>
              <w:pStyle w:val="a3"/>
              <w:spacing w:before="0" w:beforeAutospacing="0" w:after="0" w:afterAutospacing="0"/>
              <w:jc w:val="center"/>
              <w:rPr>
                <w:sz w:val="16"/>
                <w:szCs w:val="16"/>
              </w:rPr>
            </w:pPr>
            <w:r>
              <w:rPr>
                <w:rFonts w:ascii="Arial" w:hAnsi="Arial" w:cs="Arial"/>
                <w:b/>
                <w:bCs/>
                <w:sz w:val="16"/>
                <w:szCs w:val="16"/>
              </w:rPr>
              <w:t>(approximate</w:t>
            </w:r>
            <w:r>
              <w:rPr>
                <w:rFonts w:ascii="Arial" w:hAnsi="Arial" w:cs="Arial"/>
                <w:b/>
                <w:bCs/>
                <w:sz w:val="16"/>
                <w:szCs w:val="16"/>
              </w:rPr>
              <w:t>)</w:t>
            </w:r>
          </w:p>
        </w:tc>
        <w:tc>
          <w:tcPr>
            <w:tcW w:w="0" w:type="auto"/>
            <w:hideMark/>
          </w:tcPr>
          <w:p w:rsidR="00000000" w:rsidRDefault="00010F15">
            <w:pPr>
              <w:pStyle w:val="a3"/>
              <w:spacing w:before="0" w:beforeAutospacing="0" w:after="0" w:afterAutospacing="0"/>
              <w:rPr>
                <w:sz w:val="16"/>
                <w:szCs w:val="16"/>
              </w:rPr>
            </w:pPr>
            <w:r>
              <w:rPr>
                <w:sz w:val="16"/>
                <w:szCs w:val="16"/>
              </w:rPr>
              <w:t> </w:t>
            </w:r>
          </w:p>
        </w:tc>
        <w:tc>
          <w:tcPr>
            <w:tcW w:w="0" w:type="auto"/>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Leas</w:t>
            </w:r>
            <w:r>
              <w:rPr>
                <w:rFonts w:ascii="Arial" w:hAnsi="Arial" w:cs="Arial"/>
                <w:b/>
                <w:bCs/>
                <w:sz w:val="16"/>
                <w:szCs w:val="16"/>
              </w:rPr>
              <w:t>e</w:t>
            </w:r>
          </w:p>
          <w:p w:rsidR="00000000" w:rsidRDefault="00010F15">
            <w:pPr>
              <w:pStyle w:val="a3"/>
              <w:spacing w:before="0" w:beforeAutospacing="0" w:after="0" w:afterAutospacing="0"/>
              <w:jc w:val="center"/>
              <w:rPr>
                <w:sz w:val="16"/>
                <w:szCs w:val="16"/>
              </w:rPr>
            </w:pPr>
            <w:r>
              <w:rPr>
                <w:rFonts w:ascii="Arial" w:hAnsi="Arial" w:cs="Arial"/>
                <w:b/>
                <w:bCs/>
                <w:sz w:val="16"/>
                <w:szCs w:val="16"/>
              </w:rPr>
              <w:t>Expiratio</w:t>
            </w:r>
            <w:r>
              <w:rPr>
                <w:rFonts w:ascii="Arial" w:hAnsi="Arial" w:cs="Arial"/>
                <w:b/>
                <w:bCs/>
                <w:sz w:val="16"/>
                <w:szCs w:val="16"/>
              </w:rPr>
              <w:t>n</w:t>
            </w:r>
          </w:p>
        </w:tc>
      </w:tr>
      <w:tr w:rsidR="00000000">
        <w:trPr>
          <w:trHeight w:val="200"/>
          <w:tblCellSpacing w:w="15" w:type="dxa"/>
        </w:trPr>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Redmond, Washingto</w:t>
            </w:r>
            <w:r>
              <w:rPr>
                <w:rFonts w:ascii="Arial" w:hAnsi="Arial" w:cs="Arial"/>
                <w:sz w:val="20"/>
                <w:szCs w:val="20"/>
              </w:rPr>
              <w:t>n</w:t>
            </w:r>
          </w:p>
        </w:tc>
        <w:tc>
          <w:tcPr>
            <w:tcW w:w="0" w:type="auto"/>
            <w:hideMark/>
          </w:tcPr>
          <w:p w:rsidR="00000000" w:rsidRDefault="00010F15">
            <w:pPr>
              <w:pStyle w:val="a3"/>
              <w:spacing w:before="0" w:beforeAutospacing="0" w:after="0" w:afterAutospacing="0"/>
              <w:rPr>
                <w:sz w:val="20"/>
                <w:szCs w:val="20"/>
              </w:rPr>
            </w:pPr>
            <w:r>
              <w:rPr>
                <w:sz w:val="20"/>
                <w:szCs w:val="20"/>
              </w:rPr>
              <w:t> </w:t>
            </w:r>
          </w:p>
        </w:tc>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Corporate headquarter</w:t>
            </w:r>
            <w:r>
              <w:rPr>
                <w:rFonts w:ascii="Arial" w:hAnsi="Arial" w:cs="Arial"/>
                <w:sz w:val="20"/>
                <w:szCs w:val="20"/>
              </w:rPr>
              <w:t>s</w:t>
            </w:r>
          </w:p>
        </w:tc>
        <w:tc>
          <w:tcPr>
            <w:tcW w:w="0" w:type="auto"/>
            <w:hideMark/>
          </w:tcPr>
          <w:p w:rsidR="00000000" w:rsidRDefault="00010F15">
            <w:pPr>
              <w:pStyle w:val="a3"/>
              <w:spacing w:before="0" w:beforeAutospacing="0" w:after="0" w:afterAutospacing="0"/>
              <w:rPr>
                <w:sz w:val="20"/>
                <w:szCs w:val="20"/>
              </w:rPr>
            </w:pPr>
            <w:r>
              <w:rPr>
                <w:sz w:val="20"/>
                <w:szCs w:val="20"/>
              </w:rPr>
              <w:t> </w:t>
            </w:r>
          </w:p>
        </w:tc>
        <w:tc>
          <w:tcPr>
            <w:tcW w:w="0" w:type="auto"/>
            <w:hideMark/>
          </w:tcPr>
          <w:p w:rsidR="00000000" w:rsidRDefault="00010F15">
            <w:pPr>
              <w:pStyle w:val="a3"/>
              <w:spacing w:before="0" w:beforeAutospacing="0" w:after="0" w:afterAutospacing="0"/>
              <w:jc w:val="right"/>
              <w:rPr>
                <w:sz w:val="20"/>
                <w:szCs w:val="20"/>
              </w:rPr>
            </w:pPr>
            <w:r>
              <w:rPr>
                <w:rFonts w:ascii="Arial" w:hAnsi="Arial" w:cs="Arial"/>
                <w:sz w:val="20"/>
                <w:szCs w:val="20"/>
              </w:rPr>
              <w:t>36,00</w:t>
            </w:r>
            <w:r>
              <w:rPr>
                <w:rFonts w:ascii="Arial" w:hAnsi="Arial" w:cs="Arial"/>
                <w:sz w:val="20"/>
                <w:szCs w:val="20"/>
              </w:rPr>
              <w:t>0</w:t>
            </w:r>
          </w:p>
        </w:tc>
        <w:tc>
          <w:tcPr>
            <w:tcW w:w="0" w:type="auto"/>
            <w:hideMark/>
          </w:tcPr>
          <w:p w:rsidR="00000000" w:rsidRDefault="00010F15">
            <w:pPr>
              <w:pStyle w:val="a3"/>
              <w:spacing w:before="0" w:beforeAutospacing="0" w:after="0" w:afterAutospacing="0"/>
              <w:rPr>
                <w:sz w:val="20"/>
                <w:szCs w:val="20"/>
              </w:rPr>
            </w:pPr>
            <w:r>
              <w:rPr>
                <w:sz w:val="20"/>
                <w:szCs w:val="20"/>
              </w:rPr>
              <w:t> </w:t>
            </w:r>
          </w:p>
        </w:tc>
        <w:tc>
          <w:tcPr>
            <w:tcW w:w="0" w:type="auto"/>
            <w:hideMark/>
          </w:tcPr>
          <w:p w:rsidR="00000000" w:rsidRDefault="00010F15">
            <w:pPr>
              <w:pStyle w:val="a3"/>
              <w:spacing w:before="0" w:beforeAutospacing="0" w:after="0" w:afterAutospacing="0"/>
              <w:jc w:val="right"/>
              <w:rPr>
                <w:sz w:val="20"/>
                <w:szCs w:val="20"/>
              </w:rPr>
            </w:pPr>
            <w:r>
              <w:rPr>
                <w:rFonts w:ascii="Arial" w:hAnsi="Arial" w:cs="Arial"/>
                <w:sz w:val="20"/>
                <w:szCs w:val="20"/>
              </w:rPr>
              <w:t>August 30, 202</w:t>
            </w:r>
            <w:r>
              <w:rPr>
                <w:rFonts w:ascii="Arial" w:hAnsi="Arial" w:cs="Arial"/>
                <w:sz w:val="20"/>
                <w:szCs w:val="20"/>
              </w:rPr>
              <w:t>2</w:t>
            </w:r>
          </w:p>
        </w:tc>
      </w:tr>
      <w:tr w:rsidR="00000000">
        <w:trPr>
          <w:trHeight w:val="200"/>
          <w:tblCellSpacing w:w="15" w:type="dxa"/>
        </w:trPr>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Charlotte, North Carolin</w:t>
            </w:r>
            <w:r>
              <w:rPr>
                <w:rFonts w:ascii="Arial" w:hAnsi="Arial" w:cs="Arial"/>
                <w:sz w:val="20"/>
                <w:szCs w:val="20"/>
              </w:rPr>
              <w:t>a</w:t>
            </w:r>
            <w:r>
              <w:rPr>
                <w:rFonts w:ascii="Arial" w:hAnsi="Arial" w:cs="Arial"/>
                <w:sz w:val="13"/>
                <w:szCs w:val="13"/>
              </w:rPr>
              <w:t>(1</w:t>
            </w:r>
            <w:r>
              <w:rPr>
                <w:rFonts w:ascii="Arial" w:hAnsi="Arial" w:cs="Arial"/>
                <w:sz w:val="13"/>
                <w:szCs w:val="13"/>
              </w:rPr>
              <w:t>)</w:t>
            </w:r>
          </w:p>
        </w:tc>
        <w:tc>
          <w:tcPr>
            <w:tcW w:w="0" w:type="auto"/>
            <w:hideMark/>
          </w:tcPr>
          <w:p w:rsidR="00000000" w:rsidRDefault="00010F15">
            <w:pPr>
              <w:pStyle w:val="a3"/>
              <w:spacing w:before="0" w:beforeAutospacing="0" w:after="0" w:afterAutospacing="0"/>
              <w:rPr>
                <w:sz w:val="20"/>
                <w:szCs w:val="20"/>
              </w:rPr>
            </w:pPr>
            <w:r>
              <w:rPr>
                <w:sz w:val="20"/>
                <w:szCs w:val="20"/>
              </w:rPr>
              <w:t> </w:t>
            </w:r>
          </w:p>
        </w:tc>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Office spac</w:t>
            </w:r>
            <w:r>
              <w:rPr>
                <w:rFonts w:ascii="Arial" w:hAnsi="Arial" w:cs="Arial"/>
                <w:sz w:val="20"/>
                <w:szCs w:val="20"/>
              </w:rPr>
              <w:t>e</w:t>
            </w:r>
          </w:p>
        </w:tc>
        <w:tc>
          <w:tcPr>
            <w:tcW w:w="0" w:type="auto"/>
            <w:hideMark/>
          </w:tcPr>
          <w:p w:rsidR="00000000" w:rsidRDefault="00010F15">
            <w:pPr>
              <w:pStyle w:val="a3"/>
              <w:spacing w:before="0" w:beforeAutospacing="0" w:after="0" w:afterAutospacing="0"/>
              <w:rPr>
                <w:sz w:val="20"/>
                <w:szCs w:val="20"/>
              </w:rPr>
            </w:pPr>
            <w:r>
              <w:rPr>
                <w:sz w:val="20"/>
                <w:szCs w:val="20"/>
              </w:rPr>
              <w:t> </w:t>
            </w:r>
          </w:p>
        </w:tc>
        <w:tc>
          <w:tcPr>
            <w:tcW w:w="0" w:type="auto"/>
            <w:hideMark/>
          </w:tcPr>
          <w:p w:rsidR="00000000" w:rsidRDefault="00010F15">
            <w:pPr>
              <w:pStyle w:val="a3"/>
              <w:spacing w:before="0" w:beforeAutospacing="0" w:after="0" w:afterAutospacing="0"/>
              <w:jc w:val="right"/>
              <w:rPr>
                <w:sz w:val="20"/>
                <w:szCs w:val="20"/>
              </w:rPr>
            </w:pPr>
            <w:r>
              <w:rPr>
                <w:rFonts w:ascii="Arial" w:hAnsi="Arial" w:cs="Arial"/>
                <w:sz w:val="20"/>
                <w:szCs w:val="20"/>
              </w:rPr>
              <w:t>33,50</w:t>
            </w:r>
            <w:r>
              <w:rPr>
                <w:rFonts w:ascii="Arial" w:hAnsi="Arial" w:cs="Arial"/>
                <w:sz w:val="20"/>
                <w:szCs w:val="20"/>
              </w:rPr>
              <w:t>0</w:t>
            </w:r>
          </w:p>
        </w:tc>
        <w:tc>
          <w:tcPr>
            <w:tcW w:w="0" w:type="auto"/>
            <w:hideMark/>
          </w:tcPr>
          <w:p w:rsidR="00000000" w:rsidRDefault="00010F15">
            <w:pPr>
              <w:pStyle w:val="a3"/>
              <w:spacing w:before="0" w:beforeAutospacing="0" w:after="0" w:afterAutospacing="0"/>
              <w:rPr>
                <w:sz w:val="20"/>
                <w:szCs w:val="20"/>
              </w:rPr>
            </w:pPr>
            <w:r>
              <w:rPr>
                <w:sz w:val="20"/>
                <w:szCs w:val="20"/>
              </w:rPr>
              <w:t> </w:t>
            </w:r>
          </w:p>
        </w:tc>
        <w:tc>
          <w:tcPr>
            <w:tcW w:w="0" w:type="auto"/>
            <w:hideMark/>
          </w:tcPr>
          <w:p w:rsidR="00000000" w:rsidRDefault="00010F15">
            <w:pPr>
              <w:pStyle w:val="a3"/>
              <w:spacing w:before="0" w:beforeAutospacing="0" w:after="0" w:afterAutospacing="0"/>
              <w:jc w:val="right"/>
              <w:rPr>
                <w:sz w:val="20"/>
                <w:szCs w:val="20"/>
              </w:rPr>
            </w:pPr>
            <w:r>
              <w:rPr>
                <w:rFonts w:ascii="Arial" w:hAnsi="Arial" w:cs="Arial"/>
                <w:sz w:val="20"/>
                <w:szCs w:val="20"/>
              </w:rPr>
              <w:t>March 31, 202</w:t>
            </w:r>
            <w:r>
              <w:rPr>
                <w:rFonts w:ascii="Arial" w:hAnsi="Arial" w:cs="Arial"/>
                <w:sz w:val="20"/>
                <w:szCs w:val="20"/>
              </w:rPr>
              <w:t>2</w:t>
            </w:r>
          </w:p>
        </w:tc>
      </w:tr>
      <w:tr w:rsidR="00000000">
        <w:trPr>
          <w:trHeight w:val="200"/>
          <w:tblCellSpacing w:w="15" w:type="dxa"/>
        </w:trPr>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Richmond Hill, Canad</w:t>
            </w:r>
            <w:r>
              <w:rPr>
                <w:rFonts w:ascii="Arial" w:hAnsi="Arial" w:cs="Arial"/>
                <w:sz w:val="20"/>
                <w:szCs w:val="20"/>
              </w:rPr>
              <w:t>a</w:t>
            </w:r>
          </w:p>
        </w:tc>
        <w:tc>
          <w:tcPr>
            <w:tcW w:w="0" w:type="auto"/>
            <w:hideMark/>
          </w:tcPr>
          <w:p w:rsidR="00000000" w:rsidRDefault="00010F15">
            <w:pPr>
              <w:pStyle w:val="a3"/>
              <w:spacing w:before="0" w:beforeAutospacing="0" w:after="0" w:afterAutospacing="0"/>
              <w:rPr>
                <w:sz w:val="20"/>
                <w:szCs w:val="20"/>
              </w:rPr>
            </w:pPr>
            <w:r>
              <w:rPr>
                <w:sz w:val="20"/>
                <w:szCs w:val="20"/>
              </w:rPr>
              <w:t> </w:t>
            </w:r>
          </w:p>
        </w:tc>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Office spac</w:t>
            </w:r>
            <w:r>
              <w:rPr>
                <w:rFonts w:ascii="Arial" w:hAnsi="Arial" w:cs="Arial"/>
                <w:sz w:val="20"/>
                <w:szCs w:val="20"/>
              </w:rPr>
              <w:t>e</w:t>
            </w:r>
          </w:p>
        </w:tc>
        <w:tc>
          <w:tcPr>
            <w:tcW w:w="0" w:type="auto"/>
            <w:hideMark/>
          </w:tcPr>
          <w:p w:rsidR="00000000" w:rsidRDefault="00010F15">
            <w:pPr>
              <w:pStyle w:val="a3"/>
              <w:spacing w:before="0" w:beforeAutospacing="0" w:after="0" w:afterAutospacing="0"/>
              <w:rPr>
                <w:sz w:val="20"/>
                <w:szCs w:val="20"/>
              </w:rPr>
            </w:pPr>
            <w:r>
              <w:rPr>
                <w:sz w:val="20"/>
                <w:szCs w:val="20"/>
              </w:rPr>
              <w:t> </w:t>
            </w:r>
          </w:p>
        </w:tc>
        <w:tc>
          <w:tcPr>
            <w:tcW w:w="0" w:type="auto"/>
            <w:hideMark/>
          </w:tcPr>
          <w:p w:rsidR="00000000" w:rsidRDefault="00010F15">
            <w:pPr>
              <w:pStyle w:val="a3"/>
              <w:spacing w:before="0" w:beforeAutospacing="0" w:after="0" w:afterAutospacing="0"/>
              <w:jc w:val="right"/>
              <w:rPr>
                <w:sz w:val="20"/>
                <w:szCs w:val="20"/>
              </w:rPr>
            </w:pPr>
            <w:r>
              <w:rPr>
                <w:rFonts w:ascii="Arial" w:hAnsi="Arial" w:cs="Arial"/>
                <w:sz w:val="20"/>
                <w:szCs w:val="20"/>
              </w:rPr>
              <w:t>56,00</w:t>
            </w:r>
            <w:r>
              <w:rPr>
                <w:rFonts w:ascii="Arial" w:hAnsi="Arial" w:cs="Arial"/>
                <w:sz w:val="20"/>
                <w:szCs w:val="20"/>
              </w:rPr>
              <w:t>0</w:t>
            </w:r>
          </w:p>
        </w:tc>
        <w:tc>
          <w:tcPr>
            <w:tcW w:w="0" w:type="auto"/>
            <w:hideMark/>
          </w:tcPr>
          <w:p w:rsidR="00000000" w:rsidRDefault="00010F15">
            <w:pPr>
              <w:pStyle w:val="a3"/>
              <w:spacing w:before="0" w:beforeAutospacing="0" w:after="0" w:afterAutospacing="0"/>
              <w:jc w:val="right"/>
              <w:rPr>
                <w:sz w:val="20"/>
                <w:szCs w:val="20"/>
              </w:rPr>
            </w:pPr>
            <w:r>
              <w:rPr>
                <w:sz w:val="20"/>
                <w:szCs w:val="20"/>
              </w:rPr>
              <w:t> </w:t>
            </w:r>
          </w:p>
        </w:tc>
        <w:tc>
          <w:tcPr>
            <w:tcW w:w="0" w:type="auto"/>
            <w:hideMark/>
          </w:tcPr>
          <w:p w:rsidR="00000000" w:rsidRDefault="00010F15">
            <w:pPr>
              <w:pStyle w:val="a3"/>
              <w:spacing w:before="0" w:beforeAutospacing="0" w:after="0" w:afterAutospacing="0"/>
              <w:jc w:val="right"/>
              <w:rPr>
                <w:sz w:val="20"/>
                <w:szCs w:val="20"/>
              </w:rPr>
            </w:pPr>
            <w:r>
              <w:rPr>
                <w:rFonts w:ascii="Arial" w:hAnsi="Arial" w:cs="Arial"/>
                <w:sz w:val="20"/>
                <w:szCs w:val="20"/>
              </w:rPr>
              <w:t>March 31, 203</w:t>
            </w:r>
            <w:r>
              <w:rPr>
                <w:rFonts w:ascii="Arial" w:hAnsi="Arial" w:cs="Arial"/>
                <w:sz w:val="20"/>
                <w:szCs w:val="20"/>
              </w:rPr>
              <w:t>1</w:t>
            </w:r>
          </w:p>
        </w:tc>
      </w:tr>
      <w:tr w:rsidR="00000000">
        <w:trPr>
          <w:trHeight w:val="200"/>
          <w:tblCellSpacing w:w="15" w:type="dxa"/>
        </w:trPr>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Richmond Hill, Canad</w:t>
            </w:r>
            <w:r>
              <w:rPr>
                <w:rFonts w:ascii="Arial" w:hAnsi="Arial" w:cs="Arial"/>
                <w:sz w:val="20"/>
                <w:szCs w:val="20"/>
              </w:rPr>
              <w:t>a</w:t>
            </w:r>
          </w:p>
        </w:tc>
        <w:tc>
          <w:tcPr>
            <w:tcW w:w="0" w:type="auto"/>
            <w:hideMark/>
          </w:tcPr>
          <w:p w:rsidR="00000000" w:rsidRDefault="00010F15">
            <w:pPr>
              <w:pStyle w:val="a3"/>
              <w:spacing w:before="0" w:beforeAutospacing="0" w:after="0" w:afterAutospacing="0"/>
              <w:rPr>
                <w:sz w:val="20"/>
                <w:szCs w:val="20"/>
              </w:rPr>
            </w:pPr>
            <w:r>
              <w:rPr>
                <w:sz w:val="20"/>
                <w:szCs w:val="20"/>
              </w:rPr>
              <w:t> </w:t>
            </w:r>
          </w:p>
        </w:tc>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Office spac</w:t>
            </w:r>
            <w:r>
              <w:rPr>
                <w:rFonts w:ascii="Arial" w:hAnsi="Arial" w:cs="Arial"/>
                <w:sz w:val="20"/>
                <w:szCs w:val="20"/>
              </w:rPr>
              <w:t>e</w:t>
            </w:r>
          </w:p>
        </w:tc>
        <w:tc>
          <w:tcPr>
            <w:tcW w:w="0" w:type="auto"/>
            <w:hideMark/>
          </w:tcPr>
          <w:p w:rsidR="00000000" w:rsidRDefault="00010F15">
            <w:pPr>
              <w:pStyle w:val="a3"/>
              <w:spacing w:before="0" w:beforeAutospacing="0" w:after="0" w:afterAutospacing="0"/>
              <w:rPr>
                <w:sz w:val="20"/>
                <w:szCs w:val="20"/>
              </w:rPr>
            </w:pPr>
            <w:r>
              <w:rPr>
                <w:sz w:val="20"/>
                <w:szCs w:val="20"/>
              </w:rPr>
              <w:t> </w:t>
            </w:r>
          </w:p>
        </w:tc>
        <w:tc>
          <w:tcPr>
            <w:tcW w:w="0" w:type="auto"/>
            <w:hideMark/>
          </w:tcPr>
          <w:p w:rsidR="00000000" w:rsidRDefault="00010F15">
            <w:pPr>
              <w:pStyle w:val="a3"/>
              <w:spacing w:before="0" w:beforeAutospacing="0" w:after="0" w:afterAutospacing="0"/>
              <w:jc w:val="right"/>
              <w:rPr>
                <w:sz w:val="20"/>
                <w:szCs w:val="20"/>
              </w:rPr>
            </w:pPr>
            <w:r>
              <w:rPr>
                <w:rFonts w:ascii="Arial" w:hAnsi="Arial" w:cs="Arial"/>
                <w:sz w:val="20"/>
                <w:szCs w:val="20"/>
              </w:rPr>
              <w:t>4,00</w:t>
            </w:r>
            <w:r>
              <w:rPr>
                <w:rFonts w:ascii="Arial" w:hAnsi="Arial" w:cs="Arial"/>
                <w:sz w:val="20"/>
                <w:szCs w:val="20"/>
              </w:rPr>
              <w:t>0</w:t>
            </w:r>
          </w:p>
        </w:tc>
        <w:tc>
          <w:tcPr>
            <w:tcW w:w="0" w:type="auto"/>
            <w:hideMark/>
          </w:tcPr>
          <w:p w:rsidR="00000000" w:rsidRDefault="00010F15">
            <w:pPr>
              <w:pStyle w:val="a3"/>
              <w:spacing w:before="0" w:beforeAutospacing="0" w:after="0" w:afterAutospacing="0"/>
              <w:jc w:val="right"/>
              <w:rPr>
                <w:sz w:val="20"/>
                <w:szCs w:val="20"/>
              </w:rPr>
            </w:pPr>
            <w:r>
              <w:rPr>
                <w:sz w:val="20"/>
                <w:szCs w:val="20"/>
              </w:rPr>
              <w:t> </w:t>
            </w:r>
          </w:p>
        </w:tc>
        <w:tc>
          <w:tcPr>
            <w:tcW w:w="0" w:type="auto"/>
            <w:hideMark/>
          </w:tcPr>
          <w:p w:rsidR="00000000" w:rsidRDefault="00010F15">
            <w:pPr>
              <w:pStyle w:val="a3"/>
              <w:spacing w:before="0" w:beforeAutospacing="0" w:after="0" w:afterAutospacing="0"/>
              <w:jc w:val="right"/>
              <w:rPr>
                <w:sz w:val="20"/>
                <w:szCs w:val="20"/>
              </w:rPr>
            </w:pPr>
            <w:r>
              <w:rPr>
                <w:rFonts w:ascii="Arial" w:hAnsi="Arial" w:cs="Arial"/>
                <w:sz w:val="20"/>
                <w:szCs w:val="20"/>
              </w:rPr>
              <w:t>May 31, 202</w:t>
            </w:r>
            <w:r>
              <w:rPr>
                <w:rFonts w:ascii="Arial" w:hAnsi="Arial" w:cs="Arial"/>
                <w:sz w:val="20"/>
                <w:szCs w:val="20"/>
              </w:rPr>
              <w:t>2</w:t>
            </w:r>
          </w:p>
        </w:tc>
      </w:tr>
      <w:tr w:rsidR="00000000">
        <w:trPr>
          <w:trHeight w:val="200"/>
          <w:tblCellSpacing w:w="15" w:type="dxa"/>
        </w:trPr>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Blacksburg, Virgini</w:t>
            </w:r>
            <w:r>
              <w:rPr>
                <w:rFonts w:ascii="Arial" w:hAnsi="Arial" w:cs="Arial"/>
                <w:sz w:val="20"/>
                <w:szCs w:val="20"/>
              </w:rPr>
              <w:t>a</w:t>
            </w:r>
          </w:p>
        </w:tc>
        <w:tc>
          <w:tcPr>
            <w:tcW w:w="0" w:type="auto"/>
            <w:hideMark/>
          </w:tcPr>
          <w:p w:rsidR="00000000" w:rsidRDefault="00010F15">
            <w:pPr>
              <w:pStyle w:val="a3"/>
              <w:spacing w:before="0" w:beforeAutospacing="0" w:after="0" w:afterAutospacing="0"/>
              <w:rPr>
                <w:sz w:val="20"/>
                <w:szCs w:val="20"/>
              </w:rPr>
            </w:pPr>
            <w:r>
              <w:rPr>
                <w:sz w:val="20"/>
                <w:szCs w:val="20"/>
              </w:rPr>
              <w:t> </w:t>
            </w:r>
          </w:p>
        </w:tc>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Office spac</w:t>
            </w:r>
            <w:r>
              <w:rPr>
                <w:rFonts w:ascii="Arial" w:hAnsi="Arial" w:cs="Arial"/>
                <w:sz w:val="20"/>
                <w:szCs w:val="20"/>
              </w:rPr>
              <w:t>e</w:t>
            </w:r>
          </w:p>
        </w:tc>
        <w:tc>
          <w:tcPr>
            <w:tcW w:w="0" w:type="auto"/>
            <w:hideMark/>
          </w:tcPr>
          <w:p w:rsidR="00000000" w:rsidRDefault="00010F15">
            <w:pPr>
              <w:pStyle w:val="a3"/>
              <w:spacing w:before="0" w:beforeAutospacing="0" w:after="0" w:afterAutospacing="0"/>
              <w:rPr>
                <w:sz w:val="20"/>
                <w:szCs w:val="20"/>
              </w:rPr>
            </w:pPr>
            <w:r>
              <w:rPr>
                <w:sz w:val="20"/>
                <w:szCs w:val="20"/>
              </w:rPr>
              <w:t> </w:t>
            </w:r>
          </w:p>
        </w:tc>
        <w:tc>
          <w:tcPr>
            <w:tcW w:w="0" w:type="auto"/>
            <w:hideMark/>
          </w:tcPr>
          <w:p w:rsidR="00000000" w:rsidRDefault="00010F15">
            <w:pPr>
              <w:pStyle w:val="a3"/>
              <w:spacing w:before="0" w:beforeAutospacing="0" w:after="0" w:afterAutospacing="0"/>
              <w:jc w:val="right"/>
              <w:rPr>
                <w:sz w:val="20"/>
                <w:szCs w:val="20"/>
              </w:rPr>
            </w:pPr>
            <w:r>
              <w:rPr>
                <w:rFonts w:ascii="Arial" w:hAnsi="Arial" w:cs="Arial"/>
                <w:sz w:val="20"/>
                <w:szCs w:val="20"/>
              </w:rPr>
              <w:t>6,00</w:t>
            </w:r>
            <w:r>
              <w:rPr>
                <w:rFonts w:ascii="Arial" w:hAnsi="Arial" w:cs="Arial"/>
                <w:sz w:val="20"/>
                <w:szCs w:val="20"/>
              </w:rPr>
              <w:t>0</w:t>
            </w:r>
          </w:p>
        </w:tc>
        <w:tc>
          <w:tcPr>
            <w:tcW w:w="0" w:type="auto"/>
            <w:hideMark/>
          </w:tcPr>
          <w:p w:rsidR="00000000" w:rsidRDefault="00010F15">
            <w:pPr>
              <w:pStyle w:val="a3"/>
              <w:spacing w:before="0" w:beforeAutospacing="0" w:after="0" w:afterAutospacing="0"/>
              <w:jc w:val="right"/>
              <w:rPr>
                <w:sz w:val="20"/>
                <w:szCs w:val="20"/>
              </w:rPr>
            </w:pPr>
            <w:r>
              <w:rPr>
                <w:sz w:val="20"/>
                <w:szCs w:val="20"/>
              </w:rPr>
              <w:t> </w:t>
            </w:r>
          </w:p>
        </w:tc>
        <w:tc>
          <w:tcPr>
            <w:tcW w:w="0" w:type="auto"/>
            <w:hideMark/>
          </w:tcPr>
          <w:p w:rsidR="00000000" w:rsidRDefault="00010F15">
            <w:pPr>
              <w:pStyle w:val="a3"/>
              <w:spacing w:before="0" w:beforeAutospacing="0" w:after="0" w:afterAutospacing="0"/>
              <w:jc w:val="right"/>
              <w:rPr>
                <w:sz w:val="20"/>
                <w:szCs w:val="20"/>
              </w:rPr>
            </w:pPr>
            <w:r>
              <w:rPr>
                <w:rFonts w:ascii="Arial" w:hAnsi="Arial" w:cs="Arial"/>
                <w:sz w:val="20"/>
                <w:szCs w:val="20"/>
              </w:rPr>
              <w:t>January 31, 202</w:t>
            </w:r>
            <w:r>
              <w:rPr>
                <w:rFonts w:ascii="Arial" w:hAnsi="Arial" w:cs="Arial"/>
                <w:sz w:val="20"/>
                <w:szCs w:val="20"/>
              </w:rPr>
              <w:t>2</w:t>
            </w:r>
          </w:p>
        </w:tc>
      </w:tr>
      <w:tr w:rsidR="00000000">
        <w:trPr>
          <w:trHeight w:val="200"/>
          <w:tblCellSpacing w:w="15" w:type="dxa"/>
        </w:trPr>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Delhi, Indi</w:t>
            </w:r>
            <w:r>
              <w:rPr>
                <w:rFonts w:ascii="Arial" w:hAnsi="Arial" w:cs="Arial"/>
                <w:sz w:val="20"/>
                <w:szCs w:val="20"/>
              </w:rPr>
              <w:t>a</w:t>
            </w:r>
          </w:p>
        </w:tc>
        <w:tc>
          <w:tcPr>
            <w:tcW w:w="0" w:type="auto"/>
            <w:hideMark/>
          </w:tcPr>
          <w:p w:rsidR="00000000" w:rsidRDefault="00010F15">
            <w:pPr>
              <w:pStyle w:val="a3"/>
              <w:spacing w:before="0" w:beforeAutospacing="0" w:after="0" w:afterAutospacing="0"/>
              <w:rPr>
                <w:sz w:val="20"/>
                <w:szCs w:val="20"/>
              </w:rPr>
            </w:pPr>
            <w:r>
              <w:rPr>
                <w:sz w:val="20"/>
                <w:szCs w:val="20"/>
              </w:rPr>
              <w:t> </w:t>
            </w:r>
          </w:p>
        </w:tc>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Office spac</w:t>
            </w:r>
            <w:r>
              <w:rPr>
                <w:rFonts w:ascii="Arial" w:hAnsi="Arial" w:cs="Arial"/>
                <w:sz w:val="20"/>
                <w:szCs w:val="20"/>
              </w:rPr>
              <w:t>e</w:t>
            </w:r>
          </w:p>
        </w:tc>
        <w:tc>
          <w:tcPr>
            <w:tcW w:w="0" w:type="auto"/>
            <w:hideMark/>
          </w:tcPr>
          <w:p w:rsidR="00000000" w:rsidRDefault="00010F15">
            <w:pPr>
              <w:pStyle w:val="a3"/>
              <w:spacing w:before="0" w:beforeAutospacing="0" w:after="0" w:afterAutospacing="0"/>
              <w:rPr>
                <w:sz w:val="20"/>
                <w:szCs w:val="20"/>
              </w:rPr>
            </w:pPr>
            <w:r>
              <w:rPr>
                <w:sz w:val="20"/>
                <w:szCs w:val="20"/>
              </w:rPr>
              <w:t> </w:t>
            </w:r>
          </w:p>
        </w:tc>
        <w:tc>
          <w:tcPr>
            <w:tcW w:w="0" w:type="auto"/>
            <w:hideMark/>
          </w:tcPr>
          <w:p w:rsidR="00000000" w:rsidRDefault="00010F15">
            <w:pPr>
              <w:pStyle w:val="a3"/>
              <w:spacing w:before="0" w:beforeAutospacing="0" w:after="0" w:afterAutospacing="0"/>
              <w:jc w:val="right"/>
              <w:rPr>
                <w:sz w:val="20"/>
                <w:szCs w:val="20"/>
              </w:rPr>
            </w:pPr>
            <w:r>
              <w:rPr>
                <w:rFonts w:ascii="Arial" w:hAnsi="Arial" w:cs="Arial"/>
                <w:sz w:val="20"/>
                <w:szCs w:val="20"/>
              </w:rPr>
              <w:t>4,00</w:t>
            </w:r>
            <w:r>
              <w:rPr>
                <w:rFonts w:ascii="Arial" w:hAnsi="Arial" w:cs="Arial"/>
                <w:sz w:val="20"/>
                <w:szCs w:val="20"/>
              </w:rPr>
              <w:t>0</w:t>
            </w:r>
          </w:p>
        </w:tc>
        <w:tc>
          <w:tcPr>
            <w:tcW w:w="0" w:type="auto"/>
            <w:hideMark/>
          </w:tcPr>
          <w:p w:rsidR="00000000" w:rsidRDefault="00010F15">
            <w:pPr>
              <w:pStyle w:val="a3"/>
              <w:spacing w:before="0" w:beforeAutospacing="0" w:after="0" w:afterAutospacing="0"/>
              <w:jc w:val="right"/>
              <w:rPr>
                <w:sz w:val="20"/>
                <w:szCs w:val="20"/>
              </w:rPr>
            </w:pPr>
            <w:r>
              <w:rPr>
                <w:sz w:val="20"/>
                <w:szCs w:val="20"/>
              </w:rPr>
              <w:t> </w:t>
            </w:r>
          </w:p>
        </w:tc>
        <w:tc>
          <w:tcPr>
            <w:tcW w:w="0" w:type="auto"/>
            <w:hideMark/>
          </w:tcPr>
          <w:p w:rsidR="00000000" w:rsidRDefault="00010F15">
            <w:pPr>
              <w:pStyle w:val="a3"/>
              <w:spacing w:before="0" w:beforeAutospacing="0" w:after="0" w:afterAutospacing="0"/>
              <w:jc w:val="right"/>
              <w:rPr>
                <w:sz w:val="20"/>
                <w:szCs w:val="20"/>
              </w:rPr>
            </w:pPr>
            <w:r>
              <w:rPr>
                <w:rFonts w:ascii="Arial" w:hAnsi="Arial" w:cs="Arial"/>
                <w:sz w:val="20"/>
                <w:szCs w:val="20"/>
              </w:rPr>
              <w:t>October 23, 202</w:t>
            </w:r>
            <w:r>
              <w:rPr>
                <w:rFonts w:ascii="Arial" w:hAnsi="Arial" w:cs="Arial"/>
                <w:sz w:val="20"/>
                <w:szCs w:val="20"/>
              </w:rPr>
              <w:t>8</w:t>
            </w:r>
          </w:p>
        </w:tc>
      </w:tr>
      <w:tr w:rsidR="00000000">
        <w:trPr>
          <w:trHeight w:val="200"/>
          <w:tblCellSpacing w:w="15" w:type="dxa"/>
        </w:trPr>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Cromwell, Connecticu</w:t>
            </w:r>
            <w:r>
              <w:rPr>
                <w:rFonts w:ascii="Arial" w:hAnsi="Arial" w:cs="Arial"/>
                <w:sz w:val="20"/>
                <w:szCs w:val="20"/>
              </w:rPr>
              <w:t>t</w:t>
            </w:r>
          </w:p>
        </w:tc>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Office spac</w:t>
            </w:r>
            <w:r>
              <w:rPr>
                <w:rFonts w:ascii="Arial" w:hAnsi="Arial" w:cs="Arial"/>
                <w:sz w:val="20"/>
                <w:szCs w:val="20"/>
              </w:rPr>
              <w:t>e</w:t>
            </w:r>
          </w:p>
        </w:tc>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hideMark/>
          </w:tcPr>
          <w:p w:rsidR="00000000" w:rsidRDefault="00010F15">
            <w:pPr>
              <w:pStyle w:val="a3"/>
              <w:spacing w:before="0" w:beforeAutospacing="0" w:after="0" w:afterAutospacing="0"/>
              <w:jc w:val="right"/>
              <w:rPr>
                <w:sz w:val="20"/>
                <w:szCs w:val="20"/>
              </w:rPr>
            </w:pPr>
            <w:r>
              <w:rPr>
                <w:rFonts w:ascii="Arial" w:hAnsi="Arial" w:cs="Arial"/>
                <w:sz w:val="20"/>
                <w:szCs w:val="20"/>
              </w:rPr>
              <w:t>4,00</w:t>
            </w:r>
            <w:r>
              <w:rPr>
                <w:rFonts w:ascii="Arial" w:hAnsi="Arial" w:cs="Arial"/>
                <w:sz w:val="20"/>
                <w:szCs w:val="20"/>
              </w:rPr>
              <w:t>0</w:t>
            </w:r>
          </w:p>
        </w:tc>
        <w:tc>
          <w:tcPr>
            <w:tcW w:w="0" w:type="auto"/>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hideMark/>
          </w:tcPr>
          <w:p w:rsidR="00000000" w:rsidRDefault="00010F15">
            <w:pPr>
              <w:pStyle w:val="a3"/>
              <w:spacing w:before="0" w:beforeAutospacing="0" w:after="0" w:afterAutospacing="0"/>
              <w:jc w:val="right"/>
              <w:rPr>
                <w:sz w:val="20"/>
                <w:szCs w:val="20"/>
              </w:rPr>
            </w:pPr>
            <w:r>
              <w:rPr>
                <w:rFonts w:ascii="Arial" w:hAnsi="Arial" w:cs="Arial"/>
                <w:sz w:val="20"/>
                <w:szCs w:val="20"/>
              </w:rPr>
              <w:t>July 31, 202</w:t>
            </w:r>
            <w:r>
              <w:rPr>
                <w:rFonts w:ascii="Arial" w:hAnsi="Arial" w:cs="Arial"/>
                <w:sz w:val="20"/>
                <w:szCs w:val="20"/>
              </w:rPr>
              <w:t>2</w:t>
            </w:r>
          </w:p>
        </w:tc>
      </w:tr>
      <w:tr w:rsidR="00000000">
        <w:trPr>
          <w:trHeight w:val="200"/>
          <w:tblCellSpacing w:w="15" w:type="dxa"/>
        </w:trPr>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Gurugram, Indi</w:t>
            </w:r>
            <w:r>
              <w:rPr>
                <w:rFonts w:ascii="Arial" w:hAnsi="Arial" w:cs="Arial"/>
                <w:sz w:val="20"/>
                <w:szCs w:val="20"/>
              </w:rPr>
              <w:t>a</w:t>
            </w:r>
          </w:p>
        </w:tc>
        <w:tc>
          <w:tcPr>
            <w:tcW w:w="0" w:type="auto"/>
            <w:hideMark/>
          </w:tcPr>
          <w:p w:rsidR="00000000" w:rsidRDefault="00010F15">
            <w:pPr>
              <w:pStyle w:val="a3"/>
              <w:spacing w:before="0" w:beforeAutospacing="0" w:after="0" w:afterAutospacing="0"/>
              <w:rPr>
                <w:sz w:val="20"/>
                <w:szCs w:val="20"/>
              </w:rPr>
            </w:pPr>
            <w:r>
              <w:rPr>
                <w:sz w:val="20"/>
                <w:szCs w:val="20"/>
              </w:rPr>
              <w:t> </w:t>
            </w:r>
          </w:p>
        </w:tc>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Office spac</w:t>
            </w:r>
            <w:r>
              <w:rPr>
                <w:rFonts w:ascii="Arial" w:hAnsi="Arial" w:cs="Arial"/>
                <w:sz w:val="20"/>
                <w:szCs w:val="20"/>
              </w:rPr>
              <w:t>e</w:t>
            </w:r>
          </w:p>
        </w:tc>
        <w:tc>
          <w:tcPr>
            <w:tcW w:w="0" w:type="auto"/>
            <w:hideMark/>
          </w:tcPr>
          <w:p w:rsidR="00000000" w:rsidRDefault="00010F15">
            <w:pPr>
              <w:pStyle w:val="a3"/>
              <w:spacing w:before="0" w:beforeAutospacing="0" w:after="0" w:afterAutospacing="0"/>
              <w:rPr>
                <w:sz w:val="20"/>
                <w:szCs w:val="20"/>
              </w:rPr>
            </w:pPr>
            <w:r>
              <w:rPr>
                <w:sz w:val="20"/>
                <w:szCs w:val="20"/>
              </w:rPr>
              <w:t> </w:t>
            </w:r>
          </w:p>
        </w:tc>
        <w:tc>
          <w:tcPr>
            <w:tcW w:w="0" w:type="auto"/>
            <w:hideMark/>
          </w:tcPr>
          <w:p w:rsidR="00000000" w:rsidRDefault="00010F15">
            <w:pPr>
              <w:pStyle w:val="a3"/>
              <w:spacing w:before="0" w:beforeAutospacing="0" w:after="0" w:afterAutospacing="0"/>
              <w:jc w:val="right"/>
              <w:rPr>
                <w:sz w:val="20"/>
                <w:szCs w:val="20"/>
              </w:rPr>
            </w:pPr>
            <w:r>
              <w:rPr>
                <w:rFonts w:ascii="Arial" w:hAnsi="Arial" w:cs="Arial"/>
                <w:sz w:val="20"/>
                <w:szCs w:val="20"/>
              </w:rPr>
              <w:t>24,50</w:t>
            </w:r>
            <w:r>
              <w:rPr>
                <w:rFonts w:ascii="Arial" w:hAnsi="Arial" w:cs="Arial"/>
                <w:sz w:val="20"/>
                <w:szCs w:val="20"/>
              </w:rPr>
              <w:t>0</w:t>
            </w:r>
          </w:p>
        </w:tc>
        <w:tc>
          <w:tcPr>
            <w:tcW w:w="0" w:type="auto"/>
            <w:hideMark/>
          </w:tcPr>
          <w:p w:rsidR="00000000" w:rsidRDefault="00010F15">
            <w:pPr>
              <w:pStyle w:val="a3"/>
              <w:spacing w:before="0" w:beforeAutospacing="0" w:after="0" w:afterAutospacing="0"/>
              <w:jc w:val="right"/>
              <w:rPr>
                <w:sz w:val="20"/>
                <w:szCs w:val="20"/>
              </w:rPr>
            </w:pPr>
            <w:r>
              <w:rPr>
                <w:sz w:val="20"/>
                <w:szCs w:val="20"/>
              </w:rPr>
              <w:t> </w:t>
            </w:r>
          </w:p>
        </w:tc>
        <w:tc>
          <w:tcPr>
            <w:tcW w:w="0" w:type="auto"/>
            <w:hideMark/>
          </w:tcPr>
          <w:p w:rsidR="00000000" w:rsidRDefault="00010F15">
            <w:pPr>
              <w:pStyle w:val="a3"/>
              <w:spacing w:before="0" w:beforeAutospacing="0" w:after="0" w:afterAutospacing="0"/>
              <w:jc w:val="right"/>
              <w:rPr>
                <w:sz w:val="20"/>
                <w:szCs w:val="20"/>
              </w:rPr>
            </w:pPr>
            <w:r>
              <w:rPr>
                <w:rFonts w:ascii="Arial" w:hAnsi="Arial" w:cs="Arial"/>
                <w:sz w:val="20"/>
                <w:szCs w:val="20"/>
              </w:rPr>
              <w:t>February 28, 202</w:t>
            </w:r>
            <w:r>
              <w:rPr>
                <w:rFonts w:ascii="Arial" w:hAnsi="Arial" w:cs="Arial"/>
                <w:sz w:val="20"/>
                <w:szCs w:val="20"/>
              </w:rPr>
              <w:t>9</w:t>
            </w:r>
          </w:p>
        </w:tc>
      </w:tr>
      <w:tr w:rsidR="00000000">
        <w:trPr>
          <w:trHeight w:val="200"/>
          <w:tblCellSpacing w:w="15" w:type="dxa"/>
        </w:trPr>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Punjab, Indi</w:t>
            </w:r>
            <w:r>
              <w:rPr>
                <w:rFonts w:ascii="Arial" w:hAnsi="Arial" w:cs="Arial"/>
                <w:sz w:val="20"/>
                <w:szCs w:val="20"/>
              </w:rPr>
              <w:t>a</w:t>
            </w:r>
          </w:p>
        </w:tc>
        <w:tc>
          <w:tcPr>
            <w:tcW w:w="0" w:type="auto"/>
            <w:hideMark/>
          </w:tcPr>
          <w:p w:rsidR="00000000" w:rsidRDefault="00010F15">
            <w:pPr>
              <w:pStyle w:val="a3"/>
              <w:spacing w:before="0" w:beforeAutospacing="0" w:after="0" w:afterAutospacing="0"/>
              <w:rPr>
                <w:sz w:val="20"/>
                <w:szCs w:val="20"/>
              </w:rPr>
            </w:pPr>
            <w:r>
              <w:rPr>
                <w:sz w:val="20"/>
                <w:szCs w:val="20"/>
              </w:rPr>
              <w:t> </w:t>
            </w:r>
          </w:p>
        </w:tc>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Office spac</w:t>
            </w:r>
            <w:r>
              <w:rPr>
                <w:rFonts w:ascii="Arial" w:hAnsi="Arial" w:cs="Arial"/>
                <w:sz w:val="20"/>
                <w:szCs w:val="20"/>
              </w:rPr>
              <w:t>e</w:t>
            </w:r>
          </w:p>
        </w:tc>
        <w:tc>
          <w:tcPr>
            <w:tcW w:w="0" w:type="auto"/>
            <w:hideMark/>
          </w:tcPr>
          <w:p w:rsidR="00000000" w:rsidRDefault="00010F15">
            <w:pPr>
              <w:pStyle w:val="a3"/>
              <w:spacing w:before="0" w:beforeAutospacing="0" w:after="0" w:afterAutospacing="0"/>
              <w:rPr>
                <w:sz w:val="20"/>
                <w:szCs w:val="20"/>
              </w:rPr>
            </w:pPr>
            <w:r>
              <w:rPr>
                <w:sz w:val="20"/>
                <w:szCs w:val="20"/>
              </w:rPr>
              <w:t> </w:t>
            </w:r>
          </w:p>
        </w:tc>
        <w:tc>
          <w:tcPr>
            <w:tcW w:w="0" w:type="auto"/>
            <w:hideMark/>
          </w:tcPr>
          <w:p w:rsidR="00000000" w:rsidRDefault="00010F15">
            <w:pPr>
              <w:pStyle w:val="a3"/>
              <w:spacing w:before="0" w:beforeAutospacing="0" w:after="0" w:afterAutospacing="0"/>
              <w:jc w:val="right"/>
              <w:rPr>
                <w:sz w:val="20"/>
                <w:szCs w:val="20"/>
              </w:rPr>
            </w:pPr>
            <w:r>
              <w:rPr>
                <w:rFonts w:ascii="Arial" w:hAnsi="Arial" w:cs="Arial"/>
                <w:sz w:val="20"/>
                <w:szCs w:val="20"/>
              </w:rPr>
              <w:t>12,00</w:t>
            </w:r>
            <w:r>
              <w:rPr>
                <w:rFonts w:ascii="Arial" w:hAnsi="Arial" w:cs="Arial"/>
                <w:sz w:val="20"/>
                <w:szCs w:val="20"/>
              </w:rPr>
              <w:t>0</w:t>
            </w:r>
          </w:p>
        </w:tc>
        <w:tc>
          <w:tcPr>
            <w:tcW w:w="0" w:type="auto"/>
            <w:hideMark/>
          </w:tcPr>
          <w:p w:rsidR="00000000" w:rsidRDefault="00010F15">
            <w:pPr>
              <w:pStyle w:val="a3"/>
              <w:spacing w:before="0" w:beforeAutospacing="0" w:after="0" w:afterAutospacing="0"/>
              <w:jc w:val="right"/>
              <w:rPr>
                <w:sz w:val="20"/>
                <w:szCs w:val="20"/>
              </w:rPr>
            </w:pPr>
            <w:r>
              <w:rPr>
                <w:sz w:val="20"/>
                <w:szCs w:val="20"/>
              </w:rPr>
              <w:t> </w:t>
            </w:r>
          </w:p>
        </w:tc>
        <w:tc>
          <w:tcPr>
            <w:tcW w:w="0" w:type="auto"/>
            <w:hideMark/>
          </w:tcPr>
          <w:p w:rsidR="00000000" w:rsidRDefault="00010F15">
            <w:pPr>
              <w:pStyle w:val="a3"/>
              <w:spacing w:before="0" w:beforeAutospacing="0" w:after="0" w:afterAutospacing="0"/>
              <w:jc w:val="right"/>
              <w:rPr>
                <w:sz w:val="20"/>
                <w:szCs w:val="20"/>
              </w:rPr>
            </w:pPr>
            <w:r>
              <w:rPr>
                <w:rFonts w:ascii="Arial" w:hAnsi="Arial" w:cs="Arial"/>
                <w:sz w:val="20"/>
                <w:szCs w:val="20"/>
              </w:rPr>
              <w:t>December 31, 202</w:t>
            </w:r>
            <w:r>
              <w:rPr>
                <w:rFonts w:ascii="Arial" w:hAnsi="Arial" w:cs="Arial"/>
                <w:sz w:val="20"/>
                <w:szCs w:val="20"/>
              </w:rPr>
              <w:t>2</w:t>
            </w:r>
          </w:p>
        </w:tc>
      </w:tr>
      <w:tr w:rsidR="00000000">
        <w:trPr>
          <w:trHeight w:val="200"/>
          <w:tblCellSpacing w:w="15" w:type="dxa"/>
        </w:trPr>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Bangalore, Indi</w:t>
            </w:r>
            <w:r>
              <w:rPr>
                <w:rFonts w:ascii="Arial" w:hAnsi="Arial" w:cs="Arial"/>
                <w:sz w:val="20"/>
                <w:szCs w:val="20"/>
              </w:rPr>
              <w:t>a</w:t>
            </w:r>
          </w:p>
        </w:tc>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Office spac</w:t>
            </w:r>
            <w:r>
              <w:rPr>
                <w:rFonts w:ascii="Arial" w:hAnsi="Arial" w:cs="Arial"/>
                <w:sz w:val="20"/>
                <w:szCs w:val="20"/>
              </w:rPr>
              <w:t>e</w:t>
            </w:r>
          </w:p>
        </w:tc>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hideMark/>
          </w:tcPr>
          <w:p w:rsidR="00000000" w:rsidRDefault="00010F15">
            <w:pPr>
              <w:pStyle w:val="a3"/>
              <w:spacing w:before="0" w:beforeAutospacing="0" w:after="0" w:afterAutospacing="0"/>
              <w:jc w:val="right"/>
              <w:rPr>
                <w:sz w:val="20"/>
                <w:szCs w:val="20"/>
              </w:rPr>
            </w:pPr>
            <w:r>
              <w:rPr>
                <w:rFonts w:ascii="Arial" w:hAnsi="Arial" w:cs="Arial"/>
                <w:sz w:val="20"/>
                <w:szCs w:val="20"/>
              </w:rPr>
              <w:t>4,00</w:t>
            </w:r>
            <w:r>
              <w:rPr>
                <w:rFonts w:ascii="Arial" w:hAnsi="Arial" w:cs="Arial"/>
                <w:sz w:val="20"/>
                <w:szCs w:val="20"/>
              </w:rPr>
              <w:t>0</w:t>
            </w:r>
          </w:p>
        </w:tc>
        <w:tc>
          <w:tcPr>
            <w:tcW w:w="0" w:type="auto"/>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hideMark/>
          </w:tcPr>
          <w:p w:rsidR="00000000" w:rsidRDefault="00010F15">
            <w:pPr>
              <w:pStyle w:val="a3"/>
              <w:spacing w:before="0" w:beforeAutospacing="0" w:after="0" w:afterAutospacing="0"/>
              <w:jc w:val="right"/>
              <w:rPr>
                <w:sz w:val="20"/>
                <w:szCs w:val="20"/>
              </w:rPr>
            </w:pPr>
            <w:r>
              <w:rPr>
                <w:rFonts w:ascii="Arial" w:hAnsi="Arial" w:cs="Arial"/>
                <w:sz w:val="20"/>
                <w:szCs w:val="20"/>
              </w:rPr>
              <w:t>April 17, 202</w:t>
            </w:r>
            <w:r>
              <w:rPr>
                <w:rFonts w:ascii="Arial" w:hAnsi="Arial" w:cs="Arial"/>
                <w:sz w:val="20"/>
                <w:szCs w:val="20"/>
              </w:rPr>
              <w:t>2</w:t>
            </w:r>
          </w:p>
        </w:tc>
      </w:tr>
    </w:tbl>
    <w:p w:rsidR="00000000" w:rsidRDefault="00010F15">
      <w:pPr>
        <w:pStyle w:val="a3"/>
        <w:spacing w:before="0" w:beforeAutospacing="0" w:after="0" w:afterAutospacing="0" w:line="0" w:lineRule="auto"/>
        <w:rPr>
          <w:sz w:val="20"/>
          <w:szCs w:val="20"/>
        </w:rPr>
      </w:pPr>
      <w:r>
        <w:rPr>
          <w:sz w:val="20"/>
          <w:szCs w:val="20"/>
        </w:rPr>
        <w:t> </w:t>
      </w:r>
    </w:p>
    <w:p w:rsidR="00000000" w:rsidRDefault="00010F15">
      <w:pPr>
        <w:pStyle w:val="a3"/>
        <w:spacing w:before="0" w:beforeAutospacing="0" w:after="0" w:afterAutospacing="0"/>
        <w:rPr>
          <w:sz w:val="20"/>
          <w:szCs w:val="20"/>
        </w:rPr>
      </w:pPr>
      <w:r>
        <w:rPr>
          <w:rFonts w:ascii="Arial" w:hAnsi="Arial" w:cs="Arial"/>
          <w:sz w:val="16"/>
          <w:szCs w:val="16"/>
        </w:rPr>
        <w:t xml:space="preserve">(1) </w:t>
      </w:r>
      <w:r>
        <w:rPr>
          <w:rFonts w:ascii="Arial" w:hAnsi="Arial" w:cs="Arial"/>
          <w:sz w:val="16"/>
          <w:szCs w:val="16"/>
        </w:rPr>
        <w:t>We signed a new lease for approximately 27,000 square feet in January 2022, with a term that expires sixty months after the lease commencement date, which is expected to be April 1, 2022</w:t>
      </w:r>
      <w:r>
        <w:rPr>
          <w:rFonts w:ascii="Arial" w:hAnsi="Arial" w:cs="Arial"/>
          <w:sz w:val="16"/>
          <w:szCs w:val="16"/>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For leases that are scheduled to expire during the next 12 months, w</w:t>
      </w:r>
      <w:r>
        <w:rPr>
          <w:rFonts w:ascii="Arial" w:hAnsi="Arial" w:cs="Arial"/>
          <w:sz w:val="20"/>
          <w:szCs w:val="20"/>
        </w:rPr>
        <w:t>e may negotiate new lease agreements, renew existing lease agreements or relocate to alternate facilities. We believe that our facilities are adequate for our needs and believe that we should be able to renew any of the above leases or secure alternative s</w:t>
      </w:r>
      <w:r>
        <w:rPr>
          <w:rFonts w:ascii="Arial" w:hAnsi="Arial" w:cs="Arial"/>
          <w:sz w:val="20"/>
          <w:szCs w:val="20"/>
        </w:rPr>
        <w:t>uitable property without an adverse impact on our operations</w:t>
      </w:r>
      <w:r>
        <w:rPr>
          <w:rFonts w:ascii="Arial" w:hAnsi="Arial" w:cs="Arial"/>
          <w:sz w:val="20"/>
          <w:szCs w:val="20"/>
        </w:rPr>
        <w:t>.</w:t>
      </w:r>
    </w:p>
    <w:p w:rsidR="00000000" w:rsidRDefault="00010F15">
      <w:pPr>
        <w:pStyle w:val="a3"/>
        <w:spacing w:before="360" w:beforeAutospacing="0" w:after="120" w:afterAutospacing="0"/>
        <w:rPr>
          <w:sz w:val="20"/>
          <w:szCs w:val="20"/>
        </w:rPr>
      </w:pPr>
      <w:hyperlink w:anchor="item_3_legal_proceedings" w:history="1">
        <w:r>
          <w:rPr>
            <w:rStyle w:val="a4"/>
            <w:rFonts w:ascii="Arial" w:hAnsi="Arial" w:cs="Arial"/>
            <w:b/>
            <w:bCs/>
            <w:sz w:val="20"/>
            <w:szCs w:val="20"/>
          </w:rPr>
          <w:t>Item 3. Lega</w:t>
        </w:r>
        <w:r>
          <w:rPr>
            <w:rStyle w:val="a4"/>
            <w:rFonts w:ascii="Arial" w:hAnsi="Arial" w:cs="Arial"/>
            <w:b/>
            <w:bCs/>
            <w:sz w:val="20"/>
            <w:szCs w:val="20"/>
          </w:rPr>
          <w:t>l</w:t>
        </w:r>
        <w:r>
          <w:rPr>
            <w:rStyle w:val="a4"/>
            <w:rFonts w:ascii="Arial" w:hAnsi="Arial" w:cs="Arial"/>
            <w:b/>
            <w:bCs/>
            <w:sz w:val="20"/>
            <w:szCs w:val="20"/>
          </w:rPr>
          <w:t xml:space="preserve"> Proceeding</w:t>
        </w:r>
        <w:r>
          <w:rPr>
            <w:rStyle w:val="a4"/>
            <w:rFonts w:ascii="Arial" w:hAnsi="Arial" w:cs="Arial"/>
            <w:b/>
            <w:bCs/>
            <w:sz w:val="20"/>
            <w:szCs w:val="20"/>
          </w:rPr>
          <w:t>s</w:t>
        </w:r>
      </w:hyperlink>
    </w:p>
    <w:p w:rsidR="00000000" w:rsidRDefault="00010F15">
      <w:pPr>
        <w:pStyle w:val="a3"/>
        <w:spacing w:before="120" w:beforeAutospacing="0" w:after="0" w:afterAutospacing="0"/>
        <w:ind w:firstLine="539"/>
        <w:rPr>
          <w:sz w:val="20"/>
          <w:szCs w:val="20"/>
        </w:rPr>
      </w:pPr>
      <w:r>
        <w:rPr>
          <w:rFonts w:ascii="Arial" w:hAnsi="Arial" w:cs="Arial"/>
          <w:sz w:val="20"/>
          <w:szCs w:val="20"/>
        </w:rPr>
        <w:t>From time to time, we are involved in legal proceedings and subject to claims that arise in the ordinary course of our bu</w:t>
      </w:r>
      <w:r>
        <w:rPr>
          <w:rFonts w:ascii="Arial" w:hAnsi="Arial" w:cs="Arial"/>
          <w:sz w:val="20"/>
          <w:szCs w:val="20"/>
        </w:rPr>
        <w:t>siness, which may include claims relating to contractual disputes, product liability, tort or personal injury, employment, intellectual property or other commercial or regulatory matters. In addition, if current or future government regulations are interpr</w:t>
      </w:r>
      <w:r>
        <w:rPr>
          <w:rFonts w:ascii="Arial" w:hAnsi="Arial" w:cs="Arial"/>
          <w:sz w:val="20"/>
          <w:szCs w:val="20"/>
        </w:rPr>
        <w:t>eted or enforced in a manner adverse to us or our business, specifically those with security and privacy laws, we may be subject to enforcement actions, penalties, damages and material limitations on our business. Furthermore, as a public company, we may b</w:t>
      </w:r>
      <w:r>
        <w:rPr>
          <w:rFonts w:ascii="Arial" w:hAnsi="Arial" w:cs="Arial"/>
          <w:sz w:val="20"/>
          <w:szCs w:val="20"/>
        </w:rPr>
        <w:t>ecome subject to stockholder inspection demands under Delaware law and derivative or other similar litigation. Although the results of legal proceedings and claims cannot be predicted with certainty, we believe we are not currently party to any legal proce</w:t>
      </w:r>
      <w:r>
        <w:rPr>
          <w:rFonts w:ascii="Arial" w:hAnsi="Arial" w:cs="Arial"/>
          <w:sz w:val="20"/>
          <w:szCs w:val="20"/>
        </w:rPr>
        <w:t>edings which, if determined adversely to us, would individually or taken together have a material adverse effect on our business, operating results or financial condition</w:t>
      </w:r>
      <w:r>
        <w:rPr>
          <w:rFonts w:ascii="Arial" w:hAnsi="Arial" w:cs="Arial"/>
          <w:sz w:val="20"/>
          <w:szCs w:val="20"/>
        </w:rPr>
        <w:t>.</w:t>
      </w:r>
    </w:p>
    <w:p w:rsidR="00000000" w:rsidRDefault="00010F15">
      <w:pPr>
        <w:pStyle w:val="a3"/>
        <w:spacing w:before="360" w:beforeAutospacing="0" w:after="0" w:afterAutospacing="0"/>
        <w:rPr>
          <w:sz w:val="20"/>
          <w:szCs w:val="20"/>
        </w:rPr>
      </w:pPr>
      <w:hyperlink w:anchor="item_4_mine_safety_disclosures" w:history="1">
        <w:r>
          <w:rPr>
            <w:rStyle w:val="a4"/>
            <w:rFonts w:ascii="Arial" w:hAnsi="Arial" w:cs="Arial"/>
            <w:b/>
            <w:bCs/>
            <w:sz w:val="20"/>
            <w:szCs w:val="20"/>
          </w:rPr>
          <w:t>It</w:t>
        </w:r>
        <w:r>
          <w:rPr>
            <w:rStyle w:val="a4"/>
            <w:rFonts w:ascii="Arial" w:hAnsi="Arial" w:cs="Arial"/>
            <w:b/>
            <w:bCs/>
            <w:sz w:val="20"/>
            <w:szCs w:val="20"/>
          </w:rPr>
          <w:t>e</w:t>
        </w:r>
        <w:r>
          <w:rPr>
            <w:rStyle w:val="a4"/>
            <w:rFonts w:ascii="Arial" w:hAnsi="Arial" w:cs="Arial"/>
            <w:b/>
            <w:bCs/>
            <w:sz w:val="20"/>
            <w:szCs w:val="20"/>
          </w:rPr>
          <w:t>m 4. Mine Safety Disclosure</w:t>
        </w:r>
        <w:r>
          <w:rPr>
            <w:rStyle w:val="a4"/>
            <w:rFonts w:ascii="Arial" w:hAnsi="Arial" w:cs="Arial"/>
            <w:b/>
            <w:bCs/>
            <w:sz w:val="20"/>
            <w:szCs w:val="20"/>
          </w:rPr>
          <w:t>s</w:t>
        </w:r>
      </w:hyperlink>
    </w:p>
    <w:p w:rsidR="00000000" w:rsidRDefault="00010F15">
      <w:pPr>
        <w:pStyle w:val="a3"/>
        <w:spacing w:before="120" w:beforeAutospacing="0" w:after="0" w:afterAutospacing="0"/>
        <w:ind w:left="476"/>
        <w:rPr>
          <w:sz w:val="20"/>
          <w:szCs w:val="20"/>
        </w:rPr>
      </w:pPr>
      <w:r>
        <w:rPr>
          <w:rFonts w:ascii="Arial" w:hAnsi="Arial" w:cs="Arial"/>
          <w:sz w:val="20"/>
          <w:szCs w:val="20"/>
        </w:rPr>
        <w:t>Not Applicable</w:t>
      </w:r>
      <w:r>
        <w:rPr>
          <w:rFonts w:ascii="Arial" w:hAnsi="Arial" w:cs="Arial"/>
          <w:sz w:val="20"/>
          <w:szCs w:val="20"/>
        </w:rPr>
        <w:t>.</w:t>
      </w:r>
    </w:p>
    <w:p w:rsidR="00000000" w:rsidRDefault="00010F15">
      <w:pPr>
        <w:pStyle w:val="a3"/>
        <w:spacing w:before="360" w:beforeAutospacing="0" w:after="0" w:afterAutospacing="0"/>
        <w:jc w:val="center"/>
        <w:rPr>
          <w:sz w:val="20"/>
          <w:szCs w:val="20"/>
        </w:rPr>
      </w:pPr>
      <w:r>
        <w:rPr>
          <w:rFonts w:ascii="Arial" w:hAnsi="Arial" w:cs="Arial"/>
          <w:b/>
          <w:bCs/>
          <w:sz w:val="20"/>
          <w:szCs w:val="20"/>
        </w:rPr>
        <w:t>PART I</w:t>
      </w:r>
      <w:r>
        <w:rPr>
          <w:rFonts w:ascii="Arial" w:hAnsi="Arial" w:cs="Arial"/>
          <w:b/>
          <w:bCs/>
          <w:sz w:val="20"/>
          <w:szCs w:val="20"/>
        </w:rPr>
        <w:t>I</w:t>
      </w:r>
    </w:p>
    <w:p w:rsidR="00000000" w:rsidRDefault="00010F15">
      <w:pPr>
        <w:pStyle w:val="a3"/>
        <w:spacing w:before="360" w:beforeAutospacing="0" w:after="0" w:afterAutospacing="0"/>
        <w:rPr>
          <w:sz w:val="20"/>
          <w:szCs w:val="20"/>
        </w:rPr>
      </w:pPr>
      <w:hyperlink w:anchor="item_5_market_for_registrants_equity" w:history="1">
        <w:r>
          <w:rPr>
            <w:rStyle w:val="a4"/>
            <w:rFonts w:ascii="Arial" w:hAnsi="Arial" w:cs="Arial"/>
            <w:b/>
            <w:bCs/>
            <w:sz w:val="20"/>
            <w:szCs w:val="20"/>
          </w:rPr>
          <w:t>Item 5. Ma</w:t>
        </w:r>
        <w:r>
          <w:rPr>
            <w:rStyle w:val="a4"/>
            <w:rFonts w:ascii="Arial" w:hAnsi="Arial" w:cs="Arial"/>
            <w:b/>
            <w:bCs/>
            <w:sz w:val="20"/>
            <w:szCs w:val="20"/>
          </w:rPr>
          <w:t>r</w:t>
        </w:r>
        <w:r>
          <w:rPr>
            <w:rStyle w:val="a4"/>
            <w:rFonts w:ascii="Arial" w:hAnsi="Arial" w:cs="Arial"/>
            <w:b/>
            <w:bCs/>
            <w:sz w:val="20"/>
            <w:szCs w:val="20"/>
          </w:rPr>
          <w:t>ket for Registrant’</w:t>
        </w:r>
        <w:r>
          <w:rPr>
            <w:rStyle w:val="a4"/>
            <w:rFonts w:ascii="Arial" w:hAnsi="Arial" w:cs="Arial"/>
            <w:b/>
            <w:bCs/>
            <w:sz w:val="20"/>
            <w:szCs w:val="20"/>
          </w:rPr>
          <w:t>s Common Equity, Related Stockholder Matters and Issuer Purchases of Equity Securitie</w:t>
        </w:r>
        <w:r>
          <w:rPr>
            <w:rStyle w:val="a4"/>
            <w:rFonts w:ascii="Arial" w:hAnsi="Arial" w:cs="Arial"/>
            <w:b/>
            <w:bCs/>
            <w:sz w:val="20"/>
            <w:szCs w:val="20"/>
          </w:rPr>
          <w:t>s</w:t>
        </w:r>
      </w:hyperlink>
    </w:p>
    <w:p w:rsidR="00000000" w:rsidRDefault="00010F15">
      <w:pPr>
        <w:pStyle w:val="a3"/>
        <w:spacing w:before="240" w:beforeAutospacing="0" w:after="0" w:afterAutospacing="0"/>
        <w:rPr>
          <w:sz w:val="20"/>
          <w:szCs w:val="20"/>
        </w:rPr>
      </w:pPr>
      <w:r>
        <w:rPr>
          <w:rFonts w:ascii="Arial" w:hAnsi="Arial" w:cs="Arial"/>
          <w:b/>
          <w:bCs/>
          <w:sz w:val="20"/>
          <w:szCs w:val="20"/>
        </w:rPr>
        <w:t>Market Informatio</w:t>
      </w:r>
      <w:r>
        <w:rPr>
          <w:rFonts w:ascii="Arial" w:hAnsi="Arial" w:cs="Arial"/>
          <w:b/>
          <w:bCs/>
          <w:sz w:val="20"/>
          <w:szCs w:val="20"/>
        </w:rPr>
        <w:t>n</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 xml:space="preserve">Paymentus Holdings, Inc. Class A common stock is listed on the New York Stock Exchange under the ticker symbol “PAY.” </w:t>
      </w:r>
      <w:r>
        <w:rPr>
          <w:rFonts w:ascii="Arial" w:hAnsi="Arial" w:cs="Arial"/>
          <w:sz w:val="20"/>
          <w:szCs w:val="20"/>
        </w:rPr>
        <w:t>There is no established trading market for our Class B common stock</w:t>
      </w:r>
      <w:r>
        <w:rPr>
          <w:rFonts w:ascii="Arial" w:hAnsi="Arial" w:cs="Arial"/>
          <w:sz w:val="20"/>
          <w:szCs w:val="20"/>
        </w:rPr>
        <w:t>.</w:t>
      </w:r>
      <w:r>
        <w:rPr>
          <w:rFonts w:ascii="Arial" w:hAnsi="Arial" w:cs="Arial"/>
          <w:sz w:val="20"/>
          <w:szCs w:val="20"/>
        </w:rPr>
        <w:t xml:space="preserve"> </w:t>
      </w:r>
    </w:p>
    <w:p w:rsidR="00000000" w:rsidRDefault="00010F15">
      <w:pPr>
        <w:pStyle w:val="a3"/>
        <w:spacing w:before="240" w:beforeAutospacing="0" w:after="0" w:afterAutospacing="0"/>
        <w:rPr>
          <w:sz w:val="20"/>
          <w:szCs w:val="20"/>
        </w:rPr>
      </w:pPr>
      <w:r>
        <w:rPr>
          <w:rFonts w:ascii="Arial" w:hAnsi="Arial" w:cs="Arial"/>
          <w:b/>
          <w:bCs/>
          <w:sz w:val="20"/>
          <w:szCs w:val="20"/>
        </w:rPr>
        <w:t>Holder</w:t>
      </w:r>
      <w:r>
        <w:rPr>
          <w:rFonts w:ascii="Arial" w:hAnsi="Arial" w:cs="Arial"/>
          <w:b/>
          <w:bCs/>
          <w:sz w:val="20"/>
          <w:szCs w:val="20"/>
        </w:rPr>
        <w:t>s</w:t>
      </w:r>
    </w:p>
    <w:p w:rsidR="00000000" w:rsidRDefault="00010F15">
      <w:pPr>
        <w:pStyle w:val="a3"/>
        <w:spacing w:before="120" w:beforeAutospacing="0" w:after="0" w:afterAutospacing="0"/>
        <w:ind w:firstLine="539"/>
        <w:rPr>
          <w:sz w:val="20"/>
          <w:szCs w:val="20"/>
        </w:rPr>
      </w:pPr>
      <w:r>
        <w:rPr>
          <w:rFonts w:ascii="Arial" w:hAnsi="Arial" w:cs="Arial"/>
          <w:sz w:val="20"/>
          <w:szCs w:val="20"/>
        </w:rPr>
        <w:t>As of February 28, 2022, there were 65 holders of record of our Class A common stock and 15 holders of record of our Class B common stock. Because a substantial portion of our sh</w:t>
      </w:r>
      <w:r>
        <w:rPr>
          <w:rFonts w:ascii="Arial" w:hAnsi="Arial" w:cs="Arial"/>
          <w:sz w:val="20"/>
          <w:szCs w:val="20"/>
        </w:rPr>
        <w:t>ares of Class A common stock are held by brokers and institutions on behalf of stockholders, we are unable to estimate the total number of beneficial owners of our Class A common stock represented by these record holders</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sz w:val="20"/>
          <w:szCs w:val="20"/>
        </w:rPr>
        <w:t>Dividend Polic</w:t>
      </w:r>
      <w:r>
        <w:rPr>
          <w:rFonts w:ascii="Arial" w:hAnsi="Arial" w:cs="Arial"/>
          <w:b/>
          <w:bCs/>
          <w:sz w:val="20"/>
          <w:szCs w:val="20"/>
        </w:rPr>
        <w:t>y</w:t>
      </w:r>
    </w:p>
    <w:p w:rsidR="00000000" w:rsidRDefault="00010F15">
      <w:pPr>
        <w:pStyle w:val="a3"/>
        <w:spacing w:before="120" w:beforeAutospacing="0" w:after="0" w:afterAutospacing="0"/>
        <w:ind w:firstLine="539"/>
        <w:rPr>
          <w:sz w:val="20"/>
          <w:szCs w:val="20"/>
        </w:rPr>
      </w:pPr>
      <w:r>
        <w:rPr>
          <w:rFonts w:ascii="Arial" w:hAnsi="Arial" w:cs="Arial"/>
          <w:sz w:val="20"/>
          <w:szCs w:val="20"/>
        </w:rPr>
        <w:t>We have never decl</w:t>
      </w:r>
      <w:r>
        <w:rPr>
          <w:rFonts w:ascii="Arial" w:hAnsi="Arial" w:cs="Arial"/>
          <w:sz w:val="20"/>
          <w:szCs w:val="20"/>
        </w:rPr>
        <w:t>ared or paid any cash dividends on our capital stock, and we do not currently intend to pay any cash dividends on our capital stock in the foreseeable future. We currently intend to retain all available funds and any future earnings to support operations a</w:t>
      </w:r>
      <w:r>
        <w:rPr>
          <w:rFonts w:ascii="Arial" w:hAnsi="Arial" w:cs="Arial"/>
          <w:sz w:val="20"/>
          <w:szCs w:val="20"/>
        </w:rPr>
        <w:t>nd to finance the growth and development of our business. Any future determination to pay dividends will be made at the discretion of our board of directors subject to applicable laws and will depend upon, among other factors, our operating results, financ</w:t>
      </w:r>
      <w:r>
        <w:rPr>
          <w:rFonts w:ascii="Arial" w:hAnsi="Arial" w:cs="Arial"/>
          <w:sz w:val="20"/>
          <w:szCs w:val="20"/>
        </w:rPr>
        <w:t>ial condition, contractual restrictions and capita</w:t>
      </w:r>
      <w:r>
        <w:rPr>
          <w:rFonts w:ascii="Arial" w:hAnsi="Arial" w:cs="Arial"/>
          <w:sz w:val="20"/>
          <w:szCs w:val="20"/>
        </w:rPr>
        <w:t>l</w:t>
      </w:r>
      <w:r>
        <w:rPr>
          <w:rFonts w:ascii="Arial" w:hAnsi="Arial" w:cs="Arial"/>
          <w:sz w:val="20"/>
          <w:szCs w:val="20"/>
        </w:rPr>
        <w:t xml:space="preserve"> </w:t>
      </w:r>
    </w:p>
    <w:p w:rsidR="00000000" w:rsidRDefault="00010F15">
      <w:pPr>
        <w:pStyle w:val="a3"/>
        <w:spacing w:before="0" w:beforeAutospacing="0" w:after="0" w:afterAutospacing="0"/>
        <w:jc w:val="center"/>
        <w:rPr>
          <w:sz w:val="20"/>
          <w:szCs w:val="20"/>
        </w:rPr>
      </w:pPr>
      <w:r>
        <w:rPr>
          <w:rFonts w:ascii="Arial" w:hAnsi="Arial" w:cs="Arial"/>
          <w:sz w:val="20"/>
          <w:szCs w:val="20"/>
        </w:rPr>
        <w:t>5</w:t>
      </w:r>
      <w:r>
        <w:rPr>
          <w:rFonts w:ascii="Arial" w:hAnsi="Arial" w:cs="Arial"/>
          <w:sz w:val="20"/>
          <w:szCs w:val="20"/>
        </w:rPr>
        <w:t>3</w:t>
      </w:r>
    </w:p>
    <w:p w:rsidR="00000000" w:rsidRDefault="00010F15">
      <w:pPr>
        <w:rPr>
          <w:rFonts w:eastAsia="Times New Roman"/>
        </w:rPr>
      </w:pPr>
      <w:r>
        <w:rPr>
          <w:rFonts w:eastAsia="Times New Roman"/>
        </w:rPr>
        <w:pict>
          <v:rect id="_x0000_i1077"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120" w:beforeAutospacing="0" w:after="0" w:afterAutospacing="0"/>
        <w:rPr>
          <w:sz w:val="20"/>
          <w:szCs w:val="20"/>
        </w:rPr>
      </w:pPr>
      <w:r>
        <w:rPr>
          <w:rFonts w:ascii="Arial" w:hAnsi="Arial" w:cs="Arial"/>
          <w:sz w:val="20"/>
          <w:szCs w:val="20"/>
        </w:rPr>
        <w:t>requirements. Our future ability to pay cash dividends on our capital stock may be limited by any future debt instruments or preferred securitie</w:t>
      </w:r>
      <w:r>
        <w:rPr>
          <w:rFonts w:ascii="Arial" w:hAnsi="Arial" w:cs="Arial"/>
          <w:sz w:val="20"/>
          <w:szCs w:val="20"/>
        </w:rPr>
        <w:t>s</w:t>
      </w:r>
    </w:p>
    <w:p w:rsidR="00000000" w:rsidRDefault="00010F15">
      <w:pPr>
        <w:pStyle w:val="a3"/>
        <w:spacing w:before="240" w:beforeAutospacing="0" w:after="0" w:afterAutospacing="0"/>
        <w:rPr>
          <w:sz w:val="20"/>
          <w:szCs w:val="20"/>
        </w:rPr>
      </w:pPr>
      <w:r>
        <w:rPr>
          <w:rFonts w:ascii="Arial" w:hAnsi="Arial" w:cs="Arial"/>
          <w:b/>
          <w:bCs/>
          <w:sz w:val="20"/>
          <w:szCs w:val="20"/>
        </w:rPr>
        <w:t xml:space="preserve">Use of Proceeds </w:t>
      </w:r>
      <w:r>
        <w:rPr>
          <w:rFonts w:ascii="Arial" w:hAnsi="Arial" w:cs="Arial"/>
          <w:b/>
          <w:bCs/>
          <w:sz w:val="20"/>
          <w:szCs w:val="20"/>
        </w:rPr>
        <w:t>from Public Offering of Common Stoc</w:t>
      </w:r>
      <w:r>
        <w:rPr>
          <w:rFonts w:ascii="Arial" w:hAnsi="Arial" w:cs="Arial"/>
          <w:b/>
          <w:bCs/>
          <w:sz w:val="20"/>
          <w:szCs w:val="20"/>
        </w:rPr>
        <w:t>k</w:t>
      </w:r>
    </w:p>
    <w:p w:rsidR="00000000" w:rsidRDefault="00010F15">
      <w:pPr>
        <w:pStyle w:val="a3"/>
        <w:spacing w:before="120" w:beforeAutospacing="0" w:after="0" w:afterAutospacing="0"/>
        <w:ind w:firstLine="539"/>
        <w:rPr>
          <w:sz w:val="20"/>
          <w:szCs w:val="20"/>
        </w:rPr>
      </w:pPr>
      <w:r>
        <w:rPr>
          <w:rFonts w:ascii="Arial" w:hAnsi="Arial" w:cs="Arial"/>
          <w:sz w:val="20"/>
          <w:szCs w:val="20"/>
        </w:rPr>
        <w:t>We filed a registration statement on Form S-1 (File No. 333-255683) for our initial public offering, or IPO, or the Registration Statement, which was declared effective by the SEC on May 25, 2021. On May 28, 2021, we cl</w:t>
      </w:r>
      <w:r>
        <w:rPr>
          <w:rFonts w:ascii="Arial" w:hAnsi="Arial" w:cs="Arial"/>
          <w:sz w:val="20"/>
          <w:szCs w:val="20"/>
        </w:rPr>
        <w:t>osed the IPO, in which we sold 11,500,000 shares of our Class A common stock, including shares sold in connection with the exercise in full of the underwriters’ option to purchase additional shares, at a price to the public of $21.00 per share for an aggre</w:t>
      </w:r>
      <w:r>
        <w:rPr>
          <w:rFonts w:ascii="Arial" w:hAnsi="Arial" w:cs="Arial"/>
          <w:sz w:val="20"/>
          <w:szCs w:val="20"/>
        </w:rPr>
        <w:t>gate offering price of approximately $241.5 million</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Immediately subsequent to the closing of our IPO, entities affiliated with AKKR purchased 2,380,950 shares of our Class A common stock from us at $21.00 per share in a concurrent private placement</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We u</w:t>
      </w:r>
      <w:r>
        <w:rPr>
          <w:rFonts w:ascii="Arial" w:hAnsi="Arial" w:cs="Arial"/>
          <w:sz w:val="20"/>
          <w:szCs w:val="20"/>
        </w:rPr>
        <w:t>sed approximately $90.1 million of the net proceeds from the IPO in connection with our acquisitions of Payveris and Finovera in September 2021</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No offering proceeds were paid directly or indirectly to any of our directors or officers (or their associates)</w:t>
      </w:r>
      <w:r>
        <w:rPr>
          <w:rFonts w:ascii="Arial" w:hAnsi="Arial" w:cs="Arial"/>
          <w:sz w:val="20"/>
          <w:szCs w:val="20"/>
        </w:rPr>
        <w:t xml:space="preserve"> or persons owning 10% or more of any class of our equity securities or to any other affiliates. There has been no material change in the planned use of proceeds from our IPO as described in the final prospectus dated May 25, 2021</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sz w:val="20"/>
          <w:szCs w:val="20"/>
        </w:rPr>
        <w:t>Recent Sales of Unregist</w:t>
      </w:r>
      <w:r>
        <w:rPr>
          <w:rFonts w:ascii="Arial" w:hAnsi="Arial" w:cs="Arial"/>
          <w:b/>
          <w:bCs/>
          <w:sz w:val="20"/>
          <w:szCs w:val="20"/>
        </w:rPr>
        <w:t>ered Securitie</w:t>
      </w:r>
      <w:r>
        <w:rPr>
          <w:rFonts w:ascii="Arial" w:hAnsi="Arial" w:cs="Arial"/>
          <w:b/>
          <w:bCs/>
          <w:sz w:val="20"/>
          <w:szCs w:val="20"/>
        </w:rPr>
        <w:t>s</w:t>
      </w:r>
    </w:p>
    <w:p w:rsidR="00000000" w:rsidRDefault="00010F15">
      <w:pPr>
        <w:pStyle w:val="a3"/>
        <w:spacing w:before="120" w:beforeAutospacing="0" w:after="0" w:afterAutospacing="0"/>
        <w:ind w:firstLine="539"/>
        <w:rPr>
          <w:sz w:val="20"/>
          <w:szCs w:val="20"/>
        </w:rPr>
      </w:pPr>
      <w:r>
        <w:rPr>
          <w:rFonts w:ascii="Arial" w:hAnsi="Arial" w:cs="Arial"/>
          <w:sz w:val="20"/>
          <w:szCs w:val="20"/>
        </w:rPr>
        <w:t>All sales of unregistered securities during the fiscal year ended December 31, 2021 have been previously reported in our filings with the SEC</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sz w:val="20"/>
          <w:szCs w:val="20"/>
        </w:rPr>
        <w:t>Purchases of Equity Securitie</w:t>
      </w:r>
      <w:r>
        <w:rPr>
          <w:rFonts w:ascii="Arial" w:hAnsi="Arial" w:cs="Arial"/>
          <w:b/>
          <w:bCs/>
          <w:sz w:val="20"/>
          <w:szCs w:val="20"/>
        </w:rPr>
        <w:t>s</w:t>
      </w:r>
    </w:p>
    <w:p w:rsidR="00000000" w:rsidRDefault="00010F15">
      <w:pPr>
        <w:pStyle w:val="a3"/>
        <w:spacing w:before="120" w:beforeAutospacing="0" w:after="0" w:afterAutospacing="0"/>
        <w:ind w:firstLine="539"/>
        <w:rPr>
          <w:sz w:val="20"/>
          <w:szCs w:val="20"/>
        </w:rPr>
      </w:pPr>
      <w:r>
        <w:rPr>
          <w:rFonts w:ascii="Arial" w:hAnsi="Arial" w:cs="Arial"/>
          <w:sz w:val="20"/>
          <w:szCs w:val="20"/>
        </w:rPr>
        <w:t>Except as previously reported in filings with the SEC, there were no repurchases of equity securities during the year ended December 31, 2021. We do not have any publicly announced or other repurchase plans regarding our Class A common stock</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sz w:val="20"/>
          <w:szCs w:val="20"/>
        </w:rPr>
        <w:t>Stock Perform</w:t>
      </w:r>
      <w:r>
        <w:rPr>
          <w:rFonts w:ascii="Arial" w:hAnsi="Arial" w:cs="Arial"/>
          <w:b/>
          <w:bCs/>
          <w:sz w:val="20"/>
          <w:szCs w:val="20"/>
        </w:rPr>
        <w:t>ance Grap</w:t>
      </w:r>
      <w:r>
        <w:rPr>
          <w:rFonts w:ascii="Arial" w:hAnsi="Arial" w:cs="Arial"/>
          <w:b/>
          <w:bCs/>
          <w:sz w:val="20"/>
          <w:szCs w:val="20"/>
        </w:rPr>
        <w:t>h</w:t>
      </w:r>
      <w:r>
        <w:rPr>
          <w:rFonts w:ascii="Arial" w:hAnsi="Arial" w:cs="Arial"/>
          <w:sz w:val="20"/>
          <w:szCs w:val="20"/>
        </w:rPr>
        <w:t xml:space="preserve"> </w:t>
      </w:r>
    </w:p>
    <w:p w:rsidR="00000000" w:rsidRDefault="00010F15">
      <w:pPr>
        <w:pStyle w:val="a3"/>
        <w:spacing w:before="120" w:beforeAutospacing="0" w:after="120" w:afterAutospacing="0"/>
        <w:ind w:firstLine="539"/>
        <w:rPr>
          <w:sz w:val="20"/>
          <w:szCs w:val="20"/>
        </w:rPr>
      </w:pPr>
      <w:r>
        <w:rPr>
          <w:rFonts w:ascii="Arial" w:hAnsi="Arial" w:cs="Arial"/>
          <w:sz w:val="20"/>
          <w:szCs w:val="20"/>
        </w:rPr>
        <w:t>The following graph and table compare the total stockholder return from May 26, 2021, the date on which our Class A common stock commenced trading on NYSE through December 31, 2021, based on an initial investment of $100 in each of</w:t>
      </w:r>
      <w:r>
        <w:rPr>
          <w:rFonts w:ascii="Arial" w:hAnsi="Arial" w:cs="Arial"/>
          <w:sz w:val="20"/>
          <w:szCs w:val="20"/>
        </w:rPr>
        <w:t>:</w:t>
      </w:r>
    </w:p>
    <w:p w:rsidR="00000000" w:rsidRDefault="00010F15">
      <w:pPr>
        <w:divId w:val="1868563000"/>
        <w:rPr>
          <w:rFonts w:eastAsia="Times New Roman"/>
        </w:rPr>
      </w:pPr>
      <w:r>
        <w:rPr>
          <w:rFonts w:eastAsia="Times New Roman"/>
          <w:sz w:val="20"/>
          <w:szCs w:val="20"/>
        </w:rPr>
        <w:t>•</w:t>
      </w:r>
    </w:p>
    <w:p w:rsidR="00000000" w:rsidRDefault="00010F15">
      <w:pPr>
        <w:divId w:val="2030445266"/>
        <w:rPr>
          <w:rFonts w:eastAsia="Times New Roman"/>
        </w:rPr>
      </w:pPr>
      <w:r>
        <w:rPr>
          <w:rFonts w:ascii="Arial" w:eastAsia="Times New Roman" w:hAnsi="Arial" w:cs="Arial"/>
          <w:sz w:val="20"/>
          <w:szCs w:val="20"/>
        </w:rPr>
        <w:t>our Class</w:t>
      </w:r>
      <w:r>
        <w:rPr>
          <w:rFonts w:ascii="Arial" w:eastAsia="Times New Roman" w:hAnsi="Arial" w:cs="Arial"/>
          <w:sz w:val="20"/>
          <w:szCs w:val="20"/>
        </w:rPr>
        <w:t xml:space="preserve"> A common stock</w:t>
      </w:r>
      <w:r>
        <w:rPr>
          <w:rFonts w:ascii="Arial" w:eastAsia="Times New Roman" w:hAnsi="Arial" w:cs="Arial"/>
          <w:sz w:val="20"/>
          <w:szCs w:val="20"/>
        </w:rPr>
        <w:t>;</w:t>
      </w:r>
    </w:p>
    <w:p w:rsidR="00000000" w:rsidRDefault="00010F15">
      <w:pPr>
        <w:divId w:val="1797219432"/>
        <w:rPr>
          <w:rFonts w:eastAsia="Times New Roman"/>
        </w:rPr>
      </w:pPr>
      <w:r>
        <w:rPr>
          <w:rFonts w:eastAsia="Times New Roman"/>
          <w:sz w:val="20"/>
          <w:szCs w:val="20"/>
        </w:rPr>
        <w:t>•</w:t>
      </w:r>
    </w:p>
    <w:p w:rsidR="00000000" w:rsidRDefault="00010F15">
      <w:pPr>
        <w:divId w:val="738675236"/>
        <w:rPr>
          <w:rFonts w:eastAsia="Times New Roman"/>
        </w:rPr>
      </w:pPr>
      <w:r>
        <w:rPr>
          <w:rFonts w:ascii="Arial" w:eastAsia="Times New Roman" w:hAnsi="Arial" w:cs="Arial"/>
          <w:sz w:val="20"/>
          <w:szCs w:val="20"/>
        </w:rPr>
        <w:t>the Standard and Poor's 500 Stock Index, or S&amp;P 500 Index; an</w:t>
      </w:r>
      <w:r>
        <w:rPr>
          <w:rFonts w:ascii="Arial" w:eastAsia="Times New Roman" w:hAnsi="Arial" w:cs="Arial"/>
          <w:sz w:val="20"/>
          <w:szCs w:val="20"/>
        </w:rPr>
        <w:t>d</w:t>
      </w:r>
    </w:p>
    <w:p w:rsidR="00000000" w:rsidRDefault="00010F15">
      <w:pPr>
        <w:divId w:val="570851268"/>
        <w:rPr>
          <w:rFonts w:eastAsia="Times New Roman"/>
        </w:rPr>
      </w:pPr>
      <w:r>
        <w:rPr>
          <w:rFonts w:eastAsia="Times New Roman"/>
          <w:sz w:val="20"/>
          <w:szCs w:val="20"/>
        </w:rPr>
        <w:t>•</w:t>
      </w:r>
    </w:p>
    <w:p w:rsidR="00000000" w:rsidRDefault="00010F15">
      <w:pPr>
        <w:divId w:val="491678635"/>
        <w:rPr>
          <w:rFonts w:eastAsia="Times New Roman"/>
        </w:rPr>
      </w:pPr>
      <w:r>
        <w:rPr>
          <w:rFonts w:ascii="Arial" w:eastAsia="Times New Roman" w:hAnsi="Arial" w:cs="Arial"/>
          <w:sz w:val="20"/>
          <w:szCs w:val="20"/>
        </w:rPr>
        <w:t>the Standard and Poor's 500 Information Technology Index, or S&amp;P Information Technology.</w:t>
      </w:r>
      <w:r>
        <w:rPr>
          <w:rFonts w:ascii="Arial" w:eastAsia="Times New Roman"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The performance graph and table are not intended to be indicative of future perfor</w:t>
      </w:r>
      <w:r>
        <w:rPr>
          <w:rFonts w:ascii="Arial" w:hAnsi="Arial" w:cs="Arial"/>
          <w:sz w:val="20"/>
          <w:szCs w:val="20"/>
        </w:rPr>
        <w:t>mance. The performance graph and table shall not be deemed “soliciting material” or to be “filed” with the SEC for purposes of Section 18 of the Exchange Act or otherwise subject to the liabilities under that Section, and shall not be deemed to be incorpor</w:t>
      </w:r>
      <w:r>
        <w:rPr>
          <w:rFonts w:ascii="Arial" w:hAnsi="Arial" w:cs="Arial"/>
          <w:sz w:val="20"/>
          <w:szCs w:val="20"/>
        </w:rPr>
        <w:t>ated by reference into any of the Company’s filings under the Securities Act</w:t>
      </w:r>
      <w:r>
        <w:rPr>
          <w:rFonts w:ascii="Arial" w:hAnsi="Arial" w:cs="Arial"/>
          <w:sz w:val="20"/>
          <w:szCs w:val="20"/>
        </w:rPr>
        <w:t>.</w:t>
      </w:r>
    </w:p>
    <w:p w:rsidR="00000000" w:rsidRDefault="00010F15">
      <w:pPr>
        <w:pStyle w:val="a3"/>
        <w:spacing w:before="0" w:beforeAutospacing="0" w:after="0" w:afterAutospacing="0"/>
        <w:jc w:val="center"/>
        <w:rPr>
          <w:sz w:val="20"/>
          <w:szCs w:val="20"/>
        </w:rPr>
      </w:pPr>
      <w:r>
        <w:rPr>
          <w:rFonts w:ascii="Arial" w:hAnsi="Arial" w:cs="Arial"/>
          <w:sz w:val="20"/>
          <w:szCs w:val="20"/>
        </w:rPr>
        <w:t>5</w:t>
      </w:r>
      <w:r>
        <w:rPr>
          <w:rFonts w:ascii="Arial" w:hAnsi="Arial" w:cs="Arial"/>
          <w:sz w:val="20"/>
          <w:szCs w:val="20"/>
        </w:rPr>
        <w:t>4</w:t>
      </w:r>
    </w:p>
    <w:p w:rsidR="00000000" w:rsidRDefault="00010F15">
      <w:pPr>
        <w:rPr>
          <w:rFonts w:eastAsia="Times New Roman"/>
        </w:rPr>
      </w:pPr>
      <w:r>
        <w:rPr>
          <w:rFonts w:eastAsia="Times New Roman"/>
        </w:rPr>
        <w:pict>
          <v:rect id="_x0000_i1078"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120" w:beforeAutospacing="0" w:after="0" w:afterAutospacing="0"/>
        <w:ind w:firstLine="539"/>
        <w:jc w:val="center"/>
        <w:rPr>
          <w:sz w:val="20"/>
          <w:szCs w:val="20"/>
        </w:rPr>
      </w:pPr>
      <w:r>
        <w:rPr>
          <w:noProof/>
          <w:sz w:val="20"/>
          <w:szCs w:val="20"/>
        </w:rPr>
        <w:drawing>
          <wp:inline distT="0" distB="0" distL="0" distR="0">
            <wp:extent cx="304800" cy="30480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0"/>
          <w:szCs w:val="20"/>
        </w:rPr>
        <w:t> </w:t>
      </w:r>
    </w:p>
    <w:p w:rsidR="00000000" w:rsidRDefault="00010F15">
      <w:pPr>
        <w:pStyle w:val="a3"/>
        <w:spacing w:before="120" w:beforeAutospacing="0" w:after="0" w:afterAutospacing="0"/>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3"/>
        <w:gridCol w:w="149"/>
        <w:gridCol w:w="550"/>
        <w:gridCol w:w="105"/>
        <w:gridCol w:w="105"/>
        <w:gridCol w:w="149"/>
        <w:gridCol w:w="550"/>
        <w:gridCol w:w="105"/>
        <w:gridCol w:w="105"/>
        <w:gridCol w:w="149"/>
        <w:gridCol w:w="550"/>
        <w:gridCol w:w="105"/>
        <w:gridCol w:w="105"/>
        <w:gridCol w:w="149"/>
        <w:gridCol w:w="550"/>
        <w:gridCol w:w="105"/>
        <w:gridCol w:w="105"/>
        <w:gridCol w:w="149"/>
        <w:gridCol w:w="550"/>
        <w:gridCol w:w="105"/>
        <w:gridCol w:w="105"/>
        <w:gridCol w:w="150"/>
        <w:gridCol w:w="651"/>
        <w:gridCol w:w="105"/>
        <w:gridCol w:w="105"/>
        <w:gridCol w:w="149"/>
        <w:gridCol w:w="550"/>
        <w:gridCol w:w="105"/>
        <w:gridCol w:w="105"/>
        <w:gridCol w:w="150"/>
        <w:gridCol w:w="617"/>
        <w:gridCol w:w="105"/>
        <w:gridCol w:w="105"/>
        <w:gridCol w:w="150"/>
        <w:gridCol w:w="611"/>
        <w:gridCol w:w="120"/>
      </w:tblGrid>
      <w:tr w:rsidR="00000000">
        <w:trPr>
          <w:tblCellSpacing w:w="15" w:type="dxa"/>
        </w:trPr>
        <w:tc>
          <w:tcPr>
            <w:tcW w:w="1020" w:type="pct"/>
            <w:vAlign w:val="center"/>
            <w:hideMark/>
          </w:tcPr>
          <w:p w:rsidR="00000000" w:rsidRDefault="00010F15">
            <w:pPr>
              <w:rPr>
                <w:sz w:val="20"/>
                <w:szCs w:val="20"/>
              </w:rPr>
            </w:pPr>
          </w:p>
        </w:tc>
        <w:tc>
          <w:tcPr>
            <w:tcW w:w="53" w:type="pct"/>
            <w:vAlign w:val="center"/>
            <w:hideMark/>
          </w:tcPr>
          <w:p w:rsidR="00000000" w:rsidRDefault="00010F15">
            <w:pPr>
              <w:rPr>
                <w:rFonts w:eastAsia="Times New Roman"/>
                <w:sz w:val="20"/>
                <w:szCs w:val="20"/>
              </w:rPr>
            </w:pPr>
          </w:p>
        </w:tc>
        <w:tc>
          <w:tcPr>
            <w:tcW w:w="318" w:type="pct"/>
            <w:vAlign w:val="center"/>
            <w:hideMark/>
          </w:tcPr>
          <w:p w:rsidR="00000000" w:rsidRDefault="00010F15">
            <w:pPr>
              <w:rPr>
                <w:rFonts w:eastAsia="Times New Roman"/>
                <w:sz w:val="20"/>
                <w:szCs w:val="20"/>
              </w:rPr>
            </w:pPr>
          </w:p>
        </w:tc>
        <w:tc>
          <w:tcPr>
            <w:tcW w:w="25" w:type="pct"/>
            <w:vAlign w:val="center"/>
            <w:hideMark/>
          </w:tcPr>
          <w:p w:rsidR="00000000" w:rsidRDefault="00010F15">
            <w:pPr>
              <w:rPr>
                <w:rFonts w:eastAsia="Times New Roman"/>
                <w:sz w:val="20"/>
                <w:szCs w:val="20"/>
              </w:rPr>
            </w:pPr>
          </w:p>
        </w:tc>
        <w:tc>
          <w:tcPr>
            <w:tcW w:w="45" w:type="pct"/>
            <w:vAlign w:val="center"/>
            <w:hideMark/>
          </w:tcPr>
          <w:p w:rsidR="00000000" w:rsidRDefault="00010F15">
            <w:pPr>
              <w:rPr>
                <w:rFonts w:eastAsia="Times New Roman"/>
                <w:sz w:val="20"/>
                <w:szCs w:val="20"/>
              </w:rPr>
            </w:pPr>
          </w:p>
        </w:tc>
        <w:tc>
          <w:tcPr>
            <w:tcW w:w="53" w:type="pct"/>
            <w:vAlign w:val="center"/>
            <w:hideMark/>
          </w:tcPr>
          <w:p w:rsidR="00000000" w:rsidRDefault="00010F15">
            <w:pPr>
              <w:rPr>
                <w:rFonts w:eastAsia="Times New Roman"/>
                <w:sz w:val="20"/>
                <w:szCs w:val="20"/>
              </w:rPr>
            </w:pPr>
          </w:p>
        </w:tc>
        <w:tc>
          <w:tcPr>
            <w:tcW w:w="318" w:type="pct"/>
            <w:vAlign w:val="center"/>
            <w:hideMark/>
          </w:tcPr>
          <w:p w:rsidR="00000000" w:rsidRDefault="00010F15">
            <w:pPr>
              <w:rPr>
                <w:rFonts w:eastAsia="Times New Roman"/>
                <w:sz w:val="20"/>
                <w:szCs w:val="20"/>
              </w:rPr>
            </w:pPr>
          </w:p>
        </w:tc>
        <w:tc>
          <w:tcPr>
            <w:tcW w:w="25" w:type="pct"/>
            <w:vAlign w:val="center"/>
            <w:hideMark/>
          </w:tcPr>
          <w:p w:rsidR="00000000" w:rsidRDefault="00010F15">
            <w:pPr>
              <w:rPr>
                <w:rFonts w:eastAsia="Times New Roman"/>
                <w:sz w:val="20"/>
                <w:szCs w:val="20"/>
              </w:rPr>
            </w:pPr>
          </w:p>
        </w:tc>
        <w:tc>
          <w:tcPr>
            <w:tcW w:w="49" w:type="pct"/>
            <w:vAlign w:val="center"/>
            <w:hideMark/>
          </w:tcPr>
          <w:p w:rsidR="00000000" w:rsidRDefault="00010F15">
            <w:pPr>
              <w:rPr>
                <w:rFonts w:eastAsia="Times New Roman"/>
                <w:sz w:val="20"/>
                <w:szCs w:val="20"/>
              </w:rPr>
            </w:pPr>
          </w:p>
        </w:tc>
        <w:tc>
          <w:tcPr>
            <w:tcW w:w="53" w:type="pct"/>
            <w:vAlign w:val="center"/>
            <w:hideMark/>
          </w:tcPr>
          <w:p w:rsidR="00000000" w:rsidRDefault="00010F15">
            <w:pPr>
              <w:rPr>
                <w:rFonts w:eastAsia="Times New Roman"/>
                <w:sz w:val="20"/>
                <w:szCs w:val="20"/>
              </w:rPr>
            </w:pPr>
          </w:p>
        </w:tc>
        <w:tc>
          <w:tcPr>
            <w:tcW w:w="318" w:type="pct"/>
            <w:vAlign w:val="center"/>
            <w:hideMark/>
          </w:tcPr>
          <w:p w:rsidR="00000000" w:rsidRDefault="00010F15">
            <w:pPr>
              <w:rPr>
                <w:rFonts w:eastAsia="Times New Roman"/>
                <w:sz w:val="20"/>
                <w:szCs w:val="20"/>
              </w:rPr>
            </w:pPr>
          </w:p>
        </w:tc>
        <w:tc>
          <w:tcPr>
            <w:tcW w:w="25" w:type="pct"/>
            <w:vAlign w:val="center"/>
            <w:hideMark/>
          </w:tcPr>
          <w:p w:rsidR="00000000" w:rsidRDefault="00010F15">
            <w:pPr>
              <w:rPr>
                <w:rFonts w:eastAsia="Times New Roman"/>
                <w:sz w:val="20"/>
                <w:szCs w:val="20"/>
              </w:rPr>
            </w:pPr>
          </w:p>
        </w:tc>
        <w:tc>
          <w:tcPr>
            <w:tcW w:w="49" w:type="pct"/>
            <w:vAlign w:val="center"/>
            <w:hideMark/>
          </w:tcPr>
          <w:p w:rsidR="00000000" w:rsidRDefault="00010F15">
            <w:pPr>
              <w:rPr>
                <w:rFonts w:eastAsia="Times New Roman"/>
                <w:sz w:val="20"/>
                <w:szCs w:val="20"/>
              </w:rPr>
            </w:pPr>
          </w:p>
        </w:tc>
        <w:tc>
          <w:tcPr>
            <w:tcW w:w="53" w:type="pct"/>
            <w:vAlign w:val="center"/>
            <w:hideMark/>
          </w:tcPr>
          <w:p w:rsidR="00000000" w:rsidRDefault="00010F15">
            <w:pPr>
              <w:rPr>
                <w:rFonts w:eastAsia="Times New Roman"/>
                <w:sz w:val="20"/>
                <w:szCs w:val="20"/>
              </w:rPr>
            </w:pPr>
          </w:p>
        </w:tc>
        <w:tc>
          <w:tcPr>
            <w:tcW w:w="318" w:type="pct"/>
            <w:vAlign w:val="center"/>
            <w:hideMark/>
          </w:tcPr>
          <w:p w:rsidR="00000000" w:rsidRDefault="00010F15">
            <w:pPr>
              <w:rPr>
                <w:rFonts w:eastAsia="Times New Roman"/>
                <w:sz w:val="20"/>
                <w:szCs w:val="20"/>
              </w:rPr>
            </w:pPr>
          </w:p>
        </w:tc>
        <w:tc>
          <w:tcPr>
            <w:tcW w:w="25" w:type="pct"/>
            <w:vAlign w:val="center"/>
            <w:hideMark/>
          </w:tcPr>
          <w:p w:rsidR="00000000" w:rsidRDefault="00010F15">
            <w:pPr>
              <w:rPr>
                <w:rFonts w:eastAsia="Times New Roman"/>
                <w:sz w:val="20"/>
                <w:szCs w:val="20"/>
              </w:rPr>
            </w:pPr>
          </w:p>
        </w:tc>
        <w:tc>
          <w:tcPr>
            <w:tcW w:w="49" w:type="pct"/>
            <w:vAlign w:val="center"/>
            <w:hideMark/>
          </w:tcPr>
          <w:p w:rsidR="00000000" w:rsidRDefault="00010F15">
            <w:pPr>
              <w:rPr>
                <w:rFonts w:eastAsia="Times New Roman"/>
                <w:sz w:val="20"/>
                <w:szCs w:val="20"/>
              </w:rPr>
            </w:pPr>
          </w:p>
        </w:tc>
        <w:tc>
          <w:tcPr>
            <w:tcW w:w="53" w:type="pct"/>
            <w:vAlign w:val="center"/>
            <w:hideMark/>
          </w:tcPr>
          <w:p w:rsidR="00000000" w:rsidRDefault="00010F15">
            <w:pPr>
              <w:rPr>
                <w:rFonts w:eastAsia="Times New Roman"/>
                <w:sz w:val="20"/>
                <w:szCs w:val="20"/>
              </w:rPr>
            </w:pPr>
          </w:p>
        </w:tc>
        <w:tc>
          <w:tcPr>
            <w:tcW w:w="318" w:type="pct"/>
            <w:vAlign w:val="center"/>
            <w:hideMark/>
          </w:tcPr>
          <w:p w:rsidR="00000000" w:rsidRDefault="00010F15">
            <w:pPr>
              <w:rPr>
                <w:rFonts w:eastAsia="Times New Roman"/>
                <w:sz w:val="20"/>
                <w:szCs w:val="20"/>
              </w:rPr>
            </w:pPr>
          </w:p>
        </w:tc>
        <w:tc>
          <w:tcPr>
            <w:tcW w:w="25" w:type="pct"/>
            <w:vAlign w:val="center"/>
            <w:hideMark/>
          </w:tcPr>
          <w:p w:rsidR="00000000" w:rsidRDefault="00010F15">
            <w:pPr>
              <w:rPr>
                <w:rFonts w:eastAsia="Times New Roman"/>
                <w:sz w:val="20"/>
                <w:szCs w:val="20"/>
              </w:rPr>
            </w:pPr>
          </w:p>
        </w:tc>
        <w:tc>
          <w:tcPr>
            <w:tcW w:w="49" w:type="pct"/>
            <w:vAlign w:val="center"/>
            <w:hideMark/>
          </w:tcPr>
          <w:p w:rsidR="00000000" w:rsidRDefault="00010F15">
            <w:pPr>
              <w:rPr>
                <w:rFonts w:eastAsia="Times New Roman"/>
                <w:sz w:val="20"/>
                <w:szCs w:val="20"/>
              </w:rPr>
            </w:pPr>
          </w:p>
        </w:tc>
        <w:tc>
          <w:tcPr>
            <w:tcW w:w="53" w:type="pct"/>
            <w:vAlign w:val="center"/>
            <w:hideMark/>
          </w:tcPr>
          <w:p w:rsidR="00000000" w:rsidRDefault="00010F15">
            <w:pPr>
              <w:rPr>
                <w:rFonts w:eastAsia="Times New Roman"/>
                <w:sz w:val="20"/>
                <w:szCs w:val="20"/>
              </w:rPr>
            </w:pPr>
          </w:p>
        </w:tc>
        <w:tc>
          <w:tcPr>
            <w:tcW w:w="320" w:type="pct"/>
            <w:vAlign w:val="center"/>
            <w:hideMark/>
          </w:tcPr>
          <w:p w:rsidR="00000000" w:rsidRDefault="00010F15">
            <w:pPr>
              <w:rPr>
                <w:rFonts w:eastAsia="Times New Roman"/>
                <w:sz w:val="20"/>
                <w:szCs w:val="20"/>
              </w:rPr>
            </w:pPr>
          </w:p>
        </w:tc>
        <w:tc>
          <w:tcPr>
            <w:tcW w:w="25" w:type="pct"/>
            <w:vAlign w:val="center"/>
            <w:hideMark/>
          </w:tcPr>
          <w:p w:rsidR="00000000" w:rsidRDefault="00010F15">
            <w:pPr>
              <w:rPr>
                <w:rFonts w:eastAsia="Times New Roman"/>
                <w:sz w:val="20"/>
                <w:szCs w:val="20"/>
              </w:rPr>
            </w:pPr>
          </w:p>
        </w:tc>
        <w:tc>
          <w:tcPr>
            <w:tcW w:w="49" w:type="pct"/>
            <w:vAlign w:val="center"/>
            <w:hideMark/>
          </w:tcPr>
          <w:p w:rsidR="00000000" w:rsidRDefault="00010F15">
            <w:pPr>
              <w:rPr>
                <w:rFonts w:eastAsia="Times New Roman"/>
                <w:sz w:val="20"/>
                <w:szCs w:val="20"/>
              </w:rPr>
            </w:pPr>
          </w:p>
        </w:tc>
        <w:tc>
          <w:tcPr>
            <w:tcW w:w="53" w:type="pct"/>
            <w:vAlign w:val="center"/>
            <w:hideMark/>
          </w:tcPr>
          <w:p w:rsidR="00000000" w:rsidRDefault="00010F15">
            <w:pPr>
              <w:rPr>
                <w:rFonts w:eastAsia="Times New Roman"/>
                <w:sz w:val="20"/>
                <w:szCs w:val="20"/>
              </w:rPr>
            </w:pPr>
          </w:p>
        </w:tc>
        <w:tc>
          <w:tcPr>
            <w:tcW w:w="318" w:type="pct"/>
            <w:vAlign w:val="center"/>
            <w:hideMark/>
          </w:tcPr>
          <w:p w:rsidR="00000000" w:rsidRDefault="00010F15">
            <w:pPr>
              <w:rPr>
                <w:rFonts w:eastAsia="Times New Roman"/>
                <w:sz w:val="20"/>
                <w:szCs w:val="20"/>
              </w:rPr>
            </w:pPr>
          </w:p>
        </w:tc>
        <w:tc>
          <w:tcPr>
            <w:tcW w:w="25" w:type="pct"/>
            <w:vAlign w:val="center"/>
            <w:hideMark/>
          </w:tcPr>
          <w:p w:rsidR="00000000" w:rsidRDefault="00010F15">
            <w:pPr>
              <w:rPr>
                <w:rFonts w:eastAsia="Times New Roman"/>
                <w:sz w:val="20"/>
                <w:szCs w:val="20"/>
              </w:rPr>
            </w:pPr>
          </w:p>
        </w:tc>
        <w:tc>
          <w:tcPr>
            <w:tcW w:w="49" w:type="pct"/>
            <w:vAlign w:val="center"/>
            <w:hideMark/>
          </w:tcPr>
          <w:p w:rsidR="00000000" w:rsidRDefault="00010F15">
            <w:pPr>
              <w:rPr>
                <w:rFonts w:eastAsia="Times New Roman"/>
                <w:sz w:val="20"/>
                <w:szCs w:val="20"/>
              </w:rPr>
            </w:pPr>
          </w:p>
        </w:tc>
        <w:tc>
          <w:tcPr>
            <w:tcW w:w="53" w:type="pct"/>
            <w:vAlign w:val="center"/>
            <w:hideMark/>
          </w:tcPr>
          <w:p w:rsidR="00000000" w:rsidRDefault="00010F15">
            <w:pPr>
              <w:rPr>
                <w:rFonts w:eastAsia="Times New Roman"/>
                <w:sz w:val="20"/>
                <w:szCs w:val="20"/>
              </w:rPr>
            </w:pPr>
          </w:p>
        </w:tc>
        <w:tc>
          <w:tcPr>
            <w:tcW w:w="319" w:type="pct"/>
            <w:vAlign w:val="center"/>
            <w:hideMark/>
          </w:tcPr>
          <w:p w:rsidR="00000000" w:rsidRDefault="00010F15">
            <w:pPr>
              <w:rPr>
                <w:rFonts w:eastAsia="Times New Roman"/>
                <w:sz w:val="20"/>
                <w:szCs w:val="20"/>
              </w:rPr>
            </w:pPr>
          </w:p>
        </w:tc>
        <w:tc>
          <w:tcPr>
            <w:tcW w:w="25" w:type="pct"/>
            <w:vAlign w:val="center"/>
            <w:hideMark/>
          </w:tcPr>
          <w:p w:rsidR="00000000" w:rsidRDefault="00010F15">
            <w:pPr>
              <w:rPr>
                <w:rFonts w:eastAsia="Times New Roman"/>
                <w:sz w:val="20"/>
                <w:szCs w:val="20"/>
              </w:rPr>
            </w:pPr>
          </w:p>
        </w:tc>
        <w:tc>
          <w:tcPr>
            <w:tcW w:w="49" w:type="pct"/>
            <w:vAlign w:val="center"/>
            <w:hideMark/>
          </w:tcPr>
          <w:p w:rsidR="00000000" w:rsidRDefault="00010F15">
            <w:pPr>
              <w:rPr>
                <w:rFonts w:eastAsia="Times New Roman"/>
                <w:sz w:val="20"/>
                <w:szCs w:val="20"/>
              </w:rPr>
            </w:pPr>
          </w:p>
        </w:tc>
        <w:tc>
          <w:tcPr>
            <w:tcW w:w="53" w:type="pct"/>
            <w:vAlign w:val="center"/>
            <w:hideMark/>
          </w:tcPr>
          <w:p w:rsidR="00000000" w:rsidRDefault="00010F15">
            <w:pPr>
              <w:rPr>
                <w:rFonts w:eastAsia="Times New Roman"/>
                <w:sz w:val="20"/>
                <w:szCs w:val="20"/>
              </w:rPr>
            </w:pPr>
          </w:p>
        </w:tc>
        <w:tc>
          <w:tcPr>
            <w:tcW w:w="319" w:type="pct"/>
            <w:vAlign w:val="center"/>
            <w:hideMark/>
          </w:tcPr>
          <w:p w:rsidR="00000000" w:rsidRDefault="00010F15">
            <w:pPr>
              <w:rPr>
                <w:rFonts w:eastAsia="Times New Roman"/>
                <w:sz w:val="20"/>
                <w:szCs w:val="20"/>
              </w:rPr>
            </w:pPr>
          </w:p>
        </w:tc>
        <w:tc>
          <w:tcPr>
            <w:tcW w:w="25" w:type="pct"/>
            <w:vAlign w:val="center"/>
            <w:hideMark/>
          </w:tcPr>
          <w:p w:rsidR="00000000" w:rsidRDefault="00010F15">
            <w:pPr>
              <w:rPr>
                <w:rFonts w:eastAsia="Times New Roman"/>
                <w:sz w:val="20"/>
                <w:szCs w:val="20"/>
              </w:rPr>
            </w:pPr>
          </w:p>
        </w:tc>
      </w:tr>
      <w:tr w:rsidR="00000000">
        <w:trPr>
          <w:trHeight w:val="140"/>
          <w:tblCellSpacing w:w="15" w:type="dxa"/>
        </w:trPr>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010F15">
            <w:pPr>
              <w:pStyle w:val="a3"/>
              <w:spacing w:before="0" w:beforeAutospacing="0" w:after="0" w:afterAutospacing="0"/>
              <w:jc w:val="center"/>
              <w:rPr>
                <w:sz w:val="14"/>
                <w:szCs w:val="14"/>
              </w:rPr>
            </w:pPr>
            <w:r>
              <w:rPr>
                <w:rFonts w:ascii="Arial" w:hAnsi="Arial" w:cs="Arial"/>
                <w:b/>
                <w:bCs/>
                <w:sz w:val="14"/>
                <w:szCs w:val="14"/>
              </w:rPr>
              <w:t>May 26, 202</w:t>
            </w:r>
            <w:r>
              <w:rPr>
                <w:rFonts w:ascii="Arial" w:hAnsi="Arial" w:cs="Arial"/>
                <w:b/>
                <w:bCs/>
                <w:sz w:val="14"/>
                <w:szCs w:val="14"/>
              </w:rPr>
              <w:t>1</w:t>
            </w:r>
          </w:p>
        </w:tc>
        <w:tc>
          <w:tcPr>
            <w:tcW w:w="0" w:type="auto"/>
            <w:vAlign w:val="bottom"/>
            <w:hideMark/>
          </w:tcPr>
          <w:p w:rsidR="00000000" w:rsidRDefault="00010F15">
            <w:pPr>
              <w:pStyle w:val="a3"/>
              <w:spacing w:before="0" w:beforeAutospacing="0" w:after="0" w:afterAutospacing="0"/>
              <w:jc w:val="center"/>
              <w:rPr>
                <w:sz w:val="14"/>
                <w:szCs w:val="14"/>
              </w:rPr>
            </w:pPr>
            <w:r>
              <w:rPr>
                <w:rFonts w:ascii="Arial" w:hAnsi="Arial" w:cs="Arial"/>
                <w:sz w:val="14"/>
                <w:szCs w:val="14"/>
              </w:rPr>
              <w:t> </w:t>
            </w:r>
          </w:p>
        </w:tc>
        <w:tc>
          <w:tcPr>
            <w:tcW w:w="0" w:type="auto"/>
            <w:vAlign w:val="bottom"/>
            <w:hideMark/>
          </w:tcPr>
          <w:p w:rsidR="00000000" w:rsidRDefault="00010F15">
            <w:pPr>
              <w:pStyle w:val="a3"/>
              <w:spacing w:before="0" w:beforeAutospacing="0" w:after="0" w:afterAutospacing="0"/>
              <w:jc w:val="center"/>
              <w:rPr>
                <w:sz w:val="14"/>
                <w:szCs w:val="14"/>
              </w:rPr>
            </w:pPr>
            <w:r>
              <w:rPr>
                <w:rFonts w:ascii="Arial" w:hAnsi="Arial" w:cs="Arial"/>
                <w:sz w:val="14"/>
                <w:szCs w:val="14"/>
              </w:rPr>
              <w:t> </w:t>
            </w:r>
          </w:p>
        </w:tc>
        <w:tc>
          <w:tcPr>
            <w:tcW w:w="0" w:type="auto"/>
            <w:gridSpan w:val="2"/>
            <w:vAlign w:val="bottom"/>
            <w:hideMark/>
          </w:tcPr>
          <w:p w:rsidR="00000000" w:rsidRDefault="00010F15">
            <w:pPr>
              <w:pStyle w:val="a3"/>
              <w:spacing w:before="0" w:beforeAutospacing="0" w:after="0" w:afterAutospacing="0"/>
              <w:jc w:val="center"/>
              <w:rPr>
                <w:sz w:val="14"/>
                <w:szCs w:val="14"/>
              </w:rPr>
            </w:pPr>
            <w:r>
              <w:rPr>
                <w:rFonts w:ascii="Arial" w:hAnsi="Arial" w:cs="Arial"/>
                <w:b/>
                <w:bCs/>
                <w:sz w:val="14"/>
                <w:szCs w:val="14"/>
              </w:rPr>
              <w:t>May 31, 202</w:t>
            </w:r>
            <w:r>
              <w:rPr>
                <w:rFonts w:ascii="Arial" w:hAnsi="Arial" w:cs="Arial"/>
                <w:b/>
                <w:bCs/>
                <w:sz w:val="14"/>
                <w:szCs w:val="14"/>
              </w:rPr>
              <w:t>1</w:t>
            </w:r>
          </w:p>
        </w:tc>
        <w:tc>
          <w:tcPr>
            <w:tcW w:w="0" w:type="auto"/>
            <w:vAlign w:val="bottom"/>
            <w:hideMark/>
          </w:tcPr>
          <w:p w:rsidR="00000000" w:rsidRDefault="00010F15">
            <w:pPr>
              <w:pStyle w:val="a3"/>
              <w:spacing w:before="0" w:beforeAutospacing="0" w:after="0" w:afterAutospacing="0"/>
              <w:jc w:val="center"/>
              <w:rPr>
                <w:sz w:val="14"/>
                <w:szCs w:val="14"/>
              </w:rPr>
            </w:pPr>
            <w:r>
              <w:rPr>
                <w:rFonts w:ascii="Arial" w:hAnsi="Arial" w:cs="Arial"/>
                <w:sz w:val="14"/>
                <w:szCs w:val="14"/>
              </w:rPr>
              <w:t> </w:t>
            </w:r>
          </w:p>
        </w:tc>
        <w:tc>
          <w:tcPr>
            <w:tcW w:w="0" w:type="auto"/>
            <w:vAlign w:val="bottom"/>
            <w:hideMark/>
          </w:tcPr>
          <w:p w:rsidR="00000000" w:rsidRDefault="00010F15">
            <w:pPr>
              <w:pStyle w:val="a3"/>
              <w:spacing w:before="0" w:beforeAutospacing="0" w:after="0" w:afterAutospacing="0"/>
              <w:jc w:val="center"/>
              <w:rPr>
                <w:sz w:val="14"/>
                <w:szCs w:val="14"/>
              </w:rPr>
            </w:pPr>
            <w:r>
              <w:rPr>
                <w:rFonts w:ascii="Arial" w:hAnsi="Arial" w:cs="Arial"/>
                <w:sz w:val="14"/>
                <w:szCs w:val="14"/>
              </w:rPr>
              <w:t> </w:t>
            </w:r>
          </w:p>
        </w:tc>
        <w:tc>
          <w:tcPr>
            <w:tcW w:w="0" w:type="auto"/>
            <w:gridSpan w:val="2"/>
            <w:vAlign w:val="bottom"/>
            <w:hideMark/>
          </w:tcPr>
          <w:p w:rsidR="00000000" w:rsidRDefault="00010F15">
            <w:pPr>
              <w:pStyle w:val="a3"/>
              <w:spacing w:before="0" w:beforeAutospacing="0" w:after="0" w:afterAutospacing="0"/>
              <w:jc w:val="center"/>
              <w:rPr>
                <w:sz w:val="14"/>
                <w:szCs w:val="14"/>
              </w:rPr>
            </w:pPr>
            <w:r>
              <w:rPr>
                <w:rFonts w:ascii="Arial" w:hAnsi="Arial" w:cs="Arial"/>
                <w:b/>
                <w:bCs/>
                <w:sz w:val="14"/>
                <w:szCs w:val="14"/>
              </w:rPr>
              <w:t>June 30, 202</w:t>
            </w:r>
            <w:r>
              <w:rPr>
                <w:rFonts w:ascii="Arial" w:hAnsi="Arial" w:cs="Arial"/>
                <w:b/>
                <w:bCs/>
                <w:sz w:val="14"/>
                <w:szCs w:val="14"/>
              </w:rPr>
              <w:t>1</w:t>
            </w:r>
          </w:p>
        </w:tc>
        <w:tc>
          <w:tcPr>
            <w:tcW w:w="0" w:type="auto"/>
            <w:vAlign w:val="bottom"/>
            <w:hideMark/>
          </w:tcPr>
          <w:p w:rsidR="00000000" w:rsidRDefault="00010F15">
            <w:pPr>
              <w:pStyle w:val="a3"/>
              <w:spacing w:before="0" w:beforeAutospacing="0" w:after="0" w:afterAutospacing="0"/>
              <w:jc w:val="center"/>
              <w:rPr>
                <w:sz w:val="14"/>
                <w:szCs w:val="14"/>
              </w:rPr>
            </w:pPr>
            <w:r>
              <w:rPr>
                <w:rFonts w:ascii="Arial" w:hAnsi="Arial" w:cs="Arial"/>
                <w:sz w:val="14"/>
                <w:szCs w:val="14"/>
              </w:rPr>
              <w:t> </w:t>
            </w:r>
          </w:p>
        </w:tc>
        <w:tc>
          <w:tcPr>
            <w:tcW w:w="0" w:type="auto"/>
            <w:vAlign w:val="bottom"/>
            <w:hideMark/>
          </w:tcPr>
          <w:p w:rsidR="00000000" w:rsidRDefault="00010F15">
            <w:pPr>
              <w:pStyle w:val="a3"/>
              <w:spacing w:before="0" w:beforeAutospacing="0" w:after="0" w:afterAutospacing="0"/>
              <w:jc w:val="center"/>
              <w:rPr>
                <w:sz w:val="14"/>
                <w:szCs w:val="14"/>
              </w:rPr>
            </w:pPr>
            <w:r>
              <w:rPr>
                <w:rFonts w:ascii="Arial" w:hAnsi="Arial" w:cs="Arial"/>
                <w:sz w:val="14"/>
                <w:szCs w:val="14"/>
              </w:rPr>
              <w:t> </w:t>
            </w:r>
          </w:p>
        </w:tc>
        <w:tc>
          <w:tcPr>
            <w:tcW w:w="0" w:type="auto"/>
            <w:gridSpan w:val="2"/>
            <w:vAlign w:val="bottom"/>
            <w:hideMark/>
          </w:tcPr>
          <w:p w:rsidR="00000000" w:rsidRDefault="00010F15">
            <w:pPr>
              <w:pStyle w:val="a3"/>
              <w:spacing w:before="0" w:beforeAutospacing="0" w:after="0" w:afterAutospacing="0"/>
              <w:jc w:val="center"/>
              <w:rPr>
                <w:sz w:val="14"/>
                <w:szCs w:val="14"/>
              </w:rPr>
            </w:pPr>
            <w:r>
              <w:rPr>
                <w:rFonts w:ascii="Arial" w:hAnsi="Arial" w:cs="Arial"/>
                <w:b/>
                <w:bCs/>
                <w:sz w:val="14"/>
                <w:szCs w:val="14"/>
              </w:rPr>
              <w:t>July 31, 202</w:t>
            </w:r>
            <w:r>
              <w:rPr>
                <w:rFonts w:ascii="Arial" w:hAnsi="Arial" w:cs="Arial"/>
                <w:b/>
                <w:bCs/>
                <w:sz w:val="14"/>
                <w:szCs w:val="14"/>
              </w:rPr>
              <w:t>1</w:t>
            </w:r>
          </w:p>
        </w:tc>
        <w:tc>
          <w:tcPr>
            <w:tcW w:w="0" w:type="auto"/>
            <w:vAlign w:val="bottom"/>
            <w:hideMark/>
          </w:tcPr>
          <w:p w:rsidR="00000000" w:rsidRDefault="00010F15">
            <w:pPr>
              <w:pStyle w:val="a3"/>
              <w:spacing w:before="0" w:beforeAutospacing="0" w:after="0" w:afterAutospacing="0"/>
              <w:jc w:val="center"/>
              <w:rPr>
                <w:sz w:val="14"/>
                <w:szCs w:val="14"/>
              </w:rPr>
            </w:pPr>
            <w:r>
              <w:rPr>
                <w:rFonts w:ascii="Arial" w:hAnsi="Arial" w:cs="Arial"/>
                <w:sz w:val="14"/>
                <w:szCs w:val="14"/>
              </w:rPr>
              <w:t> </w:t>
            </w:r>
          </w:p>
        </w:tc>
        <w:tc>
          <w:tcPr>
            <w:tcW w:w="0" w:type="auto"/>
            <w:vAlign w:val="bottom"/>
            <w:hideMark/>
          </w:tcPr>
          <w:p w:rsidR="00000000" w:rsidRDefault="00010F15">
            <w:pPr>
              <w:pStyle w:val="a3"/>
              <w:spacing w:before="0" w:beforeAutospacing="0" w:after="0" w:afterAutospacing="0"/>
              <w:jc w:val="center"/>
              <w:rPr>
                <w:sz w:val="14"/>
                <w:szCs w:val="14"/>
              </w:rPr>
            </w:pPr>
            <w:r>
              <w:rPr>
                <w:rFonts w:ascii="Arial" w:hAnsi="Arial" w:cs="Arial"/>
                <w:sz w:val="14"/>
                <w:szCs w:val="14"/>
              </w:rPr>
              <w:t> </w:t>
            </w:r>
          </w:p>
        </w:tc>
        <w:tc>
          <w:tcPr>
            <w:tcW w:w="0" w:type="auto"/>
            <w:gridSpan w:val="2"/>
            <w:vAlign w:val="bottom"/>
            <w:hideMark/>
          </w:tcPr>
          <w:p w:rsidR="00000000" w:rsidRDefault="00010F15">
            <w:pPr>
              <w:pStyle w:val="a3"/>
              <w:spacing w:before="0" w:beforeAutospacing="0" w:after="0" w:afterAutospacing="0"/>
              <w:jc w:val="center"/>
              <w:rPr>
                <w:sz w:val="14"/>
                <w:szCs w:val="14"/>
              </w:rPr>
            </w:pPr>
            <w:r>
              <w:rPr>
                <w:rFonts w:ascii="Arial" w:hAnsi="Arial" w:cs="Arial"/>
                <w:b/>
                <w:bCs/>
                <w:sz w:val="14"/>
                <w:szCs w:val="14"/>
              </w:rPr>
              <w:t>August 31, 202</w:t>
            </w:r>
            <w:r>
              <w:rPr>
                <w:rFonts w:ascii="Arial" w:hAnsi="Arial" w:cs="Arial"/>
                <w:b/>
                <w:bCs/>
                <w:sz w:val="14"/>
                <w:szCs w:val="14"/>
              </w:rPr>
              <w:t>1</w:t>
            </w:r>
          </w:p>
        </w:tc>
        <w:tc>
          <w:tcPr>
            <w:tcW w:w="0" w:type="auto"/>
            <w:vAlign w:val="bottom"/>
            <w:hideMark/>
          </w:tcPr>
          <w:p w:rsidR="00000000" w:rsidRDefault="00010F15">
            <w:pPr>
              <w:pStyle w:val="a3"/>
              <w:spacing w:before="0" w:beforeAutospacing="0" w:after="0" w:afterAutospacing="0"/>
              <w:jc w:val="center"/>
              <w:rPr>
                <w:sz w:val="14"/>
                <w:szCs w:val="14"/>
              </w:rPr>
            </w:pPr>
            <w:r>
              <w:rPr>
                <w:rFonts w:ascii="Arial" w:hAnsi="Arial" w:cs="Arial"/>
                <w:sz w:val="14"/>
                <w:szCs w:val="14"/>
              </w:rPr>
              <w:t> </w:t>
            </w:r>
          </w:p>
        </w:tc>
        <w:tc>
          <w:tcPr>
            <w:tcW w:w="0" w:type="auto"/>
            <w:vAlign w:val="bottom"/>
            <w:hideMark/>
          </w:tcPr>
          <w:p w:rsidR="00000000" w:rsidRDefault="00010F15">
            <w:pPr>
              <w:pStyle w:val="a3"/>
              <w:spacing w:before="0" w:beforeAutospacing="0" w:after="0" w:afterAutospacing="0"/>
              <w:jc w:val="center"/>
              <w:rPr>
                <w:sz w:val="14"/>
                <w:szCs w:val="14"/>
              </w:rPr>
            </w:pPr>
            <w:r>
              <w:rPr>
                <w:rFonts w:ascii="Arial" w:hAnsi="Arial" w:cs="Arial"/>
                <w:sz w:val="14"/>
                <w:szCs w:val="14"/>
              </w:rPr>
              <w:t> </w:t>
            </w:r>
          </w:p>
        </w:tc>
        <w:tc>
          <w:tcPr>
            <w:tcW w:w="0" w:type="auto"/>
            <w:gridSpan w:val="2"/>
            <w:vAlign w:val="bottom"/>
            <w:hideMark/>
          </w:tcPr>
          <w:p w:rsidR="00000000" w:rsidRDefault="00010F15">
            <w:pPr>
              <w:pStyle w:val="a3"/>
              <w:spacing w:before="0" w:beforeAutospacing="0" w:after="0" w:afterAutospacing="0"/>
              <w:jc w:val="center"/>
              <w:rPr>
                <w:sz w:val="14"/>
                <w:szCs w:val="14"/>
              </w:rPr>
            </w:pPr>
            <w:r>
              <w:rPr>
                <w:rFonts w:ascii="Arial" w:hAnsi="Arial" w:cs="Arial"/>
                <w:b/>
                <w:bCs/>
                <w:sz w:val="14"/>
                <w:szCs w:val="14"/>
              </w:rPr>
              <w:t>September 30, 202</w:t>
            </w:r>
            <w:r>
              <w:rPr>
                <w:rFonts w:ascii="Arial" w:hAnsi="Arial" w:cs="Arial"/>
                <w:b/>
                <w:bCs/>
                <w:sz w:val="14"/>
                <w:szCs w:val="14"/>
              </w:rPr>
              <w:t>1</w:t>
            </w:r>
          </w:p>
        </w:tc>
        <w:tc>
          <w:tcPr>
            <w:tcW w:w="0" w:type="auto"/>
            <w:vAlign w:val="bottom"/>
            <w:hideMark/>
          </w:tcPr>
          <w:p w:rsidR="00000000" w:rsidRDefault="00010F15">
            <w:pPr>
              <w:pStyle w:val="a3"/>
              <w:spacing w:before="0" w:beforeAutospacing="0" w:after="0" w:afterAutospacing="0"/>
              <w:jc w:val="center"/>
              <w:rPr>
                <w:sz w:val="14"/>
                <w:szCs w:val="14"/>
              </w:rPr>
            </w:pPr>
            <w:r>
              <w:rPr>
                <w:rFonts w:ascii="Arial" w:hAnsi="Arial" w:cs="Arial"/>
                <w:sz w:val="14"/>
                <w:szCs w:val="14"/>
              </w:rPr>
              <w:t> </w:t>
            </w:r>
          </w:p>
        </w:tc>
        <w:tc>
          <w:tcPr>
            <w:tcW w:w="0" w:type="auto"/>
            <w:vAlign w:val="bottom"/>
            <w:hideMark/>
          </w:tcPr>
          <w:p w:rsidR="00000000" w:rsidRDefault="00010F15">
            <w:pPr>
              <w:pStyle w:val="a3"/>
              <w:spacing w:before="0" w:beforeAutospacing="0" w:after="0" w:afterAutospacing="0"/>
              <w:jc w:val="center"/>
              <w:rPr>
                <w:sz w:val="14"/>
                <w:szCs w:val="14"/>
              </w:rPr>
            </w:pPr>
            <w:r>
              <w:rPr>
                <w:rFonts w:ascii="Arial" w:hAnsi="Arial" w:cs="Arial"/>
                <w:sz w:val="14"/>
                <w:szCs w:val="14"/>
              </w:rPr>
              <w:t> </w:t>
            </w:r>
          </w:p>
        </w:tc>
        <w:tc>
          <w:tcPr>
            <w:tcW w:w="0" w:type="auto"/>
            <w:gridSpan w:val="2"/>
            <w:vAlign w:val="bottom"/>
            <w:hideMark/>
          </w:tcPr>
          <w:p w:rsidR="00000000" w:rsidRDefault="00010F15">
            <w:pPr>
              <w:pStyle w:val="a3"/>
              <w:spacing w:before="0" w:beforeAutospacing="0" w:after="0" w:afterAutospacing="0"/>
              <w:jc w:val="center"/>
              <w:rPr>
                <w:sz w:val="14"/>
                <w:szCs w:val="14"/>
              </w:rPr>
            </w:pPr>
            <w:r>
              <w:rPr>
                <w:rFonts w:ascii="Arial" w:hAnsi="Arial" w:cs="Arial"/>
                <w:b/>
                <w:bCs/>
                <w:sz w:val="14"/>
                <w:szCs w:val="14"/>
              </w:rPr>
              <w:t>October 31, 202</w:t>
            </w:r>
            <w:r>
              <w:rPr>
                <w:rFonts w:ascii="Arial" w:hAnsi="Arial" w:cs="Arial"/>
                <w:b/>
                <w:bCs/>
                <w:sz w:val="14"/>
                <w:szCs w:val="14"/>
              </w:rPr>
              <w:t>1</w:t>
            </w:r>
          </w:p>
        </w:tc>
        <w:tc>
          <w:tcPr>
            <w:tcW w:w="0" w:type="auto"/>
            <w:vAlign w:val="bottom"/>
            <w:hideMark/>
          </w:tcPr>
          <w:p w:rsidR="00000000" w:rsidRDefault="00010F15">
            <w:pPr>
              <w:pStyle w:val="a3"/>
              <w:spacing w:before="0" w:beforeAutospacing="0" w:after="0" w:afterAutospacing="0"/>
              <w:jc w:val="center"/>
              <w:rPr>
                <w:sz w:val="14"/>
                <w:szCs w:val="14"/>
              </w:rPr>
            </w:pPr>
            <w:r>
              <w:rPr>
                <w:rFonts w:ascii="Arial" w:hAnsi="Arial" w:cs="Arial"/>
                <w:sz w:val="14"/>
                <w:szCs w:val="14"/>
              </w:rPr>
              <w:t> </w:t>
            </w:r>
          </w:p>
        </w:tc>
        <w:tc>
          <w:tcPr>
            <w:tcW w:w="0" w:type="auto"/>
            <w:vAlign w:val="bottom"/>
            <w:hideMark/>
          </w:tcPr>
          <w:p w:rsidR="00000000" w:rsidRDefault="00010F15">
            <w:pPr>
              <w:pStyle w:val="a3"/>
              <w:spacing w:before="0" w:beforeAutospacing="0" w:after="0" w:afterAutospacing="0"/>
              <w:jc w:val="center"/>
              <w:rPr>
                <w:sz w:val="14"/>
                <w:szCs w:val="14"/>
              </w:rPr>
            </w:pPr>
            <w:r>
              <w:rPr>
                <w:rFonts w:ascii="Arial" w:hAnsi="Arial" w:cs="Arial"/>
                <w:sz w:val="14"/>
                <w:szCs w:val="14"/>
              </w:rPr>
              <w:t> </w:t>
            </w:r>
          </w:p>
        </w:tc>
        <w:tc>
          <w:tcPr>
            <w:tcW w:w="0" w:type="auto"/>
            <w:gridSpan w:val="2"/>
            <w:vAlign w:val="bottom"/>
            <w:hideMark/>
          </w:tcPr>
          <w:p w:rsidR="00000000" w:rsidRDefault="00010F15">
            <w:pPr>
              <w:pStyle w:val="a3"/>
              <w:spacing w:before="0" w:beforeAutospacing="0" w:after="0" w:afterAutospacing="0"/>
              <w:jc w:val="center"/>
              <w:rPr>
                <w:sz w:val="14"/>
                <w:szCs w:val="14"/>
              </w:rPr>
            </w:pPr>
            <w:r>
              <w:rPr>
                <w:rFonts w:ascii="Arial" w:hAnsi="Arial" w:cs="Arial"/>
                <w:b/>
                <w:bCs/>
                <w:sz w:val="14"/>
                <w:szCs w:val="14"/>
              </w:rPr>
              <w:t>November 30, 202</w:t>
            </w:r>
            <w:r>
              <w:rPr>
                <w:rFonts w:ascii="Arial" w:hAnsi="Arial" w:cs="Arial"/>
                <w:b/>
                <w:bCs/>
                <w:sz w:val="14"/>
                <w:szCs w:val="14"/>
              </w:rPr>
              <w:t>1</w:t>
            </w:r>
          </w:p>
        </w:tc>
        <w:tc>
          <w:tcPr>
            <w:tcW w:w="0" w:type="auto"/>
            <w:vAlign w:val="bottom"/>
            <w:hideMark/>
          </w:tcPr>
          <w:p w:rsidR="00000000" w:rsidRDefault="00010F15">
            <w:pPr>
              <w:pStyle w:val="a3"/>
              <w:spacing w:before="0" w:beforeAutospacing="0" w:after="0" w:afterAutospacing="0"/>
              <w:jc w:val="center"/>
              <w:rPr>
                <w:sz w:val="14"/>
                <w:szCs w:val="14"/>
              </w:rPr>
            </w:pPr>
            <w:r>
              <w:rPr>
                <w:rFonts w:ascii="Arial" w:hAnsi="Arial" w:cs="Arial"/>
                <w:sz w:val="14"/>
                <w:szCs w:val="14"/>
              </w:rPr>
              <w:t> </w:t>
            </w:r>
          </w:p>
        </w:tc>
        <w:tc>
          <w:tcPr>
            <w:tcW w:w="0" w:type="auto"/>
            <w:vAlign w:val="bottom"/>
            <w:hideMark/>
          </w:tcPr>
          <w:p w:rsidR="00000000" w:rsidRDefault="00010F15">
            <w:pPr>
              <w:pStyle w:val="a3"/>
              <w:spacing w:before="0" w:beforeAutospacing="0" w:after="0" w:afterAutospacing="0"/>
              <w:jc w:val="center"/>
              <w:rPr>
                <w:sz w:val="14"/>
                <w:szCs w:val="14"/>
              </w:rPr>
            </w:pPr>
            <w:r>
              <w:rPr>
                <w:rFonts w:ascii="Arial" w:hAnsi="Arial" w:cs="Arial"/>
                <w:sz w:val="14"/>
                <w:szCs w:val="14"/>
              </w:rPr>
              <w:t> </w:t>
            </w:r>
          </w:p>
        </w:tc>
        <w:tc>
          <w:tcPr>
            <w:tcW w:w="0" w:type="auto"/>
            <w:gridSpan w:val="2"/>
            <w:vAlign w:val="bottom"/>
            <w:hideMark/>
          </w:tcPr>
          <w:p w:rsidR="00000000" w:rsidRDefault="00010F15">
            <w:pPr>
              <w:pStyle w:val="a3"/>
              <w:spacing w:before="0" w:beforeAutospacing="0" w:after="0" w:afterAutospacing="0"/>
              <w:jc w:val="center"/>
              <w:rPr>
                <w:sz w:val="14"/>
                <w:szCs w:val="14"/>
              </w:rPr>
            </w:pPr>
            <w:r>
              <w:rPr>
                <w:rFonts w:ascii="Arial" w:hAnsi="Arial" w:cs="Arial"/>
                <w:b/>
                <w:bCs/>
                <w:sz w:val="14"/>
                <w:szCs w:val="14"/>
              </w:rPr>
              <w:t>December 31, 202</w:t>
            </w:r>
            <w:r>
              <w:rPr>
                <w:rFonts w:ascii="Arial" w:hAnsi="Arial" w:cs="Arial"/>
                <w:b/>
                <w:bCs/>
                <w:sz w:val="14"/>
                <w:szCs w:val="14"/>
              </w:rPr>
              <w:t>1</w:t>
            </w:r>
          </w:p>
        </w:tc>
        <w:tc>
          <w:tcPr>
            <w:tcW w:w="0" w:type="auto"/>
            <w:vAlign w:val="bottom"/>
            <w:hideMark/>
          </w:tcPr>
          <w:p w:rsidR="00000000" w:rsidRDefault="00010F15">
            <w:pPr>
              <w:pStyle w:val="a3"/>
              <w:spacing w:before="0" w:beforeAutospacing="0" w:after="0" w:afterAutospacing="0"/>
              <w:jc w:val="center"/>
              <w:rPr>
                <w:sz w:val="14"/>
                <w:szCs w:val="14"/>
              </w:rPr>
            </w:pPr>
            <w:r>
              <w:rPr>
                <w:rFonts w:ascii="Arial" w:hAnsi="Arial" w:cs="Arial"/>
                <w:sz w:val="14"/>
                <w:szCs w:val="14"/>
              </w:rPr>
              <w:t> </w:t>
            </w: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Paymentus Holdings, Inc</w:t>
            </w: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100.0</w:t>
            </w:r>
            <w:r>
              <w:rPr>
                <w:rFonts w:ascii="Arial" w:hAnsi="Arial" w:cs="Arial"/>
                <w:sz w:val="16"/>
                <w:szCs w:val="16"/>
              </w:rPr>
              <w:t>0</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145.1</w:t>
            </w:r>
            <w:r>
              <w:rPr>
                <w:rFonts w:ascii="Arial" w:hAnsi="Arial" w:cs="Arial"/>
                <w:sz w:val="16"/>
                <w:szCs w:val="16"/>
              </w:rPr>
              <w:t>8</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168.9</w:t>
            </w:r>
            <w:r>
              <w:rPr>
                <w:rFonts w:ascii="Arial" w:hAnsi="Arial" w:cs="Arial"/>
                <w:sz w:val="16"/>
                <w:szCs w:val="16"/>
              </w:rPr>
              <w:t>8</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138.0</w:t>
            </w:r>
            <w:r>
              <w:rPr>
                <w:rFonts w:ascii="Arial" w:hAnsi="Arial" w:cs="Arial"/>
                <w:sz w:val="16"/>
                <w:szCs w:val="16"/>
              </w:rPr>
              <w:t>4</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122.0</w:t>
            </w:r>
            <w:r>
              <w:rPr>
                <w:rFonts w:ascii="Arial" w:hAnsi="Arial" w:cs="Arial"/>
                <w:sz w:val="16"/>
                <w:szCs w:val="16"/>
              </w:rPr>
              <w:t>9</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117.2</w:t>
            </w:r>
            <w:r>
              <w:rPr>
                <w:rFonts w:ascii="Arial" w:hAnsi="Arial" w:cs="Arial"/>
                <w:sz w:val="16"/>
                <w:szCs w:val="16"/>
              </w:rPr>
              <w:t>9</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121.8</w:t>
            </w:r>
            <w:r>
              <w:rPr>
                <w:rFonts w:ascii="Arial" w:hAnsi="Arial" w:cs="Arial"/>
                <w:sz w:val="16"/>
                <w:szCs w:val="16"/>
              </w:rPr>
              <w:t>6</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140.7</w:t>
            </w:r>
            <w:r>
              <w:rPr>
                <w:rFonts w:ascii="Arial" w:hAnsi="Arial" w:cs="Arial"/>
                <w:sz w:val="16"/>
                <w:szCs w:val="16"/>
              </w:rPr>
              <w:t>1</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166.6</w:t>
            </w:r>
            <w:r>
              <w:rPr>
                <w:rFonts w:ascii="Arial" w:hAnsi="Arial" w:cs="Arial"/>
                <w:sz w:val="16"/>
                <w:szCs w:val="16"/>
              </w:rPr>
              <w:t>0</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S&amp;P 500 Inde</w:t>
            </w:r>
            <w:r>
              <w:rPr>
                <w:rFonts w:ascii="Arial" w:hAnsi="Arial" w:cs="Arial"/>
                <w:sz w:val="16"/>
                <w:szCs w:val="16"/>
              </w:rPr>
              <w:t>x</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100.0</w:t>
            </w:r>
            <w:r>
              <w:rPr>
                <w:rFonts w:ascii="Arial" w:hAnsi="Arial" w:cs="Arial"/>
                <w:sz w:val="16"/>
                <w:szCs w:val="16"/>
              </w:rPr>
              <w:t>0</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84.0</w:t>
            </w:r>
            <w:r>
              <w:rPr>
                <w:rFonts w:ascii="Arial" w:hAnsi="Arial" w:cs="Arial"/>
                <w:sz w:val="16"/>
                <w:szCs w:val="16"/>
              </w:rPr>
              <w:t>8</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85.9</w:t>
            </w:r>
            <w:r>
              <w:rPr>
                <w:rFonts w:ascii="Arial" w:hAnsi="Arial" w:cs="Arial"/>
                <w:sz w:val="16"/>
                <w:szCs w:val="16"/>
              </w:rPr>
              <w:t>5</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87.9</w:t>
            </w:r>
            <w:r>
              <w:rPr>
                <w:rFonts w:ascii="Arial" w:hAnsi="Arial" w:cs="Arial"/>
                <w:sz w:val="16"/>
                <w:szCs w:val="16"/>
              </w:rPr>
              <w:t>1</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90.4</w:t>
            </w:r>
            <w:r>
              <w:rPr>
                <w:rFonts w:ascii="Arial" w:hAnsi="Arial" w:cs="Arial"/>
                <w:sz w:val="16"/>
                <w:szCs w:val="16"/>
              </w:rPr>
              <w:t>5</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86.1</w:t>
            </w:r>
            <w:r>
              <w:rPr>
                <w:rFonts w:ascii="Arial" w:hAnsi="Arial" w:cs="Arial"/>
                <w:sz w:val="16"/>
                <w:szCs w:val="16"/>
              </w:rPr>
              <w:t>5</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92.1</w:t>
            </w:r>
            <w:r>
              <w:rPr>
                <w:rFonts w:ascii="Arial" w:hAnsi="Arial" w:cs="Arial"/>
                <w:sz w:val="16"/>
                <w:szCs w:val="16"/>
              </w:rPr>
              <w:t>1</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91.3</w:t>
            </w:r>
            <w:r>
              <w:rPr>
                <w:rFonts w:ascii="Arial" w:hAnsi="Arial" w:cs="Arial"/>
                <w:sz w:val="16"/>
                <w:szCs w:val="16"/>
              </w:rPr>
              <w:t>4</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95.3</w:t>
            </w:r>
            <w:r>
              <w:rPr>
                <w:rFonts w:ascii="Arial" w:hAnsi="Arial" w:cs="Arial"/>
                <w:sz w:val="16"/>
                <w:szCs w:val="16"/>
              </w:rPr>
              <w:t>2</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S&amp;P Information Technolog</w:t>
            </w:r>
            <w:r>
              <w:rPr>
                <w:rFonts w:ascii="Arial" w:hAnsi="Arial" w:cs="Arial"/>
                <w:sz w:val="16"/>
                <w:szCs w:val="16"/>
              </w:rPr>
              <w:t>y</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100.0</w:t>
            </w:r>
            <w:r>
              <w:rPr>
                <w:rFonts w:ascii="Arial" w:hAnsi="Arial" w:cs="Arial"/>
                <w:sz w:val="16"/>
                <w:szCs w:val="16"/>
              </w:rPr>
              <w:t>0</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97.0</w:t>
            </w:r>
            <w:r>
              <w:rPr>
                <w:rFonts w:ascii="Arial" w:hAnsi="Arial" w:cs="Arial"/>
                <w:sz w:val="16"/>
                <w:szCs w:val="16"/>
              </w:rPr>
              <w:t>8</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103.7</w:t>
            </w:r>
            <w:r>
              <w:rPr>
                <w:rFonts w:ascii="Arial" w:hAnsi="Arial" w:cs="Arial"/>
                <w:sz w:val="16"/>
                <w:szCs w:val="16"/>
              </w:rPr>
              <w:t>8</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107.7</w:t>
            </w:r>
            <w:r>
              <w:rPr>
                <w:rFonts w:ascii="Arial" w:hAnsi="Arial" w:cs="Arial"/>
                <w:sz w:val="16"/>
                <w:szCs w:val="16"/>
              </w:rPr>
              <w:t>4</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111.4</w:t>
            </w:r>
            <w:r>
              <w:rPr>
                <w:rFonts w:ascii="Arial" w:hAnsi="Arial" w:cs="Arial"/>
                <w:sz w:val="16"/>
                <w:szCs w:val="16"/>
              </w:rPr>
              <w:t>4</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104.9</w:t>
            </w:r>
            <w:r>
              <w:rPr>
                <w:rFonts w:ascii="Arial" w:hAnsi="Arial" w:cs="Arial"/>
                <w:sz w:val="16"/>
                <w:szCs w:val="16"/>
              </w:rPr>
              <w:t>5</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113.4</w:t>
            </w:r>
            <w:r>
              <w:rPr>
                <w:rFonts w:ascii="Arial" w:hAnsi="Arial" w:cs="Arial"/>
                <w:sz w:val="16"/>
                <w:szCs w:val="16"/>
              </w:rPr>
              <w:t>8</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118.2</w:t>
            </w:r>
            <w:r>
              <w:rPr>
                <w:rFonts w:ascii="Arial" w:hAnsi="Arial" w:cs="Arial"/>
                <w:sz w:val="16"/>
                <w:szCs w:val="16"/>
              </w:rPr>
              <w:t>8</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122.2</w:t>
            </w:r>
            <w:r>
              <w:rPr>
                <w:rFonts w:ascii="Arial" w:hAnsi="Arial" w:cs="Arial"/>
                <w:sz w:val="16"/>
                <w:szCs w:val="16"/>
              </w:rPr>
              <w:t>2</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bl>
    <w:p w:rsidR="00000000" w:rsidRDefault="00010F15">
      <w:pPr>
        <w:pStyle w:val="a3"/>
        <w:spacing w:before="120" w:beforeAutospacing="0" w:after="0" w:afterAutospacing="0"/>
        <w:ind w:firstLine="539"/>
        <w:rPr>
          <w:sz w:val="20"/>
          <w:szCs w:val="20"/>
        </w:rPr>
      </w:pPr>
      <w:r>
        <w:rPr>
          <w:rFonts w:ascii="Arial" w:hAnsi="Arial" w:cs="Arial"/>
          <w:sz w:val="20"/>
          <w:szCs w:val="20"/>
        </w:rPr>
        <w:t>We will neither make nor endorse any predictions as to future stock performance or whether the trends depicted in the graph above will continue or change in the future</w:t>
      </w:r>
      <w:r>
        <w:rPr>
          <w:rFonts w:ascii="Arial" w:hAnsi="Arial" w:cs="Arial"/>
          <w:sz w:val="20"/>
          <w:szCs w:val="20"/>
        </w:rPr>
        <w:t>.</w:t>
      </w:r>
    </w:p>
    <w:p w:rsidR="00000000" w:rsidRDefault="00010F15">
      <w:pPr>
        <w:pStyle w:val="a3"/>
        <w:spacing w:before="360" w:beforeAutospacing="0" w:after="120" w:afterAutospacing="0"/>
        <w:rPr>
          <w:sz w:val="20"/>
          <w:szCs w:val="20"/>
        </w:rPr>
      </w:pPr>
      <w:r>
        <w:rPr>
          <w:rFonts w:ascii="Arial" w:hAnsi="Arial" w:cs="Arial"/>
          <w:b/>
          <w:bCs/>
          <w:sz w:val="20"/>
          <w:szCs w:val="20"/>
        </w:rPr>
        <w:t>Item 6. [</w:t>
      </w:r>
      <w:r>
        <w:rPr>
          <w:rFonts w:ascii="Arial" w:hAnsi="Arial" w:cs="Arial"/>
          <w:b/>
          <w:bCs/>
          <w:sz w:val="20"/>
          <w:szCs w:val="20"/>
        </w:rPr>
        <w:t>R</w:t>
      </w:r>
      <w:r>
        <w:rPr>
          <w:rFonts w:ascii="Arial" w:hAnsi="Arial" w:cs="Arial"/>
          <w:b/>
          <w:bCs/>
          <w:sz w:val="20"/>
          <w:szCs w:val="20"/>
        </w:rPr>
        <w:t>eserved</w:t>
      </w:r>
      <w:r>
        <w:rPr>
          <w:rFonts w:ascii="Arial" w:hAnsi="Arial" w:cs="Arial"/>
          <w:b/>
          <w:bCs/>
          <w:sz w:val="20"/>
          <w:szCs w:val="20"/>
        </w:rPr>
        <w:t>]</w:t>
      </w:r>
    </w:p>
    <w:p w:rsidR="00000000" w:rsidRDefault="00010F15">
      <w:pPr>
        <w:pStyle w:val="a3"/>
        <w:spacing w:before="0" w:beforeAutospacing="0" w:after="0" w:afterAutospacing="0"/>
        <w:rPr>
          <w:sz w:val="20"/>
          <w:szCs w:val="20"/>
        </w:rPr>
      </w:pPr>
      <w:r>
        <w:rPr>
          <w:rFonts w:ascii="Arial" w:hAnsi="Arial" w:cs="Arial"/>
          <w:b/>
          <w:bCs/>
          <w:sz w:val="20"/>
          <w:szCs w:val="20"/>
        </w:rPr>
        <w:t>Item 7. Man</w:t>
      </w:r>
      <w:r>
        <w:rPr>
          <w:rFonts w:ascii="Arial" w:hAnsi="Arial" w:cs="Arial"/>
          <w:b/>
          <w:bCs/>
          <w:sz w:val="20"/>
          <w:szCs w:val="20"/>
        </w:rPr>
        <w:t>a</w:t>
      </w:r>
      <w:r>
        <w:rPr>
          <w:rFonts w:ascii="Arial" w:hAnsi="Arial" w:cs="Arial"/>
          <w:b/>
          <w:bCs/>
          <w:sz w:val="20"/>
          <w:szCs w:val="20"/>
        </w:rPr>
        <w:t>gement’</w:t>
      </w:r>
      <w:r>
        <w:rPr>
          <w:rFonts w:ascii="Arial" w:hAnsi="Arial" w:cs="Arial"/>
          <w:b/>
          <w:bCs/>
          <w:sz w:val="20"/>
          <w:szCs w:val="20"/>
        </w:rPr>
        <w:t>s Discussion and Analysis of Financial Condition and Results of Operation</w:t>
      </w:r>
      <w:r>
        <w:rPr>
          <w:rFonts w:ascii="Arial" w:hAnsi="Arial" w:cs="Arial"/>
          <w:b/>
          <w:bCs/>
          <w:sz w:val="20"/>
          <w:szCs w:val="20"/>
        </w:rPr>
        <w:t>s</w:t>
      </w:r>
    </w:p>
    <w:p w:rsidR="00000000" w:rsidRDefault="00010F15">
      <w:pPr>
        <w:pStyle w:val="a3"/>
        <w:spacing w:before="240" w:beforeAutospacing="0" w:after="0" w:afterAutospacing="0"/>
        <w:ind w:firstLine="543"/>
        <w:rPr>
          <w:sz w:val="20"/>
          <w:szCs w:val="20"/>
        </w:rPr>
      </w:pPr>
      <w:r>
        <w:rPr>
          <w:rFonts w:ascii="Arial" w:hAnsi="Arial" w:cs="Arial"/>
          <w:sz w:val="20"/>
          <w:szCs w:val="20"/>
        </w:rPr>
        <w:t>The following discussion and analysis of our financial condition and results of operations should be read in conjunction with our consolidated financial statements and related notes</w:t>
      </w:r>
      <w:r>
        <w:rPr>
          <w:rFonts w:ascii="Arial" w:hAnsi="Arial" w:cs="Arial"/>
          <w:sz w:val="20"/>
          <w:szCs w:val="20"/>
        </w:rPr>
        <w:t xml:space="preserve"> appearing elsewhere in this Annual Report on Form 10-K. As discussed in the section titled “Special Note Regarding Forward-Looking Statements,” the following discussion and analysis contains forward-looking statements that involve risks and uncertainties,</w:t>
      </w:r>
      <w:r>
        <w:rPr>
          <w:rFonts w:ascii="Arial" w:hAnsi="Arial" w:cs="Arial"/>
          <w:sz w:val="20"/>
          <w:szCs w:val="20"/>
        </w:rPr>
        <w:t xml:space="preserve"> as well as assumptions that, if they never materialize or prove incorrect, could cause our results to differ materially from those expressed or implied by such forward-looking statements. Factors that could cause or contribute to these differences include</w:t>
      </w:r>
      <w:r>
        <w:rPr>
          <w:rFonts w:ascii="Arial" w:hAnsi="Arial" w:cs="Arial"/>
          <w:sz w:val="20"/>
          <w:szCs w:val="20"/>
        </w:rPr>
        <w:t>, but are not limited to, impacts on our business and general economic conditions due to the COVID-19 pandemic, those identified below, those discussed in “Special Note Regarding Forward-Looking Statements” and those discussed in the section titled “Risk F</w:t>
      </w:r>
      <w:r>
        <w:rPr>
          <w:rFonts w:ascii="Arial" w:hAnsi="Arial" w:cs="Arial"/>
          <w:sz w:val="20"/>
          <w:szCs w:val="20"/>
        </w:rPr>
        <w:t>actors” under Part I, Item 1A in this Annual Report on Form 10-K</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43"/>
        <w:rPr>
          <w:sz w:val="20"/>
          <w:szCs w:val="20"/>
        </w:rPr>
      </w:pPr>
      <w:r>
        <w:rPr>
          <w:rFonts w:ascii="Arial" w:hAnsi="Arial" w:cs="Arial"/>
          <w:sz w:val="20"/>
          <w:szCs w:val="20"/>
        </w:rPr>
        <w:t>A discussion of changes in our results of operations from fiscal year 2019 to fiscal year 2020 and a discussion of our liquidity and capital resources for 2019 has been omitted from this An</w:t>
      </w:r>
      <w:r>
        <w:rPr>
          <w:rFonts w:ascii="Arial" w:hAnsi="Arial" w:cs="Arial"/>
          <w:sz w:val="20"/>
          <w:szCs w:val="20"/>
        </w:rPr>
        <w:t xml:space="preserve">nual Report but may be found under the heading “Management’s Discussion and Analysis of Financial Condition and Results of Operations—Comparison of the Years Ended December 31, 2019 and 2020” and “—Liquidity and Capital Resources—Historical Cash Flows" in </w:t>
      </w:r>
      <w:r>
        <w:rPr>
          <w:rFonts w:ascii="Arial" w:hAnsi="Arial" w:cs="Arial"/>
          <w:sz w:val="20"/>
          <w:szCs w:val="20"/>
        </w:rPr>
        <w:t>our fina</w:t>
      </w:r>
      <w:r>
        <w:rPr>
          <w:rFonts w:ascii="Arial" w:hAnsi="Arial" w:cs="Arial"/>
          <w:sz w:val="20"/>
          <w:szCs w:val="20"/>
        </w:rPr>
        <w:t>l</w:t>
      </w:r>
      <w:r>
        <w:rPr>
          <w:rFonts w:ascii="Arial" w:hAnsi="Arial" w:cs="Arial"/>
          <w:sz w:val="20"/>
          <w:szCs w:val="20"/>
        </w:rPr>
        <w:t xml:space="preserve"> </w:t>
      </w:r>
    </w:p>
    <w:p w:rsidR="00000000" w:rsidRDefault="00010F15">
      <w:pPr>
        <w:pStyle w:val="a3"/>
        <w:spacing w:before="0" w:beforeAutospacing="0" w:after="0" w:afterAutospacing="0"/>
        <w:jc w:val="center"/>
        <w:rPr>
          <w:sz w:val="20"/>
          <w:szCs w:val="20"/>
        </w:rPr>
      </w:pPr>
      <w:r>
        <w:rPr>
          <w:rFonts w:ascii="Arial" w:hAnsi="Arial" w:cs="Arial"/>
          <w:sz w:val="20"/>
          <w:szCs w:val="20"/>
        </w:rPr>
        <w:t>5</w:t>
      </w:r>
      <w:r>
        <w:rPr>
          <w:rFonts w:ascii="Arial" w:hAnsi="Arial" w:cs="Arial"/>
          <w:sz w:val="20"/>
          <w:szCs w:val="20"/>
        </w:rPr>
        <w:t>5</w:t>
      </w:r>
    </w:p>
    <w:p w:rsidR="00000000" w:rsidRDefault="00010F15">
      <w:pPr>
        <w:rPr>
          <w:rFonts w:eastAsia="Times New Roman"/>
        </w:rPr>
      </w:pPr>
      <w:r>
        <w:rPr>
          <w:rFonts w:eastAsia="Times New Roman"/>
        </w:rPr>
        <w:pict>
          <v:rect id="_x0000_i1080"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120" w:beforeAutospacing="0" w:after="0" w:afterAutospacing="0"/>
        <w:rPr>
          <w:sz w:val="20"/>
          <w:szCs w:val="20"/>
        </w:rPr>
      </w:pPr>
      <w:r>
        <w:rPr>
          <w:rFonts w:ascii="Arial" w:hAnsi="Arial" w:cs="Arial"/>
          <w:sz w:val="20"/>
          <w:szCs w:val="20"/>
        </w:rPr>
        <w:t>prospectus dated May 25, 2021 and filed with the SEC on May 26, 2021 pursuant to rule 424(b)(4), which is available free of charge on the SECs website at www.sec.gov and our website at https://ir.paymentus.com/home/default.aspx</w:t>
      </w:r>
      <w:r>
        <w:rPr>
          <w:rFonts w:ascii="Arial" w:hAnsi="Arial" w:cs="Arial"/>
          <w:sz w:val="20"/>
          <w:szCs w:val="20"/>
        </w:rPr>
        <w:t>.</w:t>
      </w:r>
    </w:p>
    <w:p w:rsidR="00000000" w:rsidRDefault="00010F15">
      <w:pPr>
        <w:pStyle w:val="a3"/>
        <w:spacing w:before="240" w:beforeAutospacing="0" w:after="0" w:afterAutospacing="0"/>
        <w:jc w:val="center"/>
        <w:rPr>
          <w:sz w:val="20"/>
          <w:szCs w:val="20"/>
        </w:rPr>
      </w:pPr>
      <w:r>
        <w:rPr>
          <w:rFonts w:ascii="Arial" w:hAnsi="Arial" w:cs="Arial"/>
          <w:b/>
          <w:bCs/>
          <w:sz w:val="20"/>
          <w:szCs w:val="20"/>
        </w:rPr>
        <w:t>Overvie</w:t>
      </w:r>
      <w:r>
        <w:rPr>
          <w:rFonts w:ascii="Arial" w:hAnsi="Arial" w:cs="Arial"/>
          <w:b/>
          <w:bCs/>
          <w:sz w:val="20"/>
          <w:szCs w:val="20"/>
        </w:rPr>
        <w:t>w</w:t>
      </w:r>
    </w:p>
    <w:p w:rsidR="00000000" w:rsidRDefault="00010F15">
      <w:pPr>
        <w:pStyle w:val="a3"/>
        <w:spacing w:before="120" w:beforeAutospacing="0" w:after="0" w:afterAutospacing="0"/>
        <w:ind w:firstLine="539"/>
        <w:rPr>
          <w:sz w:val="20"/>
          <w:szCs w:val="20"/>
        </w:rPr>
      </w:pPr>
      <w:r>
        <w:rPr>
          <w:rFonts w:ascii="Arial" w:hAnsi="Arial" w:cs="Arial"/>
          <w:sz w:val="20"/>
          <w:szCs w:val="20"/>
        </w:rPr>
        <w:t>We are a leading p</w:t>
      </w:r>
      <w:r>
        <w:rPr>
          <w:rFonts w:ascii="Arial" w:hAnsi="Arial" w:cs="Arial"/>
          <w:sz w:val="20"/>
          <w:szCs w:val="20"/>
        </w:rPr>
        <w:t>rovider of cloud-based bill payment technology and solutions. We deliver our next-generation product suite through a modern technology stack to more than 1,700 biller business and financial institution clients. Our platform was used by approximately 21 mil</w:t>
      </w:r>
      <w:r>
        <w:rPr>
          <w:rFonts w:ascii="Arial" w:hAnsi="Arial" w:cs="Arial"/>
          <w:sz w:val="20"/>
          <w:szCs w:val="20"/>
        </w:rPr>
        <w:t>lion consumers and businesses in North America in December 2021 to pay their bills, make money movements and engage with our clients. We serve billers of all sizes that primarily provide non-discretionary services across a variety of industry verticals, in</w:t>
      </w:r>
      <w:r>
        <w:rPr>
          <w:rFonts w:ascii="Arial" w:hAnsi="Arial" w:cs="Arial"/>
          <w:sz w:val="20"/>
          <w:szCs w:val="20"/>
        </w:rPr>
        <w:t>cluding utilities, financial services, insurance, government, telecommunications and healthcare. We also serve financial institutions by providing them with a modern platform that their customers use for bill payment, account-to-account transfers and perso</w:t>
      </w:r>
      <w:r>
        <w:rPr>
          <w:rFonts w:ascii="Arial" w:hAnsi="Arial" w:cs="Arial"/>
          <w:sz w:val="20"/>
          <w:szCs w:val="20"/>
        </w:rPr>
        <w:t>n-to-person transfers. By powering this comprehensive network of billers and financial institutions, each with their own set of bill payment requirements, we believe we have created an enviable feedback loop that enables us to continuously drive innovation</w:t>
      </w:r>
      <w:r>
        <w:rPr>
          <w:rFonts w:ascii="Arial" w:hAnsi="Arial" w:cs="Arial"/>
          <w:sz w:val="20"/>
          <w:szCs w:val="20"/>
        </w:rPr>
        <w:t>, grow our business and uniquely improve the electronic bill payment experience for participants in the bill payment ecosystem</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Our platform provides our clients with easy-to-use, flexible and secure electronic bill payment experiences powered by an omni-c</w:t>
      </w:r>
      <w:r>
        <w:rPr>
          <w:rFonts w:ascii="Arial" w:hAnsi="Arial" w:cs="Arial"/>
          <w:sz w:val="20"/>
          <w:szCs w:val="20"/>
        </w:rPr>
        <w:t>hannel payment infrastructure that allows consumers to pay their bills using their preferred payment type and channel. Because our biller platform is developed on a single code base and leverages a SaaS infrastructure, we can rapidly deploy new features an</w:t>
      </w:r>
      <w:r>
        <w:rPr>
          <w:rFonts w:ascii="Arial" w:hAnsi="Arial" w:cs="Arial"/>
          <w:sz w:val="20"/>
          <w:szCs w:val="20"/>
        </w:rPr>
        <w:t>d tools to our entire biller base simultaneously. Through a single point of integration to our billers’ core financial and operating systems, our mission-critical solutions provide our billers with a payments operating system that helps them collect revenu</w:t>
      </w:r>
      <w:r>
        <w:rPr>
          <w:rFonts w:ascii="Arial" w:hAnsi="Arial" w:cs="Arial"/>
          <w:sz w:val="20"/>
          <w:szCs w:val="20"/>
        </w:rPr>
        <w:t>e faster and more profitably and empower their consumers with the information and transparency needed to control their finances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We generate substantially all of our revenue from payment transaction fees and have achieved significant growth through our cap</w:t>
      </w:r>
      <w:r>
        <w:rPr>
          <w:rFonts w:ascii="Arial" w:hAnsi="Arial" w:cs="Arial"/>
          <w:sz w:val="20"/>
          <w:szCs w:val="20"/>
        </w:rPr>
        <w:t>ital efficient model. We rely on a diversified go-to-market strategy to reach new billers. We acquire new billers through direct sales channels, software and strategic partnerships and our Instant Payment Network, or IPN, which together promote rapid adopt</w:t>
      </w:r>
      <w:r>
        <w:rPr>
          <w:rFonts w:ascii="Arial" w:hAnsi="Arial" w:cs="Arial"/>
          <w:sz w:val="20"/>
          <w:szCs w:val="20"/>
        </w:rPr>
        <w:t>ion of our platform through partnerships with leading business networks. Through these channels, our platform reaches millions of consumers, driving transaction growth</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Our revenue is highly visible. We derive the majority of our revenue from a fee paid pe</w:t>
      </w:r>
      <w:r>
        <w:rPr>
          <w:rFonts w:ascii="Arial" w:hAnsi="Arial" w:cs="Arial"/>
          <w:sz w:val="20"/>
          <w:szCs w:val="20"/>
        </w:rPr>
        <w:t>r transaction by the consumer, the biller or a combination of both. Our usage-based monetization strategy aligns our economic success with the success of our billers and partners. Since we benefit from increased transactional volume, we do not charge separ</w:t>
      </w:r>
      <w:r>
        <w:rPr>
          <w:rFonts w:ascii="Arial" w:hAnsi="Arial" w:cs="Arial"/>
          <w:sz w:val="20"/>
          <w:szCs w:val="20"/>
        </w:rPr>
        <w:t>ate license fees or implementation fees. In addition, our modern platform architecture allows us to provide integration, implementation, maintenance and upgrades at no additional cost to billers</w:t>
      </w:r>
      <w:r>
        <w:rPr>
          <w:rFonts w:ascii="Arial" w:hAnsi="Arial" w:cs="Arial"/>
          <w:sz w:val="20"/>
          <w:szCs w:val="20"/>
        </w:rPr>
        <w:t>.</w:t>
      </w:r>
    </w:p>
    <w:p w:rsidR="00000000" w:rsidRDefault="00010F15">
      <w:pPr>
        <w:pStyle w:val="a3"/>
        <w:spacing w:before="240" w:beforeAutospacing="0" w:after="0" w:afterAutospacing="0"/>
        <w:jc w:val="center"/>
        <w:rPr>
          <w:sz w:val="20"/>
          <w:szCs w:val="20"/>
        </w:rPr>
      </w:pPr>
      <w:r>
        <w:rPr>
          <w:rFonts w:ascii="Arial" w:hAnsi="Arial" w:cs="Arial"/>
          <w:b/>
          <w:bCs/>
          <w:sz w:val="20"/>
          <w:szCs w:val="20"/>
        </w:rPr>
        <w:t>Impact of the COVID-19 Pandemi</w:t>
      </w:r>
      <w:r>
        <w:rPr>
          <w:rFonts w:ascii="Arial" w:hAnsi="Arial" w:cs="Arial"/>
          <w:b/>
          <w:bCs/>
          <w:sz w:val="20"/>
          <w:szCs w:val="20"/>
        </w:rPr>
        <w:t>c</w:t>
      </w:r>
    </w:p>
    <w:p w:rsidR="00000000" w:rsidRDefault="00010F15">
      <w:pPr>
        <w:pStyle w:val="a3"/>
        <w:spacing w:before="120" w:beforeAutospacing="0" w:after="0" w:afterAutospacing="0"/>
        <w:ind w:firstLine="543"/>
        <w:rPr>
          <w:sz w:val="20"/>
          <w:szCs w:val="20"/>
        </w:rPr>
      </w:pPr>
      <w:r>
        <w:rPr>
          <w:rFonts w:ascii="Arial" w:hAnsi="Arial" w:cs="Arial"/>
          <w:sz w:val="20"/>
          <w:szCs w:val="20"/>
        </w:rPr>
        <w:t>The COVID-19 pandemic, inclu</w:t>
      </w:r>
      <w:r>
        <w:rPr>
          <w:rFonts w:ascii="Arial" w:hAnsi="Arial" w:cs="Arial"/>
          <w:sz w:val="20"/>
          <w:szCs w:val="20"/>
        </w:rPr>
        <w:t>ding its variants, and efforts to control its spread have significantly curtailed the movement of people, goods and services in the United States, where we generate substantially all of our revenue, and worldwide, where we are targeting future growth. It h</w:t>
      </w:r>
      <w:r>
        <w:rPr>
          <w:rFonts w:ascii="Arial" w:hAnsi="Arial" w:cs="Arial"/>
          <w:sz w:val="20"/>
          <w:szCs w:val="20"/>
        </w:rPr>
        <w:t>as also caused extreme societal, economic and financial market volatility, resulting in business shutdowns and a global economic downturn. The magnitude and duration of the COVID-19 pandemic and the magnitude and duration of its effect on business activity</w:t>
      </w:r>
      <w:r>
        <w:rPr>
          <w:rFonts w:ascii="Arial" w:hAnsi="Arial" w:cs="Arial"/>
          <w:sz w:val="20"/>
          <w:szCs w:val="20"/>
        </w:rPr>
        <w:t xml:space="preserve"> cannot be predicted with any certainty</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In light of the uncertainty relating to the spread of COVID-19, we have taken precautionary measures intended to reduce the risk of the virus spreading to our employees, billers and partners, and we may take further</w:t>
      </w:r>
      <w:r>
        <w:rPr>
          <w:rFonts w:ascii="Arial" w:hAnsi="Arial" w:cs="Arial"/>
          <w:sz w:val="20"/>
          <w:szCs w:val="20"/>
        </w:rPr>
        <w:t xml:space="preserve"> precautionary measures. In particular, governmental authorities have at times instituted, and in the future may institute, shelter-in-place policies and other restrictions in many jurisdictions in which we operate, including in Redmond, Washington, where </w:t>
      </w:r>
      <w:r>
        <w:rPr>
          <w:rFonts w:ascii="Arial" w:hAnsi="Arial" w:cs="Arial"/>
          <w:sz w:val="20"/>
          <w:szCs w:val="20"/>
        </w:rPr>
        <w:t>our headquarters are located, and Toronto, Canada, Charlotte, North Carolina and Delhi, India, where we maintain significant operations, which policies and restrictions have at times required our employees to work remotely. Even as shelter-in-place policie</w:t>
      </w:r>
      <w:r>
        <w:rPr>
          <w:rFonts w:ascii="Arial" w:hAnsi="Arial" w:cs="Arial"/>
          <w:sz w:val="20"/>
          <w:szCs w:val="20"/>
        </w:rPr>
        <w:t>s or other governmental restrictions are lifted, we are taking, and expect to continue to take, a measured and careful approach to having employees return to offices and travel for business. These precautionary measures and policies could negatively impact</w:t>
      </w:r>
      <w:r>
        <w:rPr>
          <w:rFonts w:ascii="Arial" w:hAnsi="Arial" w:cs="Arial"/>
          <w:sz w:val="20"/>
          <w:szCs w:val="20"/>
        </w:rPr>
        <w:t xml:space="preserve"> employee productivity, training and collaboration or otherwise disrupt our business operations. In addition, such restrictions impact certain of our sales efforts, marketing efforts and implementations, adversely affecting the effectiveness of such effort</w:t>
      </w:r>
      <w:r>
        <w:rPr>
          <w:rFonts w:ascii="Arial" w:hAnsi="Arial" w:cs="Arial"/>
          <w:sz w:val="20"/>
          <w:szCs w:val="20"/>
        </w:rPr>
        <w:t>s in some cases and potentially inhibiting future growth</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In addition, the COVID-19 pandemic has disrupted and may continue to disrupt the operations of our billers and partners for an indefinite period of time, which in turn could negatively impact our b</w:t>
      </w:r>
      <w:r>
        <w:rPr>
          <w:rFonts w:ascii="Arial" w:hAnsi="Arial" w:cs="Arial"/>
          <w:sz w:val="20"/>
          <w:szCs w:val="20"/>
        </w:rPr>
        <w:t>usiness and operating results. Widespread remote work arrangements may also negatively impact our billers’ and partners’ operations, and the operations of third-party service providers who perform critical services for us, and, by extension, our operations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We will continue to evaluate the nature and extent of the COVID-19 pandemic’s potential impact on our business, operating results and financial condition. See the section titled “Risk Factors—Risks Related to Our Business and Industry—The COVID-19 pandem</w:t>
      </w:r>
      <w:r>
        <w:rPr>
          <w:rFonts w:ascii="Arial" w:hAnsi="Arial" w:cs="Arial"/>
          <w:sz w:val="20"/>
          <w:szCs w:val="20"/>
        </w:rPr>
        <w:t>ic, including existing and future variants, could have a material adverse impact on ou</w:t>
      </w:r>
      <w:r>
        <w:rPr>
          <w:rFonts w:ascii="Arial" w:hAnsi="Arial" w:cs="Arial"/>
          <w:sz w:val="20"/>
          <w:szCs w:val="20"/>
        </w:rPr>
        <w:t>r</w:t>
      </w:r>
      <w:r>
        <w:rPr>
          <w:rFonts w:ascii="Arial" w:hAnsi="Arial" w:cs="Arial"/>
          <w:sz w:val="20"/>
          <w:szCs w:val="20"/>
        </w:rPr>
        <w:t xml:space="preserve"> </w:t>
      </w:r>
    </w:p>
    <w:p w:rsidR="00000000" w:rsidRDefault="00010F15">
      <w:pPr>
        <w:pStyle w:val="a3"/>
        <w:spacing w:before="0" w:beforeAutospacing="0" w:after="0" w:afterAutospacing="0"/>
        <w:jc w:val="center"/>
        <w:rPr>
          <w:sz w:val="20"/>
          <w:szCs w:val="20"/>
        </w:rPr>
      </w:pPr>
      <w:r>
        <w:rPr>
          <w:rFonts w:ascii="Arial" w:hAnsi="Arial" w:cs="Arial"/>
          <w:sz w:val="20"/>
          <w:szCs w:val="20"/>
        </w:rPr>
        <w:t>5</w:t>
      </w:r>
      <w:r>
        <w:rPr>
          <w:rFonts w:ascii="Arial" w:hAnsi="Arial" w:cs="Arial"/>
          <w:sz w:val="20"/>
          <w:szCs w:val="20"/>
        </w:rPr>
        <w:t>6</w:t>
      </w:r>
    </w:p>
    <w:p w:rsidR="00000000" w:rsidRDefault="00010F15">
      <w:pPr>
        <w:rPr>
          <w:rFonts w:eastAsia="Times New Roman"/>
        </w:rPr>
      </w:pPr>
      <w:r>
        <w:rPr>
          <w:rFonts w:eastAsia="Times New Roman"/>
        </w:rPr>
        <w:pict>
          <v:rect id="_x0000_i1081"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120" w:beforeAutospacing="0" w:after="0" w:afterAutospacing="0"/>
        <w:rPr>
          <w:sz w:val="20"/>
          <w:szCs w:val="20"/>
        </w:rPr>
      </w:pPr>
      <w:r>
        <w:rPr>
          <w:rFonts w:ascii="Arial" w:hAnsi="Arial" w:cs="Arial"/>
          <w:sz w:val="20"/>
          <w:szCs w:val="20"/>
        </w:rPr>
        <w:t>employees, billers, partners, consumers and other key stakeholders, which could materially and adversely impact our business, operating results and financial condition.</w:t>
      </w:r>
      <w:r>
        <w:rPr>
          <w:rFonts w:ascii="Arial" w:hAnsi="Arial" w:cs="Arial"/>
          <w:sz w:val="20"/>
          <w:szCs w:val="20"/>
        </w:rPr>
        <w:t>”</w:t>
      </w:r>
    </w:p>
    <w:p w:rsidR="00000000" w:rsidRDefault="00010F15">
      <w:pPr>
        <w:pStyle w:val="a3"/>
        <w:spacing w:before="240" w:beforeAutospacing="0" w:after="0" w:afterAutospacing="0"/>
        <w:jc w:val="center"/>
        <w:rPr>
          <w:sz w:val="20"/>
          <w:szCs w:val="20"/>
        </w:rPr>
      </w:pPr>
      <w:r>
        <w:rPr>
          <w:rFonts w:ascii="Arial" w:hAnsi="Arial" w:cs="Arial"/>
          <w:b/>
          <w:bCs/>
          <w:sz w:val="20"/>
          <w:szCs w:val="20"/>
        </w:rPr>
        <w:t>Components of Results of Operation</w:t>
      </w:r>
      <w:r>
        <w:rPr>
          <w:rFonts w:ascii="Arial" w:hAnsi="Arial" w:cs="Arial"/>
          <w:b/>
          <w:bCs/>
          <w:sz w:val="20"/>
          <w:szCs w:val="20"/>
        </w:rPr>
        <w:t>s</w:t>
      </w:r>
    </w:p>
    <w:p w:rsidR="00000000" w:rsidRDefault="00010F15">
      <w:pPr>
        <w:pStyle w:val="a3"/>
        <w:spacing w:before="240" w:beforeAutospacing="0" w:after="0" w:afterAutospacing="0"/>
        <w:rPr>
          <w:sz w:val="20"/>
          <w:szCs w:val="20"/>
        </w:rPr>
      </w:pPr>
      <w:r>
        <w:rPr>
          <w:rFonts w:ascii="Arial" w:hAnsi="Arial" w:cs="Arial"/>
          <w:b/>
          <w:bCs/>
          <w:i/>
          <w:iCs/>
          <w:sz w:val="20"/>
          <w:szCs w:val="20"/>
        </w:rPr>
        <w:t>Revenu</w:t>
      </w:r>
      <w:r>
        <w:rPr>
          <w:rFonts w:ascii="Arial" w:hAnsi="Arial" w:cs="Arial"/>
          <w:b/>
          <w:bCs/>
          <w:i/>
          <w:iCs/>
          <w:sz w:val="20"/>
          <w:szCs w:val="20"/>
        </w:rPr>
        <w:t>e</w:t>
      </w:r>
    </w:p>
    <w:p w:rsidR="00000000" w:rsidRDefault="00010F15">
      <w:pPr>
        <w:pStyle w:val="a3"/>
        <w:spacing w:before="120" w:beforeAutospacing="0" w:after="0" w:afterAutospacing="0"/>
        <w:ind w:firstLine="539"/>
        <w:rPr>
          <w:sz w:val="20"/>
          <w:szCs w:val="20"/>
        </w:rPr>
      </w:pPr>
      <w:r>
        <w:rPr>
          <w:rFonts w:ascii="Arial" w:hAnsi="Arial" w:cs="Arial"/>
          <w:sz w:val="20"/>
          <w:szCs w:val="20"/>
        </w:rPr>
        <w:t>We g</w:t>
      </w:r>
      <w:r>
        <w:rPr>
          <w:rFonts w:ascii="Arial" w:hAnsi="Arial" w:cs="Arial"/>
          <w:sz w:val="20"/>
          <w:szCs w:val="20"/>
        </w:rPr>
        <w:t xml:space="preserve">enerate substantially all of our revenue from payment transaction fees. Transaction fees are fees collected for each transaction processed through our platform, on either a fixed basis or variable basis based on the transaction value, with the actual fees </w:t>
      </w:r>
      <w:r>
        <w:rPr>
          <w:rFonts w:ascii="Arial" w:hAnsi="Arial" w:cs="Arial"/>
          <w:sz w:val="20"/>
          <w:szCs w:val="20"/>
        </w:rPr>
        <w:t>dependent on type of transaction, payment or transaction channel and industry vertical. However, irrespective of these factors, the transaction fees that we receive are generally consistent across transaction types, payment and transaction channels and ind</w:t>
      </w:r>
      <w:r>
        <w:rPr>
          <w:rFonts w:ascii="Arial" w:hAnsi="Arial" w:cs="Arial"/>
          <w:sz w:val="20"/>
          <w:szCs w:val="20"/>
        </w:rPr>
        <w:t>ustry verticals. We receive such transaction fees directly from billers, financial institutions, partners or, in some cases, from consumers as a convenience fee</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Cost of Revenue, Gross Profit and Gross Margi</w:t>
      </w:r>
      <w:r>
        <w:rPr>
          <w:rFonts w:ascii="Arial" w:hAnsi="Arial" w:cs="Arial"/>
          <w:b/>
          <w:bCs/>
          <w:i/>
          <w:iCs/>
          <w:sz w:val="20"/>
          <w:szCs w:val="20"/>
        </w:rPr>
        <w:t>n</w:t>
      </w:r>
    </w:p>
    <w:p w:rsidR="00000000" w:rsidRDefault="00010F15">
      <w:pPr>
        <w:pStyle w:val="a3"/>
        <w:spacing w:before="120" w:beforeAutospacing="0" w:after="0" w:afterAutospacing="0"/>
        <w:ind w:firstLine="539"/>
        <w:rPr>
          <w:sz w:val="20"/>
          <w:szCs w:val="20"/>
        </w:rPr>
      </w:pPr>
      <w:r>
        <w:rPr>
          <w:rFonts w:ascii="Arial" w:hAnsi="Arial" w:cs="Arial"/>
          <w:sz w:val="20"/>
          <w:szCs w:val="20"/>
        </w:rPr>
        <w:t>Cost of revenue consists of certain direct cost</w:t>
      </w:r>
      <w:r>
        <w:rPr>
          <w:rFonts w:ascii="Arial" w:hAnsi="Arial" w:cs="Arial"/>
          <w:sz w:val="20"/>
          <w:szCs w:val="20"/>
        </w:rPr>
        <w:t>s that are directly attributed to processing transactions on our platform. This includes interchange, assessment and network expenses incurred for processing payments as well as costs of servicing our clients through product support, implementations and cu</w:t>
      </w:r>
      <w:r>
        <w:rPr>
          <w:rFonts w:ascii="Arial" w:hAnsi="Arial" w:cs="Arial"/>
          <w:sz w:val="20"/>
          <w:szCs w:val="20"/>
        </w:rPr>
        <w:t>stomer care. Cost of revenue also includes an allocation of hosting and data center costs for our infrastructure and platform environment, telecommunication expenses used by sales and customer support teams and a portion of amortization of capitalized inte</w:t>
      </w:r>
      <w:r>
        <w:rPr>
          <w:rFonts w:ascii="Arial" w:hAnsi="Arial" w:cs="Arial"/>
          <w:sz w:val="20"/>
          <w:szCs w:val="20"/>
        </w:rPr>
        <w:t xml:space="preserve">rnal-use software development costs and a portion of amortization of intangible assets, including amortization of intangible assets acquired as part of our acquisitions of other businesses. We expect that cost of revenue will increase in absolute dollars, </w:t>
      </w:r>
      <w:r>
        <w:rPr>
          <w:rFonts w:ascii="Arial" w:hAnsi="Arial" w:cs="Arial"/>
          <w:sz w:val="20"/>
          <w:szCs w:val="20"/>
        </w:rPr>
        <w:t>but it may fluctuate as a percentage of revenue from period to period, as our transaction mix changes and we continue to invest in growing our business across all geographical segments, including through the acquisition of other businesses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There are exter</w:t>
      </w:r>
      <w:r>
        <w:rPr>
          <w:rFonts w:ascii="Arial" w:hAnsi="Arial" w:cs="Arial"/>
          <w:sz w:val="20"/>
          <w:szCs w:val="20"/>
        </w:rPr>
        <w:t xml:space="preserve">nal factors that impact interchange fees, such as the average transaction amount in a particular month or quarter. For example, hot summers and cold winters tend to increase utility bills, and property taxes result in two larger payments per year, each of </w:t>
      </w:r>
      <w:r>
        <w:rPr>
          <w:rFonts w:ascii="Arial" w:hAnsi="Arial" w:cs="Arial"/>
          <w:sz w:val="20"/>
          <w:szCs w:val="20"/>
        </w:rPr>
        <w:t>which increases our interchange cost</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 xml:space="preserve">Gross profit is equal to our revenue less cost of revenue. Gross profit as a percentage of our revenue is referred to as gross margin. Our gross margin has been and will continue to be affected by a number of factors, </w:t>
      </w:r>
      <w:r>
        <w:rPr>
          <w:rFonts w:ascii="Arial" w:hAnsi="Arial" w:cs="Arial"/>
          <w:sz w:val="20"/>
          <w:szCs w:val="20"/>
        </w:rPr>
        <w:t>including average transaction value, payment type and payments and transactions through our IPN</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Operating Expense</w:t>
      </w:r>
      <w:r>
        <w:rPr>
          <w:rFonts w:ascii="Arial" w:hAnsi="Arial" w:cs="Arial"/>
          <w:b/>
          <w:bCs/>
          <w:i/>
          <w:iCs/>
          <w:sz w:val="20"/>
          <w:szCs w:val="20"/>
        </w:rPr>
        <w:t>s</w:t>
      </w:r>
    </w:p>
    <w:p w:rsidR="00000000" w:rsidRDefault="00010F15">
      <w:pPr>
        <w:pStyle w:val="a3"/>
        <w:spacing w:before="120" w:beforeAutospacing="0" w:after="0" w:afterAutospacing="0"/>
        <w:ind w:firstLine="539"/>
        <w:rPr>
          <w:sz w:val="20"/>
          <w:szCs w:val="20"/>
        </w:rPr>
      </w:pPr>
      <w:r>
        <w:rPr>
          <w:rFonts w:ascii="Arial" w:hAnsi="Arial" w:cs="Arial"/>
          <w:i/>
          <w:iCs/>
          <w:sz w:val="20"/>
          <w:szCs w:val="20"/>
        </w:rPr>
        <w:t>Research and Developmen</w:t>
      </w:r>
      <w:r>
        <w:rPr>
          <w:rFonts w:ascii="Arial" w:hAnsi="Arial" w:cs="Arial"/>
          <w:i/>
          <w:iCs/>
          <w:sz w:val="20"/>
          <w:szCs w:val="20"/>
        </w:rPr>
        <w:t>t</w:t>
      </w:r>
    </w:p>
    <w:p w:rsidR="00000000" w:rsidRDefault="00010F15">
      <w:pPr>
        <w:pStyle w:val="a3"/>
        <w:spacing w:before="120" w:beforeAutospacing="0" w:after="0" w:afterAutospacing="0"/>
        <w:ind w:firstLine="539"/>
        <w:rPr>
          <w:sz w:val="20"/>
          <w:szCs w:val="20"/>
        </w:rPr>
      </w:pPr>
      <w:r>
        <w:rPr>
          <w:rFonts w:ascii="Arial" w:hAnsi="Arial" w:cs="Arial"/>
          <w:sz w:val="20"/>
          <w:szCs w:val="20"/>
        </w:rPr>
        <w:t>Research and development expenses consist of personnel-related expenses, including stock-based compensation expense</w:t>
      </w:r>
      <w:r>
        <w:rPr>
          <w:rFonts w:ascii="Arial" w:hAnsi="Arial" w:cs="Arial"/>
          <w:sz w:val="20"/>
          <w:szCs w:val="20"/>
        </w:rPr>
        <w:t>s, incurred in developing new products or enhancing existing products and are expensed as incurred, unless they qualify as internal-use software development costs, which are capitalized and amortized. We expect our research and development expenses to incr</w:t>
      </w:r>
      <w:r>
        <w:rPr>
          <w:rFonts w:ascii="Arial" w:hAnsi="Arial" w:cs="Arial"/>
          <w:sz w:val="20"/>
          <w:szCs w:val="20"/>
        </w:rPr>
        <w:t>ease in absolute dollars, but they may fluctuate as a percentage of revenue from period to period as we expand our research and development team to develop new products and product enhancements. Over the longer term, we expect research and development expe</w:t>
      </w:r>
      <w:r>
        <w:rPr>
          <w:rFonts w:ascii="Arial" w:hAnsi="Arial" w:cs="Arial"/>
          <w:sz w:val="20"/>
          <w:szCs w:val="20"/>
        </w:rPr>
        <w:t>nses to decrease as a percentage of revenue as we leverage the scale of our business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i/>
          <w:iCs/>
          <w:sz w:val="20"/>
          <w:szCs w:val="20"/>
        </w:rPr>
        <w:t>Sales and Marketin</w:t>
      </w:r>
      <w:r>
        <w:rPr>
          <w:rFonts w:ascii="Arial" w:hAnsi="Arial" w:cs="Arial"/>
          <w:i/>
          <w:iCs/>
          <w:sz w:val="20"/>
          <w:szCs w:val="20"/>
        </w:rPr>
        <w:t>g</w:t>
      </w:r>
    </w:p>
    <w:p w:rsidR="00000000" w:rsidRDefault="00010F15">
      <w:pPr>
        <w:pStyle w:val="a3"/>
        <w:spacing w:before="120" w:beforeAutospacing="0" w:after="0" w:afterAutospacing="0"/>
        <w:ind w:firstLine="539"/>
        <w:rPr>
          <w:sz w:val="20"/>
          <w:szCs w:val="20"/>
        </w:rPr>
      </w:pPr>
      <w:r>
        <w:rPr>
          <w:rFonts w:ascii="Arial" w:hAnsi="Arial" w:cs="Arial"/>
          <w:sz w:val="20"/>
          <w:szCs w:val="20"/>
        </w:rPr>
        <w:t>Sales and marketing expenses consist primarily of personnel-related expenses, including stock-based compensation expenses for sales and marketing pers</w:t>
      </w:r>
      <w:r>
        <w:rPr>
          <w:rFonts w:ascii="Arial" w:hAnsi="Arial" w:cs="Arial"/>
          <w:sz w:val="20"/>
          <w:szCs w:val="20"/>
        </w:rPr>
        <w:t>onnel, sales commissions, partner fees, marketing program expenses, travel-related expenses and costs to market and promote our platform through advertisements, marketing events, partnership arrangements and direct biller acquisition as well as amortizatio</w:t>
      </w:r>
      <w:r>
        <w:rPr>
          <w:rFonts w:ascii="Arial" w:hAnsi="Arial" w:cs="Arial"/>
          <w:sz w:val="20"/>
          <w:szCs w:val="20"/>
        </w:rPr>
        <w:t>n of intangible assets acquired as part of our acquisitions of other businesses. We expect our sales and marketing expenses to increase in absolute dollars, but they may fluctuate as a percentage of revenue from period to period</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i/>
          <w:iCs/>
          <w:sz w:val="20"/>
          <w:szCs w:val="20"/>
        </w:rPr>
        <w:t>General and Administrativ</w:t>
      </w:r>
      <w:r>
        <w:rPr>
          <w:rFonts w:ascii="Arial" w:hAnsi="Arial" w:cs="Arial"/>
          <w:i/>
          <w:iCs/>
          <w:sz w:val="20"/>
          <w:szCs w:val="20"/>
        </w:rPr>
        <w:t>e</w:t>
      </w:r>
    </w:p>
    <w:p w:rsidR="00000000" w:rsidRDefault="00010F15">
      <w:pPr>
        <w:pStyle w:val="a3"/>
        <w:spacing w:before="120" w:beforeAutospacing="0" w:after="120" w:afterAutospacing="0"/>
        <w:ind w:firstLine="539"/>
        <w:rPr>
          <w:sz w:val="20"/>
          <w:szCs w:val="20"/>
        </w:rPr>
      </w:pPr>
      <w:r>
        <w:rPr>
          <w:rFonts w:ascii="Arial" w:hAnsi="Arial" w:cs="Arial"/>
          <w:sz w:val="20"/>
          <w:szCs w:val="20"/>
        </w:rPr>
        <w:t xml:space="preserve">General and administrative expenses consist primarily of personnel-related expenses, including stock-based compensation expenses for finance, risk management, legal and compliance, human resources, information technology and facilities personnel. General </w:t>
      </w:r>
      <w:r>
        <w:rPr>
          <w:rFonts w:ascii="Arial" w:hAnsi="Arial" w:cs="Arial"/>
          <w:sz w:val="20"/>
          <w:szCs w:val="20"/>
        </w:rPr>
        <w:t>and administrative expenses also include costs incurred for external professional services and other corporate expenses. We expect to incur additional general and administrative expenses as a result of operating as a public company, and to support the grow</w:t>
      </w:r>
      <w:r>
        <w:rPr>
          <w:rFonts w:ascii="Arial" w:hAnsi="Arial" w:cs="Arial"/>
          <w:sz w:val="20"/>
          <w:szCs w:val="20"/>
        </w:rPr>
        <w:t>th in our business. We expect that our general and administrative expenses will increase in absolute dollars, but they may fluctuate as a percentage of revenue from period to period. Over the longer term, we expect general and administrative expenses to de</w:t>
      </w:r>
      <w:r>
        <w:rPr>
          <w:rFonts w:ascii="Arial" w:hAnsi="Arial" w:cs="Arial"/>
          <w:sz w:val="20"/>
          <w:szCs w:val="20"/>
        </w:rPr>
        <w:t>crease as a percentage of revenue as we leverage the scale of our business</w:t>
      </w:r>
      <w:r>
        <w:rPr>
          <w:rFonts w:ascii="Arial" w:hAnsi="Arial" w:cs="Arial"/>
          <w:sz w:val="20"/>
          <w:szCs w:val="20"/>
        </w:rPr>
        <w:t>.</w:t>
      </w:r>
    </w:p>
    <w:p w:rsidR="00000000" w:rsidRDefault="00010F15">
      <w:pPr>
        <w:pStyle w:val="a3"/>
        <w:spacing w:before="0" w:beforeAutospacing="0" w:after="0" w:afterAutospacing="0"/>
        <w:jc w:val="center"/>
        <w:rPr>
          <w:sz w:val="20"/>
          <w:szCs w:val="20"/>
        </w:rPr>
      </w:pPr>
      <w:r>
        <w:rPr>
          <w:rFonts w:ascii="Arial" w:hAnsi="Arial" w:cs="Arial"/>
          <w:sz w:val="20"/>
          <w:szCs w:val="20"/>
        </w:rPr>
        <w:t>5</w:t>
      </w:r>
      <w:r>
        <w:rPr>
          <w:rFonts w:ascii="Arial" w:hAnsi="Arial" w:cs="Arial"/>
          <w:sz w:val="20"/>
          <w:szCs w:val="20"/>
        </w:rPr>
        <w:t>7</w:t>
      </w:r>
    </w:p>
    <w:p w:rsidR="00000000" w:rsidRDefault="00010F15">
      <w:pPr>
        <w:rPr>
          <w:rFonts w:eastAsia="Times New Roman"/>
        </w:rPr>
      </w:pPr>
      <w:r>
        <w:rPr>
          <w:rFonts w:eastAsia="Times New Roman"/>
        </w:rPr>
        <w:pict>
          <v:rect id="_x0000_i1082"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240" w:beforeAutospacing="0" w:after="0" w:afterAutospacing="0"/>
        <w:jc w:val="center"/>
        <w:rPr>
          <w:sz w:val="20"/>
          <w:szCs w:val="20"/>
        </w:rPr>
      </w:pPr>
      <w:r>
        <w:rPr>
          <w:rFonts w:ascii="Arial" w:hAnsi="Arial" w:cs="Arial"/>
          <w:b/>
          <w:bCs/>
          <w:sz w:val="20"/>
          <w:szCs w:val="20"/>
        </w:rPr>
        <w:t>Factors Affecting Our Performanc</w:t>
      </w:r>
      <w:r>
        <w:rPr>
          <w:rFonts w:ascii="Arial" w:hAnsi="Arial" w:cs="Arial"/>
          <w:b/>
          <w:bCs/>
          <w:sz w:val="20"/>
          <w:szCs w:val="20"/>
        </w:rPr>
        <w:t>e</w:t>
      </w:r>
    </w:p>
    <w:p w:rsidR="00000000" w:rsidRDefault="00010F15">
      <w:pPr>
        <w:pStyle w:val="a3"/>
        <w:spacing w:before="240" w:beforeAutospacing="0" w:after="0" w:afterAutospacing="0"/>
        <w:jc w:val="both"/>
        <w:rPr>
          <w:sz w:val="20"/>
          <w:szCs w:val="20"/>
        </w:rPr>
      </w:pPr>
      <w:r>
        <w:rPr>
          <w:rFonts w:ascii="Arial" w:hAnsi="Arial" w:cs="Arial"/>
          <w:b/>
          <w:bCs/>
          <w:i/>
          <w:iCs/>
          <w:sz w:val="20"/>
          <w:szCs w:val="20"/>
        </w:rPr>
        <w:t>Increased Adoption of Electronic Bill Payment Solution</w:t>
      </w:r>
      <w:r>
        <w:rPr>
          <w:rFonts w:ascii="Arial" w:hAnsi="Arial" w:cs="Arial"/>
          <w:b/>
          <w:bCs/>
          <w:i/>
          <w:iCs/>
          <w:sz w:val="20"/>
          <w:szCs w:val="20"/>
        </w:rPr>
        <w:t>s</w:t>
      </w:r>
      <w:r>
        <w:rPr>
          <w:rFonts w:ascii="Arial" w:hAnsi="Arial" w:cs="Arial"/>
          <w:b/>
          <w:bCs/>
          <w:i/>
          <w:iCs/>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 xml:space="preserve">As the number of financial transactions online continues to increase, electronic bill payment is becoming a greater share of the bill payment market. We have observed that consumers demand a frictionless electronic bill payment experience and increasingly </w:t>
      </w:r>
      <w:r>
        <w:rPr>
          <w:rFonts w:ascii="Arial" w:hAnsi="Arial" w:cs="Arial"/>
          <w:sz w:val="20"/>
          <w:szCs w:val="20"/>
        </w:rPr>
        <w:t>prefer more flexible and innovative digital payment options. We expect this trend to continue, providing us with a greater opportunity to provide next-generation bill and digital payment technology and power more transactions, further fueling our growth</w:t>
      </w:r>
      <w:r>
        <w:rPr>
          <w:rFonts w:ascii="Arial" w:hAnsi="Arial" w:cs="Arial"/>
          <w:sz w:val="20"/>
          <w:szCs w:val="20"/>
        </w:rPr>
        <w:t>.</w:t>
      </w:r>
    </w:p>
    <w:p w:rsidR="00000000" w:rsidRDefault="00010F15">
      <w:pPr>
        <w:pStyle w:val="a3"/>
        <w:spacing w:before="240" w:beforeAutospacing="0" w:after="0" w:afterAutospacing="0"/>
        <w:jc w:val="both"/>
        <w:rPr>
          <w:sz w:val="20"/>
          <w:szCs w:val="20"/>
        </w:rPr>
      </w:pPr>
      <w:r>
        <w:rPr>
          <w:rFonts w:ascii="Arial" w:hAnsi="Arial" w:cs="Arial"/>
          <w:b/>
          <w:bCs/>
          <w:i/>
          <w:iCs/>
          <w:sz w:val="20"/>
          <w:szCs w:val="20"/>
        </w:rPr>
        <w:t>A</w:t>
      </w:r>
      <w:r>
        <w:rPr>
          <w:rFonts w:ascii="Arial" w:hAnsi="Arial" w:cs="Arial"/>
          <w:b/>
          <w:bCs/>
          <w:i/>
          <w:iCs/>
          <w:sz w:val="20"/>
          <w:szCs w:val="20"/>
        </w:rPr>
        <w:t>cquiring New Billers and Financial Institution</w:t>
      </w:r>
      <w:r>
        <w:rPr>
          <w:rFonts w:ascii="Arial" w:hAnsi="Arial" w:cs="Arial"/>
          <w:b/>
          <w:bCs/>
          <w:i/>
          <w:iCs/>
          <w:sz w:val="20"/>
          <w:szCs w:val="20"/>
        </w:rPr>
        <w:t>s</w:t>
      </w:r>
    </w:p>
    <w:p w:rsidR="00000000" w:rsidRDefault="00010F15">
      <w:pPr>
        <w:pStyle w:val="a3"/>
        <w:spacing w:before="120" w:beforeAutospacing="0" w:after="0" w:afterAutospacing="0"/>
        <w:ind w:firstLine="539"/>
        <w:rPr>
          <w:sz w:val="20"/>
          <w:szCs w:val="20"/>
        </w:rPr>
      </w:pPr>
      <w:r>
        <w:rPr>
          <w:rFonts w:ascii="Arial" w:hAnsi="Arial" w:cs="Arial"/>
          <w:sz w:val="20"/>
          <w:szCs w:val="20"/>
        </w:rPr>
        <w:t>Our future growth depends on the continued adoption of our platform by new billers and financial institutions. We intend to continue investing in our efficient go-to-market strategies, increase brand awarenes</w:t>
      </w:r>
      <w:r>
        <w:rPr>
          <w:rFonts w:ascii="Arial" w:hAnsi="Arial" w:cs="Arial"/>
          <w:sz w:val="20"/>
          <w:szCs w:val="20"/>
        </w:rPr>
        <w:t>s and drive adoption of our platform and products. We had more than 1,700 billers and financial institution clients as of December 31, 2021, including billers of all sizes and across numerous vertical markets and financial institutions of all sizes. Our ab</w:t>
      </w:r>
      <w:r>
        <w:rPr>
          <w:rFonts w:ascii="Arial" w:hAnsi="Arial" w:cs="Arial"/>
          <w:sz w:val="20"/>
          <w:szCs w:val="20"/>
        </w:rPr>
        <w:t>ility to attract new billers and financial institutions and drive adoption of our platform will depend on a number of factors, including the effectiveness and pricing of our products, offerings of our competitors and the effectiveness of our marketing effo</w:t>
      </w:r>
      <w:r>
        <w:rPr>
          <w:rFonts w:ascii="Arial" w:hAnsi="Arial" w:cs="Arial"/>
          <w:sz w:val="20"/>
          <w:szCs w:val="20"/>
        </w:rPr>
        <w:t>rts</w:t>
      </w:r>
      <w:r>
        <w:rPr>
          <w:rFonts w:ascii="Arial" w:hAnsi="Arial" w:cs="Arial"/>
          <w:sz w:val="20"/>
          <w:szCs w:val="20"/>
        </w:rPr>
        <w:t>.</w:t>
      </w:r>
    </w:p>
    <w:p w:rsidR="00000000" w:rsidRDefault="00010F15">
      <w:pPr>
        <w:pStyle w:val="a3"/>
        <w:spacing w:before="240" w:beforeAutospacing="0" w:after="0" w:afterAutospacing="0"/>
        <w:jc w:val="both"/>
        <w:rPr>
          <w:sz w:val="20"/>
          <w:szCs w:val="20"/>
        </w:rPr>
      </w:pPr>
      <w:r>
        <w:rPr>
          <w:rFonts w:ascii="Arial" w:hAnsi="Arial" w:cs="Arial"/>
          <w:b/>
          <w:bCs/>
          <w:i/>
          <w:iCs/>
          <w:sz w:val="20"/>
          <w:szCs w:val="20"/>
        </w:rPr>
        <w:t>Expanding Usage of Our Platform with Existing Billers and Financial Institution</w:t>
      </w:r>
      <w:r>
        <w:rPr>
          <w:rFonts w:ascii="Arial" w:hAnsi="Arial" w:cs="Arial"/>
          <w:b/>
          <w:bCs/>
          <w:i/>
          <w:iCs/>
          <w:sz w:val="20"/>
          <w:szCs w:val="20"/>
        </w:rPr>
        <w:t>s</w:t>
      </w:r>
    </w:p>
    <w:p w:rsidR="00000000" w:rsidRDefault="00010F15">
      <w:pPr>
        <w:pStyle w:val="a3"/>
        <w:spacing w:before="120" w:beforeAutospacing="0" w:after="0" w:afterAutospacing="0"/>
        <w:ind w:firstLine="539"/>
        <w:rPr>
          <w:sz w:val="20"/>
          <w:szCs w:val="20"/>
        </w:rPr>
      </w:pPr>
      <w:r>
        <w:rPr>
          <w:rFonts w:ascii="Arial" w:hAnsi="Arial" w:cs="Arial"/>
          <w:sz w:val="20"/>
          <w:szCs w:val="20"/>
        </w:rPr>
        <w:t>We believe our large base of existing billers and financial institutions represents a significant opportunity for further consumption of our platform. We believe our solu</w:t>
      </w:r>
      <w:r>
        <w:rPr>
          <w:rFonts w:ascii="Arial" w:hAnsi="Arial" w:cs="Arial"/>
          <w:sz w:val="20"/>
          <w:szCs w:val="20"/>
        </w:rPr>
        <w:t>tions create a superior experience for consumers and accelerate revenue realization for billers, which drives increased usage of our platform. We intend to continue investing in this value proposition. Leveraging our platform to capture more transactions f</w:t>
      </w:r>
      <w:r>
        <w:rPr>
          <w:rFonts w:ascii="Arial" w:hAnsi="Arial" w:cs="Arial"/>
          <w:sz w:val="20"/>
          <w:szCs w:val="20"/>
        </w:rPr>
        <w:t>rom our existing biller and financial institution base is expected to organically drive transaction growth at lower cost</w:t>
      </w:r>
      <w:r>
        <w:rPr>
          <w:rFonts w:ascii="Arial" w:hAnsi="Arial" w:cs="Arial"/>
          <w:sz w:val="20"/>
          <w:szCs w:val="20"/>
        </w:rPr>
        <w:t>.</w:t>
      </w:r>
    </w:p>
    <w:p w:rsidR="00000000" w:rsidRDefault="00010F15">
      <w:pPr>
        <w:pStyle w:val="a3"/>
        <w:spacing w:before="240" w:beforeAutospacing="0" w:after="0" w:afterAutospacing="0"/>
        <w:jc w:val="both"/>
        <w:rPr>
          <w:sz w:val="20"/>
          <w:szCs w:val="20"/>
        </w:rPr>
      </w:pPr>
      <w:r>
        <w:rPr>
          <w:rFonts w:ascii="Arial" w:hAnsi="Arial" w:cs="Arial"/>
          <w:b/>
          <w:bCs/>
          <w:i/>
          <w:iCs/>
          <w:sz w:val="20"/>
          <w:szCs w:val="20"/>
        </w:rPr>
        <w:t>Growing Our Partner Bas</w:t>
      </w:r>
      <w:r>
        <w:rPr>
          <w:rFonts w:ascii="Arial" w:hAnsi="Arial" w:cs="Arial"/>
          <w:b/>
          <w:bCs/>
          <w:i/>
          <w:iCs/>
          <w:sz w:val="20"/>
          <w:szCs w:val="20"/>
        </w:rPr>
        <w:t>e</w:t>
      </w:r>
    </w:p>
    <w:p w:rsidR="00000000" w:rsidRDefault="00010F15">
      <w:pPr>
        <w:pStyle w:val="a3"/>
        <w:spacing w:before="120" w:beforeAutospacing="0" w:after="0" w:afterAutospacing="0"/>
        <w:ind w:firstLine="539"/>
        <w:rPr>
          <w:sz w:val="20"/>
          <w:szCs w:val="20"/>
        </w:rPr>
      </w:pPr>
      <w:r>
        <w:rPr>
          <w:rFonts w:ascii="Arial" w:hAnsi="Arial" w:cs="Arial"/>
          <w:sz w:val="20"/>
          <w:szCs w:val="20"/>
        </w:rPr>
        <w:t xml:space="preserve">We believe there is a significant opportunity to increase the transactions on our platform through expanding </w:t>
      </w:r>
      <w:r>
        <w:rPr>
          <w:rFonts w:ascii="Arial" w:hAnsi="Arial" w:cs="Arial"/>
          <w:sz w:val="20"/>
          <w:szCs w:val="20"/>
        </w:rPr>
        <w:t>our base of software, strategic and IPN partners. While revenue derived from or through our IPN partnerships has not been significant historically, we expect that the revenue contribution from our IPN will grow over time. As our IPN partner base expands, a</w:t>
      </w:r>
      <w:r>
        <w:rPr>
          <w:rFonts w:ascii="Arial" w:hAnsi="Arial" w:cs="Arial"/>
          <w:sz w:val="20"/>
          <w:szCs w:val="20"/>
        </w:rPr>
        <w:t>nd new partners use our platform to power bill payment experiences within their ecosystems, we expect to organically expand the reach of our platform to millions of new consumers and thereby drive new, revenue-generating transactions to our platform. We in</w:t>
      </w:r>
      <w:r>
        <w:rPr>
          <w:rFonts w:ascii="Arial" w:hAnsi="Arial" w:cs="Arial"/>
          <w:sz w:val="20"/>
          <w:szCs w:val="20"/>
        </w:rPr>
        <w:t>tend to invest in the expansion of our partner base, including the addition of new IPN partners, because our ability to secure new partners will have a direct impact on our transaction growth</w:t>
      </w:r>
      <w:r>
        <w:rPr>
          <w:rFonts w:ascii="Arial" w:hAnsi="Arial" w:cs="Arial"/>
          <w:sz w:val="20"/>
          <w:szCs w:val="20"/>
        </w:rPr>
        <w:t>.</w:t>
      </w:r>
      <w:r>
        <w:rPr>
          <w:rFonts w:ascii="Arial" w:hAnsi="Arial" w:cs="Arial"/>
          <w:sz w:val="20"/>
          <w:szCs w:val="20"/>
        </w:rPr>
        <w:t xml:space="preserve"> </w:t>
      </w:r>
    </w:p>
    <w:p w:rsidR="00000000" w:rsidRDefault="00010F15">
      <w:pPr>
        <w:pStyle w:val="a3"/>
        <w:spacing w:before="240" w:beforeAutospacing="0" w:after="0" w:afterAutospacing="0"/>
        <w:jc w:val="both"/>
        <w:rPr>
          <w:sz w:val="20"/>
          <w:szCs w:val="20"/>
        </w:rPr>
      </w:pPr>
      <w:r>
        <w:rPr>
          <w:rFonts w:ascii="Arial" w:hAnsi="Arial" w:cs="Arial"/>
          <w:b/>
          <w:bCs/>
          <w:i/>
          <w:iCs/>
          <w:sz w:val="20"/>
          <w:szCs w:val="20"/>
        </w:rPr>
        <w:t>Investing in Sales and Marketin</w:t>
      </w:r>
      <w:r>
        <w:rPr>
          <w:rFonts w:ascii="Arial" w:hAnsi="Arial" w:cs="Arial"/>
          <w:b/>
          <w:bCs/>
          <w:i/>
          <w:iCs/>
          <w:sz w:val="20"/>
          <w:szCs w:val="20"/>
        </w:rPr>
        <w:t>g</w:t>
      </w:r>
    </w:p>
    <w:p w:rsidR="00000000" w:rsidRDefault="00010F15">
      <w:pPr>
        <w:pStyle w:val="a3"/>
        <w:spacing w:before="120" w:beforeAutospacing="0" w:after="0" w:afterAutospacing="0"/>
        <w:ind w:firstLine="539"/>
        <w:rPr>
          <w:sz w:val="20"/>
          <w:szCs w:val="20"/>
        </w:rPr>
      </w:pPr>
      <w:r>
        <w:rPr>
          <w:rFonts w:ascii="Arial" w:hAnsi="Arial" w:cs="Arial"/>
          <w:sz w:val="20"/>
          <w:szCs w:val="20"/>
        </w:rPr>
        <w:t>We will continue to expand ef</w:t>
      </w:r>
      <w:r>
        <w:rPr>
          <w:rFonts w:ascii="Arial" w:hAnsi="Arial" w:cs="Arial"/>
          <w:sz w:val="20"/>
          <w:szCs w:val="20"/>
        </w:rPr>
        <w:t xml:space="preserve">forts to market our platform through our diversified sales and marketing strategy. We intend to invest in sales and marketing strategies that we believe will drive further brand awareness and preference among our billers, partners and consumers. Given the </w:t>
      </w:r>
      <w:r>
        <w:rPr>
          <w:rFonts w:ascii="Arial" w:hAnsi="Arial" w:cs="Arial"/>
          <w:sz w:val="20"/>
          <w:szCs w:val="20"/>
        </w:rPr>
        <w:t>nature of our biller and partner base, our investment in sales and marketing in a given period may not impact results until subsequent periods. We approach sales and marketing spend strategically to maintain efficient biller and partner acquisition</w:t>
      </w:r>
      <w:r>
        <w:rPr>
          <w:rFonts w:ascii="Arial" w:hAnsi="Arial" w:cs="Arial"/>
          <w:sz w:val="20"/>
          <w:szCs w:val="20"/>
        </w:rPr>
        <w:t>.</w:t>
      </w:r>
    </w:p>
    <w:p w:rsidR="00000000" w:rsidRDefault="00010F15">
      <w:pPr>
        <w:pStyle w:val="a3"/>
        <w:spacing w:before="240" w:beforeAutospacing="0" w:after="0" w:afterAutospacing="0"/>
        <w:jc w:val="both"/>
        <w:rPr>
          <w:sz w:val="20"/>
          <w:szCs w:val="20"/>
        </w:rPr>
      </w:pPr>
      <w:r>
        <w:rPr>
          <w:rFonts w:ascii="Arial" w:hAnsi="Arial" w:cs="Arial"/>
          <w:b/>
          <w:bCs/>
          <w:i/>
          <w:iCs/>
          <w:sz w:val="20"/>
          <w:szCs w:val="20"/>
        </w:rPr>
        <w:t>Innova</w:t>
      </w:r>
      <w:r>
        <w:rPr>
          <w:rFonts w:ascii="Arial" w:hAnsi="Arial" w:cs="Arial"/>
          <w:b/>
          <w:bCs/>
          <w:i/>
          <w:iCs/>
          <w:sz w:val="20"/>
          <w:szCs w:val="20"/>
        </w:rPr>
        <w:t>tion and Enhancement of Our Platfor</w:t>
      </w:r>
      <w:r>
        <w:rPr>
          <w:rFonts w:ascii="Arial" w:hAnsi="Arial" w:cs="Arial"/>
          <w:b/>
          <w:bCs/>
          <w:i/>
          <w:iCs/>
          <w:sz w:val="20"/>
          <w:szCs w:val="20"/>
        </w:rPr>
        <w:t>m</w:t>
      </w:r>
      <w:r>
        <w:rPr>
          <w:rFonts w:ascii="Arial" w:hAnsi="Arial" w:cs="Arial"/>
          <w:b/>
          <w:bCs/>
          <w:i/>
          <w:iCs/>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We will continue to invest in our platform and IPN to maintain our position as a leading provider of biller communication and payments. To drive adoption and increase penetration of our platform, we will continue to in</w:t>
      </w:r>
      <w:r>
        <w:rPr>
          <w:rFonts w:ascii="Arial" w:hAnsi="Arial" w:cs="Arial"/>
          <w:sz w:val="20"/>
          <w:szCs w:val="20"/>
        </w:rPr>
        <w:t>troduce new products and features. We believe that investment in research and development will contribute to our long-term growth, but may also negatively impact our short-term profitability. We will continue to leverage emerging technologies and invest in</w:t>
      </w:r>
      <w:r>
        <w:rPr>
          <w:rFonts w:ascii="Arial" w:hAnsi="Arial" w:cs="Arial"/>
          <w:sz w:val="20"/>
          <w:szCs w:val="20"/>
        </w:rPr>
        <w:t xml:space="preserve"> the development of more features and better functionality for consumers</w:t>
      </w:r>
      <w:r>
        <w:rPr>
          <w:rFonts w:ascii="Arial" w:hAnsi="Arial" w:cs="Arial"/>
          <w:sz w:val="20"/>
          <w:szCs w:val="20"/>
        </w:rPr>
        <w:t>.</w:t>
      </w:r>
    </w:p>
    <w:p w:rsidR="00000000" w:rsidRDefault="00010F15">
      <w:pPr>
        <w:pStyle w:val="a3"/>
        <w:spacing w:before="240" w:beforeAutospacing="0" w:after="0" w:afterAutospacing="0"/>
        <w:jc w:val="center"/>
        <w:rPr>
          <w:sz w:val="20"/>
          <w:szCs w:val="20"/>
        </w:rPr>
      </w:pPr>
      <w:r>
        <w:rPr>
          <w:rFonts w:ascii="Arial" w:hAnsi="Arial" w:cs="Arial"/>
          <w:b/>
          <w:bCs/>
          <w:sz w:val="20"/>
          <w:szCs w:val="20"/>
        </w:rPr>
        <w:t>Key Performance and Non-GAAP Measure</w:t>
      </w:r>
      <w:r>
        <w:rPr>
          <w:rFonts w:ascii="Arial" w:hAnsi="Arial" w:cs="Arial"/>
          <w:b/>
          <w:bCs/>
          <w:sz w:val="20"/>
          <w:szCs w:val="20"/>
        </w:rPr>
        <w:t>s</w:t>
      </w:r>
    </w:p>
    <w:p w:rsidR="00000000" w:rsidRDefault="00010F15">
      <w:pPr>
        <w:pStyle w:val="a3"/>
        <w:spacing w:before="120" w:beforeAutospacing="0" w:after="0" w:afterAutospacing="0"/>
        <w:ind w:firstLine="539"/>
        <w:rPr>
          <w:sz w:val="20"/>
          <w:szCs w:val="20"/>
        </w:rPr>
      </w:pPr>
      <w:r>
        <w:rPr>
          <w:rFonts w:ascii="Arial" w:hAnsi="Arial" w:cs="Arial"/>
          <w:sz w:val="20"/>
          <w:szCs w:val="20"/>
        </w:rPr>
        <w:t>We review the following metrics to measure our performance, identify trends affecting our business, prepare financial projections and make strat</w:t>
      </w:r>
      <w:r>
        <w:rPr>
          <w:rFonts w:ascii="Arial" w:hAnsi="Arial" w:cs="Arial"/>
          <w:sz w:val="20"/>
          <w:szCs w:val="20"/>
        </w:rPr>
        <w:t>egic decisions. We believe that these key performance and non-GAAP measures provide meaningful supplemental information for management and investors in assessing our historical and future operating performance. The calculation of the key performance and no</w:t>
      </w:r>
      <w:r>
        <w:rPr>
          <w:rFonts w:ascii="Arial" w:hAnsi="Arial" w:cs="Arial"/>
          <w:sz w:val="20"/>
          <w:szCs w:val="20"/>
        </w:rPr>
        <w:t>n-GAAP measures discussed below may differ from other similarly titled metrics used by other companies, securities analysts or investors</w:t>
      </w:r>
      <w:r>
        <w:rPr>
          <w:rFonts w:ascii="Arial" w:hAnsi="Arial" w:cs="Arial"/>
          <w:sz w:val="20"/>
          <w:szCs w:val="20"/>
        </w:rPr>
        <w:t>.</w:t>
      </w:r>
      <w:r>
        <w:rPr>
          <w:rFonts w:ascii="Arial" w:hAnsi="Arial" w:cs="Arial"/>
          <w:sz w:val="20"/>
          <w:szCs w:val="20"/>
        </w:rPr>
        <w:t xml:space="preserve"> </w:t>
      </w:r>
    </w:p>
    <w:p w:rsidR="00000000" w:rsidRDefault="00010F15">
      <w:pPr>
        <w:pStyle w:val="a3"/>
        <w:spacing w:before="0" w:beforeAutospacing="0" w:after="0" w:afterAutospacing="0"/>
        <w:jc w:val="center"/>
        <w:rPr>
          <w:sz w:val="20"/>
          <w:szCs w:val="20"/>
        </w:rPr>
      </w:pPr>
      <w:r>
        <w:rPr>
          <w:rFonts w:ascii="Arial" w:hAnsi="Arial" w:cs="Arial"/>
          <w:sz w:val="20"/>
          <w:szCs w:val="20"/>
        </w:rPr>
        <w:t>5</w:t>
      </w:r>
      <w:r>
        <w:rPr>
          <w:rFonts w:ascii="Arial" w:hAnsi="Arial" w:cs="Arial"/>
          <w:sz w:val="20"/>
          <w:szCs w:val="20"/>
        </w:rPr>
        <w:t>8</w:t>
      </w:r>
    </w:p>
    <w:p w:rsidR="00000000" w:rsidRDefault="00010F15">
      <w:pPr>
        <w:rPr>
          <w:rFonts w:eastAsia="Times New Roman"/>
        </w:rPr>
      </w:pPr>
      <w:r>
        <w:rPr>
          <w:rFonts w:eastAsia="Times New Roman"/>
        </w:rPr>
        <w:pict>
          <v:rect id="_x0000_i1083"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240" w:beforeAutospacing="0" w:after="0" w:afterAutospacing="0"/>
        <w:rPr>
          <w:sz w:val="20"/>
          <w:szCs w:val="20"/>
        </w:rPr>
      </w:pPr>
      <w:r>
        <w:rPr>
          <w:rFonts w:ascii="Arial" w:hAnsi="Arial" w:cs="Arial"/>
          <w:b/>
          <w:bCs/>
          <w:i/>
          <w:iCs/>
          <w:sz w:val="20"/>
          <w:szCs w:val="20"/>
        </w:rPr>
        <w:t>Transactions Processe</w:t>
      </w:r>
      <w:r>
        <w:rPr>
          <w:rFonts w:ascii="Arial" w:hAnsi="Arial" w:cs="Arial"/>
          <w:b/>
          <w:bCs/>
          <w:i/>
          <w:iCs/>
          <w:sz w:val="20"/>
          <w:szCs w:val="20"/>
        </w:rPr>
        <w:t>d</w:t>
      </w:r>
      <w:r>
        <w:rPr>
          <w:rFonts w:ascii="Arial" w:hAnsi="Arial" w:cs="Arial"/>
          <w:b/>
          <w:bCs/>
          <w:i/>
          <w:iCs/>
          <w:sz w:val="20"/>
          <w:szCs w:val="20"/>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22"/>
        <w:gridCol w:w="116"/>
        <w:gridCol w:w="116"/>
        <w:gridCol w:w="975"/>
        <w:gridCol w:w="116"/>
        <w:gridCol w:w="116"/>
        <w:gridCol w:w="116"/>
        <w:gridCol w:w="975"/>
        <w:gridCol w:w="116"/>
        <w:gridCol w:w="116"/>
        <w:gridCol w:w="116"/>
        <w:gridCol w:w="975"/>
        <w:gridCol w:w="131"/>
      </w:tblGrid>
      <w:tr w:rsidR="00000000">
        <w:trPr>
          <w:tblCellSpacing w:w="15" w:type="dxa"/>
        </w:trPr>
        <w:tc>
          <w:tcPr>
            <w:tcW w:w="2727" w:type="pct"/>
            <w:vAlign w:val="center"/>
            <w:hideMark/>
          </w:tcPr>
          <w:p w:rsidR="00000000" w:rsidRDefault="00010F15">
            <w:pPr>
              <w:rPr>
                <w:sz w:val="20"/>
                <w:szCs w:val="20"/>
              </w:rPr>
            </w:pPr>
          </w:p>
        </w:tc>
        <w:tc>
          <w:tcPr>
            <w:tcW w:w="70"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621"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70"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621"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70"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621"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10"/>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Year Ended December 31</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201</w:t>
            </w:r>
            <w:r>
              <w:rPr>
                <w:rFonts w:ascii="Arial" w:hAnsi="Arial" w:cs="Arial"/>
                <w:b/>
                <w:bCs/>
                <w:sz w:val="16"/>
                <w:szCs w:val="16"/>
              </w:rPr>
              <w:t>9</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10"/>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(in millions</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Transactions processe</w:t>
            </w:r>
            <w:r>
              <w:rPr>
                <w:rFonts w:ascii="Arial" w:hAnsi="Arial" w:cs="Arial"/>
                <w:sz w:val="20"/>
                <w:szCs w:val="20"/>
              </w:rPr>
              <w:t>d</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280.</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195.</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146.</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bl>
    <w:p w:rsidR="00000000" w:rsidRDefault="00010F15">
      <w:pPr>
        <w:pStyle w:val="a3"/>
        <w:spacing w:before="240" w:beforeAutospacing="0" w:after="0" w:afterAutospacing="0"/>
        <w:ind w:firstLine="543"/>
        <w:rPr>
          <w:sz w:val="20"/>
          <w:szCs w:val="20"/>
        </w:rPr>
      </w:pPr>
      <w:r>
        <w:rPr>
          <w:rFonts w:ascii="Arial" w:hAnsi="Arial" w:cs="Arial"/>
          <w:sz w:val="20"/>
          <w:szCs w:val="20"/>
        </w:rPr>
        <w:t>We define transactions processed as the number of revenue generating payment transactions, such as checks, credit card and debit card transactions, automated clearing house, or ACH, items and emerging payment types, which are initiated and generally proces</w:t>
      </w:r>
      <w:r>
        <w:rPr>
          <w:rFonts w:ascii="Arial" w:hAnsi="Arial" w:cs="Arial"/>
          <w:sz w:val="20"/>
          <w:szCs w:val="20"/>
        </w:rPr>
        <w:t xml:space="preserve">sed through our platform during a period. The number of transactions also includes account-to-account and person-to-person transfers. The number of transactions processed during the year ended December 31, 2021 increased approximately 43.8% as compared to </w:t>
      </w:r>
      <w:r>
        <w:rPr>
          <w:rFonts w:ascii="Arial" w:hAnsi="Arial" w:cs="Arial"/>
          <w:sz w:val="20"/>
          <w:szCs w:val="20"/>
        </w:rPr>
        <w:t>2020. The increase was primarily driven by the addition of new billers and increased transactions from our existing billers</w:t>
      </w:r>
      <w:r>
        <w:rPr>
          <w:rFonts w:ascii="Arial" w:hAnsi="Arial" w:cs="Arial"/>
          <w:sz w:val="20"/>
          <w:szCs w:val="20"/>
        </w:rPr>
        <w:t>.</w:t>
      </w:r>
      <w:r>
        <w:rPr>
          <w:rFonts w:ascii="Arial" w:hAnsi="Arial" w:cs="Arial"/>
          <w:sz w:val="20"/>
          <w:szCs w:val="20"/>
        </w:rPr>
        <w:t xml:space="preserve"> </w:t>
      </w:r>
    </w:p>
    <w:p w:rsidR="00000000" w:rsidRDefault="00010F15">
      <w:pPr>
        <w:pStyle w:val="a3"/>
        <w:spacing w:before="240" w:beforeAutospacing="0" w:after="0" w:afterAutospacing="0"/>
        <w:rPr>
          <w:sz w:val="20"/>
          <w:szCs w:val="20"/>
        </w:rPr>
      </w:pPr>
      <w:r>
        <w:rPr>
          <w:rFonts w:ascii="Arial" w:hAnsi="Arial" w:cs="Arial"/>
          <w:b/>
          <w:bCs/>
          <w:i/>
          <w:iCs/>
          <w:sz w:val="20"/>
          <w:szCs w:val="20"/>
        </w:rPr>
        <w:t>Non-GAAP Measure</w:t>
      </w:r>
      <w:r>
        <w:rPr>
          <w:rFonts w:ascii="Arial" w:hAnsi="Arial" w:cs="Arial"/>
          <w:b/>
          <w:bCs/>
          <w:i/>
          <w:iCs/>
          <w:sz w:val="20"/>
          <w:szCs w:val="20"/>
        </w:rPr>
        <w:t>s</w:t>
      </w:r>
    </w:p>
    <w:p w:rsidR="00000000" w:rsidRDefault="00010F15">
      <w:pPr>
        <w:pStyle w:val="a3"/>
        <w:spacing w:before="120" w:beforeAutospacing="0" w:after="0" w:afterAutospacing="0"/>
        <w:ind w:firstLine="539"/>
        <w:rPr>
          <w:sz w:val="20"/>
          <w:szCs w:val="20"/>
        </w:rPr>
      </w:pPr>
      <w:r>
        <w:rPr>
          <w:rFonts w:ascii="Arial" w:hAnsi="Arial" w:cs="Arial"/>
          <w:sz w:val="20"/>
          <w:szCs w:val="20"/>
        </w:rPr>
        <w:t xml:space="preserve">We use supplemental measures of our performance that are derived from our consolidated financial information but which are not presented in our consolidated financial statements prepared in accordance with U.S. generally accepted accounting principles, or </w:t>
      </w:r>
      <w:r>
        <w:rPr>
          <w:rFonts w:ascii="Arial" w:hAnsi="Arial" w:cs="Arial"/>
          <w:sz w:val="20"/>
          <w:szCs w:val="20"/>
        </w:rPr>
        <w:t>GAAP. These supplemental non-GAAP measures include contribution profit, adjusted gross profit, adjusted EBITDA and free cash flow</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i/>
          <w:iCs/>
          <w:sz w:val="20"/>
          <w:szCs w:val="20"/>
        </w:rPr>
        <w:t>Contribution Profi</w:t>
      </w:r>
      <w:r>
        <w:rPr>
          <w:rFonts w:ascii="Arial" w:hAnsi="Arial" w:cs="Arial"/>
          <w:i/>
          <w:iCs/>
          <w:sz w:val="20"/>
          <w:szCs w:val="20"/>
        </w:rPr>
        <w:t>t</w:t>
      </w:r>
    </w:p>
    <w:p w:rsidR="00000000" w:rsidRDefault="00010F15">
      <w:pPr>
        <w:pStyle w:val="a3"/>
        <w:spacing w:before="120" w:beforeAutospacing="0" w:after="0" w:afterAutospacing="0"/>
        <w:ind w:firstLine="539"/>
        <w:rPr>
          <w:sz w:val="20"/>
          <w:szCs w:val="20"/>
        </w:rPr>
      </w:pPr>
      <w:r>
        <w:rPr>
          <w:rFonts w:ascii="Arial" w:hAnsi="Arial" w:cs="Arial"/>
          <w:sz w:val="20"/>
          <w:szCs w:val="20"/>
        </w:rPr>
        <w:t>We calculate contribution profit as gross profit plus other cost of revenue. Other cost of revenue equal</w:t>
      </w:r>
      <w:r>
        <w:rPr>
          <w:rFonts w:ascii="Arial" w:hAnsi="Arial" w:cs="Arial"/>
          <w:sz w:val="20"/>
          <w:szCs w:val="20"/>
        </w:rPr>
        <w:t>s cost of revenue less interchange and assessment fees paid by us to our payment processors</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i/>
          <w:iCs/>
          <w:sz w:val="20"/>
          <w:szCs w:val="20"/>
        </w:rPr>
        <w:t>Adjusted Gross Profi</w:t>
      </w:r>
      <w:r>
        <w:rPr>
          <w:rFonts w:ascii="Arial" w:hAnsi="Arial" w:cs="Arial"/>
          <w:i/>
          <w:iCs/>
          <w:sz w:val="20"/>
          <w:szCs w:val="20"/>
        </w:rPr>
        <w:t>t</w:t>
      </w:r>
      <w:r>
        <w:rPr>
          <w:rFonts w:ascii="Arial" w:hAnsi="Arial" w:cs="Arial"/>
          <w:b/>
          <w:bCs/>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We calculate adjusted gross profit as gross profit adjusted for non-cash items, primarily stock-based compensation and amortization</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i/>
          <w:iCs/>
          <w:sz w:val="20"/>
          <w:szCs w:val="20"/>
        </w:rPr>
        <w:t>Adjus</w:t>
      </w:r>
      <w:r>
        <w:rPr>
          <w:rFonts w:ascii="Arial" w:hAnsi="Arial" w:cs="Arial"/>
          <w:i/>
          <w:iCs/>
          <w:sz w:val="20"/>
          <w:szCs w:val="20"/>
        </w:rPr>
        <w:t>ted EBITD</w:t>
      </w:r>
      <w:r>
        <w:rPr>
          <w:rFonts w:ascii="Arial" w:hAnsi="Arial" w:cs="Arial"/>
          <w:i/>
          <w:iCs/>
          <w:sz w:val="20"/>
          <w:szCs w:val="20"/>
        </w:rPr>
        <w:t>A</w:t>
      </w:r>
      <w:r>
        <w:rPr>
          <w:rFonts w:ascii="Arial" w:hAnsi="Arial" w:cs="Arial"/>
          <w:b/>
          <w:bCs/>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We calculate adjusted EBITDA as net income before other income (expense) (which consists of interest income (expense), net and foreign exchange gain (loss)), depreciation and amortization, income taxes, adjusted to exclude the effects of stock-</w:t>
      </w:r>
      <w:r>
        <w:rPr>
          <w:rFonts w:ascii="Arial" w:hAnsi="Arial" w:cs="Arial"/>
          <w:sz w:val="20"/>
          <w:szCs w:val="20"/>
        </w:rPr>
        <w:t>based compensation expense and certain nonrecurring expenses that management believes are not indicative of ongoing operations, consisting primarily of professional fees and other indirect charges associated with our IPO</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i/>
          <w:iCs/>
          <w:sz w:val="20"/>
          <w:szCs w:val="20"/>
        </w:rPr>
        <w:t>Free Cash Flo</w:t>
      </w:r>
      <w:r>
        <w:rPr>
          <w:rFonts w:ascii="Arial" w:hAnsi="Arial" w:cs="Arial"/>
          <w:i/>
          <w:iCs/>
          <w:sz w:val="20"/>
          <w:szCs w:val="20"/>
        </w:rPr>
        <w:t>w</w:t>
      </w:r>
    </w:p>
    <w:p w:rsidR="00000000" w:rsidRDefault="00010F15">
      <w:pPr>
        <w:pStyle w:val="a3"/>
        <w:spacing w:before="120" w:beforeAutospacing="0" w:after="0" w:afterAutospacing="0"/>
        <w:ind w:firstLine="539"/>
        <w:rPr>
          <w:sz w:val="20"/>
          <w:szCs w:val="20"/>
        </w:rPr>
      </w:pPr>
      <w:r>
        <w:rPr>
          <w:rFonts w:ascii="Arial" w:hAnsi="Arial" w:cs="Arial"/>
          <w:sz w:val="20"/>
          <w:szCs w:val="20"/>
        </w:rPr>
        <w:t>We calculate free cash flow as net cash provided by (used in) operating activities less capital expenditures and capitalized internal-use software development costs</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We use non-GAAP measures to supplement financial information presented on a GAAP basis. W</w:t>
      </w:r>
      <w:r>
        <w:rPr>
          <w:rFonts w:ascii="Arial" w:hAnsi="Arial" w:cs="Arial"/>
          <w:sz w:val="20"/>
          <w:szCs w:val="20"/>
        </w:rPr>
        <w:t>e believe that excluding certain items from our GAAP results allows management and our board of directors to more fully understand our consolidated financial performance from period to period and helps management project our future consolidated financial p</w:t>
      </w:r>
      <w:r>
        <w:rPr>
          <w:rFonts w:ascii="Arial" w:hAnsi="Arial" w:cs="Arial"/>
          <w:sz w:val="20"/>
          <w:szCs w:val="20"/>
        </w:rPr>
        <w:t>erformance as forecasts are developed at a level of detail different from that used to prepare GAAP-based financial measures. Moreover, we believe these non-GAAP measures provide our investors with useful information to help them evaluate our operating res</w:t>
      </w:r>
      <w:r>
        <w:rPr>
          <w:rFonts w:ascii="Arial" w:hAnsi="Arial" w:cs="Arial"/>
          <w:sz w:val="20"/>
          <w:szCs w:val="20"/>
        </w:rPr>
        <w:t>ults by facilitating an enhanced understanding of our operating performance and enabling them to make more meaningful period-to-period comparisons. In particular, we exclude interchange and assessment fees in the presentation of contribution profit because</w:t>
      </w:r>
      <w:r>
        <w:rPr>
          <w:rFonts w:ascii="Arial" w:hAnsi="Arial" w:cs="Arial"/>
          <w:sz w:val="20"/>
          <w:szCs w:val="20"/>
        </w:rPr>
        <w:t xml:space="preserve"> we believe inclusion is less directly reflective of our operating performance as we do not control the payment channel used by consumers, which is the primary determinant of the amount of interchange and assessment fees. We use contribution profit to meas</w:t>
      </w:r>
      <w:r>
        <w:rPr>
          <w:rFonts w:ascii="Arial" w:hAnsi="Arial" w:cs="Arial"/>
          <w:sz w:val="20"/>
          <w:szCs w:val="20"/>
        </w:rPr>
        <w:t>ure the amount available to fund our operations after interchange and assessment fees, which are directly linked to the number of transactions we process and thus our revenue and gross profit. There are limitations to the use of the non-GAAP measures prese</w:t>
      </w:r>
      <w:r>
        <w:rPr>
          <w:rFonts w:ascii="Arial" w:hAnsi="Arial" w:cs="Arial"/>
          <w:sz w:val="20"/>
          <w:szCs w:val="20"/>
        </w:rPr>
        <w:t>nted in this report. Our non-GAAP measures may not be comparable to similarly titled measures of other companies; other companies, including companies in our industry, may calculate non-GAAP measures differently than we do, limiting the usefulness of those</w:t>
      </w:r>
      <w:r>
        <w:rPr>
          <w:rFonts w:ascii="Arial" w:hAnsi="Arial" w:cs="Arial"/>
          <w:sz w:val="20"/>
          <w:szCs w:val="20"/>
        </w:rPr>
        <w:t xml:space="preserve"> measures for comparative purposes. These non-GAAP measures should not be considered in isolation from or as a substitute for financial measures prepared in accordance with GAAP</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We also urge you to review the reconciliation of these non-GAAP financial mea</w:t>
      </w:r>
      <w:r>
        <w:rPr>
          <w:rFonts w:ascii="Arial" w:hAnsi="Arial" w:cs="Arial"/>
          <w:sz w:val="20"/>
          <w:szCs w:val="20"/>
        </w:rPr>
        <w:t>sures included below. To properly and prudently evaluate our business, we encourage you to review the consolidated financial statements and related notes included elsewhere in this report and to not rely on any single financial measure to evaluate our busi</w:t>
      </w:r>
      <w:r>
        <w:rPr>
          <w:rFonts w:ascii="Arial" w:hAnsi="Arial" w:cs="Arial"/>
          <w:sz w:val="20"/>
          <w:szCs w:val="20"/>
        </w:rPr>
        <w:t>ness</w:t>
      </w:r>
      <w:r>
        <w:rPr>
          <w:rFonts w:ascii="Arial" w:hAnsi="Arial" w:cs="Arial"/>
          <w:sz w:val="20"/>
          <w:szCs w:val="20"/>
        </w:rPr>
        <w:t>.</w:t>
      </w:r>
      <w:r>
        <w:rPr>
          <w:rFonts w:ascii="Arial" w:hAnsi="Arial" w:cs="Arial"/>
          <w:sz w:val="20"/>
          <w:szCs w:val="20"/>
        </w:rPr>
        <w:t xml:space="preserve"> </w:t>
      </w:r>
    </w:p>
    <w:p w:rsidR="00000000" w:rsidRDefault="00010F15">
      <w:pPr>
        <w:pStyle w:val="a3"/>
        <w:spacing w:before="0" w:beforeAutospacing="0" w:after="0" w:afterAutospacing="0"/>
        <w:jc w:val="center"/>
        <w:rPr>
          <w:sz w:val="20"/>
          <w:szCs w:val="20"/>
        </w:rPr>
      </w:pPr>
      <w:r>
        <w:rPr>
          <w:rFonts w:ascii="Arial" w:hAnsi="Arial" w:cs="Arial"/>
          <w:sz w:val="20"/>
          <w:szCs w:val="20"/>
        </w:rPr>
        <w:t>5</w:t>
      </w:r>
      <w:r>
        <w:rPr>
          <w:rFonts w:ascii="Arial" w:hAnsi="Arial" w:cs="Arial"/>
          <w:sz w:val="20"/>
          <w:szCs w:val="20"/>
        </w:rPr>
        <w:t>9</w:t>
      </w:r>
    </w:p>
    <w:p w:rsidR="00000000" w:rsidRDefault="00010F15">
      <w:pPr>
        <w:rPr>
          <w:rFonts w:eastAsia="Times New Roman"/>
        </w:rPr>
      </w:pPr>
      <w:r>
        <w:rPr>
          <w:rFonts w:eastAsia="Times New Roman"/>
        </w:rPr>
        <w:pict>
          <v:rect id="_x0000_i1084"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240" w:beforeAutospacing="0" w:after="0" w:afterAutospacing="0"/>
        <w:ind w:firstLine="543"/>
        <w:rPr>
          <w:sz w:val="20"/>
          <w:szCs w:val="20"/>
        </w:rPr>
      </w:pPr>
      <w:r>
        <w:rPr>
          <w:rFonts w:ascii="Arial" w:hAnsi="Arial" w:cs="Arial"/>
          <w:i/>
          <w:iCs/>
          <w:sz w:val="20"/>
          <w:szCs w:val="20"/>
        </w:rPr>
        <w:t>Contribution Profi</w:t>
      </w:r>
      <w:r>
        <w:rPr>
          <w:rFonts w:ascii="Arial" w:hAnsi="Arial" w:cs="Arial"/>
          <w:i/>
          <w:iCs/>
          <w:sz w:val="20"/>
          <w:szCs w:val="20"/>
        </w:rPr>
        <w:t>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01"/>
        <w:gridCol w:w="116"/>
        <w:gridCol w:w="172"/>
        <w:gridCol w:w="926"/>
        <w:gridCol w:w="116"/>
        <w:gridCol w:w="116"/>
        <w:gridCol w:w="172"/>
        <w:gridCol w:w="926"/>
        <w:gridCol w:w="116"/>
        <w:gridCol w:w="116"/>
        <w:gridCol w:w="172"/>
        <w:gridCol w:w="926"/>
        <w:gridCol w:w="131"/>
      </w:tblGrid>
      <w:tr w:rsidR="00000000">
        <w:trPr>
          <w:tblCellSpacing w:w="15" w:type="dxa"/>
        </w:trPr>
        <w:tc>
          <w:tcPr>
            <w:tcW w:w="2715" w:type="pct"/>
            <w:vAlign w:val="center"/>
            <w:hideMark/>
          </w:tcPr>
          <w:p w:rsidR="00000000" w:rsidRDefault="00010F15">
            <w:pPr>
              <w:rPr>
                <w:sz w:val="20"/>
                <w:szCs w:val="20"/>
              </w:rPr>
            </w:pPr>
          </w:p>
        </w:tc>
        <w:tc>
          <w:tcPr>
            <w:tcW w:w="70"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591"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70"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591"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70"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591"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10"/>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Year Ended December 31</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201</w:t>
            </w:r>
            <w:r>
              <w:rPr>
                <w:rFonts w:ascii="Arial" w:hAnsi="Arial" w:cs="Arial"/>
                <w:b/>
                <w:bCs/>
                <w:sz w:val="16"/>
                <w:szCs w:val="16"/>
              </w:rPr>
              <w:t>9</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10"/>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Gross profi</w:t>
            </w:r>
            <w:r>
              <w:rPr>
                <w:rFonts w:ascii="Arial" w:hAnsi="Arial" w:cs="Arial"/>
                <w:sz w:val="20"/>
                <w:szCs w:val="20"/>
              </w:rPr>
              <w:t>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121,38</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92,62</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74,43</w:t>
            </w:r>
            <w:r>
              <w:rPr>
                <w:rFonts w:ascii="Arial" w:hAnsi="Arial" w:cs="Arial"/>
                <w:sz w:val="20"/>
                <w:szCs w:val="20"/>
              </w:rPr>
              <w:t>4</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Plus: other cost of revenu</w:t>
            </w:r>
            <w:r>
              <w:rPr>
                <w:rFonts w:ascii="Arial" w:hAnsi="Arial" w:cs="Arial"/>
                <w:sz w:val="20"/>
                <w:szCs w:val="20"/>
              </w:rPr>
              <w:t>e</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37,09</w:t>
            </w:r>
            <w:r>
              <w:rPr>
                <w:rFonts w:ascii="Arial" w:hAnsi="Arial" w:cs="Arial"/>
                <w:sz w:val="20"/>
                <w:szCs w:val="20"/>
              </w:rPr>
              <w:t>8</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27,87</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22,23</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Contribution profi</w:t>
            </w:r>
            <w:r>
              <w:rPr>
                <w:rFonts w:ascii="Arial" w:hAnsi="Arial" w:cs="Arial"/>
                <w:sz w:val="20"/>
                <w:szCs w:val="20"/>
              </w:rPr>
              <w:t>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158,47</w:t>
            </w:r>
            <w:r>
              <w:rPr>
                <w:rFonts w:ascii="Arial" w:hAnsi="Arial" w:cs="Arial"/>
                <w:sz w:val="20"/>
                <w:szCs w:val="20"/>
              </w:rPr>
              <w:t>8</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120,50</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96,66</w:t>
            </w:r>
            <w:r>
              <w:rPr>
                <w:rFonts w:ascii="Arial" w:hAnsi="Arial" w:cs="Arial"/>
                <w:sz w:val="20"/>
                <w:szCs w:val="20"/>
              </w:rPr>
              <w:t>4</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bl>
    <w:p w:rsidR="00000000" w:rsidRDefault="00010F15">
      <w:pPr>
        <w:pStyle w:val="a3"/>
        <w:spacing w:before="240" w:beforeAutospacing="0" w:after="0" w:afterAutospacing="0"/>
        <w:ind w:firstLine="543"/>
        <w:rPr>
          <w:sz w:val="20"/>
          <w:szCs w:val="20"/>
        </w:rPr>
      </w:pPr>
      <w:r>
        <w:rPr>
          <w:rFonts w:ascii="Arial" w:hAnsi="Arial" w:cs="Arial"/>
          <w:sz w:val="20"/>
          <w:szCs w:val="20"/>
        </w:rPr>
        <w:t>In general, contribution profit is driven by the number of transactions we process offset by network fees associated with processing those transactions. The amount of contribution profit per transaction may vary due to a variety of factors including client</w:t>
      </w:r>
      <w:r>
        <w:rPr>
          <w:rFonts w:ascii="Arial" w:hAnsi="Arial" w:cs="Arial"/>
          <w:sz w:val="20"/>
          <w:szCs w:val="20"/>
        </w:rPr>
        <w:t xml:space="preserve"> size, type and industry as well as whether the client is a biller, financial institution or other partner. Contribution profit for the year ended December 31, 2021 increased approximately 31.5% as compared to 2020. The increase was primarily driven by the</w:t>
      </w:r>
      <w:r>
        <w:rPr>
          <w:rFonts w:ascii="Arial" w:hAnsi="Arial" w:cs="Arial"/>
          <w:sz w:val="20"/>
          <w:szCs w:val="20"/>
        </w:rPr>
        <w:t xml:space="preserve"> addition of new billers and increased transactions from our existing billers. For 2021, contribution profit increased at a slower rate than transactions due to continued onboarding of larger clients</w:t>
      </w:r>
      <w:r>
        <w:rPr>
          <w:rFonts w:ascii="Arial" w:hAnsi="Arial" w:cs="Arial"/>
          <w:sz w:val="20"/>
          <w:szCs w:val="20"/>
        </w:rPr>
        <w:t>.</w:t>
      </w:r>
    </w:p>
    <w:p w:rsidR="00000000" w:rsidRDefault="00010F15">
      <w:pPr>
        <w:pStyle w:val="a3"/>
        <w:spacing w:before="240" w:beforeAutospacing="0" w:after="0" w:afterAutospacing="0"/>
        <w:ind w:firstLine="543"/>
        <w:rPr>
          <w:sz w:val="20"/>
          <w:szCs w:val="20"/>
        </w:rPr>
      </w:pPr>
      <w:r>
        <w:rPr>
          <w:rFonts w:ascii="Arial" w:hAnsi="Arial" w:cs="Arial"/>
          <w:i/>
          <w:iCs/>
          <w:sz w:val="20"/>
          <w:szCs w:val="20"/>
        </w:rPr>
        <w:t>Adjusted Gross Profi</w:t>
      </w:r>
      <w:r>
        <w:rPr>
          <w:rFonts w:ascii="Arial" w:hAnsi="Arial" w:cs="Arial"/>
          <w:i/>
          <w:iCs/>
          <w:sz w:val="20"/>
          <w:szCs w:val="20"/>
        </w:rPr>
        <w:t>t</w:t>
      </w:r>
      <w:r>
        <w:rPr>
          <w:rFonts w:ascii="Arial" w:hAnsi="Arial" w:cs="Arial"/>
          <w:i/>
          <w:iCs/>
          <w:sz w:val="20"/>
          <w:szCs w:val="20"/>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02"/>
        <w:gridCol w:w="116"/>
        <w:gridCol w:w="172"/>
        <w:gridCol w:w="926"/>
        <w:gridCol w:w="116"/>
        <w:gridCol w:w="116"/>
        <w:gridCol w:w="172"/>
        <w:gridCol w:w="925"/>
        <w:gridCol w:w="116"/>
        <w:gridCol w:w="116"/>
        <w:gridCol w:w="172"/>
        <w:gridCol w:w="926"/>
        <w:gridCol w:w="131"/>
      </w:tblGrid>
      <w:tr w:rsidR="00000000">
        <w:trPr>
          <w:tblCellSpacing w:w="15" w:type="dxa"/>
        </w:trPr>
        <w:tc>
          <w:tcPr>
            <w:tcW w:w="2716" w:type="pct"/>
            <w:vAlign w:val="center"/>
            <w:hideMark/>
          </w:tcPr>
          <w:p w:rsidR="00000000" w:rsidRDefault="00010F15">
            <w:pPr>
              <w:rPr>
                <w:sz w:val="20"/>
                <w:szCs w:val="20"/>
              </w:rPr>
            </w:pPr>
          </w:p>
        </w:tc>
        <w:tc>
          <w:tcPr>
            <w:tcW w:w="70"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591"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70"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590"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70"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590"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10"/>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Year Ended December 31</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201</w:t>
            </w:r>
            <w:r>
              <w:rPr>
                <w:rFonts w:ascii="Arial" w:hAnsi="Arial" w:cs="Arial"/>
                <w:b/>
                <w:bCs/>
                <w:sz w:val="16"/>
                <w:szCs w:val="16"/>
              </w:rPr>
              <w:t>9</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10"/>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Gross profi</w:t>
            </w:r>
            <w:r>
              <w:rPr>
                <w:rFonts w:ascii="Arial" w:hAnsi="Arial" w:cs="Arial"/>
                <w:sz w:val="20"/>
                <w:szCs w:val="20"/>
              </w:rPr>
              <w:t>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121,38</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92,62</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74,43</w:t>
            </w:r>
            <w:r>
              <w:rPr>
                <w:rFonts w:ascii="Arial" w:hAnsi="Arial" w:cs="Arial"/>
                <w:sz w:val="20"/>
                <w:szCs w:val="20"/>
              </w:rPr>
              <w:t>4</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Stock-based compensatio</w:t>
            </w:r>
            <w:r>
              <w:rPr>
                <w:rFonts w:ascii="Arial" w:hAnsi="Arial" w:cs="Arial"/>
                <w:sz w:val="20"/>
                <w:szCs w:val="20"/>
              </w:rPr>
              <w:t>n</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Amortizatio</w:t>
            </w:r>
            <w:r>
              <w:rPr>
                <w:rFonts w:ascii="Arial" w:hAnsi="Arial" w:cs="Arial"/>
                <w:sz w:val="20"/>
                <w:szCs w:val="20"/>
              </w:rPr>
              <w:t>n</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6,00</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3,51</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2,64</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Adjusted gross profi</w:t>
            </w:r>
            <w:r>
              <w:rPr>
                <w:rFonts w:ascii="Arial" w:hAnsi="Arial" w:cs="Arial"/>
                <w:sz w:val="20"/>
                <w:szCs w:val="20"/>
              </w:rPr>
              <w:t>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127,38</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96,14</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77,07</w:t>
            </w:r>
            <w:r>
              <w:rPr>
                <w:rFonts w:ascii="Arial" w:hAnsi="Arial" w:cs="Arial"/>
                <w:sz w:val="20"/>
                <w:szCs w:val="20"/>
              </w:rPr>
              <w:t>9</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bl>
    <w:p w:rsidR="00000000" w:rsidRDefault="00010F15">
      <w:pPr>
        <w:pStyle w:val="a3"/>
        <w:spacing w:before="240" w:beforeAutospacing="0" w:after="0" w:afterAutospacing="0"/>
        <w:ind w:firstLine="543"/>
        <w:rPr>
          <w:sz w:val="20"/>
          <w:szCs w:val="20"/>
        </w:rPr>
      </w:pPr>
      <w:r>
        <w:rPr>
          <w:rFonts w:ascii="Arial" w:hAnsi="Arial" w:cs="Arial"/>
          <w:sz w:val="20"/>
          <w:szCs w:val="20"/>
        </w:rPr>
        <w:t>Adjusted gross profit is driven primarily by the same factors that impact gross profit with the exception of excluding the amortization in cost of revenue. The increase in amortization was driven by additional capitalization of software costs as well as am</w:t>
      </w:r>
      <w:r>
        <w:rPr>
          <w:rFonts w:ascii="Arial" w:hAnsi="Arial" w:cs="Arial"/>
          <w:sz w:val="20"/>
          <w:szCs w:val="20"/>
        </w:rPr>
        <w:t>ortization of acquired intangibles associated with the acquisition of Payveris and Finovera</w:t>
      </w:r>
      <w:r>
        <w:rPr>
          <w:rFonts w:ascii="Arial" w:hAnsi="Arial" w:cs="Arial"/>
          <w:sz w:val="20"/>
          <w:szCs w:val="20"/>
        </w:rPr>
        <w:t>.</w:t>
      </w:r>
    </w:p>
    <w:p w:rsidR="00000000" w:rsidRDefault="00010F15">
      <w:pPr>
        <w:pStyle w:val="a3"/>
        <w:spacing w:before="240" w:beforeAutospacing="0" w:after="0" w:afterAutospacing="0"/>
        <w:ind w:firstLine="543"/>
        <w:rPr>
          <w:sz w:val="20"/>
          <w:szCs w:val="20"/>
        </w:rPr>
      </w:pPr>
      <w:r>
        <w:rPr>
          <w:rFonts w:ascii="Arial" w:hAnsi="Arial" w:cs="Arial"/>
          <w:i/>
          <w:iCs/>
          <w:sz w:val="20"/>
          <w:szCs w:val="20"/>
        </w:rPr>
        <w:t>Adjusted EBITD</w:t>
      </w:r>
      <w:r>
        <w:rPr>
          <w:rFonts w:ascii="Arial" w:hAnsi="Arial" w:cs="Arial"/>
          <w:i/>
          <w:iCs/>
          <w:sz w:val="20"/>
          <w:szCs w:val="20"/>
        </w:rPr>
        <w:t>A</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01"/>
        <w:gridCol w:w="116"/>
        <w:gridCol w:w="172"/>
        <w:gridCol w:w="924"/>
        <w:gridCol w:w="116"/>
        <w:gridCol w:w="116"/>
        <w:gridCol w:w="172"/>
        <w:gridCol w:w="915"/>
        <w:gridCol w:w="127"/>
        <w:gridCol w:w="116"/>
        <w:gridCol w:w="172"/>
        <w:gridCol w:w="917"/>
        <w:gridCol w:w="142"/>
      </w:tblGrid>
      <w:tr w:rsidR="00000000">
        <w:trPr>
          <w:tblCellSpacing w:w="15" w:type="dxa"/>
        </w:trPr>
        <w:tc>
          <w:tcPr>
            <w:tcW w:w="2715" w:type="pct"/>
            <w:vAlign w:val="center"/>
            <w:hideMark/>
          </w:tcPr>
          <w:p w:rsidR="00000000" w:rsidRDefault="00010F15">
            <w:pPr>
              <w:rPr>
                <w:sz w:val="20"/>
                <w:szCs w:val="20"/>
              </w:rPr>
            </w:pPr>
          </w:p>
        </w:tc>
        <w:tc>
          <w:tcPr>
            <w:tcW w:w="70"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590"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70"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584" w:type="pct"/>
            <w:vAlign w:val="center"/>
            <w:hideMark/>
          </w:tcPr>
          <w:p w:rsidR="00000000" w:rsidRDefault="00010F15">
            <w:pPr>
              <w:rPr>
                <w:rFonts w:eastAsia="Times New Roman"/>
                <w:sz w:val="20"/>
                <w:szCs w:val="20"/>
              </w:rPr>
            </w:pPr>
          </w:p>
        </w:tc>
        <w:tc>
          <w:tcPr>
            <w:tcW w:w="39" w:type="pct"/>
            <w:vAlign w:val="center"/>
            <w:hideMark/>
          </w:tcPr>
          <w:p w:rsidR="00000000" w:rsidRDefault="00010F15">
            <w:pPr>
              <w:rPr>
                <w:rFonts w:eastAsia="Times New Roman"/>
                <w:sz w:val="20"/>
                <w:szCs w:val="20"/>
              </w:rPr>
            </w:pPr>
          </w:p>
        </w:tc>
        <w:tc>
          <w:tcPr>
            <w:tcW w:w="70"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584" w:type="pct"/>
            <w:vAlign w:val="center"/>
            <w:hideMark/>
          </w:tcPr>
          <w:p w:rsidR="00000000" w:rsidRDefault="00010F15">
            <w:pPr>
              <w:rPr>
                <w:rFonts w:eastAsia="Times New Roman"/>
                <w:sz w:val="20"/>
                <w:szCs w:val="20"/>
              </w:rPr>
            </w:pPr>
          </w:p>
        </w:tc>
        <w:tc>
          <w:tcPr>
            <w:tcW w:w="39" w:type="pct"/>
            <w:vAlign w:val="center"/>
            <w:hideMark/>
          </w:tcPr>
          <w:p w:rsidR="00000000" w:rsidRDefault="00010F15">
            <w:pPr>
              <w:rPr>
                <w:rFonts w:eastAsia="Times New Roman"/>
                <w:sz w:val="20"/>
                <w:szCs w:val="20"/>
              </w:rPr>
            </w:pP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10"/>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Year Ended December 31</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201</w:t>
            </w:r>
            <w:r>
              <w:rPr>
                <w:rFonts w:ascii="Arial" w:hAnsi="Arial" w:cs="Arial"/>
                <w:b/>
                <w:bCs/>
                <w:sz w:val="16"/>
                <w:szCs w:val="16"/>
              </w:rPr>
              <w:t>9</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10"/>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Net incom</w:t>
            </w:r>
            <w:r>
              <w:rPr>
                <w:rFonts w:ascii="Arial" w:hAnsi="Arial" w:cs="Arial"/>
                <w:sz w:val="20"/>
                <w:szCs w:val="20"/>
              </w:rPr>
              <w:t>e</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9,30</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13,71</w:t>
            </w: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13,69</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Excludin</w:t>
            </w:r>
            <w:r>
              <w:rPr>
                <w:rFonts w:ascii="Arial" w:hAnsi="Arial" w:cs="Arial"/>
                <w:sz w:val="20"/>
                <w:szCs w:val="20"/>
              </w:rPr>
              <w:t>g</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Interest expense (income), ne</w:t>
            </w:r>
            <w:r>
              <w:rPr>
                <w:rFonts w:ascii="Arial" w:hAnsi="Arial" w:cs="Arial"/>
                <w:sz w:val="20"/>
                <w:szCs w:val="20"/>
              </w:rPr>
              <w:t>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(5</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Provision for income taxe</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1,06</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4,65</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4,78</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Depreciation and amortizatio</w:t>
            </w:r>
            <w:r>
              <w:rPr>
                <w:rFonts w:ascii="Arial" w:hAnsi="Arial" w:cs="Arial"/>
                <w:sz w:val="20"/>
                <w:szCs w:val="20"/>
              </w:rPr>
              <w:t>n</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13,29</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8,06</w:t>
            </w:r>
            <w:r>
              <w:rPr>
                <w:rFonts w:ascii="Arial" w:hAnsi="Arial" w:cs="Arial"/>
                <w:sz w:val="20"/>
                <w:szCs w:val="20"/>
              </w:rPr>
              <w:t>9</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6,00</w:t>
            </w: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Foreign exchange loss (gain</w:t>
            </w: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11</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Stock-based compensatio</w:t>
            </w:r>
            <w:r>
              <w:rPr>
                <w:rFonts w:ascii="Arial" w:hAnsi="Arial" w:cs="Arial"/>
                <w:sz w:val="20"/>
                <w:szCs w:val="20"/>
              </w:rPr>
              <w:t>n</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3,13</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1,99</w:t>
            </w:r>
            <w:r>
              <w:rPr>
                <w:rFonts w:ascii="Arial" w:hAnsi="Arial" w:cs="Arial"/>
                <w:sz w:val="20"/>
                <w:szCs w:val="20"/>
              </w:rPr>
              <w:t>4</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1,58</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20"/>
          <w:tblCellSpacing w:w="15" w:type="dxa"/>
        </w:trPr>
        <w:tc>
          <w:tcPr>
            <w:tcW w:w="0" w:type="auto"/>
            <w:vAlign w:val="bottom"/>
            <w:hideMark/>
          </w:tcPr>
          <w:p w:rsidR="00000000" w:rsidRDefault="00010F15">
            <w:pPr>
              <w:pStyle w:val="a3"/>
              <w:spacing w:before="0" w:beforeAutospacing="0" w:after="0" w:afterAutospacing="0"/>
              <w:rPr>
                <w:sz w:val="22"/>
                <w:szCs w:val="22"/>
              </w:rPr>
            </w:pPr>
            <w:r>
              <w:rPr>
                <w:rFonts w:ascii="Arial" w:hAnsi="Arial" w:cs="Arial"/>
                <w:sz w:val="20"/>
                <w:szCs w:val="20"/>
              </w:rPr>
              <w:t>Other nonrecurring expense</w:t>
            </w:r>
            <w:r>
              <w:rPr>
                <w:rFonts w:ascii="Arial" w:hAnsi="Arial" w:cs="Arial"/>
                <w:sz w:val="20"/>
                <w:szCs w:val="20"/>
              </w:rPr>
              <w:t>s</w:t>
            </w:r>
            <w:r>
              <w:rPr>
                <w:rFonts w:ascii="Arial" w:hAnsi="Arial" w:cs="Arial"/>
                <w:sz w:val="15"/>
                <w:szCs w:val="15"/>
              </w:rPr>
              <w:t>(1</w:t>
            </w:r>
            <w:r>
              <w:rPr>
                <w:rFonts w:ascii="Arial" w:hAnsi="Arial" w:cs="Arial"/>
                <w:sz w:val="15"/>
                <w:szCs w:val="15"/>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2,71</w:t>
            </w: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Adjusted EBITD</w:t>
            </w:r>
            <w:r>
              <w:rPr>
                <w:rFonts w:ascii="Arial" w:hAnsi="Arial" w:cs="Arial"/>
                <w:sz w:val="20"/>
                <w:szCs w:val="20"/>
              </w:rPr>
              <w:t>A</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29,51</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28,49</w:t>
            </w: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25,95</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bl>
    <w:p w:rsidR="00000000" w:rsidRDefault="00010F15">
      <w:pPr>
        <w:pStyle w:val="a3"/>
        <w:spacing w:before="120" w:beforeAutospacing="0" w:after="0" w:afterAutospacing="0"/>
        <w:rPr>
          <w:sz w:val="20"/>
          <w:szCs w:val="20"/>
        </w:rPr>
      </w:pPr>
      <w:r>
        <w:rPr>
          <w:rFonts w:ascii="Arial" w:hAnsi="Arial" w:cs="Arial"/>
          <w:sz w:val="18"/>
          <w:szCs w:val="18"/>
        </w:rPr>
        <w:t>(1) Other nonrecurring expenses consists of indirect costs incurred associated with completion of our IPO</w:t>
      </w:r>
      <w:r>
        <w:rPr>
          <w:rFonts w:ascii="Arial" w:hAnsi="Arial" w:cs="Arial"/>
          <w:sz w:val="18"/>
          <w:szCs w:val="18"/>
        </w:rPr>
        <w:t>.</w:t>
      </w:r>
      <w:r>
        <w:rPr>
          <w:rFonts w:ascii="Arial" w:hAnsi="Arial" w:cs="Arial"/>
          <w:sz w:val="18"/>
          <w:szCs w:val="18"/>
        </w:rPr>
        <w:t xml:space="preserve"> </w:t>
      </w:r>
    </w:p>
    <w:p w:rsidR="00000000" w:rsidRDefault="00010F15">
      <w:pPr>
        <w:pStyle w:val="a3"/>
        <w:spacing w:before="240" w:beforeAutospacing="0" w:after="0" w:afterAutospacing="0"/>
        <w:ind w:firstLine="539"/>
        <w:rPr>
          <w:sz w:val="20"/>
          <w:szCs w:val="20"/>
        </w:rPr>
      </w:pPr>
      <w:r>
        <w:rPr>
          <w:rFonts w:ascii="Arial" w:hAnsi="Arial" w:cs="Arial"/>
          <w:sz w:val="20"/>
          <w:szCs w:val="20"/>
        </w:rPr>
        <w:t>As adjusted EBITDA is a measure of profitability, it would generally be expected to move in line with revenue, contribution profit, gross profit and</w:t>
      </w:r>
      <w:r>
        <w:rPr>
          <w:rFonts w:ascii="Arial" w:hAnsi="Arial" w:cs="Arial"/>
          <w:sz w:val="20"/>
          <w:szCs w:val="20"/>
        </w:rPr>
        <w:t xml:space="preserve"> adjusted gross profit. However, it is essentially flat from 2020 to 2021 due to our investment in sales and marketing and research and development in order to drive future growth of the business as well as the increased costs associated with being a publi</w:t>
      </w:r>
      <w:r>
        <w:rPr>
          <w:rFonts w:ascii="Arial" w:hAnsi="Arial" w:cs="Arial"/>
          <w:sz w:val="20"/>
          <w:szCs w:val="20"/>
        </w:rPr>
        <w:t>c company and the impact of the Payveris and Finovera acquisitions</w:t>
      </w:r>
      <w:r>
        <w:rPr>
          <w:rFonts w:ascii="Arial" w:hAnsi="Arial" w:cs="Arial"/>
          <w:sz w:val="20"/>
          <w:szCs w:val="20"/>
        </w:rPr>
        <w:t>.</w: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0" w:beforeAutospacing="0" w:after="0" w:afterAutospacing="0"/>
        <w:jc w:val="center"/>
        <w:rPr>
          <w:sz w:val="20"/>
          <w:szCs w:val="20"/>
        </w:rPr>
      </w:pPr>
      <w:r>
        <w:rPr>
          <w:rFonts w:ascii="Arial" w:hAnsi="Arial" w:cs="Arial"/>
          <w:sz w:val="20"/>
          <w:szCs w:val="20"/>
        </w:rPr>
        <w:t>6</w:t>
      </w:r>
      <w:r>
        <w:rPr>
          <w:rFonts w:ascii="Arial" w:hAnsi="Arial" w:cs="Arial"/>
          <w:sz w:val="20"/>
          <w:szCs w:val="20"/>
        </w:rPr>
        <w:t>0</w:t>
      </w:r>
    </w:p>
    <w:p w:rsidR="00000000" w:rsidRDefault="00010F15">
      <w:pPr>
        <w:rPr>
          <w:rFonts w:eastAsia="Times New Roman"/>
        </w:rPr>
      </w:pPr>
      <w:r>
        <w:rPr>
          <w:rFonts w:eastAsia="Times New Roman"/>
        </w:rPr>
        <w:pict>
          <v:rect id="_x0000_i1085"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240" w:beforeAutospacing="0" w:after="0" w:afterAutospacing="0"/>
        <w:ind w:firstLine="539"/>
        <w:rPr>
          <w:sz w:val="20"/>
          <w:szCs w:val="20"/>
        </w:rPr>
      </w:pPr>
      <w:r>
        <w:rPr>
          <w:rFonts w:ascii="Arial" w:hAnsi="Arial" w:cs="Arial"/>
          <w:i/>
          <w:iCs/>
          <w:sz w:val="20"/>
          <w:szCs w:val="20"/>
        </w:rPr>
        <w:t>Free Cash Flo</w:t>
      </w:r>
      <w:r>
        <w:rPr>
          <w:rFonts w:ascii="Arial" w:hAnsi="Arial" w:cs="Arial"/>
          <w:i/>
          <w:iCs/>
          <w:sz w:val="20"/>
          <w:szCs w:val="20"/>
        </w:rPr>
        <w:t>w</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8"/>
        <w:gridCol w:w="116"/>
        <w:gridCol w:w="172"/>
        <w:gridCol w:w="916"/>
        <w:gridCol w:w="127"/>
        <w:gridCol w:w="116"/>
        <w:gridCol w:w="172"/>
        <w:gridCol w:w="915"/>
        <w:gridCol w:w="127"/>
        <w:gridCol w:w="116"/>
        <w:gridCol w:w="172"/>
        <w:gridCol w:w="917"/>
        <w:gridCol w:w="142"/>
      </w:tblGrid>
      <w:tr w:rsidR="00000000">
        <w:trPr>
          <w:tblCellSpacing w:w="15" w:type="dxa"/>
        </w:trPr>
        <w:tc>
          <w:tcPr>
            <w:tcW w:w="2713" w:type="pct"/>
            <w:vAlign w:val="center"/>
            <w:hideMark/>
          </w:tcPr>
          <w:p w:rsidR="00000000" w:rsidRDefault="00010F15">
            <w:pPr>
              <w:rPr>
                <w:sz w:val="20"/>
                <w:szCs w:val="20"/>
              </w:rPr>
            </w:pPr>
          </w:p>
        </w:tc>
        <w:tc>
          <w:tcPr>
            <w:tcW w:w="70"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585" w:type="pct"/>
            <w:vAlign w:val="center"/>
            <w:hideMark/>
          </w:tcPr>
          <w:p w:rsidR="00000000" w:rsidRDefault="00010F15">
            <w:pPr>
              <w:rPr>
                <w:rFonts w:eastAsia="Times New Roman"/>
                <w:sz w:val="20"/>
                <w:szCs w:val="20"/>
              </w:rPr>
            </w:pPr>
          </w:p>
        </w:tc>
        <w:tc>
          <w:tcPr>
            <w:tcW w:w="39" w:type="pct"/>
            <w:vAlign w:val="center"/>
            <w:hideMark/>
          </w:tcPr>
          <w:p w:rsidR="00000000" w:rsidRDefault="00010F15">
            <w:pPr>
              <w:rPr>
                <w:rFonts w:eastAsia="Times New Roman"/>
                <w:sz w:val="20"/>
                <w:szCs w:val="20"/>
              </w:rPr>
            </w:pPr>
          </w:p>
        </w:tc>
        <w:tc>
          <w:tcPr>
            <w:tcW w:w="70"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584" w:type="pct"/>
            <w:vAlign w:val="center"/>
            <w:hideMark/>
          </w:tcPr>
          <w:p w:rsidR="00000000" w:rsidRDefault="00010F15">
            <w:pPr>
              <w:rPr>
                <w:rFonts w:eastAsia="Times New Roman"/>
                <w:sz w:val="20"/>
                <w:szCs w:val="20"/>
              </w:rPr>
            </w:pPr>
          </w:p>
        </w:tc>
        <w:tc>
          <w:tcPr>
            <w:tcW w:w="39" w:type="pct"/>
            <w:vAlign w:val="center"/>
            <w:hideMark/>
          </w:tcPr>
          <w:p w:rsidR="00000000" w:rsidRDefault="00010F15">
            <w:pPr>
              <w:rPr>
                <w:rFonts w:eastAsia="Times New Roman"/>
                <w:sz w:val="20"/>
                <w:szCs w:val="20"/>
              </w:rPr>
            </w:pPr>
          </w:p>
        </w:tc>
        <w:tc>
          <w:tcPr>
            <w:tcW w:w="70"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584" w:type="pct"/>
            <w:vAlign w:val="center"/>
            <w:hideMark/>
          </w:tcPr>
          <w:p w:rsidR="00000000" w:rsidRDefault="00010F15">
            <w:pPr>
              <w:rPr>
                <w:rFonts w:eastAsia="Times New Roman"/>
                <w:sz w:val="20"/>
                <w:szCs w:val="20"/>
              </w:rPr>
            </w:pPr>
          </w:p>
        </w:tc>
        <w:tc>
          <w:tcPr>
            <w:tcW w:w="39" w:type="pct"/>
            <w:vAlign w:val="center"/>
            <w:hideMark/>
          </w:tcPr>
          <w:p w:rsidR="00000000" w:rsidRDefault="00010F15">
            <w:pPr>
              <w:rPr>
                <w:rFonts w:eastAsia="Times New Roman"/>
                <w:sz w:val="20"/>
                <w:szCs w:val="20"/>
              </w:rPr>
            </w:pP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10"/>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Year Ended December 31</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201</w:t>
            </w:r>
            <w:r>
              <w:rPr>
                <w:rFonts w:ascii="Arial" w:hAnsi="Arial" w:cs="Arial"/>
                <w:b/>
                <w:bCs/>
                <w:sz w:val="16"/>
                <w:szCs w:val="16"/>
              </w:rPr>
              <w:t>9</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10"/>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Net cash provided by operating activitie</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19,49</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35,62</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17,51</w:t>
            </w: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Purchases of property and equipmen</w:t>
            </w:r>
            <w:r>
              <w:rPr>
                <w:rFonts w:ascii="Arial" w:hAnsi="Arial" w:cs="Arial"/>
                <w:sz w:val="20"/>
                <w:szCs w:val="20"/>
              </w:rPr>
              <w:t>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(97</w:t>
            </w:r>
            <w:r>
              <w:rPr>
                <w:rFonts w:ascii="Arial" w:hAnsi="Arial" w:cs="Arial"/>
                <w:sz w:val="20"/>
                <w:szCs w:val="20"/>
              </w:rPr>
              <w:t>9</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(45</w:t>
            </w:r>
            <w:r>
              <w:rPr>
                <w:rFonts w:ascii="Arial" w:hAnsi="Arial" w:cs="Arial"/>
                <w:sz w:val="20"/>
                <w:szCs w:val="20"/>
              </w:rPr>
              <w:t>8</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(1,04</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Capitalized internal-use software development cost</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(19,30</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(14,38</w:t>
            </w:r>
            <w:r>
              <w:rPr>
                <w:rFonts w:ascii="Arial" w:hAnsi="Arial" w:cs="Arial"/>
                <w:sz w:val="20"/>
                <w:szCs w:val="20"/>
              </w:rPr>
              <w:t>9</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(10,22</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Free cash flo</w:t>
            </w:r>
            <w:r>
              <w:rPr>
                <w:rFonts w:ascii="Arial" w:hAnsi="Arial" w:cs="Arial"/>
                <w:sz w:val="20"/>
                <w:szCs w:val="20"/>
              </w:rPr>
              <w:t>w</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(78</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20,77</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6,24</w:t>
            </w:r>
            <w:r>
              <w:rPr>
                <w:rFonts w:ascii="Arial" w:hAnsi="Arial" w:cs="Arial"/>
                <w:sz w:val="20"/>
                <w:szCs w:val="20"/>
              </w:rPr>
              <w:t>9</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Net cash used in investing activitie</w:t>
            </w:r>
            <w:r>
              <w:rPr>
                <w:rFonts w:ascii="Arial" w:hAnsi="Arial" w:cs="Arial"/>
                <w:sz w:val="20"/>
                <w:szCs w:val="20"/>
              </w:rPr>
              <w:t>s</w:t>
            </w:r>
            <w:r>
              <w:rPr>
                <w:rFonts w:ascii="Arial" w:hAnsi="Arial" w:cs="Arial"/>
                <w:sz w:val="13"/>
                <w:szCs w:val="13"/>
              </w:rPr>
              <w:t>(1</w:t>
            </w:r>
            <w:r>
              <w:rPr>
                <w:rFonts w:ascii="Arial" w:hAnsi="Arial" w:cs="Arial"/>
                <w:sz w:val="13"/>
                <w:szCs w:val="13"/>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(77,80</w:t>
            </w:r>
            <w:r>
              <w:rPr>
                <w:rFonts w:ascii="Arial" w:hAnsi="Arial" w:cs="Arial"/>
                <w:sz w:val="20"/>
                <w:szCs w:val="20"/>
              </w:rPr>
              <w:t>9</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(15,13</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(13,89</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Net cash provided by (used in) financing activitie</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213,48</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(1,35</w:t>
            </w:r>
            <w:r>
              <w:rPr>
                <w:rFonts w:ascii="Arial" w:hAnsi="Arial" w:cs="Arial"/>
                <w:sz w:val="20"/>
                <w:szCs w:val="20"/>
              </w:rPr>
              <w:t>8</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(85</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r>
    </w:tbl>
    <w:p w:rsidR="00000000" w:rsidRDefault="00010F15">
      <w:pPr>
        <w:pStyle w:val="a3"/>
        <w:spacing w:before="120" w:beforeAutospacing="0" w:after="0" w:afterAutospacing="0"/>
        <w:rPr>
          <w:sz w:val="20"/>
          <w:szCs w:val="20"/>
        </w:rPr>
      </w:pPr>
      <w:r>
        <w:rPr>
          <w:rFonts w:ascii="Arial" w:hAnsi="Arial" w:cs="Arial"/>
          <w:sz w:val="18"/>
          <w:szCs w:val="18"/>
        </w:rPr>
        <w:t>(1) Net cash used in investing activities includes payments for purchases of property and equipment and costs related to capitalized for internal-use software development, which is also included in our calculation of free cash flow</w:t>
      </w:r>
      <w:r>
        <w:rPr>
          <w:rFonts w:ascii="Arial" w:hAnsi="Arial" w:cs="Arial"/>
          <w:sz w:val="18"/>
          <w:szCs w:val="18"/>
        </w:rPr>
        <w:t>.</w:t>
      </w:r>
    </w:p>
    <w:p w:rsidR="00000000" w:rsidRDefault="00010F15">
      <w:pPr>
        <w:pStyle w:val="a3"/>
        <w:spacing w:before="240" w:beforeAutospacing="0" w:after="0" w:afterAutospacing="0"/>
        <w:jc w:val="center"/>
        <w:rPr>
          <w:sz w:val="20"/>
          <w:szCs w:val="20"/>
        </w:rPr>
      </w:pPr>
      <w:r>
        <w:rPr>
          <w:rFonts w:ascii="Arial" w:hAnsi="Arial" w:cs="Arial"/>
          <w:b/>
          <w:bCs/>
          <w:sz w:val="20"/>
          <w:szCs w:val="20"/>
        </w:rPr>
        <w:t>Results of Operation</w:t>
      </w:r>
      <w:r>
        <w:rPr>
          <w:rFonts w:ascii="Arial" w:hAnsi="Arial" w:cs="Arial"/>
          <w:b/>
          <w:bCs/>
          <w:sz w:val="20"/>
          <w:szCs w:val="20"/>
        </w:rPr>
        <w:t>s</w:t>
      </w:r>
    </w:p>
    <w:p w:rsidR="00000000" w:rsidRDefault="00010F15">
      <w:pPr>
        <w:pStyle w:val="a3"/>
        <w:spacing w:before="240" w:beforeAutospacing="0" w:after="120" w:afterAutospacing="0"/>
        <w:ind w:firstLine="543"/>
        <w:rPr>
          <w:sz w:val="20"/>
          <w:szCs w:val="20"/>
        </w:rPr>
      </w:pPr>
      <w:r>
        <w:rPr>
          <w:rFonts w:ascii="Arial" w:hAnsi="Arial" w:cs="Arial"/>
          <w:sz w:val="20"/>
          <w:szCs w:val="20"/>
        </w:rPr>
        <w:t>T</w:t>
      </w:r>
      <w:r>
        <w:rPr>
          <w:rFonts w:ascii="Arial" w:hAnsi="Arial" w:cs="Arial"/>
          <w:sz w:val="20"/>
          <w:szCs w:val="20"/>
        </w:rPr>
        <w:t>he following table sets forth our results of operations for the periods presented</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52"/>
        <w:gridCol w:w="116"/>
        <w:gridCol w:w="172"/>
        <w:gridCol w:w="929"/>
        <w:gridCol w:w="127"/>
        <w:gridCol w:w="116"/>
        <w:gridCol w:w="172"/>
        <w:gridCol w:w="929"/>
        <w:gridCol w:w="127"/>
        <w:gridCol w:w="116"/>
        <w:gridCol w:w="172"/>
        <w:gridCol w:w="836"/>
        <w:gridCol w:w="142"/>
      </w:tblGrid>
      <w:tr w:rsidR="00000000">
        <w:trPr>
          <w:tblCellSpacing w:w="15" w:type="dxa"/>
        </w:trPr>
        <w:tc>
          <w:tcPr>
            <w:tcW w:w="2747" w:type="pct"/>
            <w:vAlign w:val="center"/>
            <w:hideMark/>
          </w:tcPr>
          <w:p w:rsidR="00000000" w:rsidRDefault="00010F15">
            <w:pPr>
              <w:rPr>
                <w:sz w:val="20"/>
                <w:szCs w:val="20"/>
              </w:rPr>
            </w:pPr>
          </w:p>
        </w:tc>
        <w:tc>
          <w:tcPr>
            <w:tcW w:w="71" w:type="pct"/>
            <w:vAlign w:val="center"/>
            <w:hideMark/>
          </w:tcPr>
          <w:p w:rsidR="00000000" w:rsidRDefault="00010F15">
            <w:pPr>
              <w:rPr>
                <w:rFonts w:eastAsia="Times New Roman"/>
                <w:sz w:val="20"/>
                <w:szCs w:val="20"/>
              </w:rPr>
            </w:pPr>
          </w:p>
        </w:tc>
        <w:tc>
          <w:tcPr>
            <w:tcW w:w="66" w:type="pct"/>
            <w:vAlign w:val="center"/>
            <w:hideMark/>
          </w:tcPr>
          <w:p w:rsidR="00000000" w:rsidRDefault="00010F15">
            <w:pPr>
              <w:rPr>
                <w:rFonts w:eastAsia="Times New Roman"/>
                <w:sz w:val="20"/>
                <w:szCs w:val="20"/>
              </w:rPr>
            </w:pPr>
          </w:p>
        </w:tc>
        <w:tc>
          <w:tcPr>
            <w:tcW w:w="592" w:type="pct"/>
            <w:vAlign w:val="center"/>
            <w:hideMark/>
          </w:tcPr>
          <w:p w:rsidR="00000000" w:rsidRDefault="00010F15">
            <w:pPr>
              <w:rPr>
                <w:rFonts w:eastAsia="Times New Roman"/>
                <w:sz w:val="20"/>
                <w:szCs w:val="20"/>
              </w:rPr>
            </w:pPr>
          </w:p>
        </w:tc>
        <w:tc>
          <w:tcPr>
            <w:tcW w:w="39" w:type="pct"/>
            <w:vAlign w:val="center"/>
            <w:hideMark/>
          </w:tcPr>
          <w:p w:rsidR="00000000" w:rsidRDefault="00010F15">
            <w:pPr>
              <w:rPr>
                <w:rFonts w:eastAsia="Times New Roman"/>
                <w:sz w:val="20"/>
                <w:szCs w:val="20"/>
              </w:rPr>
            </w:pPr>
          </w:p>
        </w:tc>
        <w:tc>
          <w:tcPr>
            <w:tcW w:w="71" w:type="pct"/>
            <w:vAlign w:val="center"/>
            <w:hideMark/>
          </w:tcPr>
          <w:p w:rsidR="00000000" w:rsidRDefault="00010F15">
            <w:pPr>
              <w:rPr>
                <w:rFonts w:eastAsia="Times New Roman"/>
                <w:sz w:val="20"/>
                <w:szCs w:val="20"/>
              </w:rPr>
            </w:pPr>
          </w:p>
        </w:tc>
        <w:tc>
          <w:tcPr>
            <w:tcW w:w="66" w:type="pct"/>
            <w:vAlign w:val="center"/>
            <w:hideMark/>
          </w:tcPr>
          <w:p w:rsidR="00000000" w:rsidRDefault="00010F15">
            <w:pPr>
              <w:rPr>
                <w:rFonts w:eastAsia="Times New Roman"/>
                <w:sz w:val="20"/>
                <w:szCs w:val="20"/>
              </w:rPr>
            </w:pPr>
          </w:p>
        </w:tc>
        <w:tc>
          <w:tcPr>
            <w:tcW w:w="592" w:type="pct"/>
            <w:vAlign w:val="center"/>
            <w:hideMark/>
          </w:tcPr>
          <w:p w:rsidR="00000000" w:rsidRDefault="00010F15">
            <w:pPr>
              <w:rPr>
                <w:rFonts w:eastAsia="Times New Roman"/>
                <w:sz w:val="20"/>
                <w:szCs w:val="20"/>
              </w:rPr>
            </w:pPr>
          </w:p>
        </w:tc>
        <w:tc>
          <w:tcPr>
            <w:tcW w:w="39" w:type="pct"/>
            <w:vAlign w:val="center"/>
            <w:hideMark/>
          </w:tcPr>
          <w:p w:rsidR="00000000" w:rsidRDefault="00010F15">
            <w:pPr>
              <w:rPr>
                <w:rFonts w:eastAsia="Times New Roman"/>
                <w:sz w:val="20"/>
                <w:szCs w:val="20"/>
              </w:rPr>
            </w:pPr>
          </w:p>
        </w:tc>
        <w:tc>
          <w:tcPr>
            <w:tcW w:w="71" w:type="pct"/>
            <w:vAlign w:val="center"/>
            <w:hideMark/>
          </w:tcPr>
          <w:p w:rsidR="00000000" w:rsidRDefault="00010F15">
            <w:pPr>
              <w:rPr>
                <w:rFonts w:eastAsia="Times New Roman"/>
                <w:sz w:val="20"/>
                <w:szCs w:val="20"/>
              </w:rPr>
            </w:pPr>
          </w:p>
        </w:tc>
        <w:tc>
          <w:tcPr>
            <w:tcW w:w="66" w:type="pct"/>
            <w:vAlign w:val="center"/>
            <w:hideMark/>
          </w:tcPr>
          <w:p w:rsidR="00000000" w:rsidRDefault="00010F15">
            <w:pPr>
              <w:rPr>
                <w:rFonts w:eastAsia="Times New Roman"/>
                <w:sz w:val="20"/>
                <w:szCs w:val="20"/>
              </w:rPr>
            </w:pPr>
          </w:p>
        </w:tc>
        <w:tc>
          <w:tcPr>
            <w:tcW w:w="533" w:type="pct"/>
            <w:vAlign w:val="center"/>
            <w:hideMark/>
          </w:tcPr>
          <w:p w:rsidR="00000000" w:rsidRDefault="00010F15">
            <w:pPr>
              <w:rPr>
                <w:rFonts w:eastAsia="Times New Roman"/>
                <w:sz w:val="20"/>
                <w:szCs w:val="20"/>
              </w:rPr>
            </w:pPr>
          </w:p>
        </w:tc>
        <w:tc>
          <w:tcPr>
            <w:tcW w:w="39" w:type="pct"/>
            <w:vAlign w:val="center"/>
            <w:hideMark/>
          </w:tcPr>
          <w:p w:rsidR="00000000" w:rsidRDefault="00010F15">
            <w:pPr>
              <w:rPr>
                <w:rFonts w:eastAsia="Times New Roman"/>
                <w:sz w:val="20"/>
                <w:szCs w:val="20"/>
              </w:rPr>
            </w:pP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10"/>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Year Ended December 31</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201</w:t>
            </w:r>
            <w:r>
              <w:rPr>
                <w:rFonts w:ascii="Arial" w:hAnsi="Arial" w:cs="Arial"/>
                <w:b/>
                <w:bCs/>
                <w:sz w:val="16"/>
                <w:szCs w:val="16"/>
              </w:rPr>
              <w:t>9</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10"/>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6"/>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Revenu</w:t>
            </w:r>
            <w:r>
              <w:rPr>
                <w:rFonts w:ascii="Arial" w:hAnsi="Arial" w:cs="Arial"/>
                <w:sz w:val="20"/>
                <w:szCs w:val="20"/>
              </w:rPr>
              <w:t>e</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395,52</w:t>
            </w:r>
            <w:r>
              <w:rPr>
                <w:rFonts w:ascii="Arial" w:hAnsi="Arial" w:cs="Arial"/>
                <w:sz w:val="20"/>
                <w:szCs w:val="20"/>
              </w:rPr>
              <w:t>4</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301,76</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235,77</w:t>
            </w:r>
            <w:r>
              <w:rPr>
                <w:rFonts w:ascii="Arial" w:hAnsi="Arial" w:cs="Arial"/>
                <w:sz w:val="20"/>
                <w:szCs w:val="20"/>
              </w:rPr>
              <w:t>8</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Cost of revenu</w:t>
            </w:r>
            <w:r>
              <w:rPr>
                <w:rFonts w:ascii="Arial" w:hAnsi="Arial" w:cs="Arial"/>
                <w:sz w:val="20"/>
                <w:szCs w:val="20"/>
              </w:rPr>
              <w:t>e</w:t>
            </w:r>
            <w:r>
              <w:rPr>
                <w:rFonts w:ascii="Arial" w:hAnsi="Arial" w:cs="Arial"/>
                <w:sz w:val="13"/>
                <w:szCs w:val="13"/>
              </w:rPr>
              <w:t>(1</w:t>
            </w:r>
            <w:r>
              <w:rPr>
                <w:rFonts w:ascii="Arial" w:hAnsi="Arial" w:cs="Arial"/>
                <w:sz w:val="13"/>
                <w:szCs w:val="13"/>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274,14</w:t>
            </w:r>
            <w:r>
              <w:rPr>
                <w:rFonts w:ascii="Arial" w:hAnsi="Arial" w:cs="Arial"/>
                <w:sz w:val="20"/>
                <w:szCs w:val="20"/>
              </w:rPr>
              <w:t>4</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209,14</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161,34</w:t>
            </w:r>
            <w:r>
              <w:rPr>
                <w:rFonts w:ascii="Arial" w:hAnsi="Arial" w:cs="Arial"/>
                <w:sz w:val="20"/>
                <w:szCs w:val="20"/>
              </w:rPr>
              <w:t>4</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ind w:left="280"/>
              <w:rPr>
                <w:sz w:val="20"/>
                <w:szCs w:val="20"/>
              </w:rPr>
            </w:pPr>
            <w:r>
              <w:rPr>
                <w:rFonts w:ascii="Arial" w:hAnsi="Arial" w:cs="Arial"/>
                <w:sz w:val="20"/>
                <w:szCs w:val="20"/>
              </w:rPr>
              <w:t>Gross profi</w:t>
            </w:r>
            <w:r>
              <w:rPr>
                <w:rFonts w:ascii="Arial" w:hAnsi="Arial" w:cs="Arial"/>
                <w:sz w:val="20"/>
                <w:szCs w:val="20"/>
              </w:rPr>
              <w:t>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121,38</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92,62</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74,43</w:t>
            </w:r>
            <w:r>
              <w:rPr>
                <w:rFonts w:ascii="Arial" w:hAnsi="Arial" w:cs="Arial"/>
                <w:sz w:val="20"/>
                <w:szCs w:val="20"/>
              </w:rPr>
              <w:t>4</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Operating expense</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Research and developmen</w:t>
            </w:r>
            <w:r>
              <w:rPr>
                <w:rFonts w:ascii="Arial" w:hAnsi="Arial" w:cs="Arial"/>
                <w:sz w:val="20"/>
                <w:szCs w:val="20"/>
              </w:rPr>
              <w:t>t</w:t>
            </w:r>
            <w:r>
              <w:rPr>
                <w:rFonts w:ascii="Arial" w:hAnsi="Arial" w:cs="Arial"/>
                <w:sz w:val="13"/>
                <w:szCs w:val="13"/>
              </w:rPr>
              <w:t>(1</w:t>
            </w:r>
            <w:r>
              <w:rPr>
                <w:rFonts w:ascii="Arial" w:hAnsi="Arial" w:cs="Arial"/>
                <w:sz w:val="13"/>
                <w:szCs w:val="13"/>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34,12</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24,51</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17,86</w:t>
            </w:r>
            <w:r>
              <w:rPr>
                <w:rFonts w:ascii="Arial" w:hAnsi="Arial" w:cs="Arial"/>
                <w:sz w:val="20"/>
                <w:szCs w:val="20"/>
              </w:rPr>
              <w:t>4</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Sales and marketin</w:t>
            </w:r>
            <w:r>
              <w:rPr>
                <w:rFonts w:ascii="Arial" w:hAnsi="Arial" w:cs="Arial"/>
                <w:sz w:val="20"/>
                <w:szCs w:val="20"/>
              </w:rPr>
              <w:t>g</w:t>
            </w:r>
            <w:r>
              <w:rPr>
                <w:rFonts w:ascii="Arial" w:hAnsi="Arial" w:cs="Arial"/>
                <w:sz w:val="13"/>
                <w:szCs w:val="13"/>
              </w:rPr>
              <w:t>(1</w:t>
            </w:r>
            <w:r>
              <w:rPr>
                <w:rFonts w:ascii="Arial" w:hAnsi="Arial" w:cs="Arial"/>
                <w:sz w:val="13"/>
                <w:szCs w:val="13"/>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43,91</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31,84</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27,98</w:t>
            </w:r>
            <w:r>
              <w:rPr>
                <w:rFonts w:ascii="Arial" w:hAnsi="Arial" w:cs="Arial"/>
                <w:sz w:val="20"/>
                <w:szCs w:val="20"/>
              </w:rPr>
              <w:t>9</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General and administrativ</w:t>
            </w:r>
            <w:r>
              <w:rPr>
                <w:rFonts w:ascii="Arial" w:hAnsi="Arial" w:cs="Arial"/>
                <w:sz w:val="20"/>
                <w:szCs w:val="20"/>
              </w:rPr>
              <w:t>e</w:t>
            </w:r>
            <w:r>
              <w:rPr>
                <w:rFonts w:ascii="Arial" w:hAnsi="Arial" w:cs="Arial"/>
                <w:sz w:val="13"/>
                <w:szCs w:val="13"/>
              </w:rPr>
              <w:t>(1</w:t>
            </w:r>
            <w:r>
              <w:rPr>
                <w:rFonts w:ascii="Arial" w:hAnsi="Arial" w:cs="Arial"/>
                <w:sz w:val="13"/>
                <w:szCs w:val="13"/>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32,96</w:t>
            </w:r>
            <w:r>
              <w:rPr>
                <w:rFonts w:ascii="Arial" w:hAnsi="Arial" w:cs="Arial"/>
                <w:sz w:val="20"/>
                <w:szCs w:val="20"/>
              </w:rPr>
              <w:t>8</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17,84</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10,21</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ind w:left="280"/>
              <w:rPr>
                <w:sz w:val="20"/>
                <w:szCs w:val="20"/>
              </w:rPr>
            </w:pPr>
            <w:r>
              <w:rPr>
                <w:rFonts w:ascii="Arial" w:hAnsi="Arial" w:cs="Arial"/>
                <w:sz w:val="20"/>
                <w:szCs w:val="20"/>
              </w:rPr>
              <w:t>Total operating expense</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111,00</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74,19</w:t>
            </w:r>
            <w:r>
              <w:rPr>
                <w:rFonts w:ascii="Arial" w:hAnsi="Arial" w:cs="Arial"/>
                <w:sz w:val="20"/>
                <w:szCs w:val="20"/>
              </w:rPr>
              <w:t>9</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56,06</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ind w:left="280"/>
              <w:rPr>
                <w:sz w:val="20"/>
                <w:szCs w:val="20"/>
              </w:rPr>
            </w:pPr>
            <w:r>
              <w:rPr>
                <w:rFonts w:ascii="Arial" w:hAnsi="Arial" w:cs="Arial"/>
                <w:sz w:val="20"/>
                <w:szCs w:val="20"/>
              </w:rPr>
              <w:t>Income from operation</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10,37</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18,42</w:t>
            </w:r>
            <w:r>
              <w:rPr>
                <w:rFonts w:ascii="Arial" w:hAnsi="Arial" w:cs="Arial"/>
                <w:sz w:val="20"/>
                <w:szCs w:val="20"/>
              </w:rPr>
              <w:t>8</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18,37</w:t>
            </w: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Other income (expense</w:t>
            </w: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Interest (expense) income, ne</w:t>
            </w:r>
            <w:r>
              <w:rPr>
                <w:rFonts w:ascii="Arial" w:hAnsi="Arial" w:cs="Arial"/>
                <w:sz w:val="20"/>
                <w:szCs w:val="20"/>
              </w:rPr>
              <w:t>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5</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Foreign exchange (loss) gai</w:t>
            </w:r>
            <w:r>
              <w:rPr>
                <w:rFonts w:ascii="Arial" w:hAnsi="Arial" w:cs="Arial"/>
                <w:sz w:val="20"/>
                <w:szCs w:val="20"/>
              </w:rPr>
              <w:t>n</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(11</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ind w:left="280"/>
              <w:rPr>
                <w:sz w:val="20"/>
                <w:szCs w:val="20"/>
              </w:rPr>
            </w:pPr>
            <w:r>
              <w:rPr>
                <w:rFonts w:ascii="Arial" w:hAnsi="Arial" w:cs="Arial"/>
                <w:sz w:val="20"/>
                <w:szCs w:val="20"/>
              </w:rPr>
              <w:t>Income before income taxe</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10,36</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18,36</w:t>
            </w:r>
            <w:r>
              <w:rPr>
                <w:rFonts w:ascii="Arial" w:hAnsi="Arial" w:cs="Arial"/>
                <w:sz w:val="20"/>
                <w:szCs w:val="20"/>
              </w:rPr>
              <w:t>4</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18,47</w:t>
            </w:r>
            <w:r>
              <w:rPr>
                <w:rFonts w:ascii="Arial" w:hAnsi="Arial" w:cs="Arial"/>
                <w:sz w:val="20"/>
                <w:szCs w:val="20"/>
              </w:rPr>
              <w:t>9</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Provision for income taxe</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(1,06</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(4,65</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(4,78</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Net incom</w:t>
            </w:r>
            <w:r>
              <w:rPr>
                <w:rFonts w:ascii="Arial" w:hAnsi="Arial" w:cs="Arial"/>
                <w:sz w:val="20"/>
                <w:szCs w:val="20"/>
              </w:rPr>
              <w:t>e</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9,30</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13,71</w:t>
            </w: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13,69</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bl>
    <w:p w:rsidR="00000000" w:rsidRDefault="00010F15">
      <w:pPr>
        <w:divId w:val="787898550"/>
        <w:rPr>
          <w:rFonts w:eastAsia="Times New Roman"/>
        </w:rPr>
      </w:pPr>
      <w:r>
        <w:rPr>
          <w:rFonts w:ascii="Arial" w:eastAsia="Times New Roman" w:hAnsi="Arial" w:cs="Arial"/>
          <w:sz w:val="18"/>
          <w:szCs w:val="18"/>
        </w:rPr>
        <w:t>(1</w:t>
      </w:r>
      <w:r>
        <w:rPr>
          <w:rFonts w:ascii="Arial" w:eastAsia="Times New Roman" w:hAnsi="Arial" w:cs="Arial"/>
          <w:sz w:val="18"/>
          <w:szCs w:val="18"/>
        </w:rPr>
        <w:t>)</w:t>
      </w:r>
    </w:p>
    <w:p w:rsidR="00000000" w:rsidRDefault="00010F15">
      <w:pPr>
        <w:divId w:val="1643734024"/>
        <w:rPr>
          <w:rFonts w:eastAsia="Times New Roman"/>
        </w:rPr>
      </w:pPr>
      <w:r>
        <w:rPr>
          <w:rFonts w:ascii="Arial" w:eastAsia="Times New Roman" w:hAnsi="Arial" w:cs="Arial"/>
          <w:sz w:val="18"/>
          <w:szCs w:val="18"/>
        </w:rPr>
        <w:t>Stock-based compensation expense was allocated in cost of revenue and operating expenses as follows</w:t>
      </w:r>
      <w:r>
        <w:rPr>
          <w:rFonts w:ascii="Arial" w:eastAsia="Times New Roman" w:hAnsi="Arial" w:cs="Arial"/>
          <w:sz w:val="18"/>
          <w:szCs w:val="18"/>
        </w:rPr>
        <w:t>:</w:t>
      </w:r>
    </w:p>
    <w:p w:rsidR="00000000" w:rsidRDefault="00010F15">
      <w:pPr>
        <w:pStyle w:val="a3"/>
        <w:spacing w:before="0" w:beforeAutospacing="0" w:after="0" w:afterAutospacing="0"/>
        <w:rPr>
          <w:sz w:val="20"/>
          <w:szCs w:val="20"/>
        </w:rPr>
      </w:pPr>
      <w:r>
        <w:rPr>
          <w:rFonts w:ascii="Arial" w:hAnsi="Arial" w:cs="Arial"/>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57"/>
        <w:gridCol w:w="116"/>
        <w:gridCol w:w="172"/>
        <w:gridCol w:w="939"/>
        <w:gridCol w:w="116"/>
        <w:gridCol w:w="116"/>
        <w:gridCol w:w="172"/>
        <w:gridCol w:w="939"/>
        <w:gridCol w:w="116"/>
        <w:gridCol w:w="116"/>
        <w:gridCol w:w="172"/>
        <w:gridCol w:w="844"/>
        <w:gridCol w:w="131"/>
      </w:tblGrid>
      <w:tr w:rsidR="00000000">
        <w:trPr>
          <w:tblCellSpacing w:w="15" w:type="dxa"/>
        </w:trPr>
        <w:tc>
          <w:tcPr>
            <w:tcW w:w="2751" w:type="pct"/>
            <w:vAlign w:val="center"/>
            <w:hideMark/>
          </w:tcPr>
          <w:p w:rsidR="00000000" w:rsidRDefault="00010F15">
            <w:pPr>
              <w:rPr>
                <w:sz w:val="20"/>
                <w:szCs w:val="20"/>
              </w:rPr>
            </w:pPr>
          </w:p>
        </w:tc>
        <w:tc>
          <w:tcPr>
            <w:tcW w:w="71"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598"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71"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598"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71"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538"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r>
      <w:tr w:rsidR="00000000">
        <w:trPr>
          <w:tblCellSpacing w:w="15" w:type="dxa"/>
        </w:trPr>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10"/>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Year Ended December 31</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201</w:t>
            </w:r>
            <w:r>
              <w:rPr>
                <w:rFonts w:ascii="Arial" w:hAnsi="Arial" w:cs="Arial"/>
                <w:b/>
                <w:bCs/>
                <w:sz w:val="16"/>
                <w:szCs w:val="16"/>
              </w:rPr>
              <w:t>9</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10"/>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Cost of revenu</w:t>
            </w:r>
            <w:r>
              <w:rPr>
                <w:rFonts w:ascii="Arial" w:hAnsi="Arial" w:cs="Arial"/>
                <w:sz w:val="20"/>
                <w:szCs w:val="20"/>
              </w:rPr>
              <w:t>e</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Research and developmen</w:t>
            </w:r>
            <w:r>
              <w:rPr>
                <w:rFonts w:ascii="Arial" w:hAnsi="Arial" w:cs="Arial"/>
                <w:sz w:val="20"/>
                <w:szCs w:val="20"/>
              </w:rPr>
              <w:t>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51</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Sales and marketin</w:t>
            </w:r>
            <w:r>
              <w:rPr>
                <w:rFonts w:ascii="Arial" w:hAnsi="Arial" w:cs="Arial"/>
                <w:sz w:val="20"/>
                <w:szCs w:val="20"/>
              </w:rPr>
              <w:t>g</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28</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4</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General and administrativ</w:t>
            </w:r>
            <w:r>
              <w:rPr>
                <w:rFonts w:ascii="Arial" w:hAnsi="Arial" w:cs="Arial"/>
                <w:sz w:val="20"/>
                <w:szCs w:val="20"/>
              </w:rPr>
              <w:t>e</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2,33</w:t>
            </w:r>
            <w:r>
              <w:rPr>
                <w:rFonts w:ascii="Arial" w:hAnsi="Arial" w:cs="Arial"/>
                <w:sz w:val="20"/>
                <w:szCs w:val="20"/>
              </w:rPr>
              <w:t>9</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1,93</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1,56</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Total stock-based compensatio</w:t>
            </w:r>
            <w:r>
              <w:rPr>
                <w:rFonts w:ascii="Arial" w:hAnsi="Arial" w:cs="Arial"/>
                <w:sz w:val="20"/>
                <w:szCs w:val="20"/>
              </w:rPr>
              <w:t>n</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3,13</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1,99</w:t>
            </w:r>
            <w:r>
              <w:rPr>
                <w:rFonts w:ascii="Arial" w:hAnsi="Arial" w:cs="Arial"/>
                <w:sz w:val="20"/>
                <w:szCs w:val="20"/>
              </w:rPr>
              <w:t>4</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1,58</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bl>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0" w:beforeAutospacing="0" w:after="0" w:afterAutospacing="0"/>
        <w:jc w:val="center"/>
        <w:rPr>
          <w:sz w:val="20"/>
          <w:szCs w:val="20"/>
        </w:rPr>
      </w:pPr>
      <w:r>
        <w:rPr>
          <w:rFonts w:ascii="Arial" w:hAnsi="Arial" w:cs="Arial"/>
          <w:sz w:val="20"/>
          <w:szCs w:val="20"/>
        </w:rPr>
        <w:t>6</w:t>
      </w:r>
      <w:r>
        <w:rPr>
          <w:rFonts w:ascii="Arial" w:hAnsi="Arial" w:cs="Arial"/>
          <w:sz w:val="20"/>
          <w:szCs w:val="20"/>
        </w:rPr>
        <w:t>1</w:t>
      </w:r>
    </w:p>
    <w:p w:rsidR="00000000" w:rsidRDefault="00010F15">
      <w:pPr>
        <w:rPr>
          <w:rFonts w:eastAsia="Times New Roman"/>
        </w:rPr>
      </w:pPr>
      <w:r>
        <w:rPr>
          <w:rFonts w:eastAsia="Times New Roman"/>
        </w:rPr>
        <w:pict>
          <v:rect id="_x0000_i1086"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240" w:beforeAutospacing="0" w:after="120" w:afterAutospacing="0"/>
        <w:ind w:firstLine="539"/>
        <w:rPr>
          <w:sz w:val="20"/>
          <w:szCs w:val="20"/>
        </w:rPr>
      </w:pPr>
      <w:r>
        <w:rPr>
          <w:rFonts w:ascii="Arial" w:hAnsi="Arial" w:cs="Arial"/>
          <w:sz w:val="20"/>
          <w:szCs w:val="20"/>
        </w:rPr>
        <w:t>The following table presents the components of our consolidated statements of operations for the periods presented as a percentage of revenue</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40"/>
        <w:gridCol w:w="116"/>
        <w:gridCol w:w="116"/>
        <w:gridCol w:w="878"/>
        <w:gridCol w:w="238"/>
        <w:gridCol w:w="116"/>
        <w:gridCol w:w="116"/>
        <w:gridCol w:w="878"/>
        <w:gridCol w:w="238"/>
        <w:gridCol w:w="116"/>
        <w:gridCol w:w="116"/>
        <w:gridCol w:w="785"/>
        <w:gridCol w:w="253"/>
      </w:tblGrid>
      <w:tr w:rsidR="00000000">
        <w:trPr>
          <w:tblCellSpacing w:w="15" w:type="dxa"/>
        </w:trPr>
        <w:tc>
          <w:tcPr>
            <w:tcW w:w="2740" w:type="pct"/>
            <w:vAlign w:val="center"/>
            <w:hideMark/>
          </w:tcPr>
          <w:p w:rsidR="00000000" w:rsidRDefault="00010F15">
            <w:pPr>
              <w:rPr>
                <w:sz w:val="20"/>
                <w:szCs w:val="20"/>
              </w:rPr>
            </w:pPr>
          </w:p>
        </w:tc>
        <w:tc>
          <w:tcPr>
            <w:tcW w:w="71"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562" w:type="pct"/>
            <w:vAlign w:val="center"/>
            <w:hideMark/>
          </w:tcPr>
          <w:p w:rsidR="00000000" w:rsidRDefault="00010F15">
            <w:pPr>
              <w:rPr>
                <w:rFonts w:eastAsia="Times New Roman"/>
                <w:sz w:val="20"/>
                <w:szCs w:val="20"/>
              </w:rPr>
            </w:pPr>
          </w:p>
        </w:tc>
        <w:tc>
          <w:tcPr>
            <w:tcW w:w="106" w:type="pct"/>
            <w:vAlign w:val="center"/>
            <w:hideMark/>
          </w:tcPr>
          <w:p w:rsidR="00000000" w:rsidRDefault="00010F15">
            <w:pPr>
              <w:rPr>
                <w:rFonts w:eastAsia="Times New Roman"/>
                <w:sz w:val="20"/>
                <w:szCs w:val="20"/>
              </w:rPr>
            </w:pPr>
          </w:p>
        </w:tc>
        <w:tc>
          <w:tcPr>
            <w:tcW w:w="71"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562" w:type="pct"/>
            <w:vAlign w:val="center"/>
            <w:hideMark/>
          </w:tcPr>
          <w:p w:rsidR="00000000" w:rsidRDefault="00010F15">
            <w:pPr>
              <w:rPr>
                <w:rFonts w:eastAsia="Times New Roman"/>
                <w:sz w:val="20"/>
                <w:szCs w:val="20"/>
              </w:rPr>
            </w:pPr>
          </w:p>
        </w:tc>
        <w:tc>
          <w:tcPr>
            <w:tcW w:w="106" w:type="pct"/>
            <w:vAlign w:val="center"/>
            <w:hideMark/>
          </w:tcPr>
          <w:p w:rsidR="00000000" w:rsidRDefault="00010F15">
            <w:pPr>
              <w:rPr>
                <w:rFonts w:eastAsia="Times New Roman"/>
                <w:sz w:val="20"/>
                <w:szCs w:val="20"/>
              </w:rPr>
            </w:pPr>
          </w:p>
        </w:tc>
        <w:tc>
          <w:tcPr>
            <w:tcW w:w="71"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502" w:type="pct"/>
            <w:vAlign w:val="center"/>
            <w:hideMark/>
          </w:tcPr>
          <w:p w:rsidR="00000000" w:rsidRDefault="00010F15">
            <w:pPr>
              <w:rPr>
                <w:rFonts w:eastAsia="Times New Roman"/>
                <w:sz w:val="20"/>
                <w:szCs w:val="20"/>
              </w:rPr>
            </w:pPr>
          </w:p>
        </w:tc>
        <w:tc>
          <w:tcPr>
            <w:tcW w:w="106" w:type="pct"/>
            <w:vAlign w:val="center"/>
            <w:hideMark/>
          </w:tcPr>
          <w:p w:rsidR="00000000" w:rsidRDefault="00010F15">
            <w:pPr>
              <w:rPr>
                <w:rFonts w:eastAsia="Times New Roman"/>
                <w:sz w:val="20"/>
                <w:szCs w:val="20"/>
              </w:rPr>
            </w:pP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gridSpan w:val="10"/>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Year Ended December 31</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201</w:t>
            </w:r>
            <w:r>
              <w:rPr>
                <w:rFonts w:ascii="Arial" w:hAnsi="Arial" w:cs="Arial"/>
                <w:b/>
                <w:bCs/>
                <w:sz w:val="16"/>
                <w:szCs w:val="16"/>
              </w:rPr>
              <w:t>9</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blCellSpacing w:w="15" w:type="dxa"/>
        </w:trPr>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Revenu</w:t>
            </w:r>
            <w:r>
              <w:rPr>
                <w:rFonts w:ascii="Arial" w:hAnsi="Arial" w:cs="Arial"/>
                <w:sz w:val="20"/>
                <w:szCs w:val="20"/>
              </w:rPr>
              <w:t>e</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100.</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100.</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100.</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Cost of revenu</w:t>
            </w:r>
            <w:r>
              <w:rPr>
                <w:rFonts w:ascii="Arial" w:hAnsi="Arial" w:cs="Arial"/>
                <w:sz w:val="20"/>
                <w:szCs w:val="20"/>
              </w:rPr>
              <w:t>e</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69.</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69.</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68.</w:t>
            </w:r>
            <w:r>
              <w:rPr>
                <w:rFonts w:ascii="Arial" w:hAnsi="Arial" w:cs="Arial"/>
                <w:sz w:val="20"/>
                <w:szCs w:val="20"/>
              </w:rPr>
              <w:t>4</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ind w:left="280"/>
              <w:rPr>
                <w:sz w:val="20"/>
                <w:szCs w:val="20"/>
              </w:rPr>
            </w:pPr>
            <w:r>
              <w:rPr>
                <w:rFonts w:ascii="Arial" w:hAnsi="Arial" w:cs="Arial"/>
                <w:sz w:val="20"/>
                <w:szCs w:val="20"/>
              </w:rPr>
              <w:t>Gross profi</w:t>
            </w:r>
            <w:r>
              <w:rPr>
                <w:rFonts w:ascii="Arial" w:hAnsi="Arial" w:cs="Arial"/>
                <w:sz w:val="20"/>
                <w:szCs w:val="20"/>
              </w:rPr>
              <w:t>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30.</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30.</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31.</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Operating expense</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Research and developmen</w:t>
            </w:r>
            <w:r>
              <w:rPr>
                <w:rFonts w:ascii="Arial" w:hAnsi="Arial" w:cs="Arial"/>
                <w:sz w:val="20"/>
                <w:szCs w:val="20"/>
              </w:rPr>
              <w:t>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Sales and marketin</w:t>
            </w:r>
            <w:r>
              <w:rPr>
                <w:rFonts w:ascii="Arial" w:hAnsi="Arial" w:cs="Arial"/>
                <w:sz w:val="20"/>
                <w:szCs w:val="20"/>
              </w:rPr>
              <w:t>g</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11.</w:t>
            </w: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11.</w:t>
            </w:r>
            <w:r>
              <w:rPr>
                <w:rFonts w:ascii="Arial" w:hAnsi="Arial" w:cs="Arial"/>
                <w:sz w:val="20"/>
                <w:szCs w:val="20"/>
              </w:rPr>
              <w:t>9</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General and administrativ</w:t>
            </w:r>
            <w:r>
              <w:rPr>
                <w:rFonts w:ascii="Arial" w:hAnsi="Arial" w:cs="Arial"/>
                <w:sz w:val="20"/>
                <w:szCs w:val="20"/>
              </w:rPr>
              <w:t>e</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4</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5.</w:t>
            </w:r>
            <w:r>
              <w:rPr>
                <w:rFonts w:ascii="Arial" w:hAnsi="Arial" w:cs="Arial"/>
                <w:sz w:val="20"/>
                <w:szCs w:val="20"/>
              </w:rPr>
              <w:t>9</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ind w:left="280"/>
              <w:rPr>
                <w:sz w:val="20"/>
                <w:szCs w:val="20"/>
              </w:rPr>
            </w:pPr>
            <w:r>
              <w:rPr>
                <w:rFonts w:ascii="Arial" w:hAnsi="Arial" w:cs="Arial"/>
                <w:sz w:val="20"/>
                <w:szCs w:val="20"/>
              </w:rPr>
              <w:t>Total operating expense</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28.</w:t>
            </w: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24.</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23.</w:t>
            </w:r>
            <w:r>
              <w:rPr>
                <w:rFonts w:ascii="Arial" w:hAnsi="Arial" w:cs="Arial"/>
                <w:sz w:val="20"/>
                <w:szCs w:val="20"/>
              </w:rPr>
              <w:t>8</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ind w:left="280"/>
              <w:rPr>
                <w:sz w:val="20"/>
                <w:szCs w:val="20"/>
              </w:rPr>
            </w:pPr>
            <w:r>
              <w:rPr>
                <w:rFonts w:ascii="Arial" w:hAnsi="Arial" w:cs="Arial"/>
                <w:sz w:val="20"/>
                <w:szCs w:val="20"/>
              </w:rPr>
              <w:t>Income from operation</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6.</w:t>
            </w: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8</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Other income (expense</w:t>
            </w: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Interest (expense) income, ne</w:t>
            </w:r>
            <w:r>
              <w:rPr>
                <w:rFonts w:ascii="Arial" w:hAnsi="Arial" w:cs="Arial"/>
                <w:sz w:val="20"/>
                <w:szCs w:val="20"/>
              </w:rPr>
              <w:t>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Foreign exchange (loss) gai</w:t>
            </w:r>
            <w:r>
              <w:rPr>
                <w:rFonts w:ascii="Arial" w:hAnsi="Arial" w:cs="Arial"/>
                <w:sz w:val="20"/>
                <w:szCs w:val="20"/>
              </w:rPr>
              <w:t>n</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ind w:left="280"/>
              <w:rPr>
                <w:sz w:val="20"/>
                <w:szCs w:val="20"/>
              </w:rPr>
            </w:pPr>
            <w:r>
              <w:rPr>
                <w:rFonts w:ascii="Arial" w:hAnsi="Arial" w:cs="Arial"/>
                <w:sz w:val="20"/>
                <w:szCs w:val="20"/>
              </w:rPr>
              <w:t>Income before income taxe</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6.</w:t>
            </w: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8</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Provision for income taxe</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Net incom</w:t>
            </w:r>
            <w:r>
              <w:rPr>
                <w:rFonts w:ascii="Arial" w:hAnsi="Arial" w:cs="Arial"/>
                <w:sz w:val="20"/>
                <w:szCs w:val="20"/>
              </w:rPr>
              <w:t>e</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5.</w:t>
            </w:r>
            <w:r>
              <w:rPr>
                <w:rFonts w:ascii="Arial" w:hAnsi="Arial" w:cs="Arial"/>
                <w:sz w:val="20"/>
                <w:szCs w:val="20"/>
              </w:rPr>
              <w:t>8</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r>
    </w:tbl>
    <w:p w:rsidR="00000000" w:rsidRDefault="00010F15">
      <w:pPr>
        <w:pStyle w:val="a3"/>
        <w:spacing w:before="240" w:beforeAutospacing="0" w:after="0" w:afterAutospacing="0"/>
        <w:rPr>
          <w:sz w:val="20"/>
          <w:szCs w:val="20"/>
        </w:rPr>
      </w:pPr>
      <w:r>
        <w:rPr>
          <w:rFonts w:ascii="Arial" w:hAnsi="Arial" w:cs="Arial"/>
          <w:b/>
          <w:bCs/>
          <w:i/>
          <w:iCs/>
          <w:sz w:val="20"/>
          <w:szCs w:val="20"/>
        </w:rPr>
        <w:t>Comparison of the Years Ended December 31, 2021 and 202</w:t>
      </w:r>
      <w:r>
        <w:rPr>
          <w:rFonts w:ascii="Arial" w:hAnsi="Arial" w:cs="Arial"/>
          <w:b/>
          <w:bCs/>
          <w:i/>
          <w:iCs/>
          <w:sz w:val="20"/>
          <w:szCs w:val="20"/>
        </w:rPr>
        <w:t>0</w:t>
      </w:r>
    </w:p>
    <w:p w:rsidR="00000000" w:rsidRDefault="00010F15">
      <w:pPr>
        <w:pStyle w:val="a3"/>
        <w:spacing w:before="240" w:beforeAutospacing="0" w:after="0" w:afterAutospacing="0"/>
        <w:ind w:firstLine="543"/>
        <w:rPr>
          <w:sz w:val="20"/>
          <w:szCs w:val="20"/>
        </w:rPr>
      </w:pPr>
      <w:r>
        <w:rPr>
          <w:rFonts w:ascii="Arial" w:hAnsi="Arial" w:cs="Arial"/>
          <w:i/>
          <w:iCs/>
          <w:sz w:val="20"/>
          <w:szCs w:val="20"/>
        </w:rPr>
        <w:t>Revenu</w:t>
      </w:r>
      <w:r>
        <w:rPr>
          <w:rFonts w:ascii="Arial" w:hAnsi="Arial" w:cs="Arial"/>
          <w:i/>
          <w:iCs/>
          <w:sz w:val="20"/>
          <w:szCs w:val="20"/>
        </w:rPr>
        <w:t>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45"/>
        <w:gridCol w:w="156"/>
        <w:gridCol w:w="172"/>
        <w:gridCol w:w="1021"/>
        <w:gridCol w:w="116"/>
        <w:gridCol w:w="157"/>
        <w:gridCol w:w="172"/>
        <w:gridCol w:w="1021"/>
        <w:gridCol w:w="116"/>
        <w:gridCol w:w="157"/>
        <w:gridCol w:w="172"/>
        <w:gridCol w:w="1019"/>
        <w:gridCol w:w="116"/>
        <w:gridCol w:w="157"/>
        <w:gridCol w:w="116"/>
        <w:gridCol w:w="1062"/>
        <w:gridCol w:w="131"/>
      </w:tblGrid>
      <w:tr w:rsidR="00000000">
        <w:trPr>
          <w:tblCellSpacing w:w="15" w:type="dxa"/>
        </w:trPr>
        <w:tc>
          <w:tcPr>
            <w:tcW w:w="1565" w:type="pct"/>
            <w:vAlign w:val="center"/>
            <w:hideMark/>
          </w:tcPr>
          <w:p w:rsidR="00000000" w:rsidRDefault="00010F15">
            <w:pPr>
              <w:rPr>
                <w:sz w:val="20"/>
                <w:szCs w:val="20"/>
              </w:rPr>
            </w:pPr>
          </w:p>
        </w:tc>
        <w:tc>
          <w:tcPr>
            <w:tcW w:w="103" w:type="pct"/>
            <w:vAlign w:val="center"/>
            <w:hideMark/>
          </w:tcPr>
          <w:p w:rsidR="00000000" w:rsidRDefault="00010F15">
            <w:pPr>
              <w:rPr>
                <w:rFonts w:eastAsia="Times New Roman"/>
                <w:sz w:val="20"/>
                <w:szCs w:val="20"/>
              </w:rPr>
            </w:pPr>
          </w:p>
        </w:tc>
        <w:tc>
          <w:tcPr>
            <w:tcW w:w="66" w:type="pct"/>
            <w:vAlign w:val="center"/>
            <w:hideMark/>
          </w:tcPr>
          <w:p w:rsidR="00000000" w:rsidRDefault="00010F15">
            <w:pPr>
              <w:rPr>
                <w:rFonts w:eastAsia="Times New Roman"/>
                <w:sz w:val="20"/>
                <w:szCs w:val="20"/>
              </w:rPr>
            </w:pPr>
          </w:p>
        </w:tc>
        <w:tc>
          <w:tcPr>
            <w:tcW w:w="658"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103" w:type="pct"/>
            <w:vAlign w:val="center"/>
            <w:hideMark/>
          </w:tcPr>
          <w:p w:rsidR="00000000" w:rsidRDefault="00010F15">
            <w:pPr>
              <w:rPr>
                <w:rFonts w:eastAsia="Times New Roman"/>
                <w:sz w:val="20"/>
                <w:szCs w:val="20"/>
              </w:rPr>
            </w:pPr>
          </w:p>
        </w:tc>
        <w:tc>
          <w:tcPr>
            <w:tcW w:w="66" w:type="pct"/>
            <w:vAlign w:val="center"/>
            <w:hideMark/>
          </w:tcPr>
          <w:p w:rsidR="00000000" w:rsidRDefault="00010F15">
            <w:pPr>
              <w:rPr>
                <w:rFonts w:eastAsia="Times New Roman"/>
                <w:sz w:val="20"/>
                <w:szCs w:val="20"/>
              </w:rPr>
            </w:pPr>
          </w:p>
        </w:tc>
        <w:tc>
          <w:tcPr>
            <w:tcW w:w="658"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103" w:type="pct"/>
            <w:vAlign w:val="center"/>
            <w:hideMark/>
          </w:tcPr>
          <w:p w:rsidR="00000000" w:rsidRDefault="00010F15">
            <w:pPr>
              <w:rPr>
                <w:rFonts w:eastAsia="Times New Roman"/>
                <w:sz w:val="20"/>
                <w:szCs w:val="20"/>
              </w:rPr>
            </w:pPr>
          </w:p>
        </w:tc>
        <w:tc>
          <w:tcPr>
            <w:tcW w:w="66" w:type="pct"/>
            <w:vAlign w:val="center"/>
            <w:hideMark/>
          </w:tcPr>
          <w:p w:rsidR="00000000" w:rsidRDefault="00010F15">
            <w:pPr>
              <w:rPr>
                <w:rFonts w:eastAsia="Times New Roman"/>
                <w:sz w:val="20"/>
                <w:szCs w:val="20"/>
              </w:rPr>
            </w:pPr>
          </w:p>
        </w:tc>
        <w:tc>
          <w:tcPr>
            <w:tcW w:w="657"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103"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685"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6"/>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Year Ended December 31</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6"/>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Chang</w:t>
            </w:r>
            <w:r>
              <w:rPr>
                <w:rFonts w:ascii="Arial" w:hAnsi="Arial" w:cs="Arial"/>
                <w:b/>
                <w:bCs/>
                <w:sz w:val="16"/>
                <w:szCs w:val="16"/>
              </w:rPr>
              <w:t>e</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14"/>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(dollars in thousands</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Revenu</w:t>
            </w:r>
            <w:r>
              <w:rPr>
                <w:rFonts w:ascii="Arial" w:hAnsi="Arial" w:cs="Arial"/>
                <w:sz w:val="20"/>
                <w:szCs w:val="20"/>
              </w:rPr>
              <w:t>e</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395,52</w:t>
            </w:r>
            <w:r>
              <w:rPr>
                <w:rFonts w:ascii="Arial" w:hAnsi="Arial" w:cs="Arial"/>
                <w:sz w:val="20"/>
                <w:szCs w:val="20"/>
              </w:rPr>
              <w:t>4</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301,76</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93,75</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31.</w:t>
            </w: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bl>
    <w:p w:rsidR="00000000" w:rsidRDefault="00010F15">
      <w:pPr>
        <w:pStyle w:val="a3"/>
        <w:spacing w:before="240" w:beforeAutospacing="0" w:after="0" w:afterAutospacing="0"/>
        <w:ind w:firstLine="543"/>
        <w:rPr>
          <w:sz w:val="20"/>
          <w:szCs w:val="20"/>
        </w:rPr>
      </w:pPr>
      <w:r>
        <w:rPr>
          <w:rFonts w:ascii="Arial" w:hAnsi="Arial" w:cs="Arial"/>
          <w:sz w:val="20"/>
          <w:szCs w:val="20"/>
        </w:rPr>
        <w:t>The increase in revenue was primarily due to an increase in the number of transactions processed, which was driven by the implementation of new billers and increased transactions from our existing billers, offset by a decrease in the revenue we received pe</w:t>
      </w:r>
      <w:r>
        <w:rPr>
          <w:rFonts w:ascii="Arial" w:hAnsi="Arial" w:cs="Arial"/>
          <w:sz w:val="20"/>
          <w:szCs w:val="20"/>
        </w:rPr>
        <w:t>r transaction on a blended basis. We believe we will continue to add new billers, increase transactions from our existing billers and add new financial institutions, which we expect to further increase our transactions and revenue</w:t>
      </w:r>
      <w:r>
        <w:rPr>
          <w:rFonts w:ascii="Arial" w:hAnsi="Arial" w:cs="Arial"/>
          <w:sz w:val="20"/>
          <w:szCs w:val="20"/>
        </w:rPr>
        <w:t>.</w:t>
      </w:r>
    </w:p>
    <w:p w:rsidR="00000000" w:rsidRDefault="00010F15">
      <w:pPr>
        <w:pStyle w:val="a3"/>
        <w:spacing w:before="240" w:beforeAutospacing="0" w:after="120" w:afterAutospacing="0"/>
        <w:ind w:firstLine="539"/>
        <w:rPr>
          <w:sz w:val="20"/>
          <w:szCs w:val="20"/>
        </w:rPr>
      </w:pPr>
      <w:r>
        <w:rPr>
          <w:rFonts w:ascii="Arial" w:hAnsi="Arial" w:cs="Arial"/>
          <w:i/>
          <w:iCs/>
          <w:sz w:val="20"/>
          <w:szCs w:val="20"/>
        </w:rPr>
        <w:t>Cost of Revenue, Gross P</w:t>
      </w:r>
      <w:r>
        <w:rPr>
          <w:rFonts w:ascii="Arial" w:hAnsi="Arial" w:cs="Arial"/>
          <w:i/>
          <w:iCs/>
          <w:sz w:val="20"/>
          <w:szCs w:val="20"/>
        </w:rPr>
        <w:t>rofit and Gross Margi</w:t>
      </w:r>
      <w:r>
        <w:rPr>
          <w:rFonts w:ascii="Arial" w:hAnsi="Arial" w:cs="Arial"/>
          <w:i/>
          <w:iCs/>
          <w:sz w:val="20"/>
          <w:szCs w:val="20"/>
        </w:rPr>
        <w:t>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31"/>
        <w:gridCol w:w="153"/>
        <w:gridCol w:w="172"/>
        <w:gridCol w:w="916"/>
        <w:gridCol w:w="238"/>
        <w:gridCol w:w="154"/>
        <w:gridCol w:w="172"/>
        <w:gridCol w:w="917"/>
        <w:gridCol w:w="238"/>
        <w:gridCol w:w="154"/>
        <w:gridCol w:w="172"/>
        <w:gridCol w:w="1015"/>
        <w:gridCol w:w="116"/>
        <w:gridCol w:w="154"/>
        <w:gridCol w:w="116"/>
        <w:gridCol w:w="1057"/>
        <w:gridCol w:w="131"/>
      </w:tblGrid>
      <w:tr w:rsidR="00000000">
        <w:trPr>
          <w:tblCellSpacing w:w="15" w:type="dxa"/>
        </w:trPr>
        <w:tc>
          <w:tcPr>
            <w:tcW w:w="1557" w:type="pct"/>
            <w:vAlign w:val="center"/>
            <w:hideMark/>
          </w:tcPr>
          <w:p w:rsidR="00000000" w:rsidRDefault="00010F15">
            <w:pPr>
              <w:rPr>
                <w:sz w:val="20"/>
                <w:szCs w:val="20"/>
              </w:rPr>
            </w:pPr>
          </w:p>
        </w:tc>
        <w:tc>
          <w:tcPr>
            <w:tcW w:w="102" w:type="pct"/>
            <w:vAlign w:val="center"/>
            <w:hideMark/>
          </w:tcPr>
          <w:p w:rsidR="00000000" w:rsidRDefault="00010F15">
            <w:pPr>
              <w:rPr>
                <w:rFonts w:eastAsia="Times New Roman"/>
                <w:sz w:val="20"/>
                <w:szCs w:val="20"/>
              </w:rPr>
            </w:pPr>
          </w:p>
        </w:tc>
        <w:tc>
          <w:tcPr>
            <w:tcW w:w="66" w:type="pct"/>
            <w:vAlign w:val="center"/>
            <w:hideMark/>
          </w:tcPr>
          <w:p w:rsidR="00000000" w:rsidRDefault="00010F15">
            <w:pPr>
              <w:rPr>
                <w:rFonts w:eastAsia="Times New Roman"/>
                <w:sz w:val="20"/>
                <w:szCs w:val="20"/>
              </w:rPr>
            </w:pPr>
          </w:p>
        </w:tc>
        <w:tc>
          <w:tcPr>
            <w:tcW w:w="592" w:type="pct"/>
            <w:vAlign w:val="center"/>
            <w:hideMark/>
          </w:tcPr>
          <w:p w:rsidR="00000000" w:rsidRDefault="00010F15">
            <w:pPr>
              <w:rPr>
                <w:rFonts w:eastAsia="Times New Roman"/>
                <w:sz w:val="20"/>
                <w:szCs w:val="20"/>
              </w:rPr>
            </w:pPr>
          </w:p>
        </w:tc>
        <w:tc>
          <w:tcPr>
            <w:tcW w:w="106" w:type="pct"/>
            <w:vAlign w:val="center"/>
            <w:hideMark/>
          </w:tcPr>
          <w:p w:rsidR="00000000" w:rsidRDefault="00010F15">
            <w:pPr>
              <w:rPr>
                <w:rFonts w:eastAsia="Times New Roman"/>
                <w:sz w:val="20"/>
                <w:szCs w:val="20"/>
              </w:rPr>
            </w:pPr>
          </w:p>
        </w:tc>
        <w:tc>
          <w:tcPr>
            <w:tcW w:w="102" w:type="pct"/>
            <w:vAlign w:val="center"/>
            <w:hideMark/>
          </w:tcPr>
          <w:p w:rsidR="00000000" w:rsidRDefault="00010F15">
            <w:pPr>
              <w:rPr>
                <w:rFonts w:eastAsia="Times New Roman"/>
                <w:sz w:val="20"/>
                <w:szCs w:val="20"/>
              </w:rPr>
            </w:pPr>
          </w:p>
        </w:tc>
        <w:tc>
          <w:tcPr>
            <w:tcW w:w="66" w:type="pct"/>
            <w:vAlign w:val="center"/>
            <w:hideMark/>
          </w:tcPr>
          <w:p w:rsidR="00000000" w:rsidRDefault="00010F15">
            <w:pPr>
              <w:rPr>
                <w:rFonts w:eastAsia="Times New Roman"/>
                <w:sz w:val="20"/>
                <w:szCs w:val="20"/>
              </w:rPr>
            </w:pPr>
          </w:p>
        </w:tc>
        <w:tc>
          <w:tcPr>
            <w:tcW w:w="592" w:type="pct"/>
            <w:vAlign w:val="center"/>
            <w:hideMark/>
          </w:tcPr>
          <w:p w:rsidR="00000000" w:rsidRDefault="00010F15">
            <w:pPr>
              <w:rPr>
                <w:rFonts w:eastAsia="Times New Roman"/>
                <w:sz w:val="20"/>
                <w:szCs w:val="20"/>
              </w:rPr>
            </w:pPr>
          </w:p>
        </w:tc>
        <w:tc>
          <w:tcPr>
            <w:tcW w:w="106" w:type="pct"/>
            <w:vAlign w:val="center"/>
            <w:hideMark/>
          </w:tcPr>
          <w:p w:rsidR="00000000" w:rsidRDefault="00010F15">
            <w:pPr>
              <w:rPr>
                <w:rFonts w:eastAsia="Times New Roman"/>
                <w:sz w:val="20"/>
                <w:szCs w:val="20"/>
              </w:rPr>
            </w:pPr>
          </w:p>
        </w:tc>
        <w:tc>
          <w:tcPr>
            <w:tcW w:w="102" w:type="pct"/>
            <w:vAlign w:val="center"/>
            <w:hideMark/>
          </w:tcPr>
          <w:p w:rsidR="00000000" w:rsidRDefault="00010F15">
            <w:pPr>
              <w:rPr>
                <w:rFonts w:eastAsia="Times New Roman"/>
                <w:sz w:val="20"/>
                <w:szCs w:val="20"/>
              </w:rPr>
            </w:pPr>
          </w:p>
        </w:tc>
        <w:tc>
          <w:tcPr>
            <w:tcW w:w="66" w:type="pct"/>
            <w:vAlign w:val="center"/>
            <w:hideMark/>
          </w:tcPr>
          <w:p w:rsidR="00000000" w:rsidRDefault="00010F15">
            <w:pPr>
              <w:rPr>
                <w:rFonts w:eastAsia="Times New Roman"/>
                <w:sz w:val="20"/>
                <w:szCs w:val="20"/>
              </w:rPr>
            </w:pPr>
          </w:p>
        </w:tc>
        <w:tc>
          <w:tcPr>
            <w:tcW w:w="655"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102"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682"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6"/>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Year Ended December 31</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6"/>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Chang</w:t>
            </w:r>
            <w:r>
              <w:rPr>
                <w:rFonts w:ascii="Arial" w:hAnsi="Arial" w:cs="Arial"/>
                <w:b/>
                <w:bCs/>
                <w:sz w:val="16"/>
                <w:szCs w:val="16"/>
              </w:rPr>
              <w:t>e</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10"/>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(dollars in thousands</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Cost of revenu</w:t>
            </w:r>
            <w:r>
              <w:rPr>
                <w:rFonts w:ascii="Arial" w:hAnsi="Arial" w:cs="Arial"/>
                <w:sz w:val="20"/>
                <w:szCs w:val="20"/>
              </w:rPr>
              <w:t>e</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274,14</w:t>
            </w:r>
            <w:r>
              <w:rPr>
                <w:rFonts w:ascii="Arial" w:hAnsi="Arial" w:cs="Arial"/>
                <w:sz w:val="20"/>
                <w:szCs w:val="20"/>
              </w:rPr>
              <w:t>4</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209,14</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65,00</w:t>
            </w:r>
            <w:r>
              <w:rPr>
                <w:rFonts w:ascii="Arial" w:hAnsi="Arial" w:cs="Arial"/>
                <w:sz w:val="20"/>
                <w:szCs w:val="20"/>
              </w:rPr>
              <w:t>4</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31.</w:t>
            </w: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Gross profi</w:t>
            </w:r>
            <w:r>
              <w:rPr>
                <w:rFonts w:ascii="Arial" w:hAnsi="Arial" w:cs="Arial"/>
                <w:sz w:val="20"/>
                <w:szCs w:val="20"/>
              </w:rPr>
              <w:t>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121,38</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92,62</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28,75</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31.</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Gross margi</w:t>
            </w:r>
            <w:r>
              <w:rPr>
                <w:rFonts w:ascii="Arial" w:hAnsi="Arial" w:cs="Arial"/>
                <w:sz w:val="20"/>
                <w:szCs w:val="20"/>
              </w:rPr>
              <w:t>n</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30.</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30.</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bl>
    <w:p w:rsidR="00000000" w:rsidRDefault="00010F15">
      <w:pPr>
        <w:pStyle w:val="a3"/>
        <w:spacing w:before="240" w:beforeAutospacing="0" w:after="0" w:afterAutospacing="0"/>
        <w:ind w:firstLine="543"/>
        <w:rPr>
          <w:sz w:val="20"/>
          <w:szCs w:val="20"/>
        </w:rPr>
      </w:pPr>
      <w:r>
        <w:rPr>
          <w:rFonts w:ascii="Arial" w:hAnsi="Arial" w:cs="Arial"/>
          <w:sz w:val="20"/>
          <w:szCs w:val="20"/>
        </w:rPr>
        <w:t>The increase in cost of revenue was driven by the increase in revenue and transactions processed as cost of revenue consists primarily of interchange fees and processor costs as well as other direct and indirect costs associated with making our platform av</w:t>
      </w:r>
      <w:r>
        <w:rPr>
          <w:rFonts w:ascii="Arial" w:hAnsi="Arial" w:cs="Arial"/>
          <w:sz w:val="20"/>
          <w:szCs w:val="20"/>
        </w:rPr>
        <w:t xml:space="preserve">ailable to our billers. In addition, the increase includes amortization of intangible assets acquired through the Payveris and Finovera acquisitions. The average payment amount of our transactions during the year ended December 31, 2021 increased slightly </w:t>
      </w:r>
      <w:r>
        <w:rPr>
          <w:rFonts w:ascii="Arial" w:hAnsi="Arial" w:cs="Arial"/>
          <w:sz w:val="20"/>
          <w:szCs w:val="20"/>
        </w:rPr>
        <w:t>as compared to the same period in 2020, resulting in increased interchange fees. However, the range of transaction sizes has grown as we have entered into new channels and industry verticals across different markets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 xml:space="preserve">Gross margin was consistent during the </w:t>
      </w:r>
      <w:r>
        <w:rPr>
          <w:rFonts w:ascii="Arial" w:hAnsi="Arial" w:cs="Arial"/>
          <w:sz w:val="20"/>
          <w:szCs w:val="20"/>
        </w:rPr>
        <w:t>year ended December 31, 2021 as compared to the same period in 2020</w:t>
      </w:r>
      <w:r>
        <w:rPr>
          <w:rFonts w:ascii="Arial" w:hAnsi="Arial" w:cs="Arial"/>
          <w:sz w:val="20"/>
          <w:szCs w:val="20"/>
        </w:rPr>
        <w:t>.</w: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0" w:beforeAutospacing="0" w:after="0" w:afterAutospacing="0"/>
        <w:jc w:val="center"/>
        <w:rPr>
          <w:sz w:val="20"/>
          <w:szCs w:val="20"/>
        </w:rPr>
      </w:pPr>
      <w:r>
        <w:rPr>
          <w:rFonts w:ascii="Arial" w:hAnsi="Arial" w:cs="Arial"/>
          <w:sz w:val="20"/>
          <w:szCs w:val="20"/>
        </w:rPr>
        <w:t>6</w:t>
      </w:r>
      <w:r>
        <w:rPr>
          <w:rFonts w:ascii="Arial" w:hAnsi="Arial" w:cs="Arial"/>
          <w:sz w:val="20"/>
          <w:szCs w:val="20"/>
        </w:rPr>
        <w:t>2</w:t>
      </w:r>
    </w:p>
    <w:p w:rsidR="00000000" w:rsidRDefault="00010F15">
      <w:pPr>
        <w:rPr>
          <w:rFonts w:eastAsia="Times New Roman"/>
        </w:rPr>
      </w:pPr>
      <w:r>
        <w:rPr>
          <w:rFonts w:eastAsia="Times New Roman"/>
        </w:rPr>
        <w:pict>
          <v:rect id="_x0000_i1087"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240" w:beforeAutospacing="0" w:after="0" w:afterAutospacing="0"/>
        <w:ind w:firstLine="543"/>
        <w:rPr>
          <w:sz w:val="20"/>
          <w:szCs w:val="20"/>
        </w:rPr>
      </w:pPr>
      <w:r>
        <w:rPr>
          <w:rFonts w:ascii="Arial" w:hAnsi="Arial" w:cs="Arial"/>
          <w:i/>
          <w:iCs/>
          <w:sz w:val="20"/>
          <w:szCs w:val="20"/>
        </w:rPr>
        <w:t>Operating Expense</w:t>
      </w:r>
      <w:r>
        <w:rPr>
          <w:rFonts w:ascii="Arial" w:hAnsi="Arial" w:cs="Arial"/>
          <w:i/>
          <w:iCs/>
          <w:sz w:val="20"/>
          <w:szCs w:val="20"/>
        </w:rPr>
        <w:t>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39"/>
        <w:gridCol w:w="153"/>
        <w:gridCol w:w="172"/>
        <w:gridCol w:w="916"/>
        <w:gridCol w:w="238"/>
        <w:gridCol w:w="153"/>
        <w:gridCol w:w="172"/>
        <w:gridCol w:w="914"/>
        <w:gridCol w:w="238"/>
        <w:gridCol w:w="154"/>
        <w:gridCol w:w="172"/>
        <w:gridCol w:w="1013"/>
        <w:gridCol w:w="116"/>
        <w:gridCol w:w="154"/>
        <w:gridCol w:w="116"/>
        <w:gridCol w:w="1055"/>
        <w:gridCol w:w="131"/>
      </w:tblGrid>
      <w:tr w:rsidR="00000000">
        <w:trPr>
          <w:tblCellSpacing w:w="15" w:type="dxa"/>
        </w:trPr>
        <w:tc>
          <w:tcPr>
            <w:tcW w:w="1561" w:type="pct"/>
            <w:vAlign w:val="center"/>
            <w:hideMark/>
          </w:tcPr>
          <w:p w:rsidR="00000000" w:rsidRDefault="00010F15">
            <w:pPr>
              <w:rPr>
                <w:sz w:val="20"/>
                <w:szCs w:val="20"/>
              </w:rPr>
            </w:pPr>
          </w:p>
        </w:tc>
        <w:tc>
          <w:tcPr>
            <w:tcW w:w="102" w:type="pct"/>
            <w:vAlign w:val="center"/>
            <w:hideMark/>
          </w:tcPr>
          <w:p w:rsidR="00000000" w:rsidRDefault="00010F15">
            <w:pPr>
              <w:rPr>
                <w:rFonts w:eastAsia="Times New Roman"/>
                <w:sz w:val="20"/>
                <w:szCs w:val="20"/>
              </w:rPr>
            </w:pPr>
          </w:p>
        </w:tc>
        <w:tc>
          <w:tcPr>
            <w:tcW w:w="66" w:type="pct"/>
            <w:vAlign w:val="center"/>
            <w:hideMark/>
          </w:tcPr>
          <w:p w:rsidR="00000000" w:rsidRDefault="00010F15">
            <w:pPr>
              <w:rPr>
                <w:rFonts w:eastAsia="Times New Roman"/>
                <w:sz w:val="20"/>
                <w:szCs w:val="20"/>
              </w:rPr>
            </w:pPr>
          </w:p>
        </w:tc>
        <w:tc>
          <w:tcPr>
            <w:tcW w:w="592" w:type="pct"/>
            <w:vAlign w:val="center"/>
            <w:hideMark/>
          </w:tcPr>
          <w:p w:rsidR="00000000" w:rsidRDefault="00010F15">
            <w:pPr>
              <w:rPr>
                <w:rFonts w:eastAsia="Times New Roman"/>
                <w:sz w:val="20"/>
                <w:szCs w:val="20"/>
              </w:rPr>
            </w:pPr>
          </w:p>
        </w:tc>
        <w:tc>
          <w:tcPr>
            <w:tcW w:w="106" w:type="pct"/>
            <w:vAlign w:val="center"/>
            <w:hideMark/>
          </w:tcPr>
          <w:p w:rsidR="00000000" w:rsidRDefault="00010F15">
            <w:pPr>
              <w:rPr>
                <w:rFonts w:eastAsia="Times New Roman"/>
                <w:sz w:val="20"/>
                <w:szCs w:val="20"/>
              </w:rPr>
            </w:pPr>
          </w:p>
        </w:tc>
        <w:tc>
          <w:tcPr>
            <w:tcW w:w="102" w:type="pct"/>
            <w:vAlign w:val="center"/>
            <w:hideMark/>
          </w:tcPr>
          <w:p w:rsidR="00000000" w:rsidRDefault="00010F15">
            <w:pPr>
              <w:rPr>
                <w:rFonts w:eastAsia="Times New Roman"/>
                <w:sz w:val="20"/>
                <w:szCs w:val="20"/>
              </w:rPr>
            </w:pPr>
          </w:p>
        </w:tc>
        <w:tc>
          <w:tcPr>
            <w:tcW w:w="66" w:type="pct"/>
            <w:vAlign w:val="center"/>
            <w:hideMark/>
          </w:tcPr>
          <w:p w:rsidR="00000000" w:rsidRDefault="00010F15">
            <w:pPr>
              <w:rPr>
                <w:rFonts w:eastAsia="Times New Roman"/>
                <w:sz w:val="20"/>
                <w:szCs w:val="20"/>
              </w:rPr>
            </w:pPr>
          </w:p>
        </w:tc>
        <w:tc>
          <w:tcPr>
            <w:tcW w:w="590" w:type="pct"/>
            <w:vAlign w:val="center"/>
            <w:hideMark/>
          </w:tcPr>
          <w:p w:rsidR="00000000" w:rsidRDefault="00010F15">
            <w:pPr>
              <w:rPr>
                <w:rFonts w:eastAsia="Times New Roman"/>
                <w:sz w:val="20"/>
                <w:szCs w:val="20"/>
              </w:rPr>
            </w:pPr>
          </w:p>
        </w:tc>
        <w:tc>
          <w:tcPr>
            <w:tcW w:w="106" w:type="pct"/>
            <w:vAlign w:val="center"/>
            <w:hideMark/>
          </w:tcPr>
          <w:p w:rsidR="00000000" w:rsidRDefault="00010F15">
            <w:pPr>
              <w:rPr>
                <w:rFonts w:eastAsia="Times New Roman"/>
                <w:sz w:val="20"/>
                <w:szCs w:val="20"/>
              </w:rPr>
            </w:pPr>
          </w:p>
        </w:tc>
        <w:tc>
          <w:tcPr>
            <w:tcW w:w="102" w:type="pct"/>
            <w:vAlign w:val="center"/>
            <w:hideMark/>
          </w:tcPr>
          <w:p w:rsidR="00000000" w:rsidRDefault="00010F15">
            <w:pPr>
              <w:rPr>
                <w:rFonts w:eastAsia="Times New Roman"/>
                <w:sz w:val="20"/>
                <w:szCs w:val="20"/>
              </w:rPr>
            </w:pPr>
          </w:p>
        </w:tc>
        <w:tc>
          <w:tcPr>
            <w:tcW w:w="66" w:type="pct"/>
            <w:vAlign w:val="center"/>
            <w:hideMark/>
          </w:tcPr>
          <w:p w:rsidR="00000000" w:rsidRDefault="00010F15">
            <w:pPr>
              <w:rPr>
                <w:rFonts w:eastAsia="Times New Roman"/>
                <w:sz w:val="20"/>
                <w:szCs w:val="20"/>
              </w:rPr>
            </w:pPr>
          </w:p>
        </w:tc>
        <w:tc>
          <w:tcPr>
            <w:tcW w:w="654"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102"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681"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6"/>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Year Ended December 31</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6"/>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Chang</w:t>
            </w:r>
            <w:r>
              <w:rPr>
                <w:rFonts w:ascii="Arial" w:hAnsi="Arial" w:cs="Arial"/>
                <w:b/>
                <w:bCs/>
                <w:sz w:val="16"/>
                <w:szCs w:val="16"/>
              </w:rPr>
              <w:t>e</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14"/>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(dollars in thousands</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Operating expense</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Research and developmen</w:t>
            </w:r>
            <w:r>
              <w:rPr>
                <w:rFonts w:ascii="Arial" w:hAnsi="Arial" w:cs="Arial"/>
                <w:sz w:val="20"/>
                <w:szCs w:val="20"/>
              </w:rPr>
              <w:t>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34,12</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24,51</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9,61</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39.</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Sales and marketin</w:t>
            </w:r>
            <w:r>
              <w:rPr>
                <w:rFonts w:ascii="Arial" w:hAnsi="Arial" w:cs="Arial"/>
                <w:sz w:val="20"/>
                <w:szCs w:val="20"/>
              </w:rPr>
              <w:t>g</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43,91</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31,84</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12,07</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37.</w:t>
            </w:r>
            <w:r>
              <w:rPr>
                <w:rFonts w:ascii="Arial" w:hAnsi="Arial" w:cs="Arial"/>
                <w:sz w:val="20"/>
                <w:szCs w:val="20"/>
              </w:rPr>
              <w:t>9</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General and administrativ</w:t>
            </w:r>
            <w:r>
              <w:rPr>
                <w:rFonts w:ascii="Arial" w:hAnsi="Arial" w:cs="Arial"/>
                <w:sz w:val="20"/>
                <w:szCs w:val="20"/>
              </w:rPr>
              <w:t>e</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32,96</w:t>
            </w:r>
            <w:r>
              <w:rPr>
                <w:rFonts w:ascii="Arial" w:hAnsi="Arial" w:cs="Arial"/>
                <w:sz w:val="20"/>
                <w:szCs w:val="20"/>
              </w:rPr>
              <w:t>8</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17,84</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15,12</w:t>
            </w: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84.</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ind w:left="280"/>
              <w:rPr>
                <w:sz w:val="20"/>
                <w:szCs w:val="20"/>
              </w:rPr>
            </w:pPr>
            <w:r>
              <w:rPr>
                <w:rFonts w:ascii="Arial" w:hAnsi="Arial" w:cs="Arial"/>
                <w:sz w:val="20"/>
                <w:szCs w:val="20"/>
              </w:rPr>
              <w:t>Total operating expense</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111,00</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74,19</w:t>
            </w:r>
            <w:r>
              <w:rPr>
                <w:rFonts w:ascii="Arial" w:hAnsi="Arial" w:cs="Arial"/>
                <w:sz w:val="20"/>
                <w:szCs w:val="20"/>
              </w:rPr>
              <w:t>9</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36,80</w:t>
            </w:r>
            <w:r>
              <w:rPr>
                <w:rFonts w:ascii="Arial" w:hAnsi="Arial" w:cs="Arial"/>
                <w:sz w:val="20"/>
                <w:szCs w:val="20"/>
              </w:rPr>
              <w:t>8</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Percentage of total revenu</w:t>
            </w:r>
            <w:r>
              <w:rPr>
                <w:rFonts w:ascii="Arial" w:hAnsi="Arial" w:cs="Arial"/>
                <w:sz w:val="20"/>
                <w:szCs w:val="20"/>
              </w:rPr>
              <w:t>e</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Research and developmen</w:t>
            </w:r>
            <w:r>
              <w:rPr>
                <w:rFonts w:ascii="Arial" w:hAnsi="Arial" w:cs="Arial"/>
                <w:sz w:val="20"/>
                <w:szCs w:val="20"/>
              </w:rPr>
              <w:t>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Sales and marketin</w:t>
            </w:r>
            <w:r>
              <w:rPr>
                <w:rFonts w:ascii="Arial" w:hAnsi="Arial" w:cs="Arial"/>
                <w:sz w:val="20"/>
                <w:szCs w:val="20"/>
              </w:rPr>
              <w:t>g</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11.</w:t>
            </w: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General and administrativ</w:t>
            </w:r>
            <w:r>
              <w:rPr>
                <w:rFonts w:ascii="Arial" w:hAnsi="Arial" w:cs="Arial"/>
                <w:sz w:val="20"/>
                <w:szCs w:val="20"/>
              </w:rPr>
              <w:t>e</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4</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5.</w:t>
            </w:r>
            <w:r>
              <w:rPr>
                <w:rFonts w:ascii="Arial" w:hAnsi="Arial" w:cs="Arial"/>
                <w:sz w:val="20"/>
                <w:szCs w:val="20"/>
              </w:rPr>
              <w:t>9</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r>
    </w:tbl>
    <w:p w:rsidR="00000000" w:rsidRDefault="00010F15">
      <w:pPr>
        <w:pStyle w:val="a3"/>
        <w:spacing w:before="120" w:beforeAutospacing="0" w:after="0" w:afterAutospacing="0"/>
        <w:ind w:firstLine="539"/>
        <w:rPr>
          <w:sz w:val="20"/>
          <w:szCs w:val="20"/>
        </w:rPr>
      </w:pPr>
      <w:r>
        <w:rPr>
          <w:rFonts w:ascii="Arial" w:hAnsi="Arial" w:cs="Arial"/>
          <w:i/>
          <w:iCs/>
          <w:sz w:val="20"/>
          <w:szCs w:val="20"/>
        </w:rPr>
        <w:t>Research and Development Expense</w:t>
      </w:r>
      <w:r>
        <w:rPr>
          <w:rFonts w:ascii="Arial" w:hAnsi="Arial" w:cs="Arial"/>
          <w:i/>
          <w:iCs/>
          <w:sz w:val="20"/>
          <w:szCs w:val="20"/>
        </w:rPr>
        <w:t>s</w:t>
      </w:r>
    </w:p>
    <w:p w:rsidR="00000000" w:rsidRDefault="00010F15">
      <w:pPr>
        <w:pStyle w:val="a3"/>
        <w:spacing w:before="120" w:beforeAutospacing="0" w:after="0" w:afterAutospacing="0"/>
        <w:ind w:firstLine="539"/>
        <w:rPr>
          <w:sz w:val="20"/>
          <w:szCs w:val="20"/>
        </w:rPr>
      </w:pPr>
      <w:r>
        <w:rPr>
          <w:rFonts w:ascii="Arial" w:hAnsi="Arial" w:cs="Arial"/>
          <w:sz w:val="20"/>
          <w:szCs w:val="20"/>
        </w:rPr>
        <w:t>The increase in research and development expenses was primarily due to an increase in employee-related costs, including benefits due to an increase in headcount as we continued to invest in building and adding additional features and functionality to our p</w:t>
      </w:r>
      <w:r>
        <w:rPr>
          <w:rFonts w:ascii="Arial" w:hAnsi="Arial" w:cs="Arial"/>
          <w:sz w:val="20"/>
          <w:szCs w:val="20"/>
        </w:rPr>
        <w:t xml:space="preserve">latform. Additional contributors to the increased expense were increased hosting costs as we transition from datacenter to the cloud, increased stock-based compensation associated with routine grants to existing employees and additional expense associated </w:t>
      </w:r>
      <w:r>
        <w:rPr>
          <w:rFonts w:ascii="Arial" w:hAnsi="Arial" w:cs="Arial"/>
          <w:sz w:val="20"/>
          <w:szCs w:val="20"/>
        </w:rPr>
        <w:t>with the Payveris and Finovera acquisitions</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i/>
          <w:iCs/>
          <w:sz w:val="20"/>
          <w:szCs w:val="20"/>
        </w:rPr>
        <w:t>Sales and Marketing Expense</w:t>
      </w:r>
      <w:r>
        <w:rPr>
          <w:rFonts w:ascii="Arial" w:hAnsi="Arial" w:cs="Arial"/>
          <w:i/>
          <w:iCs/>
          <w:sz w:val="20"/>
          <w:szCs w:val="20"/>
        </w:rPr>
        <w:t>s</w:t>
      </w:r>
    </w:p>
    <w:p w:rsidR="00000000" w:rsidRDefault="00010F15">
      <w:pPr>
        <w:pStyle w:val="a3"/>
        <w:spacing w:before="120" w:beforeAutospacing="0" w:after="0" w:afterAutospacing="0"/>
        <w:ind w:firstLine="539"/>
        <w:rPr>
          <w:sz w:val="20"/>
          <w:szCs w:val="20"/>
        </w:rPr>
      </w:pPr>
      <w:r>
        <w:rPr>
          <w:rFonts w:ascii="Arial" w:hAnsi="Arial" w:cs="Arial"/>
          <w:sz w:val="20"/>
          <w:szCs w:val="20"/>
        </w:rPr>
        <w:t>The increase in sales and marketing expenses was primarily due to an increase in employee-related costs, including benefits, as we continued to expand our sales and marketing effort</w:t>
      </w:r>
      <w:r>
        <w:rPr>
          <w:rFonts w:ascii="Arial" w:hAnsi="Arial" w:cs="Arial"/>
          <w:sz w:val="20"/>
          <w:szCs w:val="20"/>
        </w:rPr>
        <w:t>s with additional headcount in order to continue to drive our growth. Additional contributors to the increased expense were amortization expense related to the identifiable intangible assets from the Payveris and Finovera acquisitions, increased stock-base</w:t>
      </w:r>
      <w:r>
        <w:rPr>
          <w:rFonts w:ascii="Arial" w:hAnsi="Arial" w:cs="Arial"/>
          <w:sz w:val="20"/>
          <w:szCs w:val="20"/>
        </w:rPr>
        <w:t>d compensation associated with routine grants to existing employees and additional expense associated with the Payveris and Finovera acquisitions</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i/>
          <w:iCs/>
          <w:sz w:val="20"/>
          <w:szCs w:val="20"/>
        </w:rPr>
        <w:t>General and Administrative Expense</w:t>
      </w:r>
      <w:r>
        <w:rPr>
          <w:rFonts w:ascii="Arial" w:hAnsi="Arial" w:cs="Arial"/>
          <w:i/>
          <w:iCs/>
          <w:sz w:val="20"/>
          <w:szCs w:val="20"/>
        </w:rPr>
        <w:t>s</w:t>
      </w:r>
    </w:p>
    <w:p w:rsidR="00000000" w:rsidRDefault="00010F15">
      <w:pPr>
        <w:pStyle w:val="a3"/>
        <w:spacing w:before="120" w:beforeAutospacing="0" w:after="0" w:afterAutospacing="0"/>
        <w:ind w:firstLine="539"/>
        <w:rPr>
          <w:sz w:val="20"/>
          <w:szCs w:val="20"/>
        </w:rPr>
      </w:pPr>
      <w:r>
        <w:rPr>
          <w:rFonts w:ascii="Arial" w:hAnsi="Arial" w:cs="Arial"/>
          <w:sz w:val="20"/>
          <w:szCs w:val="20"/>
        </w:rPr>
        <w:t>The increase in general and administrative expenses was primarily due to</w:t>
      </w:r>
      <w:r>
        <w:rPr>
          <w:rFonts w:ascii="Arial" w:hAnsi="Arial" w:cs="Arial"/>
          <w:sz w:val="20"/>
          <w:szCs w:val="20"/>
        </w:rPr>
        <w:t xml:space="preserve"> indirect costs incurred associated with completion of our IPO, the increased costs of operating as a public company, including significant increases in our directors and officers insurance premiums, one-time legal and other fees associated with the Payver</w:t>
      </w:r>
      <w:r>
        <w:rPr>
          <w:rFonts w:ascii="Arial" w:hAnsi="Arial" w:cs="Arial"/>
          <w:sz w:val="20"/>
          <w:szCs w:val="20"/>
        </w:rPr>
        <w:t>is and Finovera acquisitions, and increases in employee-related costs, including benefits and stock-based compensation, due to an increase in general and administrative headcount</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The increase in general and administrative expenses as a percentage of reve</w:t>
      </w:r>
      <w:r>
        <w:rPr>
          <w:rFonts w:ascii="Arial" w:hAnsi="Arial" w:cs="Arial"/>
          <w:sz w:val="20"/>
          <w:szCs w:val="20"/>
        </w:rPr>
        <w:t>nue was primarily due to certain one-time and increased ongoing costs associated with operating as a public company and one-time legal and other fees associated with the Payveris and Finovera acquisitions</w:t>
      </w:r>
      <w:r>
        <w:rPr>
          <w:rFonts w:ascii="Arial" w:hAnsi="Arial" w:cs="Arial"/>
          <w:sz w:val="20"/>
          <w:szCs w:val="20"/>
        </w:rPr>
        <w:t>.</w:t>
      </w:r>
    </w:p>
    <w:p w:rsidR="00000000" w:rsidRDefault="00010F15">
      <w:pPr>
        <w:pStyle w:val="a3"/>
        <w:spacing w:before="240" w:beforeAutospacing="0" w:after="0" w:afterAutospacing="0"/>
        <w:ind w:firstLine="543"/>
        <w:rPr>
          <w:sz w:val="20"/>
          <w:szCs w:val="20"/>
        </w:rPr>
      </w:pPr>
      <w:r>
        <w:rPr>
          <w:rFonts w:ascii="Arial" w:hAnsi="Arial" w:cs="Arial"/>
          <w:i/>
          <w:iCs/>
          <w:sz w:val="20"/>
          <w:szCs w:val="20"/>
        </w:rPr>
        <w:t>Other Income (Loss</w:t>
      </w:r>
      <w:r>
        <w:rPr>
          <w:rFonts w:ascii="Arial" w:hAnsi="Arial" w:cs="Arial"/>
          <w:i/>
          <w:iCs/>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50"/>
        <w:gridCol w:w="154"/>
        <w:gridCol w:w="173"/>
        <w:gridCol w:w="1006"/>
        <w:gridCol w:w="127"/>
        <w:gridCol w:w="155"/>
        <w:gridCol w:w="172"/>
        <w:gridCol w:w="1008"/>
        <w:gridCol w:w="127"/>
        <w:gridCol w:w="155"/>
        <w:gridCol w:w="173"/>
        <w:gridCol w:w="1010"/>
        <w:gridCol w:w="127"/>
        <w:gridCol w:w="155"/>
        <w:gridCol w:w="116"/>
        <w:gridCol w:w="1056"/>
        <w:gridCol w:w="142"/>
      </w:tblGrid>
      <w:tr w:rsidR="00000000">
        <w:trPr>
          <w:tblCellSpacing w:w="15" w:type="dxa"/>
        </w:trPr>
        <w:tc>
          <w:tcPr>
            <w:tcW w:w="1566" w:type="pct"/>
            <w:vAlign w:val="center"/>
            <w:hideMark/>
          </w:tcPr>
          <w:p w:rsidR="00000000" w:rsidRDefault="00010F15">
            <w:pPr>
              <w:rPr>
                <w:sz w:val="20"/>
                <w:szCs w:val="20"/>
              </w:rPr>
            </w:pPr>
          </w:p>
        </w:tc>
        <w:tc>
          <w:tcPr>
            <w:tcW w:w="102" w:type="pct"/>
            <w:vAlign w:val="center"/>
            <w:hideMark/>
          </w:tcPr>
          <w:p w:rsidR="00000000" w:rsidRDefault="00010F15">
            <w:pPr>
              <w:rPr>
                <w:rFonts w:eastAsia="Times New Roman"/>
                <w:sz w:val="20"/>
                <w:szCs w:val="20"/>
              </w:rPr>
            </w:pPr>
          </w:p>
        </w:tc>
        <w:tc>
          <w:tcPr>
            <w:tcW w:w="66" w:type="pct"/>
            <w:vAlign w:val="center"/>
            <w:hideMark/>
          </w:tcPr>
          <w:p w:rsidR="00000000" w:rsidRDefault="00010F15">
            <w:pPr>
              <w:rPr>
                <w:rFonts w:eastAsia="Times New Roman"/>
                <w:sz w:val="20"/>
                <w:szCs w:val="20"/>
              </w:rPr>
            </w:pPr>
          </w:p>
        </w:tc>
        <w:tc>
          <w:tcPr>
            <w:tcW w:w="648" w:type="pct"/>
            <w:vAlign w:val="center"/>
            <w:hideMark/>
          </w:tcPr>
          <w:p w:rsidR="00000000" w:rsidRDefault="00010F15">
            <w:pPr>
              <w:rPr>
                <w:rFonts w:eastAsia="Times New Roman"/>
                <w:sz w:val="20"/>
                <w:szCs w:val="20"/>
              </w:rPr>
            </w:pPr>
          </w:p>
        </w:tc>
        <w:tc>
          <w:tcPr>
            <w:tcW w:w="39" w:type="pct"/>
            <w:vAlign w:val="center"/>
            <w:hideMark/>
          </w:tcPr>
          <w:p w:rsidR="00000000" w:rsidRDefault="00010F15">
            <w:pPr>
              <w:rPr>
                <w:rFonts w:eastAsia="Times New Roman"/>
                <w:sz w:val="20"/>
                <w:szCs w:val="20"/>
              </w:rPr>
            </w:pPr>
          </w:p>
        </w:tc>
        <w:tc>
          <w:tcPr>
            <w:tcW w:w="102" w:type="pct"/>
            <w:vAlign w:val="center"/>
            <w:hideMark/>
          </w:tcPr>
          <w:p w:rsidR="00000000" w:rsidRDefault="00010F15">
            <w:pPr>
              <w:rPr>
                <w:rFonts w:eastAsia="Times New Roman"/>
                <w:sz w:val="20"/>
                <w:szCs w:val="20"/>
              </w:rPr>
            </w:pPr>
          </w:p>
        </w:tc>
        <w:tc>
          <w:tcPr>
            <w:tcW w:w="66" w:type="pct"/>
            <w:vAlign w:val="center"/>
            <w:hideMark/>
          </w:tcPr>
          <w:p w:rsidR="00000000" w:rsidRDefault="00010F15">
            <w:pPr>
              <w:rPr>
                <w:rFonts w:eastAsia="Times New Roman"/>
                <w:sz w:val="20"/>
                <w:szCs w:val="20"/>
              </w:rPr>
            </w:pPr>
          </w:p>
        </w:tc>
        <w:tc>
          <w:tcPr>
            <w:tcW w:w="649" w:type="pct"/>
            <w:vAlign w:val="center"/>
            <w:hideMark/>
          </w:tcPr>
          <w:p w:rsidR="00000000" w:rsidRDefault="00010F15">
            <w:pPr>
              <w:rPr>
                <w:rFonts w:eastAsia="Times New Roman"/>
                <w:sz w:val="20"/>
                <w:szCs w:val="20"/>
              </w:rPr>
            </w:pPr>
          </w:p>
        </w:tc>
        <w:tc>
          <w:tcPr>
            <w:tcW w:w="39" w:type="pct"/>
            <w:vAlign w:val="center"/>
            <w:hideMark/>
          </w:tcPr>
          <w:p w:rsidR="00000000" w:rsidRDefault="00010F15">
            <w:pPr>
              <w:rPr>
                <w:rFonts w:eastAsia="Times New Roman"/>
                <w:sz w:val="20"/>
                <w:szCs w:val="20"/>
              </w:rPr>
            </w:pPr>
          </w:p>
        </w:tc>
        <w:tc>
          <w:tcPr>
            <w:tcW w:w="102" w:type="pct"/>
            <w:vAlign w:val="center"/>
            <w:hideMark/>
          </w:tcPr>
          <w:p w:rsidR="00000000" w:rsidRDefault="00010F15">
            <w:pPr>
              <w:rPr>
                <w:rFonts w:eastAsia="Times New Roman"/>
                <w:sz w:val="20"/>
                <w:szCs w:val="20"/>
              </w:rPr>
            </w:pPr>
          </w:p>
        </w:tc>
        <w:tc>
          <w:tcPr>
            <w:tcW w:w="66" w:type="pct"/>
            <w:vAlign w:val="center"/>
            <w:hideMark/>
          </w:tcPr>
          <w:p w:rsidR="00000000" w:rsidRDefault="00010F15">
            <w:pPr>
              <w:rPr>
                <w:rFonts w:eastAsia="Times New Roman"/>
                <w:sz w:val="20"/>
                <w:szCs w:val="20"/>
              </w:rPr>
            </w:pPr>
          </w:p>
        </w:tc>
        <w:tc>
          <w:tcPr>
            <w:tcW w:w="650" w:type="pct"/>
            <w:vAlign w:val="center"/>
            <w:hideMark/>
          </w:tcPr>
          <w:p w:rsidR="00000000" w:rsidRDefault="00010F15">
            <w:pPr>
              <w:rPr>
                <w:rFonts w:eastAsia="Times New Roman"/>
                <w:sz w:val="20"/>
                <w:szCs w:val="20"/>
              </w:rPr>
            </w:pPr>
          </w:p>
        </w:tc>
        <w:tc>
          <w:tcPr>
            <w:tcW w:w="39" w:type="pct"/>
            <w:vAlign w:val="center"/>
            <w:hideMark/>
          </w:tcPr>
          <w:p w:rsidR="00000000" w:rsidRDefault="00010F15">
            <w:pPr>
              <w:rPr>
                <w:rFonts w:eastAsia="Times New Roman"/>
                <w:sz w:val="20"/>
                <w:szCs w:val="20"/>
              </w:rPr>
            </w:pPr>
          </w:p>
        </w:tc>
        <w:tc>
          <w:tcPr>
            <w:tcW w:w="102"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680" w:type="pct"/>
            <w:vAlign w:val="center"/>
            <w:hideMark/>
          </w:tcPr>
          <w:p w:rsidR="00000000" w:rsidRDefault="00010F15">
            <w:pPr>
              <w:rPr>
                <w:rFonts w:eastAsia="Times New Roman"/>
                <w:sz w:val="20"/>
                <w:szCs w:val="20"/>
              </w:rPr>
            </w:pPr>
          </w:p>
        </w:tc>
        <w:tc>
          <w:tcPr>
            <w:tcW w:w="39" w:type="pct"/>
            <w:vAlign w:val="center"/>
            <w:hideMark/>
          </w:tcPr>
          <w:p w:rsidR="00000000" w:rsidRDefault="00010F15">
            <w:pPr>
              <w:rPr>
                <w:rFonts w:eastAsia="Times New Roman"/>
                <w:sz w:val="20"/>
                <w:szCs w:val="20"/>
              </w:rPr>
            </w:pP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6"/>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Year Ended December 31</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6"/>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Chang</w:t>
            </w:r>
            <w:r>
              <w:rPr>
                <w:rFonts w:ascii="Arial" w:hAnsi="Arial" w:cs="Arial"/>
                <w:b/>
                <w:bCs/>
                <w:sz w:val="16"/>
                <w:szCs w:val="16"/>
              </w:rPr>
              <w:t>e</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14"/>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(dollars in thousands</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Interest (expense) income, ne</w:t>
            </w:r>
            <w:r>
              <w:rPr>
                <w:rFonts w:ascii="Arial" w:hAnsi="Arial" w:cs="Arial"/>
                <w:sz w:val="20"/>
                <w:szCs w:val="20"/>
              </w:rPr>
              <w:t>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5</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(5</w:t>
            </w:r>
            <w:r>
              <w:rPr>
                <w:rFonts w:ascii="Arial" w:hAnsi="Arial" w:cs="Arial"/>
                <w:sz w:val="20"/>
                <w:szCs w:val="20"/>
              </w:rPr>
              <w:t>8</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(111.</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Foreign exchange (loss) gai</w:t>
            </w:r>
            <w:r>
              <w:rPr>
                <w:rFonts w:ascii="Arial" w:hAnsi="Arial" w:cs="Arial"/>
                <w:sz w:val="20"/>
                <w:szCs w:val="20"/>
              </w:rPr>
              <w:t>n</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(11</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11</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(99.</w:t>
            </w: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r>
    </w:tbl>
    <w:p w:rsidR="00000000" w:rsidRDefault="00010F15">
      <w:pPr>
        <w:pStyle w:val="a3"/>
        <w:spacing w:before="240" w:beforeAutospacing="0" w:after="0" w:afterAutospacing="0"/>
        <w:ind w:firstLine="543"/>
        <w:rPr>
          <w:sz w:val="20"/>
          <w:szCs w:val="20"/>
        </w:rPr>
      </w:pPr>
      <w:r>
        <w:rPr>
          <w:rFonts w:ascii="Arial" w:hAnsi="Arial" w:cs="Arial"/>
          <w:sz w:val="20"/>
          <w:szCs w:val="20"/>
        </w:rPr>
        <w:t>The decrease in interest income, net was primarily due to interest expense recorded for finance leases offset by interest on the higher cash balance as a result of the IPO</w:t>
      </w:r>
      <w:r>
        <w:rPr>
          <w:rFonts w:ascii="Arial" w:hAnsi="Arial" w:cs="Arial"/>
          <w:sz w:val="20"/>
          <w:szCs w:val="20"/>
        </w:rPr>
        <w:t>.</w:t>
      </w:r>
    </w:p>
    <w:p w:rsidR="00000000" w:rsidRDefault="00010F15">
      <w:pPr>
        <w:pStyle w:val="a3"/>
        <w:spacing w:before="240" w:beforeAutospacing="0" w:after="0" w:afterAutospacing="0"/>
        <w:ind w:firstLine="543"/>
        <w:rPr>
          <w:sz w:val="20"/>
          <w:szCs w:val="20"/>
        </w:rPr>
      </w:pPr>
      <w:r>
        <w:rPr>
          <w:rFonts w:ascii="Arial" w:hAnsi="Arial" w:cs="Arial"/>
          <w:i/>
          <w:iCs/>
          <w:sz w:val="20"/>
          <w:szCs w:val="20"/>
        </w:rPr>
        <w:t>Income Taxe</w:t>
      </w:r>
      <w:r>
        <w:rPr>
          <w:rFonts w:ascii="Arial" w:hAnsi="Arial" w:cs="Arial"/>
          <w:i/>
          <w:iCs/>
          <w:sz w:val="20"/>
          <w:szCs w:val="20"/>
        </w:rPr>
        <w:t>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46"/>
        <w:gridCol w:w="155"/>
        <w:gridCol w:w="172"/>
        <w:gridCol w:w="1011"/>
        <w:gridCol w:w="127"/>
        <w:gridCol w:w="155"/>
        <w:gridCol w:w="172"/>
        <w:gridCol w:w="1011"/>
        <w:gridCol w:w="127"/>
        <w:gridCol w:w="155"/>
        <w:gridCol w:w="172"/>
        <w:gridCol w:w="1019"/>
        <w:gridCol w:w="116"/>
        <w:gridCol w:w="155"/>
        <w:gridCol w:w="116"/>
        <w:gridCol w:w="1055"/>
        <w:gridCol w:w="142"/>
      </w:tblGrid>
      <w:tr w:rsidR="00000000">
        <w:trPr>
          <w:tblCellSpacing w:w="15" w:type="dxa"/>
        </w:trPr>
        <w:tc>
          <w:tcPr>
            <w:tcW w:w="1564" w:type="pct"/>
            <w:vAlign w:val="center"/>
            <w:hideMark/>
          </w:tcPr>
          <w:p w:rsidR="00000000" w:rsidRDefault="00010F15">
            <w:pPr>
              <w:rPr>
                <w:sz w:val="20"/>
                <w:szCs w:val="20"/>
              </w:rPr>
            </w:pPr>
          </w:p>
        </w:tc>
        <w:tc>
          <w:tcPr>
            <w:tcW w:w="102" w:type="pct"/>
            <w:vAlign w:val="center"/>
            <w:hideMark/>
          </w:tcPr>
          <w:p w:rsidR="00000000" w:rsidRDefault="00010F15">
            <w:pPr>
              <w:rPr>
                <w:rFonts w:eastAsia="Times New Roman"/>
                <w:sz w:val="20"/>
                <w:szCs w:val="20"/>
              </w:rPr>
            </w:pPr>
          </w:p>
        </w:tc>
        <w:tc>
          <w:tcPr>
            <w:tcW w:w="66" w:type="pct"/>
            <w:vAlign w:val="center"/>
            <w:hideMark/>
          </w:tcPr>
          <w:p w:rsidR="00000000" w:rsidRDefault="00010F15">
            <w:pPr>
              <w:rPr>
                <w:rFonts w:eastAsia="Times New Roman"/>
                <w:sz w:val="20"/>
                <w:szCs w:val="20"/>
              </w:rPr>
            </w:pPr>
          </w:p>
        </w:tc>
        <w:tc>
          <w:tcPr>
            <w:tcW w:w="651" w:type="pct"/>
            <w:vAlign w:val="center"/>
            <w:hideMark/>
          </w:tcPr>
          <w:p w:rsidR="00000000" w:rsidRDefault="00010F15">
            <w:pPr>
              <w:rPr>
                <w:rFonts w:eastAsia="Times New Roman"/>
                <w:sz w:val="20"/>
                <w:szCs w:val="20"/>
              </w:rPr>
            </w:pPr>
          </w:p>
        </w:tc>
        <w:tc>
          <w:tcPr>
            <w:tcW w:w="39" w:type="pct"/>
            <w:vAlign w:val="center"/>
            <w:hideMark/>
          </w:tcPr>
          <w:p w:rsidR="00000000" w:rsidRDefault="00010F15">
            <w:pPr>
              <w:rPr>
                <w:rFonts w:eastAsia="Times New Roman"/>
                <w:sz w:val="20"/>
                <w:szCs w:val="20"/>
              </w:rPr>
            </w:pPr>
          </w:p>
        </w:tc>
        <w:tc>
          <w:tcPr>
            <w:tcW w:w="102" w:type="pct"/>
            <w:vAlign w:val="center"/>
            <w:hideMark/>
          </w:tcPr>
          <w:p w:rsidR="00000000" w:rsidRDefault="00010F15">
            <w:pPr>
              <w:rPr>
                <w:rFonts w:eastAsia="Times New Roman"/>
                <w:sz w:val="20"/>
                <w:szCs w:val="20"/>
              </w:rPr>
            </w:pPr>
          </w:p>
        </w:tc>
        <w:tc>
          <w:tcPr>
            <w:tcW w:w="66" w:type="pct"/>
            <w:vAlign w:val="center"/>
            <w:hideMark/>
          </w:tcPr>
          <w:p w:rsidR="00000000" w:rsidRDefault="00010F15">
            <w:pPr>
              <w:rPr>
                <w:rFonts w:eastAsia="Times New Roman"/>
                <w:sz w:val="20"/>
                <w:szCs w:val="20"/>
              </w:rPr>
            </w:pPr>
          </w:p>
        </w:tc>
        <w:tc>
          <w:tcPr>
            <w:tcW w:w="651" w:type="pct"/>
            <w:vAlign w:val="center"/>
            <w:hideMark/>
          </w:tcPr>
          <w:p w:rsidR="00000000" w:rsidRDefault="00010F15">
            <w:pPr>
              <w:rPr>
                <w:rFonts w:eastAsia="Times New Roman"/>
                <w:sz w:val="20"/>
                <w:szCs w:val="20"/>
              </w:rPr>
            </w:pPr>
          </w:p>
        </w:tc>
        <w:tc>
          <w:tcPr>
            <w:tcW w:w="39" w:type="pct"/>
            <w:vAlign w:val="center"/>
            <w:hideMark/>
          </w:tcPr>
          <w:p w:rsidR="00000000" w:rsidRDefault="00010F15">
            <w:pPr>
              <w:rPr>
                <w:rFonts w:eastAsia="Times New Roman"/>
                <w:sz w:val="20"/>
                <w:szCs w:val="20"/>
              </w:rPr>
            </w:pPr>
          </w:p>
        </w:tc>
        <w:tc>
          <w:tcPr>
            <w:tcW w:w="102" w:type="pct"/>
            <w:vAlign w:val="center"/>
            <w:hideMark/>
          </w:tcPr>
          <w:p w:rsidR="00000000" w:rsidRDefault="00010F15">
            <w:pPr>
              <w:rPr>
                <w:rFonts w:eastAsia="Times New Roman"/>
                <w:sz w:val="20"/>
                <w:szCs w:val="20"/>
              </w:rPr>
            </w:pPr>
          </w:p>
        </w:tc>
        <w:tc>
          <w:tcPr>
            <w:tcW w:w="66" w:type="pct"/>
            <w:vAlign w:val="center"/>
            <w:hideMark/>
          </w:tcPr>
          <w:p w:rsidR="00000000" w:rsidRDefault="00010F15">
            <w:pPr>
              <w:rPr>
                <w:rFonts w:eastAsia="Times New Roman"/>
                <w:sz w:val="20"/>
                <w:szCs w:val="20"/>
              </w:rPr>
            </w:pPr>
          </w:p>
        </w:tc>
        <w:tc>
          <w:tcPr>
            <w:tcW w:w="656"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102"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679" w:type="pct"/>
            <w:vAlign w:val="center"/>
            <w:hideMark/>
          </w:tcPr>
          <w:p w:rsidR="00000000" w:rsidRDefault="00010F15">
            <w:pPr>
              <w:rPr>
                <w:rFonts w:eastAsia="Times New Roman"/>
                <w:sz w:val="20"/>
                <w:szCs w:val="20"/>
              </w:rPr>
            </w:pPr>
          </w:p>
        </w:tc>
        <w:tc>
          <w:tcPr>
            <w:tcW w:w="39" w:type="pct"/>
            <w:vAlign w:val="center"/>
            <w:hideMark/>
          </w:tcPr>
          <w:p w:rsidR="00000000" w:rsidRDefault="00010F15">
            <w:pPr>
              <w:rPr>
                <w:rFonts w:eastAsia="Times New Roman"/>
                <w:sz w:val="20"/>
                <w:szCs w:val="20"/>
              </w:rPr>
            </w:pP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6"/>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Year Ended December 31</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6"/>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Chang</w:t>
            </w:r>
            <w:r>
              <w:rPr>
                <w:rFonts w:ascii="Arial" w:hAnsi="Arial" w:cs="Arial"/>
                <w:b/>
                <w:bCs/>
                <w:sz w:val="16"/>
                <w:szCs w:val="16"/>
              </w:rPr>
              <w:t>e</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14"/>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(dollars in thousands</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Provision for income taxe</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(1,06</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(4,65</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3,58</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(77.</w:t>
            </w: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r>
    </w:tbl>
    <w:p w:rsidR="00000000" w:rsidRDefault="00010F15">
      <w:pPr>
        <w:pStyle w:val="a3"/>
        <w:spacing w:before="240" w:beforeAutospacing="0" w:after="0" w:afterAutospacing="0"/>
        <w:ind w:firstLine="543"/>
        <w:rPr>
          <w:sz w:val="20"/>
          <w:szCs w:val="20"/>
        </w:rPr>
      </w:pPr>
      <w:r>
        <w:rPr>
          <w:rFonts w:ascii="Arial" w:hAnsi="Arial" w:cs="Arial"/>
          <w:sz w:val="20"/>
          <w:szCs w:val="20"/>
        </w:rPr>
        <w:t>The change in provision for income taxes as well as the decrease in the Company's effective tax rate, which decreased to 10.4% for the year ended December 31, 2021 as compared to 25.3% for the same period in the prior year, was primarily due to discrete ta</w:t>
      </w:r>
      <w:r>
        <w:rPr>
          <w:rFonts w:ascii="Arial" w:hAnsi="Arial" w:cs="Arial"/>
          <w:sz w:val="20"/>
          <w:szCs w:val="20"/>
        </w:rPr>
        <w:t>x adjustments related to the deductibility of stock option exercises offset by nondeductible executive compensation and nondeductible IPO costs in connection with the IPO</w:t>
      </w:r>
      <w:r>
        <w:rPr>
          <w:rFonts w:ascii="Arial" w:hAnsi="Arial" w:cs="Arial"/>
          <w:sz w:val="20"/>
          <w:szCs w:val="20"/>
        </w:rPr>
        <w:t>.</w:t>
      </w:r>
    </w:p>
    <w:p w:rsidR="00000000" w:rsidRDefault="00010F15">
      <w:pPr>
        <w:pStyle w:val="a3"/>
        <w:spacing w:before="0" w:beforeAutospacing="0" w:after="0" w:afterAutospacing="0"/>
        <w:jc w:val="center"/>
        <w:rPr>
          <w:sz w:val="20"/>
          <w:szCs w:val="20"/>
        </w:rPr>
      </w:pPr>
      <w:r>
        <w:rPr>
          <w:rFonts w:ascii="Arial" w:hAnsi="Arial" w:cs="Arial"/>
          <w:sz w:val="20"/>
          <w:szCs w:val="20"/>
        </w:rPr>
        <w:t>6</w:t>
      </w:r>
      <w:r>
        <w:rPr>
          <w:rFonts w:ascii="Arial" w:hAnsi="Arial" w:cs="Arial"/>
          <w:sz w:val="20"/>
          <w:szCs w:val="20"/>
        </w:rPr>
        <w:t>3</w:t>
      </w:r>
    </w:p>
    <w:p w:rsidR="00000000" w:rsidRDefault="00010F15">
      <w:pPr>
        <w:rPr>
          <w:rFonts w:eastAsia="Times New Roman"/>
        </w:rPr>
      </w:pPr>
      <w:r>
        <w:rPr>
          <w:rFonts w:eastAsia="Times New Roman"/>
        </w:rPr>
        <w:pict>
          <v:rect id="_x0000_i1088"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240" w:beforeAutospacing="0" w:after="0" w:afterAutospacing="0"/>
        <w:jc w:val="center"/>
        <w:rPr>
          <w:sz w:val="20"/>
          <w:szCs w:val="20"/>
        </w:rPr>
      </w:pPr>
      <w:r>
        <w:rPr>
          <w:rFonts w:ascii="Arial" w:hAnsi="Arial" w:cs="Arial"/>
          <w:b/>
          <w:bCs/>
          <w:sz w:val="20"/>
          <w:szCs w:val="20"/>
        </w:rPr>
        <w:t>Liquidity and Capital Resource</w:t>
      </w:r>
      <w:r>
        <w:rPr>
          <w:rFonts w:ascii="Arial" w:hAnsi="Arial" w:cs="Arial"/>
          <w:b/>
          <w:bCs/>
          <w:sz w:val="20"/>
          <w:szCs w:val="20"/>
        </w:rPr>
        <w:t>s</w:t>
      </w:r>
    </w:p>
    <w:p w:rsidR="00000000" w:rsidRDefault="00010F15">
      <w:pPr>
        <w:pStyle w:val="a3"/>
        <w:spacing w:before="240" w:beforeAutospacing="0" w:after="0" w:afterAutospacing="0"/>
        <w:rPr>
          <w:sz w:val="20"/>
          <w:szCs w:val="20"/>
        </w:rPr>
      </w:pPr>
      <w:r>
        <w:rPr>
          <w:rFonts w:ascii="Arial" w:hAnsi="Arial" w:cs="Arial"/>
          <w:b/>
          <w:bCs/>
          <w:i/>
          <w:iCs/>
          <w:sz w:val="20"/>
          <w:szCs w:val="20"/>
        </w:rPr>
        <w:t>Sources and Uses of Fund</w:t>
      </w:r>
      <w:r>
        <w:rPr>
          <w:rFonts w:ascii="Arial" w:hAnsi="Arial" w:cs="Arial"/>
          <w:b/>
          <w:bCs/>
          <w:i/>
          <w:iCs/>
          <w:sz w:val="20"/>
          <w:szCs w:val="20"/>
        </w:rPr>
        <w:t>s</w:t>
      </w:r>
    </w:p>
    <w:p w:rsidR="00000000" w:rsidRDefault="00010F15">
      <w:pPr>
        <w:pStyle w:val="a3"/>
        <w:spacing w:before="120" w:beforeAutospacing="0" w:after="0" w:afterAutospacing="0"/>
        <w:ind w:firstLine="539"/>
        <w:rPr>
          <w:sz w:val="20"/>
          <w:szCs w:val="20"/>
        </w:rPr>
      </w:pPr>
      <w:r>
        <w:rPr>
          <w:rFonts w:ascii="Arial" w:hAnsi="Arial" w:cs="Arial"/>
          <w:sz w:val="20"/>
          <w:szCs w:val="20"/>
        </w:rPr>
        <w:t>As of December 31, 2021, we had $168.4 million of unrestricted cash and cash equivalents. We believe that existing unrestricted cash and cash equivalents will b</w:t>
      </w:r>
      <w:r>
        <w:rPr>
          <w:rFonts w:ascii="Arial" w:hAnsi="Arial" w:cs="Arial"/>
          <w:sz w:val="20"/>
          <w:szCs w:val="20"/>
        </w:rPr>
        <w:t>e sufficient to support our working capital and capital expenditure requirements for at least the next 12 months. Since inception, we have financed operations primarily through the sale of equity securities and revenue from payment transaction fees and sub</w:t>
      </w:r>
      <w:r>
        <w:rPr>
          <w:rFonts w:ascii="Arial" w:hAnsi="Arial" w:cs="Arial"/>
          <w:sz w:val="20"/>
          <w:szCs w:val="20"/>
        </w:rPr>
        <w:t>scriptions. Our principal uses of cash are funding operations, which primarily consist of employee-related costs. Currently, we do not have any material planned capital expenditures in the next 12 months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In September 2021, we completed the acquisitions of</w:t>
      </w:r>
      <w:r>
        <w:rPr>
          <w:rFonts w:ascii="Arial" w:hAnsi="Arial" w:cs="Arial"/>
          <w:sz w:val="20"/>
          <w:szCs w:val="20"/>
        </w:rPr>
        <w:t xml:space="preserve"> Payveris and Finovera for an aggregate purchase price of $158.4 million, comprised of (i) $90.1 million in cash, of which $0.8 million is being held back by us for a period of twenty-four months following the closing of the Finovera transaction, and (ii) </w:t>
      </w:r>
      <w:r>
        <w:rPr>
          <w:rFonts w:ascii="Arial" w:hAnsi="Arial" w:cs="Arial"/>
          <w:sz w:val="20"/>
          <w:szCs w:val="20"/>
        </w:rPr>
        <w:t>2,657,776 shares of our Class A common stock with a fair value of approximately $68.3 million, of which 2,494 shares of Class A common stock with an approximate value of $0.06 million remains issuable</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In May 2021, we completed our IPO which resulted in ag</w:t>
      </w:r>
      <w:r>
        <w:rPr>
          <w:rFonts w:ascii="Arial" w:hAnsi="Arial" w:cs="Arial"/>
          <w:sz w:val="20"/>
          <w:szCs w:val="20"/>
        </w:rPr>
        <w:t>gregate net proceeds of $224.6 million, after underwriting discounts and commissions of $16.9 million. We also received aggregate proceeds of $50.0 million from a private placement completed concurrently with the IPO, and did not pay any underwriting disco</w:t>
      </w:r>
      <w:r>
        <w:rPr>
          <w:rFonts w:ascii="Arial" w:hAnsi="Arial" w:cs="Arial"/>
          <w:sz w:val="20"/>
          <w:szCs w:val="20"/>
        </w:rPr>
        <w:t>unts or commissions with respect to the shares that were sold in the concurrent private placement</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From time to time, we may explore additional financing sources and means to lower our cost of capital, which could include equity, equity-linked and debt fin</w:t>
      </w:r>
      <w:r>
        <w:rPr>
          <w:rFonts w:ascii="Arial" w:hAnsi="Arial" w:cs="Arial"/>
          <w:sz w:val="20"/>
          <w:szCs w:val="20"/>
        </w:rPr>
        <w:t>ancing. We cannot assure you that any additional financing will be available to us on acceptable terms, or at all. The inability to raise capital would adversely affect our ability to achieve our business objectives. If we raise additional funds by issuing</w:t>
      </w:r>
      <w:r>
        <w:rPr>
          <w:rFonts w:ascii="Arial" w:hAnsi="Arial" w:cs="Arial"/>
          <w:sz w:val="20"/>
          <w:szCs w:val="20"/>
        </w:rPr>
        <w:t xml:space="preserve"> equity or equity-linked securities, the ownership of our existing stockholders will be diluted. If we raise additional financing by the incurrence of indebtedness, we may be subject to increased fixed payment obligations and could be subject to additional</w:t>
      </w:r>
      <w:r>
        <w:rPr>
          <w:rFonts w:ascii="Arial" w:hAnsi="Arial" w:cs="Arial"/>
          <w:sz w:val="20"/>
          <w:szCs w:val="20"/>
        </w:rPr>
        <w:t xml:space="preserve"> restrictive covenants, such as limitations on our ability to incur additional debt, and other operating restrictions that could adversely impact our ability to conduct our business. Any future indebtedness we incur may result in terms that could be unfavo</w:t>
      </w:r>
      <w:r>
        <w:rPr>
          <w:rFonts w:ascii="Arial" w:hAnsi="Arial" w:cs="Arial"/>
          <w:sz w:val="20"/>
          <w:szCs w:val="20"/>
        </w:rPr>
        <w:t>rable to equity investors</w:t>
      </w:r>
      <w:r>
        <w:rPr>
          <w:rFonts w:ascii="Arial" w:hAnsi="Arial" w:cs="Arial"/>
          <w:sz w:val="20"/>
          <w:szCs w:val="20"/>
        </w:rPr>
        <w:t>.</w:t>
      </w:r>
      <w:r>
        <w:rPr>
          <w:rFonts w:ascii="Arial" w:hAnsi="Arial" w:cs="Arial"/>
          <w:sz w:val="20"/>
          <w:szCs w:val="20"/>
        </w:rPr>
        <w:t xml:space="preserve"> </w:t>
      </w:r>
    </w:p>
    <w:p w:rsidR="00000000" w:rsidRDefault="00010F15">
      <w:pPr>
        <w:pStyle w:val="a3"/>
        <w:spacing w:before="240" w:beforeAutospacing="0" w:after="0" w:afterAutospacing="0"/>
        <w:rPr>
          <w:sz w:val="20"/>
          <w:szCs w:val="20"/>
        </w:rPr>
      </w:pPr>
      <w:r>
        <w:rPr>
          <w:rFonts w:ascii="Arial" w:hAnsi="Arial" w:cs="Arial"/>
          <w:b/>
          <w:bCs/>
          <w:i/>
          <w:iCs/>
          <w:sz w:val="20"/>
          <w:szCs w:val="20"/>
        </w:rPr>
        <w:t>Historical Cash Flow</w:t>
      </w:r>
      <w:r>
        <w:rPr>
          <w:rFonts w:ascii="Arial" w:hAnsi="Arial" w:cs="Arial"/>
          <w:b/>
          <w:bCs/>
          <w:i/>
          <w:iCs/>
          <w:sz w:val="20"/>
          <w:szCs w:val="20"/>
        </w:rPr>
        <w:t>s</w:t>
      </w:r>
      <w:r>
        <w:rPr>
          <w:rFonts w:ascii="Arial" w:hAnsi="Arial" w:cs="Arial"/>
          <w:b/>
          <w:bCs/>
          <w:i/>
          <w:iCs/>
          <w:sz w:val="20"/>
          <w:szCs w:val="20"/>
        </w:rPr>
        <w:t xml:space="preserve"> </w:t>
      </w:r>
    </w:p>
    <w:p w:rsidR="00000000" w:rsidRDefault="00010F15">
      <w:pPr>
        <w:pStyle w:val="a3"/>
        <w:spacing w:before="120" w:beforeAutospacing="0" w:after="120" w:afterAutospacing="0"/>
        <w:ind w:firstLine="539"/>
        <w:rPr>
          <w:sz w:val="20"/>
          <w:szCs w:val="20"/>
        </w:rPr>
      </w:pPr>
      <w:r>
        <w:rPr>
          <w:rFonts w:ascii="Arial" w:hAnsi="Arial" w:cs="Arial"/>
          <w:sz w:val="20"/>
          <w:szCs w:val="20"/>
        </w:rPr>
        <w:t>The following table summarizes our consolidated cash flows</w:t>
      </w:r>
      <w:r>
        <w:rPr>
          <w:rFonts w:ascii="Arial" w:hAnsi="Arial" w:cs="Arial"/>
          <w:sz w:val="20"/>
          <w:szCs w:val="20"/>
        </w:rPr>
        <w:t>.</w:t>
      </w:r>
      <w:r>
        <w:rPr>
          <w:rFonts w:ascii="Arial" w:hAnsi="Arial" w:cs="Arial"/>
          <w:sz w:val="20"/>
          <w:szCs w:val="20"/>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85"/>
        <w:gridCol w:w="676"/>
        <w:gridCol w:w="172"/>
        <w:gridCol w:w="860"/>
        <w:gridCol w:w="127"/>
        <w:gridCol w:w="116"/>
        <w:gridCol w:w="172"/>
        <w:gridCol w:w="802"/>
        <w:gridCol w:w="127"/>
        <w:gridCol w:w="116"/>
        <w:gridCol w:w="172"/>
        <w:gridCol w:w="739"/>
        <w:gridCol w:w="142"/>
      </w:tblGrid>
      <w:tr w:rsidR="00000000">
        <w:trPr>
          <w:tblCellSpacing w:w="15" w:type="dxa"/>
        </w:trPr>
        <w:tc>
          <w:tcPr>
            <w:tcW w:w="2612" w:type="pct"/>
            <w:vAlign w:val="center"/>
            <w:hideMark/>
          </w:tcPr>
          <w:p w:rsidR="00000000" w:rsidRDefault="00010F15">
            <w:pPr>
              <w:rPr>
                <w:sz w:val="20"/>
                <w:szCs w:val="20"/>
              </w:rPr>
            </w:pPr>
          </w:p>
        </w:tc>
        <w:tc>
          <w:tcPr>
            <w:tcW w:w="259" w:type="pct"/>
            <w:vAlign w:val="center"/>
            <w:hideMark/>
          </w:tcPr>
          <w:p w:rsidR="00000000" w:rsidRDefault="00010F15">
            <w:pPr>
              <w:rPr>
                <w:rFonts w:eastAsia="Times New Roman"/>
                <w:sz w:val="20"/>
                <w:szCs w:val="20"/>
              </w:rPr>
            </w:pPr>
          </w:p>
        </w:tc>
        <w:tc>
          <w:tcPr>
            <w:tcW w:w="66" w:type="pct"/>
            <w:vAlign w:val="center"/>
            <w:hideMark/>
          </w:tcPr>
          <w:p w:rsidR="00000000" w:rsidRDefault="00010F15">
            <w:pPr>
              <w:rPr>
                <w:rFonts w:eastAsia="Times New Roman"/>
                <w:sz w:val="20"/>
                <w:szCs w:val="20"/>
              </w:rPr>
            </w:pPr>
          </w:p>
        </w:tc>
        <w:tc>
          <w:tcPr>
            <w:tcW w:w="578" w:type="pct"/>
            <w:vAlign w:val="center"/>
            <w:hideMark/>
          </w:tcPr>
          <w:p w:rsidR="00000000" w:rsidRDefault="00010F15">
            <w:pPr>
              <w:rPr>
                <w:rFonts w:eastAsia="Times New Roman"/>
                <w:sz w:val="20"/>
                <w:szCs w:val="20"/>
              </w:rPr>
            </w:pPr>
          </w:p>
        </w:tc>
        <w:tc>
          <w:tcPr>
            <w:tcW w:w="39"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66" w:type="pct"/>
            <w:vAlign w:val="center"/>
            <w:hideMark/>
          </w:tcPr>
          <w:p w:rsidR="00000000" w:rsidRDefault="00010F15">
            <w:pPr>
              <w:rPr>
                <w:rFonts w:eastAsia="Times New Roman"/>
                <w:sz w:val="20"/>
                <w:szCs w:val="20"/>
              </w:rPr>
            </w:pPr>
          </w:p>
        </w:tc>
        <w:tc>
          <w:tcPr>
            <w:tcW w:w="576" w:type="pct"/>
            <w:vAlign w:val="center"/>
            <w:hideMark/>
          </w:tcPr>
          <w:p w:rsidR="00000000" w:rsidRDefault="00010F15">
            <w:pPr>
              <w:rPr>
                <w:rFonts w:eastAsia="Times New Roman"/>
                <w:sz w:val="20"/>
                <w:szCs w:val="20"/>
              </w:rPr>
            </w:pPr>
          </w:p>
        </w:tc>
        <w:tc>
          <w:tcPr>
            <w:tcW w:w="39"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66" w:type="pct"/>
            <w:vAlign w:val="center"/>
            <w:hideMark/>
          </w:tcPr>
          <w:p w:rsidR="00000000" w:rsidRDefault="00010F15">
            <w:pPr>
              <w:rPr>
                <w:rFonts w:eastAsia="Times New Roman"/>
                <w:sz w:val="20"/>
                <w:szCs w:val="20"/>
              </w:rPr>
            </w:pPr>
          </w:p>
        </w:tc>
        <w:tc>
          <w:tcPr>
            <w:tcW w:w="520" w:type="pct"/>
            <w:vAlign w:val="center"/>
            <w:hideMark/>
          </w:tcPr>
          <w:p w:rsidR="00000000" w:rsidRDefault="00010F15">
            <w:pPr>
              <w:rPr>
                <w:rFonts w:eastAsia="Times New Roman"/>
                <w:sz w:val="20"/>
                <w:szCs w:val="20"/>
              </w:rPr>
            </w:pPr>
          </w:p>
        </w:tc>
        <w:tc>
          <w:tcPr>
            <w:tcW w:w="39" w:type="pct"/>
            <w:vAlign w:val="center"/>
            <w:hideMark/>
          </w:tcPr>
          <w:p w:rsidR="00000000" w:rsidRDefault="00010F15">
            <w:pPr>
              <w:rPr>
                <w:rFonts w:eastAsia="Times New Roman"/>
                <w:sz w:val="20"/>
                <w:szCs w:val="20"/>
              </w:rPr>
            </w:pP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10"/>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Year Ended December 31</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201</w:t>
            </w:r>
            <w:r>
              <w:rPr>
                <w:rFonts w:ascii="Arial" w:hAnsi="Arial" w:cs="Arial"/>
                <w:b/>
                <w:bCs/>
                <w:sz w:val="16"/>
                <w:szCs w:val="16"/>
              </w:rPr>
              <w:t>9</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10"/>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Net cash provided by (used in</w:t>
            </w: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Operating activitie</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ind w:left="56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19,49</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35,62</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17,51</w:t>
            </w: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Investing activitie</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ind w:left="56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(77,80</w:t>
            </w:r>
            <w:r>
              <w:rPr>
                <w:rFonts w:ascii="Arial" w:hAnsi="Arial" w:cs="Arial"/>
                <w:sz w:val="20"/>
                <w:szCs w:val="20"/>
              </w:rPr>
              <w:t>9</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(15,13</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(13,89</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Financing activitie</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ind w:left="56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213,48</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(1,35</w:t>
            </w:r>
            <w:r>
              <w:rPr>
                <w:rFonts w:ascii="Arial" w:hAnsi="Arial" w:cs="Arial"/>
                <w:sz w:val="20"/>
                <w:szCs w:val="20"/>
              </w:rPr>
              <w:t>8</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(85</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Effects of foreign exchange on cash, cash equivalents and restricted cas</w:t>
            </w:r>
            <w:r>
              <w:rPr>
                <w:rFonts w:ascii="Arial" w:hAnsi="Arial" w:cs="Arial"/>
                <w:sz w:val="20"/>
                <w:szCs w:val="20"/>
              </w:rPr>
              <w:t>h</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8</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11</w:t>
            </w:r>
            <w:r>
              <w:rPr>
                <w:rFonts w:ascii="Arial" w:hAnsi="Arial" w:cs="Arial"/>
                <w:sz w:val="20"/>
                <w:szCs w:val="20"/>
              </w:rPr>
              <w:t>4</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Net increase in cash, cash equivalents and restricted cas</w:t>
            </w:r>
            <w:r>
              <w:rPr>
                <w:rFonts w:ascii="Arial" w:hAnsi="Arial" w:cs="Arial"/>
                <w:sz w:val="20"/>
                <w:szCs w:val="20"/>
              </w:rPr>
              <w:t>h</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155,16</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19,23</w:t>
            </w:r>
            <w:r>
              <w:rPr>
                <w:rFonts w:ascii="Arial" w:hAnsi="Arial" w:cs="Arial"/>
                <w:sz w:val="20"/>
                <w:szCs w:val="20"/>
              </w:rPr>
              <w:t>9</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2,79</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bl>
    <w:p w:rsidR="00000000" w:rsidRDefault="00010F15">
      <w:pPr>
        <w:pStyle w:val="a3"/>
        <w:spacing w:before="240" w:beforeAutospacing="0" w:after="0" w:afterAutospacing="0"/>
        <w:ind w:firstLine="543"/>
        <w:rPr>
          <w:sz w:val="20"/>
          <w:szCs w:val="20"/>
        </w:rPr>
      </w:pPr>
      <w:r>
        <w:rPr>
          <w:rFonts w:ascii="Arial" w:hAnsi="Arial" w:cs="Arial"/>
          <w:i/>
          <w:iCs/>
          <w:sz w:val="20"/>
          <w:szCs w:val="20"/>
        </w:rPr>
        <w:t>Net Cash Provided by Operating Activitie</w:t>
      </w:r>
      <w:r>
        <w:rPr>
          <w:rFonts w:ascii="Arial" w:hAnsi="Arial" w:cs="Arial"/>
          <w:i/>
          <w:iCs/>
          <w:sz w:val="20"/>
          <w:szCs w:val="20"/>
        </w:rPr>
        <w:t>s</w:t>
      </w:r>
      <w:r>
        <w:rPr>
          <w:rFonts w:ascii="Arial" w:hAnsi="Arial" w:cs="Arial"/>
          <w:i/>
          <w:iCs/>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Our primary source of operating cash is revenue from payment transaction fees. Our primary uses of operating cash are employee-related costs, payments to third parties to fulfill our payment transactions and payme</w:t>
      </w:r>
      <w:r>
        <w:rPr>
          <w:rFonts w:ascii="Arial" w:hAnsi="Arial" w:cs="Arial"/>
          <w:sz w:val="20"/>
          <w:szCs w:val="20"/>
        </w:rPr>
        <w:t>nts to sales and marketing partners</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Net cash provided by operating activities for the year ended December 31, 2021 was $19.5 million, primarily consisting of our net income of $9.3 million, adjusted for non-cash charges of $13.3 million in depreciation and amortization, $2.5 million in non-c</w:t>
      </w:r>
      <w:r>
        <w:rPr>
          <w:rFonts w:ascii="Arial" w:hAnsi="Arial" w:cs="Arial"/>
          <w:sz w:val="20"/>
          <w:szCs w:val="20"/>
        </w:rPr>
        <w:t>ash lease expense related to our operating right-of-use assets, $3.1 million in stock-based compensation, $0.7 million in amortization of contract assets recorded as contra revenue related to the recognition of the warrant issued to JPMC Strategic Investme</w:t>
      </w:r>
      <w:r>
        <w:rPr>
          <w:rFonts w:ascii="Arial" w:hAnsi="Arial" w:cs="Arial"/>
          <w:sz w:val="20"/>
          <w:szCs w:val="20"/>
        </w:rPr>
        <w:t>nts I Corporation, and net cash outflows of $8.7 million provided by changes in our operating assets and liabilities. The main drivers of the changes in operating assets and liabilities includes a $14.7 million increase in accounts and other receivables du</w:t>
      </w:r>
      <w:r>
        <w:rPr>
          <w:rFonts w:ascii="Arial" w:hAnsi="Arial" w:cs="Arial"/>
          <w:sz w:val="20"/>
          <w:szCs w:val="20"/>
        </w:rPr>
        <w:t>e to higher sales and relative timing of our cash collections, and increase of $0.8 million in income taxes receivable, net and a $2.4 million decrease in operating lease liabilities, due to current period payments on operating leases. These amounts were p</w:t>
      </w:r>
      <w:r>
        <w:rPr>
          <w:rFonts w:ascii="Arial" w:hAnsi="Arial" w:cs="Arial"/>
          <w:sz w:val="20"/>
          <w:szCs w:val="20"/>
        </w:rPr>
        <w:t>artially offset by a $7.4 million increase in accounts payable due to the timing of payments, a decrease of $1.3 million in prepaid expenses and an increase of $0.5 million in contract liabilities</w:t>
      </w:r>
      <w:r>
        <w:rPr>
          <w:rFonts w:ascii="Arial" w:hAnsi="Arial" w:cs="Arial"/>
          <w:sz w:val="20"/>
          <w:szCs w:val="20"/>
        </w:rPr>
        <w:t>.</w:t>
      </w:r>
    </w:p>
    <w:p w:rsidR="00000000" w:rsidRDefault="00010F15">
      <w:pPr>
        <w:pStyle w:val="a3"/>
        <w:spacing w:before="0" w:beforeAutospacing="0" w:after="0" w:afterAutospacing="0"/>
        <w:jc w:val="center"/>
        <w:rPr>
          <w:sz w:val="20"/>
          <w:szCs w:val="20"/>
        </w:rPr>
      </w:pPr>
      <w:r>
        <w:rPr>
          <w:rFonts w:ascii="Arial" w:hAnsi="Arial" w:cs="Arial"/>
          <w:sz w:val="20"/>
          <w:szCs w:val="20"/>
        </w:rPr>
        <w:t>6</w:t>
      </w:r>
      <w:r>
        <w:rPr>
          <w:rFonts w:ascii="Arial" w:hAnsi="Arial" w:cs="Arial"/>
          <w:sz w:val="20"/>
          <w:szCs w:val="20"/>
        </w:rPr>
        <w:t>4</w:t>
      </w:r>
    </w:p>
    <w:p w:rsidR="00000000" w:rsidRDefault="00010F15">
      <w:pPr>
        <w:rPr>
          <w:rFonts w:eastAsia="Times New Roman"/>
        </w:rPr>
      </w:pPr>
      <w:r>
        <w:rPr>
          <w:rFonts w:eastAsia="Times New Roman"/>
        </w:rPr>
        <w:pict>
          <v:rect id="_x0000_i1089"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120" w:beforeAutospacing="0" w:after="0" w:afterAutospacing="0"/>
        <w:ind w:firstLine="539"/>
        <w:rPr>
          <w:sz w:val="20"/>
          <w:szCs w:val="20"/>
        </w:rPr>
      </w:pPr>
      <w:r>
        <w:rPr>
          <w:rFonts w:ascii="Arial" w:hAnsi="Arial" w:cs="Arial"/>
          <w:sz w:val="20"/>
          <w:szCs w:val="20"/>
        </w:rPr>
        <w:t>Net cash provide</w:t>
      </w:r>
      <w:r>
        <w:rPr>
          <w:rFonts w:ascii="Arial" w:hAnsi="Arial" w:cs="Arial"/>
          <w:sz w:val="20"/>
          <w:szCs w:val="20"/>
        </w:rPr>
        <w:t>d by operating activities for the year ended December 31, 2020 was $35.6 million, primarily consisting of our net income of $13.7 million, adjusted for non-cash charges of $8.1 million in depreciation and amortization, $2.8 million in noncash lease expense</w:t>
      </w:r>
      <w:r>
        <w:rPr>
          <w:rFonts w:ascii="Arial" w:hAnsi="Arial" w:cs="Arial"/>
          <w:sz w:val="20"/>
          <w:szCs w:val="20"/>
        </w:rPr>
        <w:t xml:space="preserve"> related to our operating right-of-use assets, $2.0 million in stock-based compensation, $1.6 million in deferred income taxes, $0.1 million for provision for credit losses and net cash inflows of $7.3 million provided by changes in our operating assets an</w:t>
      </w:r>
      <w:r>
        <w:rPr>
          <w:rFonts w:ascii="Arial" w:hAnsi="Arial" w:cs="Arial"/>
          <w:sz w:val="20"/>
          <w:szCs w:val="20"/>
        </w:rPr>
        <w:t>d liabilities. The main drivers of the changes in operating assets and liabilities includes a $14.6 million increase in accounts payable due in part to a change in processer payment timing from real-time payments such that the transactions are processed on</w:t>
      </w:r>
      <w:r>
        <w:rPr>
          <w:rFonts w:ascii="Arial" w:hAnsi="Arial" w:cs="Arial"/>
          <w:sz w:val="20"/>
          <w:szCs w:val="20"/>
        </w:rPr>
        <w:t xml:space="preserve"> a monthly cadence where we are invoiced in arrears for fees owed, a $2.8 million increase in accrued liabilities due to increased headcount and growth in our business, a decrease of $0.8 million in prepaid expenses and other current assets due the amortiz</w:t>
      </w:r>
      <w:r>
        <w:rPr>
          <w:rFonts w:ascii="Arial" w:hAnsi="Arial" w:cs="Arial"/>
          <w:sz w:val="20"/>
          <w:szCs w:val="20"/>
        </w:rPr>
        <w:t>ation of additional insurance premiums, an increase of $0.2 million in contract liabilities and a decrease in income tax receivables, net of $0.2 million. These amounts were partially offset by an $8.7 million increase in accounts and other receivables due</w:t>
      </w:r>
      <w:r>
        <w:rPr>
          <w:rFonts w:ascii="Arial" w:hAnsi="Arial" w:cs="Arial"/>
          <w:sz w:val="20"/>
          <w:szCs w:val="20"/>
        </w:rPr>
        <w:t xml:space="preserve"> to higher sales and relative timing of our cash collections, and a $2.6 million decrease in operating lease liabilities</w:t>
      </w:r>
      <w:r>
        <w:rPr>
          <w:rFonts w:ascii="Arial" w:hAnsi="Arial" w:cs="Arial"/>
          <w:sz w:val="20"/>
          <w:szCs w:val="20"/>
        </w:rPr>
        <w:t>.</w:t>
      </w:r>
    </w:p>
    <w:p w:rsidR="00000000" w:rsidRDefault="00010F15">
      <w:pPr>
        <w:pStyle w:val="a3"/>
        <w:spacing w:before="240" w:beforeAutospacing="0" w:after="0" w:afterAutospacing="0"/>
        <w:ind w:firstLine="543"/>
        <w:rPr>
          <w:sz w:val="20"/>
          <w:szCs w:val="20"/>
        </w:rPr>
      </w:pPr>
      <w:r>
        <w:rPr>
          <w:rFonts w:ascii="Arial" w:hAnsi="Arial" w:cs="Arial"/>
          <w:i/>
          <w:iCs/>
          <w:sz w:val="20"/>
          <w:szCs w:val="20"/>
        </w:rPr>
        <w:t>Net Cash Used in Investing Activitie</w:t>
      </w:r>
      <w:r>
        <w:rPr>
          <w:rFonts w:ascii="Arial" w:hAnsi="Arial" w:cs="Arial"/>
          <w:i/>
          <w:iCs/>
          <w:sz w:val="20"/>
          <w:szCs w:val="20"/>
        </w:rPr>
        <w:t>s</w:t>
      </w:r>
      <w:r>
        <w:rPr>
          <w:rFonts w:ascii="Arial" w:hAnsi="Arial" w:cs="Arial"/>
          <w:i/>
          <w:iCs/>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Cash used in our investing activities consists primarily of cash paid for acquisitions, capital</w:t>
      </w:r>
      <w:r>
        <w:rPr>
          <w:rFonts w:ascii="Arial" w:hAnsi="Arial" w:cs="Arial"/>
          <w:sz w:val="20"/>
          <w:szCs w:val="20"/>
        </w:rPr>
        <w:t>ized internal-use software development costs, purchases of property and equipment and intangible assets</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Net cash used in investing activities for the year ended December 31, 2021 consisted of $57.4 million of cash paid for acquisitions, net of cash and r</w:t>
      </w:r>
      <w:r>
        <w:rPr>
          <w:rFonts w:ascii="Arial" w:hAnsi="Arial" w:cs="Arial"/>
          <w:sz w:val="20"/>
          <w:szCs w:val="20"/>
        </w:rPr>
        <w:t>estricted cash acquired and contingent consideration, $19.3 million of capitalized internal-use software development costs and $1.1 million of purchases of property and equipment and intangible assets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Net cash used in investing activities for the year end</w:t>
      </w:r>
      <w:r>
        <w:rPr>
          <w:rFonts w:ascii="Arial" w:hAnsi="Arial" w:cs="Arial"/>
          <w:sz w:val="20"/>
          <w:szCs w:val="20"/>
        </w:rPr>
        <w:t>ed December 31, 2020 consisted of $14.4 million of capitalized internal-use software development costs, $0.5 million of purchases of property and equipment and $0.3 million related to the payment of deferred consideration for an acquisition</w:t>
      </w:r>
      <w:r>
        <w:rPr>
          <w:rFonts w:ascii="Arial" w:hAnsi="Arial" w:cs="Arial"/>
          <w:sz w:val="20"/>
          <w:szCs w:val="20"/>
        </w:rPr>
        <w:t>.</w:t>
      </w:r>
    </w:p>
    <w:p w:rsidR="00000000" w:rsidRDefault="00010F15">
      <w:pPr>
        <w:pStyle w:val="a3"/>
        <w:spacing w:before="240" w:beforeAutospacing="0" w:after="0" w:afterAutospacing="0"/>
        <w:ind w:firstLine="543"/>
        <w:rPr>
          <w:sz w:val="20"/>
          <w:szCs w:val="20"/>
        </w:rPr>
      </w:pPr>
      <w:r>
        <w:rPr>
          <w:rFonts w:ascii="Arial" w:hAnsi="Arial" w:cs="Arial"/>
          <w:i/>
          <w:iCs/>
          <w:sz w:val="20"/>
          <w:szCs w:val="20"/>
        </w:rPr>
        <w:t>Net Cash Provi</w:t>
      </w:r>
      <w:r>
        <w:rPr>
          <w:rFonts w:ascii="Arial" w:hAnsi="Arial" w:cs="Arial"/>
          <w:i/>
          <w:iCs/>
          <w:sz w:val="20"/>
          <w:szCs w:val="20"/>
        </w:rPr>
        <w:t>ded by (Used in) Financing Activitie</w:t>
      </w:r>
      <w:r>
        <w:rPr>
          <w:rFonts w:ascii="Arial" w:hAnsi="Arial" w:cs="Arial"/>
          <w:i/>
          <w:iCs/>
          <w:sz w:val="20"/>
          <w:szCs w:val="20"/>
        </w:rPr>
        <w:t>s</w:t>
      </w:r>
    </w:p>
    <w:p w:rsidR="00000000" w:rsidRDefault="00010F15">
      <w:pPr>
        <w:pStyle w:val="a3"/>
        <w:spacing w:before="120" w:beforeAutospacing="0" w:after="0" w:afterAutospacing="0"/>
        <w:ind w:firstLine="539"/>
        <w:rPr>
          <w:sz w:val="20"/>
          <w:szCs w:val="20"/>
        </w:rPr>
      </w:pPr>
      <w:r>
        <w:rPr>
          <w:rFonts w:ascii="Arial" w:hAnsi="Arial" w:cs="Arial"/>
          <w:sz w:val="20"/>
          <w:szCs w:val="20"/>
        </w:rPr>
        <w:t>Cash provided by (used in) financing activities consists primarily of proceeds from the IPO and private placement and option exercises offset by the redemption of the Series A preferred stock, payment of deferred offer</w:t>
      </w:r>
      <w:r>
        <w:rPr>
          <w:rFonts w:ascii="Arial" w:hAnsi="Arial" w:cs="Arial"/>
          <w:sz w:val="20"/>
          <w:szCs w:val="20"/>
        </w:rPr>
        <w:t>ing costs related to the IPO, changes in financial institution funds in-transit, and payments on capital lease and other financing arrangements and principal payments on debt</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Net cash provided by financing activities for the year ended December 31, 2021 c</w:t>
      </w:r>
      <w:r>
        <w:rPr>
          <w:rFonts w:ascii="Arial" w:hAnsi="Arial" w:cs="Arial"/>
          <w:sz w:val="20"/>
          <w:szCs w:val="20"/>
        </w:rPr>
        <w:t>onsisted of proceeds from the IPO of $224.6 million, proceeds from the concurrent private placement of $50.0, an increase in financial institution funds in-transit of $2.0 million, proceeds of $0.8 million from the repayment of a related party loan and pro</w:t>
      </w:r>
      <w:r>
        <w:rPr>
          <w:rFonts w:ascii="Arial" w:hAnsi="Arial" w:cs="Arial"/>
          <w:sz w:val="20"/>
          <w:szCs w:val="20"/>
        </w:rPr>
        <w:t>ceeds of $0.3 million from the exercise of stock options, offset by $23.0 million for the redemption of the Series A preferred stock, $34.4 million for the payment of dividends on the Series A preferred stock, $4.9 million of payments on finance leases and</w:t>
      </w:r>
      <w:r>
        <w:rPr>
          <w:rFonts w:ascii="Arial" w:hAnsi="Arial" w:cs="Arial"/>
          <w:sz w:val="20"/>
          <w:szCs w:val="20"/>
        </w:rPr>
        <w:t xml:space="preserve"> other financing obligations and $2.0 million of payments of deferred offering costs directly related to our IPO</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Net cash used in financing activities during 2020 consisted of $1.4 million of payments on finance leases and other financing obligations</w:t>
      </w:r>
      <w:r>
        <w:rPr>
          <w:rFonts w:ascii="Arial" w:hAnsi="Arial" w:cs="Arial"/>
          <w:sz w:val="20"/>
          <w:szCs w:val="20"/>
        </w:rPr>
        <w:t>.</w:t>
      </w:r>
    </w:p>
    <w:p w:rsidR="00000000" w:rsidRDefault="00010F15">
      <w:pPr>
        <w:pStyle w:val="a3"/>
        <w:spacing w:before="240" w:beforeAutospacing="0" w:after="0" w:afterAutospacing="0"/>
        <w:jc w:val="center"/>
        <w:rPr>
          <w:sz w:val="20"/>
          <w:szCs w:val="20"/>
        </w:rPr>
      </w:pPr>
      <w:r>
        <w:rPr>
          <w:rFonts w:ascii="Arial" w:hAnsi="Arial" w:cs="Arial"/>
          <w:b/>
          <w:bCs/>
          <w:sz w:val="20"/>
          <w:szCs w:val="20"/>
        </w:rPr>
        <w:t>Con</w:t>
      </w:r>
      <w:r>
        <w:rPr>
          <w:rFonts w:ascii="Arial" w:hAnsi="Arial" w:cs="Arial"/>
          <w:b/>
          <w:bCs/>
          <w:sz w:val="20"/>
          <w:szCs w:val="20"/>
        </w:rPr>
        <w:t>tractual Obligations and Other Commitment</w:t>
      </w:r>
      <w:r>
        <w:rPr>
          <w:rFonts w:ascii="Arial" w:hAnsi="Arial" w:cs="Arial"/>
          <w:b/>
          <w:bCs/>
          <w:sz w:val="20"/>
          <w:szCs w:val="20"/>
        </w:rPr>
        <w:t>s</w:t>
      </w:r>
    </w:p>
    <w:p w:rsidR="00000000" w:rsidRDefault="00010F15">
      <w:pPr>
        <w:pStyle w:val="a3"/>
        <w:spacing w:before="240" w:beforeAutospacing="0" w:after="0" w:afterAutospacing="0"/>
        <w:ind w:firstLine="543"/>
        <w:rPr>
          <w:sz w:val="20"/>
          <w:szCs w:val="20"/>
        </w:rPr>
      </w:pPr>
      <w:r>
        <w:rPr>
          <w:rFonts w:ascii="Arial" w:hAnsi="Arial" w:cs="Arial"/>
          <w:sz w:val="20"/>
          <w:szCs w:val="20"/>
        </w:rPr>
        <w:t xml:space="preserve">The following table summarizes our contractual obligations and commitments in cash as of December 31, 2021: </w:t>
      </w:r>
      <w:r>
        <w:rPr>
          <w:rFonts w:ascii="Arial" w:hAnsi="Arial" w:cs="Arial"/>
          <w:sz w:val="20"/>
          <w:szCs w:val="20"/>
        </w:rPr>
        <w:br/>
      </w: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58"/>
        <w:gridCol w:w="116"/>
        <w:gridCol w:w="172"/>
        <w:gridCol w:w="672"/>
        <w:gridCol w:w="116"/>
        <w:gridCol w:w="116"/>
        <w:gridCol w:w="172"/>
        <w:gridCol w:w="561"/>
        <w:gridCol w:w="116"/>
        <w:gridCol w:w="116"/>
        <w:gridCol w:w="172"/>
        <w:gridCol w:w="568"/>
        <w:gridCol w:w="116"/>
        <w:gridCol w:w="116"/>
        <w:gridCol w:w="172"/>
        <w:gridCol w:w="606"/>
        <w:gridCol w:w="116"/>
        <w:gridCol w:w="116"/>
        <w:gridCol w:w="172"/>
        <w:gridCol w:w="606"/>
        <w:gridCol w:w="131"/>
      </w:tblGrid>
      <w:tr w:rsidR="00000000">
        <w:trPr>
          <w:tblCellSpacing w:w="15" w:type="dxa"/>
        </w:trPr>
        <w:tc>
          <w:tcPr>
            <w:tcW w:w="2145" w:type="pct"/>
            <w:vAlign w:val="center"/>
            <w:hideMark/>
          </w:tcPr>
          <w:p w:rsidR="00000000" w:rsidRDefault="00010F15">
            <w:pPr>
              <w:rPr>
                <w:sz w:val="20"/>
                <w:szCs w:val="20"/>
              </w:rPr>
            </w:pPr>
          </w:p>
        </w:tc>
        <w:tc>
          <w:tcPr>
            <w:tcW w:w="49" w:type="pct"/>
            <w:vAlign w:val="center"/>
            <w:hideMark/>
          </w:tcPr>
          <w:p w:rsidR="00000000" w:rsidRDefault="00010F15">
            <w:pPr>
              <w:rPr>
                <w:rFonts w:eastAsia="Times New Roman"/>
                <w:sz w:val="20"/>
                <w:szCs w:val="20"/>
              </w:rPr>
            </w:pPr>
          </w:p>
        </w:tc>
        <w:tc>
          <w:tcPr>
            <w:tcW w:w="66" w:type="pct"/>
            <w:vAlign w:val="center"/>
            <w:hideMark/>
          </w:tcPr>
          <w:p w:rsidR="00000000" w:rsidRDefault="00010F15">
            <w:pPr>
              <w:rPr>
                <w:rFonts w:eastAsia="Times New Roman"/>
                <w:sz w:val="20"/>
                <w:szCs w:val="20"/>
              </w:rPr>
            </w:pPr>
          </w:p>
        </w:tc>
        <w:tc>
          <w:tcPr>
            <w:tcW w:w="421"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49" w:type="pct"/>
            <w:vAlign w:val="center"/>
            <w:hideMark/>
          </w:tcPr>
          <w:p w:rsidR="00000000" w:rsidRDefault="00010F15">
            <w:pPr>
              <w:rPr>
                <w:rFonts w:eastAsia="Times New Roman"/>
                <w:sz w:val="20"/>
                <w:szCs w:val="20"/>
              </w:rPr>
            </w:pPr>
          </w:p>
        </w:tc>
        <w:tc>
          <w:tcPr>
            <w:tcW w:w="66" w:type="pct"/>
            <w:vAlign w:val="center"/>
            <w:hideMark/>
          </w:tcPr>
          <w:p w:rsidR="00000000" w:rsidRDefault="00010F15">
            <w:pPr>
              <w:rPr>
                <w:rFonts w:eastAsia="Times New Roman"/>
                <w:sz w:val="20"/>
                <w:szCs w:val="20"/>
              </w:rPr>
            </w:pPr>
          </w:p>
        </w:tc>
        <w:tc>
          <w:tcPr>
            <w:tcW w:w="420"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49" w:type="pct"/>
            <w:vAlign w:val="center"/>
            <w:hideMark/>
          </w:tcPr>
          <w:p w:rsidR="00000000" w:rsidRDefault="00010F15">
            <w:pPr>
              <w:rPr>
                <w:rFonts w:eastAsia="Times New Roman"/>
                <w:sz w:val="20"/>
                <w:szCs w:val="20"/>
              </w:rPr>
            </w:pPr>
          </w:p>
        </w:tc>
        <w:tc>
          <w:tcPr>
            <w:tcW w:w="66" w:type="pct"/>
            <w:vAlign w:val="center"/>
            <w:hideMark/>
          </w:tcPr>
          <w:p w:rsidR="00000000" w:rsidRDefault="00010F15">
            <w:pPr>
              <w:rPr>
                <w:rFonts w:eastAsia="Times New Roman"/>
                <w:sz w:val="20"/>
                <w:szCs w:val="20"/>
              </w:rPr>
            </w:pPr>
          </w:p>
        </w:tc>
        <w:tc>
          <w:tcPr>
            <w:tcW w:w="420"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49" w:type="pct"/>
            <w:vAlign w:val="center"/>
            <w:hideMark/>
          </w:tcPr>
          <w:p w:rsidR="00000000" w:rsidRDefault="00010F15">
            <w:pPr>
              <w:rPr>
                <w:rFonts w:eastAsia="Times New Roman"/>
                <w:sz w:val="20"/>
                <w:szCs w:val="20"/>
              </w:rPr>
            </w:pPr>
          </w:p>
        </w:tc>
        <w:tc>
          <w:tcPr>
            <w:tcW w:w="66" w:type="pct"/>
            <w:vAlign w:val="center"/>
            <w:hideMark/>
          </w:tcPr>
          <w:p w:rsidR="00000000" w:rsidRDefault="00010F15">
            <w:pPr>
              <w:rPr>
                <w:rFonts w:eastAsia="Times New Roman"/>
                <w:sz w:val="20"/>
                <w:szCs w:val="20"/>
              </w:rPr>
            </w:pPr>
          </w:p>
        </w:tc>
        <w:tc>
          <w:tcPr>
            <w:tcW w:w="424"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49" w:type="pct"/>
            <w:vAlign w:val="center"/>
            <w:hideMark/>
          </w:tcPr>
          <w:p w:rsidR="00000000" w:rsidRDefault="00010F15">
            <w:pPr>
              <w:rPr>
                <w:rFonts w:eastAsia="Times New Roman"/>
                <w:sz w:val="20"/>
                <w:szCs w:val="20"/>
              </w:rPr>
            </w:pPr>
          </w:p>
        </w:tc>
        <w:tc>
          <w:tcPr>
            <w:tcW w:w="66" w:type="pct"/>
            <w:vAlign w:val="center"/>
            <w:hideMark/>
          </w:tcPr>
          <w:p w:rsidR="00000000" w:rsidRDefault="00010F15">
            <w:pPr>
              <w:rPr>
                <w:rFonts w:eastAsia="Times New Roman"/>
                <w:sz w:val="20"/>
                <w:szCs w:val="20"/>
              </w:rPr>
            </w:pPr>
          </w:p>
        </w:tc>
        <w:tc>
          <w:tcPr>
            <w:tcW w:w="424"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14"/>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Payments Due by Period</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Tota</w:t>
            </w:r>
            <w:r>
              <w:rPr>
                <w:rFonts w:ascii="Arial" w:hAnsi="Arial" w:cs="Arial"/>
                <w:b/>
                <w:bCs/>
                <w:sz w:val="16"/>
                <w:szCs w:val="16"/>
              </w:rPr>
              <w:t>l</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Less than</w:t>
            </w:r>
            <w:r>
              <w:rPr>
                <w:rFonts w:ascii="Arial" w:hAnsi="Arial" w:cs="Arial"/>
                <w:b/>
                <w:bCs/>
                <w:sz w:val="16"/>
                <w:szCs w:val="16"/>
              </w:rPr>
              <w:br/>
              <w:t>1 Yea</w:t>
            </w:r>
            <w:r>
              <w:rPr>
                <w:rFonts w:ascii="Arial" w:hAnsi="Arial" w:cs="Arial"/>
                <w:b/>
                <w:bCs/>
                <w:sz w:val="16"/>
                <w:szCs w:val="16"/>
              </w:rPr>
              <w:t>r</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1 - 3 Year</w:t>
            </w:r>
            <w:r>
              <w:rPr>
                <w:rFonts w:ascii="Arial" w:hAnsi="Arial" w:cs="Arial"/>
                <w:b/>
                <w:bCs/>
                <w:sz w:val="16"/>
                <w:szCs w:val="16"/>
              </w:rPr>
              <w:t>s</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3 -5 Year</w:t>
            </w:r>
            <w:r>
              <w:rPr>
                <w:rFonts w:ascii="Arial" w:hAnsi="Arial" w:cs="Arial"/>
                <w:b/>
                <w:bCs/>
                <w:sz w:val="16"/>
                <w:szCs w:val="16"/>
              </w:rPr>
              <w:t>s</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More than</w:t>
            </w:r>
            <w:r>
              <w:rPr>
                <w:rFonts w:ascii="Arial" w:hAnsi="Arial" w:cs="Arial"/>
                <w:b/>
                <w:bCs/>
                <w:sz w:val="16"/>
                <w:szCs w:val="16"/>
              </w:rPr>
              <w:br/>
              <w:t>5 Year</w:t>
            </w:r>
            <w:r>
              <w:rPr>
                <w:rFonts w:ascii="Arial" w:hAnsi="Arial" w:cs="Arial"/>
                <w:b/>
                <w:bCs/>
                <w:sz w:val="16"/>
                <w:szCs w:val="16"/>
              </w:rPr>
              <w:t>s</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18"/>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Operating lease liabilitie</w:t>
            </w:r>
            <w:r>
              <w:rPr>
                <w:rFonts w:ascii="Arial" w:hAnsi="Arial" w:cs="Arial"/>
                <w:sz w:val="20"/>
                <w:szCs w:val="20"/>
              </w:rPr>
              <w:t>s</w:t>
            </w:r>
            <w:r>
              <w:rPr>
                <w:rFonts w:ascii="Arial" w:hAnsi="Arial" w:cs="Arial"/>
                <w:sz w:val="13"/>
                <w:szCs w:val="13"/>
              </w:rPr>
              <w:t>(1</w:t>
            </w:r>
            <w:r>
              <w:rPr>
                <w:rFonts w:ascii="Arial" w:hAnsi="Arial" w:cs="Arial"/>
                <w:sz w:val="13"/>
                <w:szCs w:val="13"/>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8,79</w:t>
            </w:r>
            <w:r>
              <w:rPr>
                <w:rFonts w:ascii="Arial" w:hAnsi="Arial" w:cs="Arial"/>
                <w:sz w:val="20"/>
                <w:szCs w:val="20"/>
              </w:rPr>
              <w:t>9</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1,72</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1,67</w:t>
            </w:r>
            <w:r>
              <w:rPr>
                <w:rFonts w:ascii="Arial" w:hAnsi="Arial" w:cs="Arial"/>
                <w:sz w:val="20"/>
                <w:szCs w:val="20"/>
              </w:rPr>
              <w:t>9</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1,70</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3,69</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Finance lease liabilitie</w:t>
            </w:r>
            <w:r>
              <w:rPr>
                <w:rFonts w:ascii="Arial" w:hAnsi="Arial" w:cs="Arial"/>
                <w:sz w:val="20"/>
                <w:szCs w:val="20"/>
              </w:rPr>
              <w:t>s</w:t>
            </w:r>
            <w:r>
              <w:rPr>
                <w:rFonts w:ascii="Arial" w:hAnsi="Arial" w:cs="Arial"/>
                <w:sz w:val="13"/>
                <w:szCs w:val="13"/>
              </w:rPr>
              <w:t>(2</w:t>
            </w:r>
            <w:r>
              <w:rPr>
                <w:rFonts w:ascii="Arial" w:hAnsi="Arial" w:cs="Arial"/>
                <w:sz w:val="13"/>
                <w:szCs w:val="13"/>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37</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27</w:t>
            </w: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Purchase obligation</w:t>
            </w:r>
            <w:r>
              <w:rPr>
                <w:rFonts w:ascii="Arial" w:hAnsi="Arial" w:cs="Arial"/>
                <w:sz w:val="20"/>
                <w:szCs w:val="20"/>
              </w:rPr>
              <w:t>s</w:t>
            </w:r>
            <w:r>
              <w:rPr>
                <w:rFonts w:ascii="Arial" w:hAnsi="Arial" w:cs="Arial"/>
                <w:sz w:val="13"/>
                <w:szCs w:val="13"/>
              </w:rPr>
              <w:t>(3</w:t>
            </w:r>
            <w:r>
              <w:rPr>
                <w:rFonts w:ascii="Arial" w:hAnsi="Arial" w:cs="Arial"/>
                <w:sz w:val="13"/>
                <w:szCs w:val="13"/>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3,94</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1,58</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2,34</w:t>
            </w:r>
            <w:r>
              <w:rPr>
                <w:rFonts w:ascii="Arial" w:hAnsi="Arial" w:cs="Arial"/>
                <w:sz w:val="20"/>
                <w:szCs w:val="20"/>
              </w:rPr>
              <w:t>4</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13,12</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3,58</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4,12</w:t>
            </w:r>
            <w:r>
              <w:rPr>
                <w:rFonts w:ascii="Arial" w:hAnsi="Arial" w:cs="Arial"/>
                <w:sz w:val="20"/>
                <w:szCs w:val="20"/>
              </w:rPr>
              <w:t>9</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1,72</w:t>
            </w: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3,69</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bl>
    <w:p w:rsidR="00000000" w:rsidRDefault="00010F15">
      <w:pPr>
        <w:divId w:val="1807122271"/>
        <w:rPr>
          <w:rFonts w:eastAsia="Times New Roman"/>
        </w:rPr>
      </w:pPr>
      <w:r>
        <w:rPr>
          <w:rFonts w:ascii="Arial" w:eastAsia="Times New Roman" w:hAnsi="Arial" w:cs="Arial"/>
          <w:sz w:val="18"/>
          <w:szCs w:val="18"/>
        </w:rPr>
        <w:t>(1</w:t>
      </w:r>
      <w:r>
        <w:rPr>
          <w:rFonts w:ascii="Arial" w:eastAsia="Times New Roman" w:hAnsi="Arial" w:cs="Arial"/>
          <w:sz w:val="18"/>
          <w:szCs w:val="18"/>
        </w:rPr>
        <w:t>)</w:t>
      </w:r>
    </w:p>
    <w:p w:rsidR="00000000" w:rsidRDefault="00010F15">
      <w:pPr>
        <w:divId w:val="1673414624"/>
        <w:rPr>
          <w:rFonts w:eastAsia="Times New Roman"/>
        </w:rPr>
      </w:pPr>
      <w:r>
        <w:rPr>
          <w:rFonts w:ascii="Arial" w:eastAsia="Times New Roman" w:hAnsi="Arial" w:cs="Arial"/>
          <w:sz w:val="18"/>
          <w:szCs w:val="18"/>
        </w:rPr>
        <w:t>Consists of operating lease liabilities for our offices and data centers</w:t>
      </w:r>
      <w:r>
        <w:rPr>
          <w:rFonts w:ascii="Arial" w:eastAsia="Times New Roman" w:hAnsi="Arial" w:cs="Arial"/>
          <w:sz w:val="18"/>
          <w:szCs w:val="18"/>
        </w:rPr>
        <w:t>.</w:t>
      </w:r>
    </w:p>
    <w:p w:rsidR="00000000" w:rsidRDefault="00010F15">
      <w:pPr>
        <w:divId w:val="1749158430"/>
        <w:rPr>
          <w:rFonts w:eastAsia="Times New Roman"/>
        </w:rPr>
      </w:pPr>
      <w:r>
        <w:rPr>
          <w:rFonts w:ascii="Arial" w:eastAsia="Times New Roman" w:hAnsi="Arial" w:cs="Arial"/>
          <w:sz w:val="18"/>
          <w:szCs w:val="18"/>
        </w:rPr>
        <w:t>(2</w:t>
      </w:r>
      <w:r>
        <w:rPr>
          <w:rFonts w:ascii="Arial" w:eastAsia="Times New Roman" w:hAnsi="Arial" w:cs="Arial"/>
          <w:sz w:val="18"/>
          <w:szCs w:val="18"/>
        </w:rPr>
        <w:t>)</w:t>
      </w:r>
    </w:p>
    <w:p w:rsidR="00000000" w:rsidRDefault="00010F15">
      <w:pPr>
        <w:divId w:val="410203823"/>
        <w:rPr>
          <w:rFonts w:eastAsia="Times New Roman"/>
        </w:rPr>
      </w:pPr>
      <w:r>
        <w:rPr>
          <w:rFonts w:ascii="Arial" w:eastAsia="Times New Roman" w:hAnsi="Arial" w:cs="Arial"/>
          <w:sz w:val="18"/>
          <w:szCs w:val="18"/>
        </w:rPr>
        <w:t>Consists of finance lease liabilities for equipment</w:t>
      </w:r>
      <w:r>
        <w:rPr>
          <w:rFonts w:ascii="Arial" w:eastAsia="Times New Roman" w:hAnsi="Arial" w:cs="Arial"/>
          <w:sz w:val="18"/>
          <w:szCs w:val="18"/>
        </w:rPr>
        <w:t>.</w:t>
      </w:r>
    </w:p>
    <w:p w:rsidR="00000000" w:rsidRDefault="00010F15">
      <w:pPr>
        <w:divId w:val="1128477871"/>
        <w:rPr>
          <w:rFonts w:eastAsia="Times New Roman"/>
        </w:rPr>
      </w:pPr>
      <w:r>
        <w:rPr>
          <w:rFonts w:ascii="Arial" w:eastAsia="Times New Roman" w:hAnsi="Arial" w:cs="Arial"/>
          <w:sz w:val="18"/>
          <w:szCs w:val="18"/>
        </w:rPr>
        <w:t>(3</w:t>
      </w:r>
      <w:r>
        <w:rPr>
          <w:rFonts w:ascii="Arial" w:eastAsia="Times New Roman" w:hAnsi="Arial" w:cs="Arial"/>
          <w:sz w:val="18"/>
          <w:szCs w:val="18"/>
        </w:rPr>
        <w:t>)</w:t>
      </w:r>
    </w:p>
    <w:p w:rsidR="00000000" w:rsidRDefault="00010F15">
      <w:pPr>
        <w:divId w:val="1012806124"/>
        <w:rPr>
          <w:rFonts w:eastAsia="Times New Roman"/>
        </w:rPr>
      </w:pPr>
      <w:r>
        <w:rPr>
          <w:rFonts w:ascii="Arial" w:eastAsia="Times New Roman" w:hAnsi="Arial" w:cs="Arial"/>
          <w:sz w:val="18"/>
          <w:szCs w:val="18"/>
        </w:rPr>
        <w:t>Consists of purchase obligations which were not recognized on the balance sheet as of December 31, 2021, related primaril</w:t>
      </w:r>
      <w:r>
        <w:rPr>
          <w:rFonts w:ascii="Arial" w:eastAsia="Times New Roman" w:hAnsi="Arial" w:cs="Arial"/>
          <w:sz w:val="18"/>
          <w:szCs w:val="18"/>
        </w:rPr>
        <w:t>y to infrastructure services and IT software and maintenance service costs</w:t>
      </w:r>
      <w:r>
        <w:rPr>
          <w:rFonts w:ascii="Arial" w:eastAsia="Times New Roman" w:hAnsi="Arial" w:cs="Arial"/>
          <w:sz w:val="18"/>
          <w:szCs w:val="18"/>
        </w:rPr>
        <w:t>.</w:t>
      </w:r>
    </w:p>
    <w:p w:rsidR="00000000" w:rsidRDefault="00010F15">
      <w:pPr>
        <w:pStyle w:val="a3"/>
        <w:spacing w:before="0" w:beforeAutospacing="0" w:after="0" w:afterAutospacing="0"/>
        <w:jc w:val="center"/>
        <w:rPr>
          <w:sz w:val="20"/>
          <w:szCs w:val="20"/>
        </w:rPr>
      </w:pPr>
      <w:r>
        <w:rPr>
          <w:rFonts w:ascii="Arial" w:hAnsi="Arial" w:cs="Arial"/>
          <w:sz w:val="20"/>
          <w:szCs w:val="20"/>
        </w:rPr>
        <w:t>6</w:t>
      </w:r>
      <w:r>
        <w:rPr>
          <w:rFonts w:ascii="Arial" w:hAnsi="Arial" w:cs="Arial"/>
          <w:sz w:val="20"/>
          <w:szCs w:val="20"/>
        </w:rPr>
        <w:t>5</w:t>
      </w:r>
    </w:p>
    <w:p w:rsidR="00000000" w:rsidRDefault="00010F15">
      <w:pPr>
        <w:rPr>
          <w:rFonts w:eastAsia="Times New Roman"/>
        </w:rPr>
      </w:pPr>
      <w:r>
        <w:rPr>
          <w:rFonts w:eastAsia="Times New Roman"/>
        </w:rPr>
        <w:pict>
          <v:rect id="_x0000_i1090"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240" w:beforeAutospacing="0" w:after="0" w:afterAutospacing="0"/>
        <w:jc w:val="center"/>
        <w:rPr>
          <w:sz w:val="20"/>
          <w:szCs w:val="20"/>
        </w:rPr>
      </w:pPr>
      <w:r>
        <w:rPr>
          <w:rFonts w:ascii="Arial" w:hAnsi="Arial" w:cs="Arial"/>
          <w:b/>
          <w:bCs/>
          <w:sz w:val="20"/>
          <w:szCs w:val="20"/>
        </w:rPr>
        <w:t>Off-Balance Sheet Arrangement</w:t>
      </w:r>
      <w:r>
        <w:rPr>
          <w:rFonts w:ascii="Arial" w:hAnsi="Arial" w:cs="Arial"/>
          <w:b/>
          <w:bCs/>
          <w:sz w:val="20"/>
          <w:szCs w:val="20"/>
        </w:rPr>
        <w:t>s</w:t>
      </w:r>
    </w:p>
    <w:p w:rsidR="00000000" w:rsidRDefault="00010F15">
      <w:pPr>
        <w:pStyle w:val="a3"/>
        <w:spacing w:before="240" w:beforeAutospacing="0" w:after="0" w:afterAutospacing="0"/>
        <w:ind w:firstLine="543"/>
        <w:rPr>
          <w:sz w:val="20"/>
          <w:szCs w:val="20"/>
        </w:rPr>
      </w:pPr>
      <w:r>
        <w:rPr>
          <w:rFonts w:ascii="Arial" w:hAnsi="Arial" w:cs="Arial"/>
          <w:sz w:val="20"/>
          <w:szCs w:val="20"/>
        </w:rPr>
        <w:t>We have not entered into any off-balance sheet arrangements and do not have any holdings in variable intere</w:t>
      </w:r>
      <w:r>
        <w:rPr>
          <w:rFonts w:ascii="Arial" w:hAnsi="Arial" w:cs="Arial"/>
          <w:sz w:val="20"/>
          <w:szCs w:val="20"/>
        </w:rPr>
        <w:t>st entities</w:t>
      </w:r>
      <w:r>
        <w:rPr>
          <w:rFonts w:ascii="Arial" w:hAnsi="Arial" w:cs="Arial"/>
          <w:sz w:val="20"/>
          <w:szCs w:val="20"/>
        </w:rPr>
        <w:t>.</w:t>
      </w:r>
      <w:r>
        <w:rPr>
          <w:rFonts w:ascii="Arial" w:hAnsi="Arial" w:cs="Arial"/>
          <w:sz w:val="20"/>
          <w:szCs w:val="20"/>
        </w:rPr>
        <w:t xml:space="preserve"> </w:t>
      </w:r>
    </w:p>
    <w:p w:rsidR="00000000" w:rsidRDefault="00010F15">
      <w:pPr>
        <w:pStyle w:val="a3"/>
        <w:spacing w:before="0" w:beforeAutospacing="0" w:after="0" w:afterAutospacing="0"/>
        <w:jc w:val="center"/>
        <w:rPr>
          <w:sz w:val="20"/>
          <w:szCs w:val="20"/>
        </w:rPr>
      </w:pPr>
      <w:r>
        <w:rPr>
          <w:rFonts w:ascii="Arial" w:hAnsi="Arial" w:cs="Arial"/>
          <w:b/>
          <w:bCs/>
          <w:sz w:val="20"/>
          <w:szCs w:val="20"/>
        </w:rPr>
        <w:t>Critical Accounting Policies and Estimate</w:t>
      </w:r>
      <w:r>
        <w:rPr>
          <w:rFonts w:ascii="Arial" w:hAnsi="Arial" w:cs="Arial"/>
          <w:b/>
          <w:bCs/>
          <w:sz w:val="20"/>
          <w:szCs w:val="20"/>
        </w:rPr>
        <w:t>s</w:t>
      </w:r>
    </w:p>
    <w:p w:rsidR="00000000" w:rsidRDefault="00010F15">
      <w:pPr>
        <w:pStyle w:val="a3"/>
        <w:spacing w:before="240" w:beforeAutospacing="0" w:after="0" w:afterAutospacing="0"/>
        <w:ind w:firstLine="543"/>
        <w:rPr>
          <w:sz w:val="20"/>
          <w:szCs w:val="20"/>
        </w:rPr>
      </w:pPr>
      <w:r>
        <w:rPr>
          <w:rFonts w:ascii="Arial" w:hAnsi="Arial" w:cs="Arial"/>
          <w:sz w:val="20"/>
          <w:szCs w:val="20"/>
        </w:rPr>
        <w:t>Our discussion and analysis of our financial condition and results of operations are based upon our financial statements, which have been prepared in accordance with GAAP. The preparation of these fi</w:t>
      </w:r>
      <w:r>
        <w:rPr>
          <w:rFonts w:ascii="Arial" w:hAnsi="Arial" w:cs="Arial"/>
          <w:sz w:val="20"/>
          <w:szCs w:val="20"/>
        </w:rPr>
        <w:t xml:space="preserve">nancial statements requires us to make estimates and judgments that affect the reported amounts of assets and liabilities and related disclosure of contingent assets and liabilities, revenue and expenses at the date of the financial statements. Generally, </w:t>
      </w:r>
      <w:r>
        <w:rPr>
          <w:rFonts w:ascii="Arial" w:hAnsi="Arial" w:cs="Arial"/>
          <w:sz w:val="20"/>
          <w:szCs w:val="20"/>
        </w:rPr>
        <w:t>we base our estimates on historical experience and on various other assumptions in accordance with GAAP that we believe to be reasonable under the circumstances. Actual results may differ from these estimates</w:t>
      </w:r>
      <w:r>
        <w:rPr>
          <w:rFonts w:ascii="Arial" w:hAnsi="Arial" w:cs="Arial"/>
          <w:sz w:val="20"/>
          <w:szCs w:val="20"/>
        </w:rPr>
        <w:t>.</w:t>
      </w:r>
    </w:p>
    <w:p w:rsidR="00000000" w:rsidRDefault="00010F15">
      <w:pPr>
        <w:pStyle w:val="a3"/>
        <w:spacing w:before="120" w:beforeAutospacing="0" w:after="0" w:afterAutospacing="0"/>
        <w:ind w:firstLine="543"/>
        <w:rPr>
          <w:sz w:val="20"/>
          <w:szCs w:val="20"/>
        </w:rPr>
      </w:pPr>
      <w:r>
        <w:rPr>
          <w:rFonts w:ascii="Arial" w:hAnsi="Arial" w:cs="Arial"/>
          <w:sz w:val="20"/>
          <w:szCs w:val="20"/>
        </w:rPr>
        <w:t>Critical accounting policies and estimates are</w:t>
      </w:r>
      <w:r>
        <w:rPr>
          <w:rFonts w:ascii="Arial" w:hAnsi="Arial" w:cs="Arial"/>
          <w:sz w:val="20"/>
          <w:szCs w:val="20"/>
        </w:rPr>
        <w:t xml:space="preserve"> those that we consider the most important to the portrayal of our financial condition and results of operations because they require our most difficult, subjective or complex judgments, often as a result of the need to make estimates about the effect of m</w:t>
      </w:r>
      <w:r>
        <w:rPr>
          <w:rFonts w:ascii="Arial" w:hAnsi="Arial" w:cs="Arial"/>
          <w:sz w:val="20"/>
          <w:szCs w:val="20"/>
        </w:rPr>
        <w:t>atters that are inherently uncertain. The critical accounting policies and estimates that we believe have the most significant impact on our consolidated financial statements are described below. See Note 2 to our consolidated financial statements included</w:t>
      </w:r>
      <w:r>
        <w:rPr>
          <w:rFonts w:ascii="Arial" w:hAnsi="Arial" w:cs="Arial"/>
          <w:sz w:val="20"/>
          <w:szCs w:val="20"/>
        </w:rPr>
        <w:t xml:space="preserve"> elsewhere in this Annual Report on Form 10-K for additional information</w:t>
      </w:r>
      <w:r>
        <w:rPr>
          <w:rFonts w:ascii="Arial" w:hAnsi="Arial" w:cs="Arial"/>
          <w:sz w:val="20"/>
          <w:szCs w:val="20"/>
        </w:rPr>
        <w:t>.</w:t>
      </w:r>
      <w:r>
        <w:rPr>
          <w:rFonts w:ascii="Arial" w:hAnsi="Arial" w:cs="Arial"/>
          <w:sz w:val="20"/>
          <w:szCs w:val="20"/>
        </w:rPr>
        <w:t xml:space="preserve"> </w:t>
      </w:r>
    </w:p>
    <w:p w:rsidR="00000000" w:rsidRDefault="00010F15">
      <w:pPr>
        <w:pStyle w:val="a3"/>
        <w:spacing w:before="240" w:beforeAutospacing="0" w:after="0" w:afterAutospacing="0"/>
        <w:rPr>
          <w:sz w:val="20"/>
          <w:szCs w:val="20"/>
        </w:rPr>
      </w:pPr>
      <w:r>
        <w:rPr>
          <w:rFonts w:ascii="Arial" w:hAnsi="Arial" w:cs="Arial"/>
          <w:b/>
          <w:bCs/>
          <w:i/>
          <w:iCs/>
          <w:sz w:val="20"/>
          <w:szCs w:val="20"/>
        </w:rPr>
        <w:t>Revenue Recognitio</w:t>
      </w:r>
      <w:r>
        <w:rPr>
          <w:rFonts w:ascii="Arial" w:hAnsi="Arial" w:cs="Arial"/>
          <w:b/>
          <w:bCs/>
          <w:i/>
          <w:iCs/>
          <w:sz w:val="20"/>
          <w:szCs w:val="20"/>
        </w:rPr>
        <w:t>n</w:t>
      </w:r>
    </w:p>
    <w:p w:rsidR="00000000" w:rsidRDefault="00010F15">
      <w:pPr>
        <w:pStyle w:val="a3"/>
        <w:spacing w:before="120" w:beforeAutospacing="0" w:after="0" w:afterAutospacing="0"/>
        <w:ind w:firstLine="543"/>
        <w:rPr>
          <w:sz w:val="20"/>
          <w:szCs w:val="20"/>
        </w:rPr>
      </w:pPr>
      <w:r>
        <w:rPr>
          <w:rFonts w:ascii="Arial" w:hAnsi="Arial" w:cs="Arial"/>
          <w:sz w:val="20"/>
          <w:szCs w:val="20"/>
        </w:rPr>
        <w:t>Application of the accounting principles in GAAP related to the measurement and recognition of revenue requires us to make judgments and estimates. Complex arran</w:t>
      </w:r>
      <w:r>
        <w:rPr>
          <w:rFonts w:ascii="Arial" w:hAnsi="Arial" w:cs="Arial"/>
          <w:sz w:val="20"/>
          <w:szCs w:val="20"/>
        </w:rPr>
        <w:t>gements with nonstandard terms and conditions may require significant contract interpretation to determine the appropriate accounting. Specifically, the determination of whether we are a principal to a transaction or an agent can require considerable judgm</w:t>
      </w:r>
      <w:r>
        <w:rPr>
          <w:rFonts w:ascii="Arial" w:hAnsi="Arial" w:cs="Arial"/>
          <w:sz w:val="20"/>
          <w:szCs w:val="20"/>
        </w:rPr>
        <w:t>ent. We have concluded that we are typically the principal in our payment processing arrangements as we control the service on our platform. We also typically contract directly with our billers and have complete pricing latitude on the processing fees char</w:t>
      </w:r>
      <w:r>
        <w:rPr>
          <w:rFonts w:ascii="Arial" w:hAnsi="Arial" w:cs="Arial"/>
          <w:sz w:val="20"/>
          <w:szCs w:val="20"/>
        </w:rPr>
        <w:t>ged to our billers. As such, we bear the credit risk for network fees and transactions charged back to the biller. In circumstances where we have minimum revenue or transaction commitments, determining the appropriate accounting treatment of fixed and vari</w:t>
      </w:r>
      <w:r>
        <w:rPr>
          <w:rFonts w:ascii="Arial" w:hAnsi="Arial" w:cs="Arial"/>
          <w:sz w:val="20"/>
          <w:szCs w:val="20"/>
        </w:rPr>
        <w:t>able consideration may require considerable judgement</w:t>
      </w:r>
      <w:r>
        <w:rPr>
          <w:rFonts w:ascii="Arial" w:hAnsi="Arial" w:cs="Arial"/>
          <w:sz w:val="20"/>
          <w:szCs w:val="20"/>
        </w:rPr>
        <w:t>.</w:t>
      </w:r>
    </w:p>
    <w:p w:rsidR="00000000" w:rsidRDefault="00010F15">
      <w:pPr>
        <w:pStyle w:val="a3"/>
        <w:spacing w:before="120" w:beforeAutospacing="0" w:after="0" w:afterAutospacing="0"/>
        <w:ind w:firstLine="543"/>
        <w:rPr>
          <w:sz w:val="20"/>
          <w:szCs w:val="20"/>
        </w:rPr>
      </w:pPr>
      <w:r>
        <w:rPr>
          <w:rFonts w:ascii="Arial" w:hAnsi="Arial" w:cs="Arial"/>
          <w:sz w:val="20"/>
          <w:szCs w:val="20"/>
        </w:rPr>
        <w:t>We will evaluate our accounts receivable portfolio to determine if an allowance for doubtful accounts is necessary. The development of the allowance for doubtful accounts is based on an expected loss m</w:t>
      </w:r>
      <w:r>
        <w:rPr>
          <w:rFonts w:ascii="Arial" w:hAnsi="Arial" w:cs="Arial"/>
          <w:sz w:val="20"/>
          <w:szCs w:val="20"/>
        </w:rPr>
        <w:t xml:space="preserve">odel that considers reasonable and supportable forecasts of future conditions and a review of past due amounts, historical write-off and recovery experience, as well as aging trends affecting specific accounts and general operational factors affecting all </w:t>
      </w:r>
      <w:r>
        <w:rPr>
          <w:rFonts w:ascii="Arial" w:hAnsi="Arial" w:cs="Arial"/>
          <w:sz w:val="20"/>
          <w:szCs w:val="20"/>
        </w:rPr>
        <w:t>accounts. Account balances are charged off against the allowance after all means of collection have been exhausted and the potential for recovery is considered remote</w:t>
      </w:r>
      <w:r>
        <w:rPr>
          <w:rFonts w:ascii="Arial" w:hAnsi="Arial" w:cs="Arial"/>
          <w:sz w:val="20"/>
          <w:szCs w:val="20"/>
        </w:rPr>
        <w:t>.</w:t>
      </w:r>
    </w:p>
    <w:p w:rsidR="00000000" w:rsidRDefault="00010F15">
      <w:pPr>
        <w:pStyle w:val="a3"/>
        <w:spacing w:before="120" w:beforeAutospacing="0" w:after="0" w:afterAutospacing="0"/>
        <w:ind w:firstLine="543"/>
        <w:rPr>
          <w:sz w:val="20"/>
          <w:szCs w:val="20"/>
        </w:rPr>
      </w:pPr>
      <w:r>
        <w:rPr>
          <w:rFonts w:ascii="Arial" w:hAnsi="Arial" w:cs="Arial"/>
          <w:sz w:val="20"/>
          <w:szCs w:val="20"/>
        </w:rPr>
        <w:t>We consider current economic trends when evaluating the adequacy of the allowance for do</w:t>
      </w:r>
      <w:r>
        <w:rPr>
          <w:rFonts w:ascii="Arial" w:hAnsi="Arial" w:cs="Arial"/>
          <w:sz w:val="20"/>
          <w:szCs w:val="20"/>
        </w:rPr>
        <w:t>ubtful accounts. If circumstances relating to specific billers change or unanticipated changes occur in the general business environment, our estimate of the recoverability of receivables could be further adjusted</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Business Combination</w:t>
      </w:r>
      <w:r>
        <w:rPr>
          <w:rFonts w:ascii="Arial" w:hAnsi="Arial" w:cs="Arial"/>
          <w:b/>
          <w:bCs/>
          <w:i/>
          <w:iCs/>
          <w:sz w:val="20"/>
          <w:szCs w:val="20"/>
        </w:rPr>
        <w:t>s</w:t>
      </w:r>
      <w:r>
        <w:rPr>
          <w:rFonts w:ascii="Arial" w:hAnsi="Arial" w:cs="Arial"/>
          <w:sz w:val="20"/>
          <w:szCs w:val="20"/>
        </w:rPr>
        <w:t xml:space="preserve"> </w:t>
      </w:r>
    </w:p>
    <w:p w:rsidR="00000000" w:rsidRDefault="00010F15">
      <w:pPr>
        <w:pStyle w:val="a3"/>
        <w:spacing w:before="120" w:beforeAutospacing="0" w:after="0" w:afterAutospacing="0"/>
        <w:ind w:firstLine="543"/>
        <w:rPr>
          <w:sz w:val="20"/>
          <w:szCs w:val="20"/>
        </w:rPr>
      </w:pPr>
      <w:r>
        <w:rPr>
          <w:rFonts w:ascii="Arial" w:hAnsi="Arial" w:cs="Arial"/>
          <w:sz w:val="20"/>
          <w:szCs w:val="20"/>
        </w:rPr>
        <w:t>Upon acquisition o</w:t>
      </w:r>
      <w:r>
        <w:rPr>
          <w:rFonts w:ascii="Arial" w:hAnsi="Arial" w:cs="Arial"/>
          <w:sz w:val="20"/>
          <w:szCs w:val="20"/>
        </w:rPr>
        <w:t>f a company, we determine if the transaction is a business combination, which is accounted for using the acquisition method of accounting. Under the acquisition method, once control is obtained of a business, the assets acquired, and liabilities assumed ar</w:t>
      </w:r>
      <w:r>
        <w:rPr>
          <w:rFonts w:ascii="Arial" w:hAnsi="Arial" w:cs="Arial"/>
          <w:sz w:val="20"/>
          <w:szCs w:val="20"/>
        </w:rPr>
        <w:t>e recorded at fair value. We use our best estimates and assumptions to assign fair value to the tangible and intangible assets acquired and liabilities assumed at the acquisition date. One of the most significant estimates relates to the determination of t</w:t>
      </w:r>
      <w:r>
        <w:rPr>
          <w:rFonts w:ascii="Arial" w:hAnsi="Arial" w:cs="Arial"/>
          <w:sz w:val="20"/>
          <w:szCs w:val="20"/>
        </w:rPr>
        <w:t>he fair value of these assets and liabilities. The determination of the fair values is based on estimates and judgments made by management. Our estimates of fair value are based upon assumptions we believe to be reasonable, but which are inherently uncerta</w:t>
      </w:r>
      <w:r>
        <w:rPr>
          <w:rFonts w:ascii="Arial" w:hAnsi="Arial" w:cs="Arial"/>
          <w:sz w:val="20"/>
          <w:szCs w:val="20"/>
        </w:rPr>
        <w:t>in and unpredictable. Measurement period adjustments are reflected at the time identified, up through the conclusion of the measurement period, which is the time at which all information for determination of the values of assets acquired and liabilities as</w:t>
      </w:r>
      <w:r>
        <w:rPr>
          <w:rFonts w:ascii="Arial" w:hAnsi="Arial" w:cs="Arial"/>
          <w:sz w:val="20"/>
          <w:szCs w:val="20"/>
        </w:rPr>
        <w:t>sumed is received, and is not to exceed one year from the acquisition date. We may record adjustments to the fair value of these tangible and intangible assets acquired and liabilities assumed, with the corresponding offset to goodwill</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43"/>
        <w:rPr>
          <w:sz w:val="20"/>
          <w:szCs w:val="20"/>
        </w:rPr>
      </w:pPr>
      <w:r>
        <w:rPr>
          <w:rFonts w:ascii="Arial" w:hAnsi="Arial" w:cs="Arial"/>
          <w:sz w:val="20"/>
          <w:szCs w:val="20"/>
        </w:rPr>
        <w:t>Additionally, unce</w:t>
      </w:r>
      <w:r>
        <w:rPr>
          <w:rFonts w:ascii="Arial" w:hAnsi="Arial" w:cs="Arial"/>
          <w:sz w:val="20"/>
          <w:szCs w:val="20"/>
        </w:rPr>
        <w:t xml:space="preserve">rtain tax positions and tax-related valuation allowances are initially recorded in connection with a business combination as of the acquisition date. We continue to collect information and reevaluate these estimates and assumptions periodically and record </w:t>
      </w:r>
      <w:r>
        <w:rPr>
          <w:rFonts w:ascii="Arial" w:hAnsi="Arial" w:cs="Arial"/>
          <w:sz w:val="20"/>
          <w:szCs w:val="20"/>
        </w:rPr>
        <w:t>any adjustments to preliminary estimates to goodwill, provided we are within the measurement period. If outside of the measurement period, any subsequent adjustments are recorded to the consolidated statement of operations</w:t>
      </w:r>
      <w:r>
        <w:rPr>
          <w:rFonts w:ascii="Arial" w:hAnsi="Arial" w:cs="Arial"/>
          <w:sz w:val="20"/>
          <w:szCs w:val="20"/>
        </w:rPr>
        <w:t>.</w:t>
      </w:r>
    </w:p>
    <w:p w:rsidR="00000000" w:rsidRDefault="00010F15">
      <w:pPr>
        <w:pStyle w:val="a3"/>
        <w:spacing w:before="0" w:beforeAutospacing="0" w:after="0" w:afterAutospacing="0"/>
        <w:jc w:val="center"/>
        <w:rPr>
          <w:sz w:val="20"/>
          <w:szCs w:val="20"/>
        </w:rPr>
      </w:pPr>
      <w:r>
        <w:rPr>
          <w:rFonts w:ascii="Arial" w:hAnsi="Arial" w:cs="Arial"/>
          <w:sz w:val="20"/>
          <w:szCs w:val="20"/>
        </w:rPr>
        <w:t>6</w:t>
      </w:r>
      <w:r>
        <w:rPr>
          <w:rFonts w:ascii="Arial" w:hAnsi="Arial" w:cs="Arial"/>
          <w:sz w:val="20"/>
          <w:szCs w:val="20"/>
        </w:rPr>
        <w:t>6</w:t>
      </w:r>
    </w:p>
    <w:p w:rsidR="00000000" w:rsidRDefault="00010F15">
      <w:pPr>
        <w:rPr>
          <w:rFonts w:eastAsia="Times New Roman"/>
        </w:rPr>
      </w:pPr>
      <w:r>
        <w:rPr>
          <w:rFonts w:eastAsia="Times New Roman"/>
        </w:rPr>
        <w:pict>
          <v:rect id="_x0000_i1091"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240" w:beforeAutospacing="0" w:after="0" w:afterAutospacing="0"/>
        <w:rPr>
          <w:sz w:val="20"/>
          <w:szCs w:val="20"/>
        </w:rPr>
      </w:pPr>
      <w:r>
        <w:rPr>
          <w:rFonts w:ascii="Arial" w:hAnsi="Arial" w:cs="Arial"/>
          <w:b/>
          <w:bCs/>
          <w:i/>
          <w:iCs/>
          <w:sz w:val="20"/>
          <w:szCs w:val="20"/>
        </w:rPr>
        <w:t>Internal-use Software Development Cost</w:t>
      </w:r>
      <w:r>
        <w:rPr>
          <w:rFonts w:ascii="Arial" w:hAnsi="Arial" w:cs="Arial"/>
          <w:b/>
          <w:bCs/>
          <w:i/>
          <w:iCs/>
          <w:sz w:val="20"/>
          <w:szCs w:val="20"/>
        </w:rPr>
        <w:t>s</w:t>
      </w:r>
    </w:p>
    <w:p w:rsidR="00000000" w:rsidRDefault="00010F15">
      <w:pPr>
        <w:pStyle w:val="a3"/>
        <w:spacing w:before="120" w:beforeAutospacing="0" w:after="0" w:afterAutospacing="0"/>
        <w:ind w:firstLine="543"/>
        <w:rPr>
          <w:sz w:val="20"/>
          <w:szCs w:val="20"/>
        </w:rPr>
      </w:pPr>
      <w:r>
        <w:rPr>
          <w:rFonts w:ascii="Arial" w:hAnsi="Arial" w:cs="Arial"/>
          <w:sz w:val="20"/>
          <w:szCs w:val="20"/>
        </w:rPr>
        <w:t>Internal-use software development costs consist of personnel costs, including related benefits, incurred to develop functionality for our platform, as well as certain upgrades an</w:t>
      </w:r>
      <w:r>
        <w:rPr>
          <w:rFonts w:ascii="Arial" w:hAnsi="Arial" w:cs="Arial"/>
          <w:sz w:val="20"/>
          <w:szCs w:val="20"/>
        </w:rPr>
        <w:t>d enhancements that are expected to result in enhanced functionality. We capitalize certain software development costs for new offerings as well as upgrades to our existing software platforms. We amortize these development costs over the estimated useful l</w:t>
      </w:r>
      <w:r>
        <w:rPr>
          <w:rFonts w:ascii="Arial" w:hAnsi="Arial" w:cs="Arial"/>
          <w:sz w:val="20"/>
          <w:szCs w:val="20"/>
        </w:rPr>
        <w:t>ife of three to five years on a straight-line basis. We believe there are two key estimates within the internal-use capitalized software development balance, which are the determination of the useful life of the software and the determination of the amount</w:t>
      </w:r>
      <w:r>
        <w:rPr>
          <w:rFonts w:ascii="Arial" w:hAnsi="Arial" w:cs="Arial"/>
          <w:sz w:val="20"/>
          <w:szCs w:val="20"/>
        </w:rPr>
        <w:t>s to be capitalized</w:t>
      </w:r>
      <w:r>
        <w:rPr>
          <w:rFonts w:ascii="Arial" w:hAnsi="Arial" w:cs="Arial"/>
          <w:sz w:val="20"/>
          <w:szCs w:val="20"/>
        </w:rPr>
        <w:t>.</w:t>
      </w:r>
    </w:p>
    <w:p w:rsidR="00000000" w:rsidRDefault="00010F15">
      <w:pPr>
        <w:pStyle w:val="a3"/>
        <w:spacing w:before="120" w:beforeAutospacing="0" w:after="0" w:afterAutospacing="0"/>
        <w:ind w:firstLine="543"/>
        <w:rPr>
          <w:sz w:val="20"/>
          <w:szCs w:val="20"/>
        </w:rPr>
      </w:pPr>
      <w:r>
        <w:rPr>
          <w:rFonts w:ascii="Arial" w:hAnsi="Arial" w:cs="Arial"/>
          <w:sz w:val="20"/>
          <w:szCs w:val="20"/>
        </w:rPr>
        <w:t>We determined that a three to five year life is appropriate for our internal-use software based on our best estimate of the useful life of the internally developed software after considering factors such as continuous developments in t</w:t>
      </w:r>
      <w:r>
        <w:rPr>
          <w:rFonts w:ascii="Arial" w:hAnsi="Arial" w:cs="Arial"/>
          <w:sz w:val="20"/>
          <w:szCs w:val="20"/>
        </w:rPr>
        <w:t xml:space="preserve">he technology, obsolescence and anticipated life of the service offering before significant upgrades. Based on our prior experience, internally generated software will generally remain in use for a minimum of three to five years before being significantly </w:t>
      </w:r>
      <w:r>
        <w:rPr>
          <w:rFonts w:ascii="Arial" w:hAnsi="Arial" w:cs="Arial"/>
          <w:sz w:val="20"/>
          <w:szCs w:val="20"/>
        </w:rPr>
        <w:t>replaced or modified to keep up with evolving biller and company needs. While we do not anticipate any significant changes to this three to five year estimate, a change in this estimate could produce a material impact on our financial statements. For examp</w:t>
      </w:r>
      <w:r>
        <w:rPr>
          <w:rFonts w:ascii="Arial" w:hAnsi="Arial" w:cs="Arial"/>
          <w:sz w:val="20"/>
          <w:szCs w:val="20"/>
        </w:rPr>
        <w:t>le, if we received information that indicated the useful life of all internally developed software was one year rather than three to five, our capitalized software balance would materially decrease and our expense would materially increase</w:t>
      </w:r>
      <w:r>
        <w:rPr>
          <w:rFonts w:ascii="Arial" w:hAnsi="Arial" w:cs="Arial"/>
          <w:sz w:val="20"/>
          <w:szCs w:val="20"/>
        </w:rPr>
        <w:t>.</w:t>
      </w:r>
    </w:p>
    <w:p w:rsidR="00000000" w:rsidRDefault="00010F15">
      <w:pPr>
        <w:pStyle w:val="a3"/>
        <w:spacing w:before="120" w:beforeAutospacing="0" w:after="0" w:afterAutospacing="0"/>
        <w:ind w:firstLine="543"/>
        <w:rPr>
          <w:sz w:val="20"/>
          <w:szCs w:val="20"/>
        </w:rPr>
      </w:pPr>
      <w:r>
        <w:rPr>
          <w:rFonts w:ascii="Arial" w:hAnsi="Arial" w:cs="Arial"/>
          <w:sz w:val="20"/>
          <w:szCs w:val="20"/>
        </w:rPr>
        <w:t>We determine th</w:t>
      </w:r>
      <w:r>
        <w:rPr>
          <w:rFonts w:ascii="Arial" w:hAnsi="Arial" w:cs="Arial"/>
          <w:sz w:val="20"/>
          <w:szCs w:val="20"/>
        </w:rPr>
        <w:t>e amount of internal-use software development costs to be capitalized based on the amount of time spent by our developers on projects. Costs associated with building or significantly enhancing our platforms are capitalized, while costs associated with plan</w:t>
      </w:r>
      <w:r>
        <w:rPr>
          <w:rFonts w:ascii="Arial" w:hAnsi="Arial" w:cs="Arial"/>
          <w:sz w:val="20"/>
          <w:szCs w:val="20"/>
        </w:rPr>
        <w:t>ning new developments and maintaining our platform are expensed as incurred. There is judgment involved in estimating the stage of development as well as estimating time allocated to a particular project. A significant change in the time spent on each proj</w:t>
      </w:r>
      <w:r>
        <w:rPr>
          <w:rFonts w:ascii="Arial" w:hAnsi="Arial" w:cs="Arial"/>
          <w:sz w:val="20"/>
          <w:szCs w:val="20"/>
        </w:rPr>
        <w:t>ect could have a material impact on the amount capitalized and related amortization expense in subsequent periods</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Valuation of Goodwill and Intangible</w:t>
      </w:r>
      <w:r>
        <w:rPr>
          <w:rFonts w:ascii="Arial" w:hAnsi="Arial" w:cs="Arial"/>
          <w:b/>
          <w:bCs/>
          <w:i/>
          <w:iCs/>
          <w:sz w:val="20"/>
          <w:szCs w:val="20"/>
        </w:rPr>
        <w:t>s</w:t>
      </w:r>
      <w:r>
        <w:rPr>
          <w:rFonts w:ascii="Arial" w:hAnsi="Arial" w:cs="Arial"/>
          <w:b/>
          <w:bCs/>
          <w:i/>
          <w:iCs/>
          <w:sz w:val="20"/>
          <w:szCs w:val="20"/>
        </w:rPr>
        <w:t xml:space="preserve"> </w:t>
      </w:r>
    </w:p>
    <w:p w:rsidR="00000000" w:rsidRDefault="00010F15">
      <w:pPr>
        <w:pStyle w:val="a3"/>
        <w:spacing w:before="120" w:beforeAutospacing="0" w:after="0" w:afterAutospacing="0"/>
        <w:ind w:firstLine="543"/>
        <w:rPr>
          <w:sz w:val="20"/>
          <w:szCs w:val="20"/>
        </w:rPr>
      </w:pPr>
      <w:r>
        <w:rPr>
          <w:rFonts w:ascii="Arial" w:hAnsi="Arial" w:cs="Arial"/>
          <w:sz w:val="20"/>
          <w:szCs w:val="20"/>
        </w:rPr>
        <w:t>The valuation of assets acquired in a business combination and asset impairment reviews require the us</w:t>
      </w:r>
      <w:r>
        <w:rPr>
          <w:rFonts w:ascii="Arial" w:hAnsi="Arial" w:cs="Arial"/>
          <w:sz w:val="20"/>
          <w:szCs w:val="20"/>
        </w:rPr>
        <w:t>e of significant estimates and assumptions. The acquisition method of accounting for business combinations requires us to estimate the fair value of assets acquired and liabilities assumed in an acquired business to allocate purchase price consideration be</w:t>
      </w:r>
      <w:r>
        <w:rPr>
          <w:rFonts w:ascii="Arial" w:hAnsi="Arial" w:cs="Arial"/>
          <w:sz w:val="20"/>
          <w:szCs w:val="20"/>
        </w:rPr>
        <w:t>tween assets that are depreciated and amortized and goodwill. Impairment testing for assets, other than goodwill requires the comparison of the carrying amount of an asset or an asset group to estimated undiscounted future net cash flows expected to be gen</w:t>
      </w:r>
      <w:r>
        <w:rPr>
          <w:rFonts w:ascii="Arial" w:hAnsi="Arial" w:cs="Arial"/>
          <w:sz w:val="20"/>
          <w:szCs w:val="20"/>
        </w:rPr>
        <w:t>erated by the asset or asset group. If the carrying amount of an asset exceeds these estimated future cash flows, an impairment charge is recognized in the amount by which the carrying amount of the assets exceeds the fair value of the asset or asset group</w:t>
      </w:r>
      <w:r>
        <w:rPr>
          <w:rFonts w:ascii="Arial" w:hAnsi="Arial" w:cs="Arial"/>
          <w:sz w:val="20"/>
          <w:szCs w:val="20"/>
        </w:rPr>
        <w:t>. Our estimates are based upon assumptions that we believe to be reasonable, but which are inherently uncertain and unpredictable. These valuations require the use of management’s assumptions, which do not reflect unanticipated events and circumstances tha</w:t>
      </w:r>
      <w:r>
        <w:rPr>
          <w:rFonts w:ascii="Arial" w:hAnsi="Arial" w:cs="Arial"/>
          <w:sz w:val="20"/>
          <w:szCs w:val="20"/>
        </w:rPr>
        <w:t>t may occur</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43"/>
        <w:rPr>
          <w:sz w:val="20"/>
          <w:szCs w:val="20"/>
        </w:rPr>
      </w:pPr>
      <w:r>
        <w:rPr>
          <w:rFonts w:ascii="Arial" w:hAnsi="Arial" w:cs="Arial"/>
          <w:sz w:val="20"/>
          <w:szCs w:val="20"/>
        </w:rPr>
        <w:t xml:space="preserve">We evaluate goodwill for impairment on an annual basis, or sooner if indicators of impairment exist. Under GAAP, the evaluation of goodwill for impairment allows for a qualitative assessment to be performed. In performing these qualitative assessments, we </w:t>
      </w:r>
      <w:r>
        <w:rPr>
          <w:rFonts w:ascii="Arial" w:hAnsi="Arial" w:cs="Arial"/>
          <w:sz w:val="20"/>
          <w:szCs w:val="20"/>
        </w:rPr>
        <w:t>consider relevant events and conditions, including but not limited to: macroeconomic trends, industry and market conditions, overall financial performance, cost factors, company-specific events, legal and regulatory factors and our market capitalization. I</w:t>
      </w:r>
      <w:r>
        <w:rPr>
          <w:rFonts w:ascii="Arial" w:hAnsi="Arial" w:cs="Arial"/>
          <w:sz w:val="20"/>
          <w:szCs w:val="20"/>
        </w:rPr>
        <w:t>f the qualitative assessments indicate that it is more likely than not that the fair value of the reporting unit is less than its carrying amounts, we must perform a quantitative impairment test</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43"/>
        <w:rPr>
          <w:sz w:val="20"/>
          <w:szCs w:val="20"/>
        </w:rPr>
      </w:pPr>
      <w:r>
        <w:rPr>
          <w:rFonts w:ascii="Arial" w:hAnsi="Arial" w:cs="Arial"/>
          <w:sz w:val="20"/>
          <w:szCs w:val="20"/>
        </w:rPr>
        <w:t>Goodwill impairment is recognized when the quantitative ass</w:t>
      </w:r>
      <w:r>
        <w:rPr>
          <w:rFonts w:ascii="Arial" w:hAnsi="Arial" w:cs="Arial"/>
          <w:sz w:val="20"/>
          <w:szCs w:val="20"/>
        </w:rPr>
        <w:t xml:space="preserve">essment results in the carrying value of the reporting unit exceeding its fair value, in which case an impairment charge is recorded to goodwill to the extent the carrying value exceeds the fair value, limited to the amount of goodwill. Measurement of the </w:t>
      </w:r>
      <w:r>
        <w:rPr>
          <w:rFonts w:ascii="Arial" w:hAnsi="Arial" w:cs="Arial"/>
          <w:sz w:val="20"/>
          <w:szCs w:val="20"/>
        </w:rPr>
        <w:t>fair value of a reporting unit is based on one or more of the following fair value measures: amounts at which the unit as a whole could be bought or sold in a current transaction between willing parties, present value techniques of estimated future cash fl</w:t>
      </w:r>
      <w:r>
        <w:rPr>
          <w:rFonts w:ascii="Arial" w:hAnsi="Arial" w:cs="Arial"/>
          <w:sz w:val="20"/>
          <w:szCs w:val="20"/>
        </w:rPr>
        <w:t>ows, valuation techniques based on multiples of earnings or revenue or a similar performance measure</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Stock-based Compensatio</w:t>
      </w:r>
      <w:r>
        <w:rPr>
          <w:rFonts w:ascii="Arial" w:hAnsi="Arial" w:cs="Arial"/>
          <w:b/>
          <w:bCs/>
          <w:i/>
          <w:iCs/>
          <w:sz w:val="20"/>
          <w:szCs w:val="20"/>
        </w:rPr>
        <w:t>n</w:t>
      </w:r>
    </w:p>
    <w:p w:rsidR="00000000" w:rsidRDefault="00010F15">
      <w:pPr>
        <w:pStyle w:val="a3"/>
        <w:spacing w:before="120" w:beforeAutospacing="0" w:after="0" w:afterAutospacing="0"/>
        <w:ind w:firstLine="543"/>
        <w:rPr>
          <w:sz w:val="20"/>
          <w:szCs w:val="20"/>
        </w:rPr>
      </w:pPr>
      <w:r>
        <w:rPr>
          <w:rFonts w:ascii="Arial" w:hAnsi="Arial" w:cs="Arial"/>
          <w:sz w:val="20"/>
          <w:szCs w:val="20"/>
        </w:rPr>
        <w:t>We measure and recognize stock-based compensation expense for all stock-based awards, including grants of restricted stock units,</w:t>
      </w:r>
      <w:r>
        <w:rPr>
          <w:rFonts w:ascii="Arial" w:hAnsi="Arial" w:cs="Arial"/>
          <w:sz w:val="20"/>
          <w:szCs w:val="20"/>
        </w:rPr>
        <w:t xml:space="preserve"> or RSUs, and options to purchase stock granted to employees, outside directors and consultants based on the estimated fair value of the awards on the grant date of the award with the compensation expense recognized on a straight</w:t>
      </w:r>
      <w:r>
        <w:rPr>
          <w:rFonts w:ascii="Arial" w:hAnsi="Arial" w:cs="Arial"/>
          <w:sz w:val="20"/>
          <w:szCs w:val="20"/>
        </w:rPr>
        <w:noBreakHyphen/>
        <w:t>line basis over the vestin</w:t>
      </w:r>
      <w:r>
        <w:rPr>
          <w:rFonts w:ascii="Arial" w:hAnsi="Arial" w:cs="Arial"/>
          <w:sz w:val="20"/>
          <w:szCs w:val="20"/>
        </w:rPr>
        <w:t>g period of the award. Forfeitures are accounted for in the period in which they occur</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The fair value of an RSU is measured using the market price of our Class A common stock on the date of grant. We estimate grant date fair value for options using the B</w:t>
      </w:r>
      <w:r>
        <w:rPr>
          <w:rFonts w:ascii="Arial" w:hAnsi="Arial" w:cs="Arial"/>
          <w:sz w:val="20"/>
          <w:szCs w:val="20"/>
        </w:rPr>
        <w:t>lack-Scholes option pricing model.</w:t>
      </w:r>
      <w:r>
        <w:rPr>
          <w:rFonts w:ascii="Arial" w:hAnsi="Arial" w:cs="Arial"/>
          <w:sz w:val="20"/>
          <w:szCs w:val="20"/>
        </w:rPr>
        <w:t xml:space="preserve"> </w:t>
      </w:r>
      <w:r>
        <w:rPr>
          <w:rFonts w:ascii="Arial" w:hAnsi="Arial" w:cs="Arial"/>
          <w:sz w:val="20"/>
          <w:szCs w:val="20"/>
        </w:rPr>
        <w:t>The determination of the fair valu</w:t>
      </w:r>
      <w:r>
        <w:rPr>
          <w:rFonts w:ascii="Arial" w:hAnsi="Arial" w:cs="Arial"/>
          <w:sz w:val="20"/>
          <w:szCs w:val="20"/>
        </w:rPr>
        <w:t>e</w:t>
      </w:r>
      <w:r>
        <w:rPr>
          <w:rFonts w:ascii="Arial" w:hAnsi="Arial" w:cs="Arial"/>
          <w:sz w:val="20"/>
          <w:szCs w:val="20"/>
        </w:rPr>
        <w:t xml:space="preserve"> </w:t>
      </w:r>
    </w:p>
    <w:p w:rsidR="00000000" w:rsidRDefault="00010F15">
      <w:pPr>
        <w:pStyle w:val="a3"/>
        <w:spacing w:before="0" w:beforeAutospacing="0" w:after="0" w:afterAutospacing="0"/>
        <w:jc w:val="center"/>
        <w:rPr>
          <w:sz w:val="20"/>
          <w:szCs w:val="20"/>
        </w:rPr>
      </w:pPr>
      <w:r>
        <w:rPr>
          <w:rFonts w:ascii="Arial" w:hAnsi="Arial" w:cs="Arial"/>
          <w:sz w:val="20"/>
          <w:szCs w:val="20"/>
        </w:rPr>
        <w:t>6</w:t>
      </w:r>
      <w:r>
        <w:rPr>
          <w:rFonts w:ascii="Arial" w:hAnsi="Arial" w:cs="Arial"/>
          <w:sz w:val="20"/>
          <w:szCs w:val="20"/>
        </w:rPr>
        <w:t>7</w:t>
      </w:r>
    </w:p>
    <w:p w:rsidR="00000000" w:rsidRDefault="00010F15">
      <w:pPr>
        <w:rPr>
          <w:rFonts w:eastAsia="Times New Roman"/>
        </w:rPr>
      </w:pPr>
      <w:r>
        <w:rPr>
          <w:rFonts w:eastAsia="Times New Roman"/>
        </w:rPr>
        <w:pict>
          <v:rect id="_x0000_i1092"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120" w:beforeAutospacing="0" w:after="0" w:afterAutospacing="0"/>
        <w:rPr>
          <w:sz w:val="20"/>
          <w:szCs w:val="20"/>
        </w:rPr>
      </w:pPr>
      <w:r>
        <w:rPr>
          <w:rFonts w:ascii="Arial" w:hAnsi="Arial" w:cs="Arial"/>
          <w:sz w:val="20"/>
          <w:szCs w:val="20"/>
        </w:rPr>
        <w:t>of options on the date of grant using a Black-Scholes option-pricing model is affected by the estimated fair value of our common stock, as wel</w:t>
      </w:r>
      <w:r>
        <w:rPr>
          <w:rFonts w:ascii="Arial" w:hAnsi="Arial" w:cs="Arial"/>
          <w:sz w:val="20"/>
          <w:szCs w:val="20"/>
        </w:rPr>
        <w:t>l as assumptions regarding a number of variables that are complex, subjective and generally require significant judgment to determine.</w:t>
      </w:r>
      <w:r>
        <w:rPr>
          <w:rFonts w:ascii="Arial" w:hAnsi="Arial" w:cs="Arial"/>
          <w:sz w:val="20"/>
          <w:szCs w:val="20"/>
        </w:rPr>
        <w:t xml:space="preserve"> </w:t>
      </w:r>
      <w:r>
        <w:rPr>
          <w:rFonts w:ascii="Arial" w:hAnsi="Arial" w:cs="Arial"/>
          <w:sz w:val="20"/>
          <w:szCs w:val="20"/>
        </w:rPr>
        <w:t xml:space="preserve">If factors change and different assumptions are used, our stock-based compensation expense could be materially different </w:t>
      </w:r>
      <w:r>
        <w:rPr>
          <w:rFonts w:ascii="Arial" w:hAnsi="Arial" w:cs="Arial"/>
          <w:sz w:val="20"/>
          <w:szCs w:val="20"/>
        </w:rPr>
        <w:t>in the future</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The valuation assumptions were determined as follows</w:t>
      </w:r>
      <w:r>
        <w:rPr>
          <w:rFonts w:ascii="Arial" w:hAnsi="Arial" w:cs="Arial"/>
          <w:sz w:val="20"/>
          <w:szCs w:val="20"/>
        </w:rPr>
        <w:t>:</w:t>
      </w:r>
    </w:p>
    <w:p w:rsidR="00000000" w:rsidRDefault="00010F15">
      <w:pPr>
        <w:pStyle w:val="a3"/>
        <w:spacing w:before="120" w:beforeAutospacing="0" w:after="120" w:afterAutospacing="0"/>
        <w:ind w:firstLine="539"/>
        <w:rPr>
          <w:sz w:val="20"/>
          <w:szCs w:val="20"/>
        </w:rPr>
      </w:pPr>
      <w:r>
        <w:rPr>
          <w:rFonts w:ascii="Arial" w:hAnsi="Arial" w:cs="Arial"/>
          <w:i/>
          <w:iCs/>
          <w:sz w:val="20"/>
          <w:szCs w:val="20"/>
        </w:rPr>
        <w:t>Fair Value of Underlying Common Stoc</w:t>
      </w:r>
      <w:r>
        <w:rPr>
          <w:rFonts w:ascii="Arial" w:hAnsi="Arial" w:cs="Arial"/>
          <w:i/>
          <w:iCs/>
          <w:sz w:val="20"/>
          <w:szCs w:val="20"/>
        </w:rPr>
        <w:t>k</w:t>
      </w:r>
      <w:r>
        <w:rPr>
          <w:rFonts w:ascii="Arial" w:hAnsi="Arial" w:cs="Arial"/>
          <w:sz w:val="20"/>
          <w:szCs w:val="20"/>
        </w:rPr>
        <w:t>—Prior to the IPO, our common stock was not yet publicly traded, therefore we estimated the fair value of common stock. Our board of directors consid</w:t>
      </w:r>
      <w:r>
        <w:rPr>
          <w:rFonts w:ascii="Arial" w:hAnsi="Arial" w:cs="Arial"/>
          <w:sz w:val="20"/>
          <w:szCs w:val="20"/>
        </w:rPr>
        <w:t>ered numerous objective and subjective factors to determine the fair value of our common stock at each meeting in which awards are approved. These factors included historical and projected financial information, prospects and risks, company performance, va</w:t>
      </w:r>
      <w:r>
        <w:rPr>
          <w:rFonts w:ascii="Arial" w:hAnsi="Arial" w:cs="Arial"/>
          <w:sz w:val="20"/>
          <w:szCs w:val="20"/>
        </w:rPr>
        <w:t>rious corporate documents, capitalization and economic and financial market conditions. Management, with its third-party valuation firm, also used other economic, industry and market information obtained from other resources considered reliabl</w:t>
      </w:r>
      <w:r>
        <w:rPr>
          <w:rFonts w:ascii="Arial" w:hAnsi="Arial" w:cs="Arial"/>
          <w:sz w:val="20"/>
          <w:szCs w:val="20"/>
        </w:rPr>
        <w:t>e</w:t>
      </w:r>
      <w:r>
        <w:rPr>
          <w:rFonts w:ascii="Calibri" w:hAnsi="Calibri" w:cs="Calibri"/>
          <w:sz w:val="22"/>
          <w:szCs w:val="22"/>
        </w:rPr>
        <w:t>.</w:t>
      </w:r>
      <w:r>
        <w:rPr>
          <w:rFonts w:ascii="Arial" w:hAnsi="Arial" w:cs="Arial"/>
          <w:sz w:val="20"/>
          <w:szCs w:val="20"/>
        </w:rPr>
        <w:t xml:space="preserve"> </w:t>
      </w:r>
      <w:r>
        <w:rPr>
          <w:rFonts w:ascii="Arial" w:hAnsi="Arial" w:cs="Arial"/>
          <w:sz w:val="20"/>
          <w:szCs w:val="20"/>
        </w:rPr>
        <w:t xml:space="preserve">After the </w:t>
      </w:r>
      <w:r>
        <w:rPr>
          <w:rFonts w:ascii="Arial" w:hAnsi="Arial" w:cs="Arial"/>
          <w:sz w:val="20"/>
          <w:szCs w:val="20"/>
        </w:rPr>
        <w:t>IPO, we used the publicly quoted price as reported on the New York Stock Exchange as the fair value of our common stock</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i/>
          <w:iCs/>
          <w:sz w:val="20"/>
          <w:szCs w:val="20"/>
        </w:rPr>
        <w:t>Expected Ter</w:t>
      </w:r>
      <w:r>
        <w:rPr>
          <w:rFonts w:ascii="Arial" w:hAnsi="Arial" w:cs="Arial"/>
          <w:i/>
          <w:iCs/>
          <w:sz w:val="20"/>
          <w:szCs w:val="20"/>
        </w:rPr>
        <w:t>m</w:t>
      </w:r>
      <w:r>
        <w:rPr>
          <w:rFonts w:ascii="Arial" w:hAnsi="Arial" w:cs="Arial"/>
          <w:sz w:val="20"/>
          <w:szCs w:val="20"/>
        </w:rPr>
        <w:t>—The expected life of options granted to employees was determined by using management’s best estimation of exercise activi</w:t>
      </w:r>
      <w:r>
        <w:rPr>
          <w:rFonts w:ascii="Arial" w:hAnsi="Arial" w:cs="Arial"/>
          <w:sz w:val="20"/>
          <w:szCs w:val="20"/>
        </w:rPr>
        <w:t>ty</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Risk-free Interest Rate—</w:t>
      </w:r>
      <w:r>
        <w:rPr>
          <w:rFonts w:ascii="Arial" w:hAnsi="Arial" w:cs="Arial"/>
          <w:sz w:val="20"/>
          <w:szCs w:val="20"/>
        </w:rPr>
        <w:t>We use a risk-free interest rate in the option valuation model based on U.S. Treasury zero-coupon issues, with remaining terms similar to the expected term of the options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i/>
          <w:iCs/>
          <w:sz w:val="20"/>
          <w:szCs w:val="20"/>
        </w:rPr>
        <w:t>Expected Volatilit</w:t>
      </w:r>
      <w:r>
        <w:rPr>
          <w:rFonts w:ascii="Arial" w:hAnsi="Arial" w:cs="Arial"/>
          <w:i/>
          <w:iCs/>
          <w:sz w:val="20"/>
          <w:szCs w:val="20"/>
        </w:rPr>
        <w:t>y</w:t>
      </w:r>
      <w:r>
        <w:rPr>
          <w:rFonts w:ascii="Arial" w:hAnsi="Arial" w:cs="Arial"/>
          <w:sz w:val="20"/>
          <w:szCs w:val="20"/>
        </w:rPr>
        <w:t>—As we do not have extensive trading history for our common stock</w:t>
      </w:r>
      <w:r>
        <w:rPr>
          <w:rFonts w:ascii="Arial" w:hAnsi="Arial" w:cs="Arial"/>
          <w:sz w:val="20"/>
          <w:szCs w:val="20"/>
        </w:rPr>
        <w:t>, the expected volatility is based on the historical volatility of our publicly traded industry peers utilizing a period of time consistent with our estimate of expected term</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i/>
          <w:iCs/>
          <w:sz w:val="20"/>
          <w:szCs w:val="20"/>
        </w:rPr>
        <w:t>Expected Dividend Yiel</w:t>
      </w:r>
      <w:r>
        <w:rPr>
          <w:rFonts w:ascii="Arial" w:hAnsi="Arial" w:cs="Arial"/>
          <w:i/>
          <w:iCs/>
          <w:sz w:val="20"/>
          <w:szCs w:val="20"/>
        </w:rPr>
        <w:t>d</w:t>
      </w:r>
      <w:r>
        <w:rPr>
          <w:rFonts w:ascii="Arial" w:hAnsi="Arial" w:cs="Arial"/>
          <w:sz w:val="20"/>
          <w:szCs w:val="20"/>
        </w:rPr>
        <w:t>—We do not anticipate paying any cash dividends in the fo</w:t>
      </w:r>
      <w:r>
        <w:rPr>
          <w:rFonts w:ascii="Arial" w:hAnsi="Arial" w:cs="Arial"/>
          <w:sz w:val="20"/>
          <w:szCs w:val="20"/>
        </w:rPr>
        <w:t>reseeable future and, therefore, use an expected dividend yield of zero in the option valuation model</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We will continue to use judgment in evaluating the assumptions related to our stock-based compensation on a prospective basis. As we continue to accumula</w:t>
      </w:r>
      <w:r>
        <w:rPr>
          <w:rFonts w:ascii="Arial" w:hAnsi="Arial" w:cs="Arial"/>
          <w:sz w:val="20"/>
          <w:szCs w:val="20"/>
        </w:rPr>
        <w:t>te additional data related to our common stock, we may have refinements to our estimates, which could materially impact our future stock-based compensation expense</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Income Taxe</w:t>
      </w:r>
      <w:r>
        <w:rPr>
          <w:rFonts w:ascii="Arial" w:hAnsi="Arial" w:cs="Arial"/>
          <w:b/>
          <w:bCs/>
          <w:i/>
          <w:iCs/>
          <w:sz w:val="20"/>
          <w:szCs w:val="20"/>
        </w:rPr>
        <w:t>s</w:t>
      </w:r>
    </w:p>
    <w:p w:rsidR="00000000" w:rsidRDefault="00010F15">
      <w:pPr>
        <w:pStyle w:val="a3"/>
        <w:spacing w:before="120" w:beforeAutospacing="0" w:after="0" w:afterAutospacing="0"/>
        <w:ind w:firstLine="539"/>
        <w:rPr>
          <w:sz w:val="20"/>
          <w:szCs w:val="20"/>
        </w:rPr>
      </w:pPr>
      <w:r>
        <w:rPr>
          <w:rFonts w:ascii="Arial" w:hAnsi="Arial" w:cs="Arial"/>
          <w:sz w:val="20"/>
          <w:szCs w:val="20"/>
        </w:rPr>
        <w:t>We are subject to income taxes in the United States and numerous foreign juris</w:t>
      </w:r>
      <w:r>
        <w:rPr>
          <w:rFonts w:ascii="Arial" w:hAnsi="Arial" w:cs="Arial"/>
          <w:sz w:val="20"/>
          <w:szCs w:val="20"/>
        </w:rPr>
        <w:t>dictions. Significant judgment is required in determining our provision for income taxes and deferred tax assets and liabilities, including evaluating uncertainties in the application of accounting principles and complex tax laws</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We record a provision fo</w:t>
      </w:r>
      <w:r>
        <w:rPr>
          <w:rFonts w:ascii="Arial" w:hAnsi="Arial" w:cs="Arial"/>
          <w:sz w:val="20"/>
          <w:szCs w:val="20"/>
        </w:rPr>
        <w:t>r income taxes for the anticipated tax consequences of the reported results of operations using the asset and liability method. Under this method, we recognize deferred tax assets and liabilities for the expected future tax consequences of temporary differ</w:t>
      </w:r>
      <w:r>
        <w:rPr>
          <w:rFonts w:ascii="Arial" w:hAnsi="Arial" w:cs="Arial"/>
          <w:sz w:val="20"/>
          <w:szCs w:val="20"/>
        </w:rPr>
        <w:t>ences between the carrying amounts for financial reporting purposes and the tax bases of assets and liabilities, as well as for loss and tax credit carryforwards. The deferred assets and liabilities are measured using the statutorily enacted tax rates anti</w:t>
      </w:r>
      <w:r>
        <w:rPr>
          <w:rFonts w:ascii="Arial" w:hAnsi="Arial" w:cs="Arial"/>
          <w:sz w:val="20"/>
          <w:szCs w:val="20"/>
        </w:rPr>
        <w:t>cipated to be in effect when those tax assets and liabilities are expected to be realized or settled. The effect on deferred tax assets and liabilities of a change in tax rates is recognized in the period that includes the enactment date</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A valuation allow</w:t>
      </w:r>
      <w:r>
        <w:rPr>
          <w:rFonts w:ascii="Arial" w:hAnsi="Arial" w:cs="Arial"/>
          <w:sz w:val="20"/>
          <w:szCs w:val="20"/>
        </w:rPr>
        <w:t>ance is established if, based upon the available evidence, it is more likely than not that some or all of the deferred tax assets will not be realized. We consider all available evidence, both positive and negative, including historical levels of income, e</w:t>
      </w:r>
      <w:r>
        <w:rPr>
          <w:rFonts w:ascii="Arial" w:hAnsi="Arial" w:cs="Arial"/>
          <w:sz w:val="20"/>
          <w:szCs w:val="20"/>
        </w:rPr>
        <w:t>xpectations and risks associated with estimates of future taxable income, in assessing the need for a valuation allowance</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Our tax positions are subject to income tax audits by multiple tax jurisdictions throughout the world. We recognize the tax benefit o</w:t>
      </w:r>
      <w:r>
        <w:rPr>
          <w:rFonts w:ascii="Arial" w:hAnsi="Arial" w:cs="Arial"/>
          <w:sz w:val="20"/>
          <w:szCs w:val="20"/>
        </w:rPr>
        <w:t>f an uncertain tax position only if it is more likely than not the position will be sustainable upon examination by the taxing authority, including resolution of any related appeals or litigation processes. This evaluation is based on all available evidenc</w:t>
      </w:r>
      <w:r>
        <w:rPr>
          <w:rFonts w:ascii="Arial" w:hAnsi="Arial" w:cs="Arial"/>
          <w:sz w:val="20"/>
          <w:szCs w:val="20"/>
        </w:rPr>
        <w:t>e and assumes that the tax authorities have full knowledge of all relevant information concerning the tax position. The tax benefit recognized is measured as the largest amount of benefit which is more likely than not (greater than 50% likely) to be realiz</w:t>
      </w:r>
      <w:r>
        <w:rPr>
          <w:rFonts w:ascii="Arial" w:hAnsi="Arial" w:cs="Arial"/>
          <w:sz w:val="20"/>
          <w:szCs w:val="20"/>
        </w:rPr>
        <w:t>ed upon ultimate settlement with the taxing authority. We recognize interest accrued and penalties related to unrecognized tax benefits in income tax expense. We make adjustments to these reserves in accordance with the income tax guidance when facts and c</w:t>
      </w:r>
      <w:r>
        <w:rPr>
          <w:rFonts w:ascii="Arial" w:hAnsi="Arial" w:cs="Arial"/>
          <w:sz w:val="20"/>
          <w:szCs w:val="20"/>
        </w:rPr>
        <w:t>ircumstances change, such as the closing of a tax audit or the refinement of an estimate. To the extent that the final tax outcome of these matters is different from the amounts recorded, such differences will affect the provision for income taxes in the p</w:t>
      </w:r>
      <w:r>
        <w:rPr>
          <w:rFonts w:ascii="Arial" w:hAnsi="Arial" w:cs="Arial"/>
          <w:sz w:val="20"/>
          <w:szCs w:val="20"/>
        </w:rPr>
        <w:t>eriod in which such determination is made and could have a material impact on our financial condition and operating results</w:t>
      </w:r>
      <w:r>
        <w:rPr>
          <w:rFonts w:ascii="Arial" w:hAnsi="Arial" w:cs="Arial"/>
          <w:sz w:val="20"/>
          <w:szCs w:val="20"/>
        </w:rPr>
        <w:t>.</w:t>
      </w:r>
    </w:p>
    <w:p w:rsidR="00000000" w:rsidRDefault="00010F15">
      <w:pPr>
        <w:pStyle w:val="a3"/>
        <w:spacing w:before="0" w:beforeAutospacing="0" w:after="0" w:afterAutospacing="0"/>
        <w:jc w:val="center"/>
        <w:rPr>
          <w:sz w:val="20"/>
          <w:szCs w:val="20"/>
        </w:rPr>
      </w:pPr>
      <w:r>
        <w:rPr>
          <w:rFonts w:ascii="Arial" w:hAnsi="Arial" w:cs="Arial"/>
          <w:sz w:val="20"/>
          <w:szCs w:val="20"/>
        </w:rPr>
        <w:t>6</w:t>
      </w:r>
      <w:r>
        <w:rPr>
          <w:rFonts w:ascii="Arial" w:hAnsi="Arial" w:cs="Arial"/>
          <w:sz w:val="20"/>
          <w:szCs w:val="20"/>
        </w:rPr>
        <w:t>8</w:t>
      </w:r>
    </w:p>
    <w:p w:rsidR="00000000" w:rsidRDefault="00010F15">
      <w:pPr>
        <w:rPr>
          <w:rFonts w:eastAsia="Times New Roman"/>
        </w:rPr>
      </w:pPr>
      <w:r>
        <w:rPr>
          <w:rFonts w:eastAsia="Times New Roman"/>
        </w:rPr>
        <w:pict>
          <v:rect id="_x0000_i1093"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240" w:beforeAutospacing="0" w:after="0" w:afterAutospacing="0"/>
        <w:jc w:val="center"/>
        <w:rPr>
          <w:sz w:val="20"/>
          <w:szCs w:val="20"/>
        </w:rPr>
      </w:pPr>
      <w:r>
        <w:rPr>
          <w:rFonts w:ascii="Arial" w:hAnsi="Arial" w:cs="Arial"/>
          <w:b/>
          <w:bCs/>
          <w:sz w:val="20"/>
          <w:szCs w:val="20"/>
        </w:rPr>
        <w:t>Emerging Growth Company Statu</w:t>
      </w:r>
      <w:r>
        <w:rPr>
          <w:rFonts w:ascii="Arial" w:hAnsi="Arial" w:cs="Arial"/>
          <w:b/>
          <w:bCs/>
          <w:sz w:val="20"/>
          <w:szCs w:val="20"/>
        </w:rPr>
        <w:t>s</w:t>
      </w:r>
    </w:p>
    <w:p w:rsidR="00000000" w:rsidRDefault="00010F15">
      <w:pPr>
        <w:pStyle w:val="a3"/>
        <w:spacing w:before="120" w:beforeAutospacing="0" w:after="0" w:afterAutospacing="0"/>
        <w:ind w:firstLine="539"/>
        <w:rPr>
          <w:sz w:val="20"/>
          <w:szCs w:val="20"/>
        </w:rPr>
      </w:pPr>
      <w:r>
        <w:rPr>
          <w:rFonts w:ascii="Arial" w:hAnsi="Arial" w:cs="Arial"/>
          <w:sz w:val="20"/>
          <w:szCs w:val="20"/>
        </w:rPr>
        <w:t>Section 107 of the Jumpstart Our Business Startups Act of 2</w:t>
      </w:r>
      <w:r>
        <w:rPr>
          <w:rFonts w:ascii="Arial" w:hAnsi="Arial" w:cs="Arial"/>
          <w:sz w:val="20"/>
          <w:szCs w:val="20"/>
        </w:rPr>
        <w:t>012, as amended, or the JOBS Act, provides that an “emerging growth company” may take advantage of the extended transition period provided in Section 7(a)(2)(B) of the Securities Act for complying with new or revised accounting standards. In other words, a</w:t>
      </w:r>
      <w:r>
        <w:rPr>
          <w:rFonts w:ascii="Arial" w:hAnsi="Arial" w:cs="Arial"/>
          <w:sz w:val="20"/>
          <w:szCs w:val="20"/>
        </w:rPr>
        <w:t>n “emerging growth company” may delay the adoption of certain accounting standards until those standards would otherwise apply to private companies. Section 107 of the JOBS Act provides that any decision to opt out of the extended transition period for com</w:t>
      </w:r>
      <w:r>
        <w:rPr>
          <w:rFonts w:ascii="Arial" w:hAnsi="Arial" w:cs="Arial"/>
          <w:sz w:val="20"/>
          <w:szCs w:val="20"/>
        </w:rPr>
        <w:t>plying with new or revised accounting standards is irrevocable. We have elected to use this extended transition period under the JOBS Act until we are no longer an emerging growth company or until we affirmatively and irrevocably opt out of the extended tr</w:t>
      </w:r>
      <w:r>
        <w:rPr>
          <w:rFonts w:ascii="Arial" w:hAnsi="Arial" w:cs="Arial"/>
          <w:sz w:val="20"/>
          <w:szCs w:val="20"/>
        </w:rPr>
        <w:t>ansition period</w:t>
      </w:r>
      <w:r>
        <w:rPr>
          <w:rFonts w:ascii="Arial" w:hAnsi="Arial" w:cs="Arial"/>
          <w:sz w:val="20"/>
          <w:szCs w:val="20"/>
        </w:rPr>
        <w:t>.</w:t>
      </w:r>
    </w:p>
    <w:p w:rsidR="00000000" w:rsidRDefault="00010F15">
      <w:pPr>
        <w:pStyle w:val="a3"/>
        <w:spacing w:before="240" w:beforeAutospacing="0" w:after="0" w:afterAutospacing="0"/>
        <w:jc w:val="center"/>
        <w:rPr>
          <w:sz w:val="20"/>
          <w:szCs w:val="20"/>
        </w:rPr>
      </w:pPr>
      <w:r>
        <w:rPr>
          <w:rFonts w:ascii="Arial" w:hAnsi="Arial" w:cs="Arial"/>
          <w:b/>
          <w:bCs/>
          <w:sz w:val="20"/>
          <w:szCs w:val="20"/>
        </w:rPr>
        <w:t>Inflatio</w:t>
      </w:r>
      <w:r>
        <w:rPr>
          <w:rFonts w:ascii="Arial" w:hAnsi="Arial" w:cs="Arial"/>
          <w:b/>
          <w:bCs/>
          <w:sz w:val="20"/>
          <w:szCs w:val="20"/>
        </w:rPr>
        <w:t>n</w:t>
      </w:r>
    </w:p>
    <w:p w:rsidR="00000000" w:rsidRDefault="00010F15">
      <w:pPr>
        <w:pStyle w:val="a3"/>
        <w:spacing w:before="120" w:beforeAutospacing="0" w:after="0" w:afterAutospacing="0"/>
        <w:ind w:firstLine="539"/>
        <w:rPr>
          <w:sz w:val="20"/>
          <w:szCs w:val="20"/>
        </w:rPr>
      </w:pPr>
      <w:r>
        <w:rPr>
          <w:rFonts w:ascii="Arial" w:hAnsi="Arial" w:cs="Arial"/>
          <w:sz w:val="20"/>
          <w:szCs w:val="20"/>
        </w:rPr>
        <w:t>We do not believe that inflation had a material effect on our business, financial condition or results of operations through December 31, 2021. However, we may experience higher than expected increases in wages and other compensa</w:t>
      </w:r>
      <w:r>
        <w:rPr>
          <w:rFonts w:ascii="Arial" w:hAnsi="Arial" w:cs="Arial"/>
          <w:sz w:val="20"/>
          <w:szCs w:val="20"/>
        </w:rPr>
        <w:t>tion costs during 2022 and beyond. If our costs become subject to significant inflationary pressures, we may not be able to fully offset such higher costs through price increases. Our inability or failure to do so could materially adversely affect our busi</w:t>
      </w:r>
      <w:r>
        <w:rPr>
          <w:rFonts w:ascii="Arial" w:hAnsi="Arial" w:cs="Arial"/>
          <w:sz w:val="20"/>
          <w:szCs w:val="20"/>
        </w:rPr>
        <w:t>ness, financial condition and results of operations</w:t>
      </w:r>
      <w:r>
        <w:rPr>
          <w:rFonts w:ascii="Arial" w:hAnsi="Arial" w:cs="Arial"/>
          <w:sz w:val="20"/>
          <w:szCs w:val="20"/>
        </w:rPr>
        <w:t>.</w:t>
      </w:r>
    </w:p>
    <w:p w:rsidR="00000000" w:rsidRDefault="00010F15">
      <w:pPr>
        <w:pStyle w:val="a3"/>
        <w:spacing w:before="240" w:beforeAutospacing="0" w:after="0" w:afterAutospacing="0"/>
        <w:jc w:val="center"/>
        <w:rPr>
          <w:sz w:val="20"/>
          <w:szCs w:val="20"/>
        </w:rPr>
      </w:pPr>
      <w:r>
        <w:rPr>
          <w:rFonts w:ascii="Arial" w:hAnsi="Arial" w:cs="Arial"/>
          <w:b/>
          <w:bCs/>
          <w:sz w:val="20"/>
          <w:szCs w:val="20"/>
        </w:rPr>
        <w:t>Recent Accounting Pronouncement</w:t>
      </w:r>
      <w:r>
        <w:rPr>
          <w:rFonts w:ascii="Arial" w:hAnsi="Arial" w:cs="Arial"/>
          <w:b/>
          <w:bCs/>
          <w:sz w:val="20"/>
          <w:szCs w:val="20"/>
        </w:rPr>
        <w:t>s</w:t>
      </w:r>
    </w:p>
    <w:p w:rsidR="00000000" w:rsidRDefault="00010F15">
      <w:pPr>
        <w:pStyle w:val="a3"/>
        <w:spacing w:before="120" w:beforeAutospacing="0" w:after="0" w:afterAutospacing="0"/>
        <w:ind w:firstLine="539"/>
        <w:rPr>
          <w:sz w:val="20"/>
          <w:szCs w:val="20"/>
        </w:rPr>
      </w:pPr>
      <w:r>
        <w:rPr>
          <w:rFonts w:ascii="Arial" w:hAnsi="Arial" w:cs="Arial"/>
          <w:sz w:val="20"/>
          <w:szCs w:val="20"/>
        </w:rPr>
        <w:t>See Note 2 to our consolidated financial statements included elsewhere in this Annual Report on Form 10-K for more information regarding recently issued accounting pronou</w:t>
      </w:r>
      <w:r>
        <w:rPr>
          <w:rFonts w:ascii="Arial" w:hAnsi="Arial" w:cs="Arial"/>
          <w:sz w:val="20"/>
          <w:szCs w:val="20"/>
        </w:rPr>
        <w:t>ncements</w:t>
      </w:r>
      <w:r>
        <w:rPr>
          <w:rFonts w:ascii="Arial" w:hAnsi="Arial" w:cs="Arial"/>
          <w:sz w:val="20"/>
          <w:szCs w:val="20"/>
        </w:rPr>
        <w:t>.</w:t>
      </w:r>
    </w:p>
    <w:p w:rsidR="00000000" w:rsidRDefault="00010F15">
      <w:pPr>
        <w:pStyle w:val="a3"/>
        <w:spacing w:before="360" w:beforeAutospacing="0" w:after="0" w:afterAutospacing="0"/>
        <w:rPr>
          <w:sz w:val="20"/>
          <w:szCs w:val="20"/>
        </w:rPr>
      </w:pPr>
      <w:hyperlink w:anchor="item_7a" w:history="1">
        <w:r>
          <w:rPr>
            <w:rStyle w:val="a4"/>
            <w:rFonts w:ascii="Arial" w:hAnsi="Arial" w:cs="Arial"/>
            <w:b/>
            <w:bCs/>
            <w:sz w:val="20"/>
            <w:szCs w:val="20"/>
          </w:rPr>
          <w:t>Item 7A. Quantitative and Qualitat</w:t>
        </w:r>
        <w:r>
          <w:rPr>
            <w:rStyle w:val="a4"/>
            <w:rFonts w:ascii="Arial" w:hAnsi="Arial" w:cs="Arial"/>
            <w:b/>
            <w:bCs/>
            <w:sz w:val="20"/>
            <w:szCs w:val="20"/>
          </w:rPr>
          <w:t>i</w:t>
        </w:r>
        <w:r>
          <w:rPr>
            <w:rStyle w:val="a4"/>
            <w:rFonts w:ascii="Arial" w:hAnsi="Arial" w:cs="Arial"/>
            <w:b/>
            <w:bCs/>
            <w:sz w:val="20"/>
            <w:szCs w:val="20"/>
          </w:rPr>
          <w:t>ve Disclosures About Market Ris</w:t>
        </w:r>
        <w:r>
          <w:rPr>
            <w:rStyle w:val="a4"/>
            <w:rFonts w:ascii="Arial" w:hAnsi="Arial" w:cs="Arial"/>
            <w:b/>
            <w:bCs/>
            <w:sz w:val="20"/>
            <w:szCs w:val="20"/>
          </w:rPr>
          <w:t>k</w:t>
        </w:r>
      </w:hyperlink>
    </w:p>
    <w:p w:rsidR="00000000" w:rsidRDefault="00010F15">
      <w:pPr>
        <w:pStyle w:val="a3"/>
        <w:spacing w:before="240" w:beforeAutospacing="0" w:after="0" w:afterAutospacing="0"/>
        <w:ind w:firstLine="539"/>
        <w:rPr>
          <w:sz w:val="20"/>
          <w:szCs w:val="20"/>
        </w:rPr>
      </w:pPr>
      <w:r>
        <w:rPr>
          <w:rFonts w:ascii="Arial" w:hAnsi="Arial" w:cs="Arial"/>
          <w:sz w:val="20"/>
          <w:szCs w:val="20"/>
        </w:rPr>
        <w:t>We are exposed to market risk in the ordinary course of our business. Market risk represents the risk of loss that may impact our financial position due to adverse changes in financial market prices and rates. Our market risk exposure is primarily the resu</w:t>
      </w:r>
      <w:r>
        <w:rPr>
          <w:rFonts w:ascii="Arial" w:hAnsi="Arial" w:cs="Arial"/>
          <w:sz w:val="20"/>
          <w:szCs w:val="20"/>
        </w:rPr>
        <w:t>lt of fluctuations in interest rates and foreign currency exchange rates</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Interest Rate Ris</w:t>
      </w:r>
      <w:r>
        <w:rPr>
          <w:rFonts w:ascii="Arial" w:hAnsi="Arial" w:cs="Arial"/>
          <w:b/>
          <w:bCs/>
          <w:i/>
          <w:iCs/>
          <w:sz w:val="20"/>
          <w:szCs w:val="20"/>
        </w:rPr>
        <w:t>k</w:t>
      </w:r>
      <w:r>
        <w:rPr>
          <w:rFonts w:ascii="Arial" w:hAnsi="Arial" w:cs="Arial"/>
          <w:b/>
          <w:bCs/>
          <w:i/>
          <w:iCs/>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Our unrestricted cash and cash equivalents consist of bank deposits and money market funds with original maturities of three months or less. Our cash and cash equivalents are held for working capital purposes. We do not enter into investments for trading o</w:t>
      </w:r>
      <w:r>
        <w:rPr>
          <w:rFonts w:ascii="Arial" w:hAnsi="Arial" w:cs="Arial"/>
          <w:sz w:val="20"/>
          <w:szCs w:val="20"/>
        </w:rPr>
        <w:t xml:space="preserve">r speculative purposes. Our cash equivalents and our investment portfolio are subject to market risk due to changes in interest rates. In addition, we have no variable interest rate indebtedness. As of December 31, 2021, a hypothetical 10% relative change </w:t>
      </w:r>
      <w:r>
        <w:rPr>
          <w:rFonts w:ascii="Arial" w:hAnsi="Arial" w:cs="Arial"/>
          <w:sz w:val="20"/>
          <w:szCs w:val="20"/>
        </w:rPr>
        <w:t>in interest rates would not have had a material impact on the value of our cash equivalents, investment portfolio or expenses</w:t>
      </w:r>
      <w:r>
        <w:rPr>
          <w:rFonts w:ascii="Arial" w:hAnsi="Arial" w:cs="Arial"/>
          <w:sz w:val="20"/>
          <w:szCs w:val="20"/>
        </w:rPr>
        <w:t>.</w:t>
      </w:r>
      <w:r>
        <w:rPr>
          <w:rFonts w:ascii="Arial" w:hAnsi="Arial" w:cs="Arial"/>
          <w:sz w:val="20"/>
          <w:szCs w:val="20"/>
        </w:rPr>
        <w:t xml:space="preserve"> </w:t>
      </w:r>
    </w:p>
    <w:p w:rsidR="00000000" w:rsidRDefault="00010F15">
      <w:pPr>
        <w:pStyle w:val="a3"/>
        <w:spacing w:before="240" w:beforeAutospacing="0" w:after="0" w:afterAutospacing="0"/>
        <w:rPr>
          <w:sz w:val="20"/>
          <w:szCs w:val="20"/>
        </w:rPr>
      </w:pPr>
      <w:r>
        <w:rPr>
          <w:rFonts w:ascii="Arial" w:hAnsi="Arial" w:cs="Arial"/>
          <w:b/>
          <w:bCs/>
          <w:i/>
          <w:iCs/>
          <w:sz w:val="20"/>
          <w:szCs w:val="20"/>
        </w:rPr>
        <w:t>Foreign Currency Exchange Ris</w:t>
      </w:r>
      <w:r>
        <w:rPr>
          <w:rFonts w:ascii="Arial" w:hAnsi="Arial" w:cs="Arial"/>
          <w:b/>
          <w:bCs/>
          <w:i/>
          <w:iCs/>
          <w:sz w:val="20"/>
          <w:szCs w:val="20"/>
        </w:rPr>
        <w:t>k</w:t>
      </w:r>
      <w:r>
        <w:rPr>
          <w:rFonts w:ascii="Arial" w:hAnsi="Arial" w:cs="Arial"/>
          <w:b/>
          <w:bCs/>
          <w:i/>
          <w:iCs/>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Certain of our operations are conducted in foreign currencies. While we have generated substanti</w:t>
      </w:r>
      <w:r>
        <w:rPr>
          <w:rFonts w:ascii="Arial" w:hAnsi="Arial" w:cs="Arial"/>
          <w:sz w:val="20"/>
          <w:szCs w:val="20"/>
        </w:rPr>
        <w:t>ally all of our revenue from billers in the United States, we have foreign currency risks related to revenue denominated in other currencies, such as the Canadian dollar. In addition, we have significant operations outside of the United States, particularl</w:t>
      </w:r>
      <w:r>
        <w:rPr>
          <w:rFonts w:ascii="Arial" w:hAnsi="Arial" w:cs="Arial"/>
          <w:sz w:val="20"/>
          <w:szCs w:val="20"/>
        </w:rPr>
        <w:t xml:space="preserve">y in Canada and India, where expenses are denominated in the local currency. Decreases in the relative value of the U.S. dollar to other currencies may negatively affect revenue and other operating results as expressed in U.S. dollars. We have not engaged </w:t>
      </w:r>
      <w:r>
        <w:rPr>
          <w:rFonts w:ascii="Arial" w:hAnsi="Arial" w:cs="Arial"/>
          <w:sz w:val="20"/>
          <w:szCs w:val="20"/>
        </w:rPr>
        <w:t>in the hedging of foreign currency transactions, although we may do so in the future. We do not believe that an immediate 10% increase or decrease in the relative value of the U.S. dollar to other applicable currencies would have a material effect on opera</w:t>
      </w:r>
      <w:r>
        <w:rPr>
          <w:rFonts w:ascii="Arial" w:hAnsi="Arial" w:cs="Arial"/>
          <w:sz w:val="20"/>
          <w:szCs w:val="20"/>
        </w:rPr>
        <w:t>ting results</w:t>
      </w:r>
      <w:r>
        <w:rPr>
          <w:rFonts w:ascii="Arial" w:hAnsi="Arial" w:cs="Arial"/>
          <w:sz w:val="20"/>
          <w:szCs w:val="20"/>
        </w:rPr>
        <w:t>.</w: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0" w:beforeAutospacing="0" w:after="0" w:afterAutospacing="0"/>
        <w:jc w:val="center"/>
        <w:rPr>
          <w:sz w:val="20"/>
          <w:szCs w:val="20"/>
        </w:rPr>
      </w:pPr>
      <w:r>
        <w:rPr>
          <w:rFonts w:ascii="Arial" w:hAnsi="Arial" w:cs="Arial"/>
          <w:sz w:val="20"/>
          <w:szCs w:val="20"/>
        </w:rPr>
        <w:t>6</w:t>
      </w:r>
      <w:r>
        <w:rPr>
          <w:rFonts w:ascii="Arial" w:hAnsi="Arial" w:cs="Arial"/>
          <w:sz w:val="20"/>
          <w:szCs w:val="20"/>
        </w:rPr>
        <w:t>9</w:t>
      </w:r>
    </w:p>
    <w:p w:rsidR="00000000" w:rsidRDefault="00010F15">
      <w:pPr>
        <w:rPr>
          <w:rFonts w:eastAsia="Times New Roman"/>
        </w:rPr>
      </w:pPr>
      <w:r>
        <w:rPr>
          <w:rFonts w:eastAsia="Times New Roman"/>
        </w:rPr>
        <w:pict>
          <v:rect id="_x0000_i1094"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360" w:beforeAutospacing="0" w:after="0" w:afterAutospacing="0"/>
        <w:rPr>
          <w:sz w:val="20"/>
          <w:szCs w:val="20"/>
        </w:rPr>
      </w:pPr>
      <w:hyperlink w:anchor="item_8" w:history="1">
        <w:r>
          <w:rPr>
            <w:rStyle w:val="a4"/>
            <w:rFonts w:ascii="Arial" w:hAnsi="Arial" w:cs="Arial"/>
            <w:b/>
            <w:bCs/>
            <w:sz w:val="20"/>
            <w:szCs w:val="20"/>
          </w:rPr>
          <w:t>Item 8. Fin</w:t>
        </w:r>
        <w:r>
          <w:rPr>
            <w:rStyle w:val="a4"/>
            <w:rFonts w:ascii="Arial" w:hAnsi="Arial" w:cs="Arial"/>
            <w:b/>
            <w:bCs/>
            <w:sz w:val="20"/>
            <w:szCs w:val="20"/>
          </w:rPr>
          <w:t>a</w:t>
        </w:r>
        <w:r>
          <w:rPr>
            <w:rStyle w:val="a4"/>
            <w:rFonts w:ascii="Arial" w:hAnsi="Arial" w:cs="Arial"/>
            <w:b/>
            <w:bCs/>
            <w:sz w:val="20"/>
            <w:szCs w:val="20"/>
          </w:rPr>
          <w:t>ncial Statement</w:t>
        </w:r>
        <w:r>
          <w:rPr>
            <w:rStyle w:val="a4"/>
            <w:rFonts w:ascii="Arial" w:hAnsi="Arial" w:cs="Arial"/>
            <w:b/>
            <w:bCs/>
            <w:sz w:val="20"/>
            <w:szCs w:val="20"/>
          </w:rPr>
          <w:t>s</w:t>
        </w:r>
      </w:hyperlink>
    </w:p>
    <w:p w:rsidR="00000000" w:rsidRDefault="00010F15">
      <w:pPr>
        <w:pStyle w:val="a3"/>
        <w:spacing w:before="120" w:beforeAutospacing="0" w:after="120" w:afterAutospacing="0"/>
        <w:jc w:val="center"/>
        <w:rPr>
          <w:sz w:val="20"/>
          <w:szCs w:val="20"/>
        </w:rPr>
      </w:pPr>
      <w:r>
        <w:rPr>
          <w:rFonts w:ascii="Arial" w:hAnsi="Arial" w:cs="Arial"/>
          <w:b/>
          <w:bCs/>
          <w:sz w:val="20"/>
          <w:szCs w:val="20"/>
        </w:rPr>
        <w:t>INDEX TO CONSOLIDATED FINANCIAL STATEMENT</w:t>
      </w:r>
      <w:r>
        <w:rPr>
          <w:rFonts w:ascii="Arial" w:hAnsi="Arial" w:cs="Arial"/>
          <w:b/>
          <w:bCs/>
          <w:sz w:val="20"/>
          <w:szCs w:val="20"/>
        </w:rPr>
        <w:t>S</w:t>
      </w:r>
      <w:r>
        <w:rPr>
          <w:rFonts w:ascii="Arial" w:hAnsi="Arial" w:cs="Arial"/>
          <w:sz w:val="20"/>
          <w:szCs w:val="20"/>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679"/>
        <w:gridCol w:w="627"/>
      </w:tblGrid>
      <w:tr w:rsidR="00000000">
        <w:trPr>
          <w:tblCellSpacing w:w="15" w:type="dxa"/>
        </w:trPr>
        <w:tc>
          <w:tcPr>
            <w:tcW w:w="4645" w:type="pct"/>
            <w:vAlign w:val="center"/>
            <w:hideMark/>
          </w:tcPr>
          <w:p w:rsidR="00000000" w:rsidRDefault="00010F15">
            <w:pPr>
              <w:rPr>
                <w:sz w:val="20"/>
                <w:szCs w:val="20"/>
              </w:rPr>
            </w:pPr>
          </w:p>
        </w:tc>
        <w:tc>
          <w:tcPr>
            <w:tcW w:w="354" w:type="pct"/>
            <w:vAlign w:val="center"/>
            <w:hideMark/>
          </w:tcPr>
          <w:p w:rsidR="00000000" w:rsidRDefault="00010F15">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hyperlink w:anchor="report_of_independent_registered_public" w:history="1">
              <w:r>
                <w:rPr>
                  <w:rStyle w:val="a4"/>
                  <w:rFonts w:ascii="Arial" w:hAnsi="Arial" w:cs="Arial"/>
                  <w:sz w:val="20"/>
                  <w:szCs w:val="20"/>
                </w:rPr>
                <w:t>Report of Independent Registe</w:t>
              </w:r>
              <w:r>
                <w:rPr>
                  <w:rStyle w:val="a4"/>
                  <w:rFonts w:ascii="Arial" w:hAnsi="Arial" w:cs="Arial"/>
                  <w:sz w:val="20"/>
                  <w:szCs w:val="20"/>
                </w:rPr>
                <w:t>red Public Accounting Firm (PCAOB ID</w:t>
              </w:r>
              <w:r>
                <w:rPr>
                  <w:rStyle w:val="a4"/>
                  <w:rFonts w:ascii="Arial" w:hAnsi="Arial" w:cs="Arial"/>
                  <w:sz w:val="20"/>
                  <w:szCs w:val="20"/>
                </w:rPr>
                <w:t xml:space="preserve"> </w:t>
              </w:r>
              <w:r>
                <w:rPr>
                  <w:rStyle w:val="a4"/>
                  <w:rFonts w:ascii="Arial" w:hAnsi="Arial" w:cs="Arial"/>
                  <w:sz w:val="20"/>
                  <w:szCs w:val="20"/>
                </w:rPr>
                <w:t>23</w:t>
              </w:r>
              <w:r>
                <w:rPr>
                  <w:rStyle w:val="a4"/>
                  <w:rFonts w:ascii="Arial" w:hAnsi="Arial" w:cs="Arial"/>
                  <w:sz w:val="20"/>
                  <w:szCs w:val="20"/>
                </w:rPr>
                <w:t>8</w:t>
              </w:r>
              <w:r>
                <w:rPr>
                  <w:rStyle w:val="a4"/>
                  <w:rFonts w:ascii="Arial" w:hAnsi="Arial" w:cs="Arial"/>
                  <w:sz w:val="20"/>
                  <w:szCs w:val="20"/>
                </w:rPr>
                <w:t>)</w:t>
              </w:r>
            </w:hyperlink>
          </w:p>
        </w:tc>
        <w:tc>
          <w:tcPr>
            <w:tcW w:w="0" w:type="auto"/>
            <w:tcMar>
              <w:top w:w="14" w:type="dxa"/>
              <w:left w:w="15" w:type="dxa"/>
              <w:bottom w:w="15" w:type="dxa"/>
              <w:right w:w="14" w:type="dxa"/>
            </w:tcMar>
            <w:hideMark/>
          </w:tcPr>
          <w:p w:rsidR="00000000" w:rsidRDefault="00010F15">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1</w:t>
            </w:r>
          </w:p>
        </w:tc>
      </w:tr>
      <w:tr w:rsidR="00000000">
        <w:trPr>
          <w:trHeight w:val="200"/>
          <w:tblCellSpacing w:w="15" w:type="dxa"/>
        </w:trPr>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hyperlink w:anchor="consolidated_balance_sheets" w:history="1">
              <w:r>
                <w:rPr>
                  <w:rStyle w:val="a4"/>
                  <w:rFonts w:ascii="Arial" w:hAnsi="Arial" w:cs="Arial"/>
                  <w:sz w:val="20"/>
                  <w:szCs w:val="20"/>
                </w:rPr>
                <w:t>Consolidated Balance Sheets as of December 31, 2021 and 202</w:t>
              </w:r>
              <w:r>
                <w:rPr>
                  <w:rStyle w:val="a4"/>
                  <w:rFonts w:ascii="Arial" w:hAnsi="Arial" w:cs="Arial"/>
                  <w:sz w:val="20"/>
                  <w:szCs w:val="20"/>
                </w:rPr>
                <w:t>0</w:t>
              </w:r>
            </w:hyperlink>
          </w:p>
        </w:tc>
        <w:tc>
          <w:tcPr>
            <w:tcW w:w="0" w:type="auto"/>
            <w:tcMar>
              <w:top w:w="14" w:type="dxa"/>
              <w:left w:w="15" w:type="dxa"/>
              <w:bottom w:w="15" w:type="dxa"/>
              <w:right w:w="14" w:type="dxa"/>
            </w:tcMar>
            <w:hideMark/>
          </w:tcPr>
          <w:p w:rsidR="00000000" w:rsidRDefault="00010F15">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2</w:t>
            </w:r>
          </w:p>
        </w:tc>
      </w:tr>
      <w:tr w:rsidR="00000000">
        <w:trPr>
          <w:trHeight w:val="200"/>
          <w:tblCellSpacing w:w="15" w:type="dxa"/>
        </w:trPr>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hyperlink w:anchor="consolidated_statements_operation" w:history="1">
              <w:r>
                <w:rPr>
                  <w:rStyle w:val="a4"/>
                  <w:rFonts w:ascii="Arial" w:hAnsi="Arial" w:cs="Arial"/>
                  <w:sz w:val="20"/>
                  <w:szCs w:val="20"/>
                </w:rPr>
                <w:t>Consolidated Statements of Operations for the Years ended December 31, 2021, 2020 and 201</w:t>
              </w:r>
              <w:r>
                <w:rPr>
                  <w:rStyle w:val="a4"/>
                  <w:rFonts w:ascii="Arial" w:hAnsi="Arial" w:cs="Arial"/>
                  <w:sz w:val="20"/>
                  <w:szCs w:val="20"/>
                </w:rPr>
                <w:t>9</w:t>
              </w:r>
            </w:hyperlink>
          </w:p>
        </w:tc>
        <w:tc>
          <w:tcPr>
            <w:tcW w:w="0" w:type="auto"/>
            <w:tcMar>
              <w:top w:w="14" w:type="dxa"/>
              <w:left w:w="15" w:type="dxa"/>
              <w:bottom w:w="15" w:type="dxa"/>
              <w:right w:w="14" w:type="dxa"/>
            </w:tcMar>
            <w:hideMark/>
          </w:tcPr>
          <w:p w:rsidR="00000000" w:rsidRDefault="00010F15">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3</w:t>
            </w:r>
          </w:p>
        </w:tc>
      </w:tr>
      <w:tr w:rsidR="00000000">
        <w:trPr>
          <w:trHeight w:val="200"/>
          <w:tblCellSpacing w:w="15" w:type="dxa"/>
        </w:trPr>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hyperlink w:anchor="consolidated_stmts_comprehensive_income" w:history="1">
              <w:r>
                <w:rPr>
                  <w:rStyle w:val="a4"/>
                  <w:rFonts w:ascii="Arial" w:hAnsi="Arial" w:cs="Arial"/>
                  <w:sz w:val="20"/>
                  <w:szCs w:val="20"/>
                </w:rPr>
                <w:t>Consolidated Statements of Comprehensive In</w:t>
              </w:r>
              <w:r>
                <w:rPr>
                  <w:rStyle w:val="a4"/>
                  <w:rFonts w:ascii="Arial" w:hAnsi="Arial" w:cs="Arial"/>
                  <w:sz w:val="20"/>
                  <w:szCs w:val="20"/>
                </w:rPr>
                <w:t>come for the Years ended December 31, 2021, 2020 and 201</w:t>
              </w:r>
              <w:r>
                <w:rPr>
                  <w:rStyle w:val="a4"/>
                  <w:rFonts w:ascii="Arial" w:hAnsi="Arial" w:cs="Arial"/>
                  <w:sz w:val="20"/>
                  <w:szCs w:val="20"/>
                </w:rPr>
                <w:t>9</w:t>
              </w:r>
            </w:hyperlink>
          </w:p>
        </w:tc>
        <w:tc>
          <w:tcPr>
            <w:tcW w:w="0" w:type="auto"/>
            <w:tcMar>
              <w:top w:w="14" w:type="dxa"/>
              <w:left w:w="15" w:type="dxa"/>
              <w:bottom w:w="15" w:type="dxa"/>
              <w:right w:w="14" w:type="dxa"/>
            </w:tcMar>
            <w:hideMark/>
          </w:tcPr>
          <w:p w:rsidR="00000000" w:rsidRDefault="00010F15">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4</w:t>
            </w:r>
          </w:p>
        </w:tc>
      </w:tr>
      <w:tr w:rsidR="00000000">
        <w:trPr>
          <w:trHeight w:val="200"/>
          <w:tblCellSpacing w:w="15" w:type="dxa"/>
        </w:trPr>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hyperlink w:anchor="consolidated_stmts_stockholder_equity" w:history="1">
              <w:r>
                <w:rPr>
                  <w:rStyle w:val="a4"/>
                  <w:rFonts w:ascii="Arial" w:hAnsi="Arial" w:cs="Arial"/>
                  <w:sz w:val="20"/>
                  <w:szCs w:val="20"/>
                </w:rPr>
                <w:t xml:space="preserve">Consolidated Statements of Stockholders’ </w:t>
              </w:r>
              <w:r>
                <w:rPr>
                  <w:rStyle w:val="a4"/>
                  <w:rFonts w:ascii="Arial" w:hAnsi="Arial" w:cs="Arial"/>
                  <w:sz w:val="20"/>
                  <w:szCs w:val="20"/>
                </w:rPr>
                <w:t>Equity for the Years ended December 31, 2021, 2020 and 201</w:t>
              </w:r>
              <w:r>
                <w:rPr>
                  <w:rStyle w:val="a4"/>
                  <w:rFonts w:ascii="Arial" w:hAnsi="Arial" w:cs="Arial"/>
                  <w:sz w:val="20"/>
                  <w:szCs w:val="20"/>
                </w:rPr>
                <w:t>9</w:t>
              </w:r>
            </w:hyperlink>
          </w:p>
        </w:tc>
        <w:tc>
          <w:tcPr>
            <w:tcW w:w="0" w:type="auto"/>
            <w:tcMar>
              <w:top w:w="14" w:type="dxa"/>
              <w:left w:w="15" w:type="dxa"/>
              <w:bottom w:w="15" w:type="dxa"/>
              <w:right w:w="14" w:type="dxa"/>
            </w:tcMar>
            <w:hideMark/>
          </w:tcPr>
          <w:p w:rsidR="00000000" w:rsidRDefault="00010F15">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5</w:t>
            </w:r>
          </w:p>
        </w:tc>
      </w:tr>
      <w:tr w:rsidR="00000000">
        <w:trPr>
          <w:trHeight w:val="200"/>
          <w:tblCellSpacing w:w="15" w:type="dxa"/>
        </w:trPr>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hyperlink w:anchor="consolidated_stmts_of_cash_flows" w:history="1">
              <w:r>
                <w:rPr>
                  <w:rStyle w:val="a4"/>
                  <w:rFonts w:ascii="Arial" w:hAnsi="Arial" w:cs="Arial"/>
                  <w:sz w:val="20"/>
                  <w:szCs w:val="20"/>
                </w:rPr>
                <w:t>Consolidated Statements of Cash Flows for the Years ended December 31, 2021, 2020 and 201</w:t>
              </w:r>
              <w:r>
                <w:rPr>
                  <w:rStyle w:val="a4"/>
                  <w:rFonts w:ascii="Arial" w:hAnsi="Arial" w:cs="Arial"/>
                  <w:sz w:val="20"/>
                  <w:szCs w:val="20"/>
                </w:rPr>
                <w:t>9</w:t>
              </w:r>
            </w:hyperlink>
          </w:p>
        </w:tc>
        <w:tc>
          <w:tcPr>
            <w:tcW w:w="0" w:type="auto"/>
            <w:tcMar>
              <w:top w:w="14" w:type="dxa"/>
              <w:left w:w="15" w:type="dxa"/>
              <w:bottom w:w="15" w:type="dxa"/>
              <w:right w:w="14" w:type="dxa"/>
            </w:tcMar>
            <w:hideMark/>
          </w:tcPr>
          <w:p w:rsidR="00000000" w:rsidRDefault="00010F15">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6</w:t>
            </w:r>
          </w:p>
        </w:tc>
      </w:tr>
      <w:tr w:rsidR="00000000">
        <w:trPr>
          <w:trHeight w:val="200"/>
          <w:tblCellSpacing w:w="15" w:type="dxa"/>
        </w:trPr>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hyperlink w:anchor="notes_to_consolidated_financial_stmts" w:history="1">
              <w:r>
                <w:rPr>
                  <w:rStyle w:val="a4"/>
                  <w:rFonts w:ascii="Arial" w:hAnsi="Arial" w:cs="Arial"/>
                  <w:sz w:val="20"/>
                  <w:szCs w:val="20"/>
                </w:rPr>
                <w:t>Notes to Consolidated Financial Statement</w:t>
              </w:r>
              <w:r>
                <w:rPr>
                  <w:rStyle w:val="a4"/>
                  <w:rFonts w:ascii="Arial" w:hAnsi="Arial" w:cs="Arial"/>
                  <w:sz w:val="20"/>
                  <w:szCs w:val="20"/>
                </w:rPr>
                <w:t>s</w:t>
              </w:r>
            </w:hyperlink>
          </w:p>
        </w:tc>
        <w:tc>
          <w:tcPr>
            <w:tcW w:w="0" w:type="auto"/>
            <w:tcMar>
              <w:top w:w="14" w:type="dxa"/>
              <w:left w:w="15" w:type="dxa"/>
              <w:bottom w:w="15" w:type="dxa"/>
              <w:right w:w="14" w:type="dxa"/>
            </w:tcMar>
            <w:hideMark/>
          </w:tcPr>
          <w:p w:rsidR="00000000" w:rsidRDefault="00010F15">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8</w:t>
            </w:r>
          </w:p>
        </w:tc>
      </w:tr>
    </w:tbl>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0" w:beforeAutospacing="0" w:after="0" w:afterAutospacing="0"/>
        <w:jc w:val="center"/>
        <w:rPr>
          <w:sz w:val="20"/>
          <w:szCs w:val="20"/>
        </w:rPr>
      </w:pPr>
      <w:r>
        <w:rPr>
          <w:rFonts w:ascii="Arial" w:hAnsi="Arial" w:cs="Arial"/>
          <w:sz w:val="20"/>
          <w:szCs w:val="20"/>
        </w:rPr>
        <w:t>7</w:t>
      </w:r>
      <w:r>
        <w:rPr>
          <w:rFonts w:ascii="Arial" w:hAnsi="Arial" w:cs="Arial"/>
          <w:sz w:val="20"/>
          <w:szCs w:val="20"/>
        </w:rPr>
        <w:t>0</w:t>
      </w:r>
    </w:p>
    <w:p w:rsidR="00000000" w:rsidRDefault="00010F15">
      <w:pPr>
        <w:rPr>
          <w:rFonts w:eastAsia="Times New Roman"/>
        </w:rPr>
      </w:pPr>
      <w:r>
        <w:rPr>
          <w:rFonts w:eastAsia="Times New Roman"/>
        </w:rPr>
        <w:pict>
          <v:rect id="_x0000_i1095"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0" w:beforeAutospacing="0" w:after="0" w:afterAutospacing="0"/>
        <w:jc w:val="center"/>
        <w:rPr>
          <w:sz w:val="20"/>
          <w:szCs w:val="20"/>
        </w:rPr>
      </w:pPr>
      <w:r>
        <w:rPr>
          <w:rFonts w:ascii="Arial" w:hAnsi="Arial" w:cs="Arial"/>
          <w:b/>
          <w:bCs/>
          <w:sz w:val="20"/>
          <w:szCs w:val="20"/>
        </w:rPr>
        <w:t>Report of Independent Registered Public Accounting Fir</w:t>
      </w:r>
      <w:r>
        <w:rPr>
          <w:rFonts w:ascii="Arial" w:hAnsi="Arial" w:cs="Arial"/>
          <w:b/>
          <w:bCs/>
          <w:sz w:val="20"/>
          <w:szCs w:val="20"/>
        </w:rPr>
        <w:t>m</w: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0" w:beforeAutospacing="0" w:after="0" w:afterAutospacing="0"/>
        <w:rPr>
          <w:sz w:val="20"/>
          <w:szCs w:val="20"/>
        </w:rPr>
      </w:pPr>
      <w:r>
        <w:rPr>
          <w:rFonts w:ascii="Arial" w:hAnsi="Arial" w:cs="Arial"/>
          <w:sz w:val="20"/>
          <w:szCs w:val="20"/>
        </w:rPr>
        <w:t>To the Board of Directors and Stockholders of Paymentus Holdings, Inc</w:t>
      </w:r>
      <w:r>
        <w:rPr>
          <w:rFonts w:ascii="Arial" w:hAnsi="Arial" w:cs="Arial"/>
          <w:sz w:val="20"/>
          <w:szCs w:val="20"/>
        </w:rPr>
        <w:t>.</w:t>
      </w:r>
    </w:p>
    <w:p w:rsidR="00000000" w:rsidRDefault="00010F15">
      <w:pPr>
        <w:pStyle w:val="a3"/>
        <w:spacing w:before="120" w:beforeAutospacing="0" w:after="0" w:afterAutospacing="0"/>
        <w:rPr>
          <w:sz w:val="20"/>
          <w:szCs w:val="20"/>
        </w:rPr>
      </w:pPr>
      <w:r>
        <w:rPr>
          <w:rFonts w:ascii="Arial" w:hAnsi="Arial" w:cs="Arial"/>
          <w:b/>
          <w:bCs/>
          <w:i/>
          <w:iCs/>
          <w:sz w:val="20"/>
          <w:szCs w:val="20"/>
        </w:rPr>
        <w:t>Opinion on the Financial Statement</w:t>
      </w:r>
      <w:r>
        <w:rPr>
          <w:rFonts w:ascii="Arial" w:hAnsi="Arial" w:cs="Arial"/>
          <w:b/>
          <w:bCs/>
          <w:i/>
          <w:iCs/>
          <w:sz w:val="20"/>
          <w:szCs w:val="20"/>
        </w:rPr>
        <w:t>s</w:t>
      </w:r>
    </w:p>
    <w:p w:rsidR="00000000" w:rsidRDefault="00010F15">
      <w:pPr>
        <w:pStyle w:val="a3"/>
        <w:spacing w:before="120" w:beforeAutospacing="0" w:after="0" w:afterAutospacing="0"/>
        <w:rPr>
          <w:sz w:val="20"/>
          <w:szCs w:val="20"/>
        </w:rPr>
      </w:pPr>
      <w:r>
        <w:rPr>
          <w:rFonts w:ascii="Arial" w:hAnsi="Arial" w:cs="Arial"/>
          <w:sz w:val="20"/>
          <w:szCs w:val="20"/>
        </w:rPr>
        <w:t>We have audited the accompanying consolidated balan</w:t>
      </w:r>
      <w:r>
        <w:rPr>
          <w:rFonts w:ascii="Arial" w:hAnsi="Arial" w:cs="Arial"/>
          <w:sz w:val="20"/>
          <w:szCs w:val="20"/>
        </w:rPr>
        <w:t>ce sheets of Paymentus Holdings, Inc. and its subsidiaries (the “Company”) as of December 31, 2021 and 2020, and the related consolidated statements of operations, of comprehensive income, of stockholders' equity and of cash flows for each of the three yea</w:t>
      </w:r>
      <w:r>
        <w:rPr>
          <w:rFonts w:ascii="Arial" w:hAnsi="Arial" w:cs="Arial"/>
          <w:sz w:val="20"/>
          <w:szCs w:val="20"/>
        </w:rPr>
        <w:t>rs in the period ended December 31, 2021, including the related notes (collectively referred to as the “consolidated financial statements”). In our opinion, the consolidated financial statements present fairly, in all material respects, the financial posit</w:t>
      </w:r>
      <w:r>
        <w:rPr>
          <w:rFonts w:ascii="Arial" w:hAnsi="Arial" w:cs="Arial"/>
          <w:sz w:val="20"/>
          <w:szCs w:val="20"/>
        </w:rPr>
        <w:t xml:space="preserve">ion of the Company as of December 31, 2021 and 2020, and the results of its operations and its cash flows for each of the three years in the period ended December 31, 2021 in conformity with accounting principles generally accepted in the United States of </w:t>
      </w:r>
      <w:r>
        <w:rPr>
          <w:rFonts w:ascii="Arial" w:hAnsi="Arial" w:cs="Arial"/>
          <w:sz w:val="20"/>
          <w:szCs w:val="20"/>
        </w:rPr>
        <w:t>America</w:t>
      </w:r>
      <w:r>
        <w:rPr>
          <w:rFonts w:ascii="Arial" w:hAnsi="Arial" w:cs="Arial"/>
          <w:sz w:val="20"/>
          <w:szCs w:val="20"/>
        </w:rPr>
        <w:t>.</w:t>
      </w:r>
    </w:p>
    <w:p w:rsidR="00000000" w:rsidRDefault="00010F15">
      <w:pPr>
        <w:pStyle w:val="a3"/>
        <w:spacing w:before="120" w:beforeAutospacing="0" w:after="0" w:afterAutospacing="0"/>
        <w:rPr>
          <w:sz w:val="20"/>
          <w:szCs w:val="20"/>
        </w:rPr>
      </w:pPr>
      <w:r>
        <w:rPr>
          <w:rFonts w:ascii="Arial" w:hAnsi="Arial" w:cs="Arial"/>
          <w:i/>
          <w:iCs/>
          <w:sz w:val="20"/>
          <w:szCs w:val="20"/>
        </w:rPr>
        <w:t>Changes in Accounting Principle</w:t>
      </w:r>
      <w:r>
        <w:rPr>
          <w:rFonts w:ascii="Arial" w:hAnsi="Arial" w:cs="Arial"/>
          <w:i/>
          <w:iCs/>
          <w:sz w:val="20"/>
          <w:szCs w:val="20"/>
        </w:rPr>
        <w:t>s</w:t>
      </w:r>
    </w:p>
    <w:p w:rsidR="00000000" w:rsidRDefault="00010F15">
      <w:pPr>
        <w:pStyle w:val="a3"/>
        <w:spacing w:before="120" w:beforeAutospacing="0" w:after="0" w:afterAutospacing="0"/>
        <w:rPr>
          <w:sz w:val="20"/>
          <w:szCs w:val="20"/>
        </w:rPr>
      </w:pPr>
      <w:r>
        <w:rPr>
          <w:rFonts w:ascii="Arial" w:hAnsi="Arial" w:cs="Arial"/>
          <w:sz w:val="20"/>
          <w:szCs w:val="20"/>
        </w:rPr>
        <w:t>As discussed in Note 2 to the consolidated financial statements, the Company changed the manner in which it accounts for leases in 2020</w:t>
      </w:r>
      <w:r>
        <w:rPr>
          <w:rFonts w:ascii="Arial" w:hAnsi="Arial" w:cs="Arial"/>
          <w:sz w:val="20"/>
          <w:szCs w:val="20"/>
        </w:rPr>
        <w:t>.</w:t>
      </w:r>
    </w:p>
    <w:p w:rsidR="00000000" w:rsidRDefault="00010F15">
      <w:pPr>
        <w:pStyle w:val="a3"/>
        <w:spacing w:before="120" w:beforeAutospacing="0" w:after="0" w:afterAutospacing="0"/>
        <w:rPr>
          <w:sz w:val="20"/>
          <w:szCs w:val="20"/>
        </w:rPr>
      </w:pPr>
      <w:r>
        <w:rPr>
          <w:rFonts w:ascii="Arial" w:hAnsi="Arial" w:cs="Arial"/>
          <w:b/>
          <w:bCs/>
          <w:i/>
          <w:iCs/>
          <w:sz w:val="20"/>
          <w:szCs w:val="20"/>
        </w:rPr>
        <w:t>Basis for Opinio</w:t>
      </w:r>
      <w:r>
        <w:rPr>
          <w:rFonts w:ascii="Arial" w:hAnsi="Arial" w:cs="Arial"/>
          <w:b/>
          <w:bCs/>
          <w:i/>
          <w:iCs/>
          <w:sz w:val="20"/>
          <w:szCs w:val="20"/>
        </w:rPr>
        <w:t>n</w:t>
      </w:r>
    </w:p>
    <w:p w:rsidR="00000000" w:rsidRDefault="00010F15">
      <w:pPr>
        <w:pStyle w:val="a3"/>
        <w:spacing w:before="120" w:beforeAutospacing="0" w:after="0" w:afterAutospacing="0"/>
        <w:rPr>
          <w:sz w:val="20"/>
          <w:szCs w:val="20"/>
        </w:rPr>
      </w:pPr>
      <w:r>
        <w:rPr>
          <w:rFonts w:ascii="Arial" w:hAnsi="Arial" w:cs="Arial"/>
          <w:sz w:val="20"/>
          <w:szCs w:val="20"/>
        </w:rPr>
        <w:t>These consolidated financial statements are the responsibil</w:t>
      </w:r>
      <w:r>
        <w:rPr>
          <w:rFonts w:ascii="Arial" w:hAnsi="Arial" w:cs="Arial"/>
          <w:sz w:val="20"/>
          <w:szCs w:val="20"/>
        </w:rPr>
        <w:t>ity of the Company’s management. Our responsibility is to express an opinion on the Company’s consolidated financial statements based on our audits. We are a public accounting firm registered with the Public Company Accounting Oversight Board (United State</w:t>
      </w:r>
      <w:r>
        <w:rPr>
          <w:rFonts w:ascii="Arial" w:hAnsi="Arial" w:cs="Arial"/>
          <w:sz w:val="20"/>
          <w:szCs w:val="20"/>
        </w:rPr>
        <w:t>s) (PCAOB) and are required to be independent with respect to the Company in accordance with the U.S. federal securities laws and the applicable rules and regulations of the Securities and Exchange Commission and the PCAOB</w:t>
      </w:r>
      <w:r>
        <w:rPr>
          <w:rFonts w:ascii="Arial" w:hAnsi="Arial" w:cs="Arial"/>
          <w:sz w:val="20"/>
          <w:szCs w:val="20"/>
        </w:rPr>
        <w:t>.</w:t>
      </w:r>
    </w:p>
    <w:p w:rsidR="00000000" w:rsidRDefault="00010F15">
      <w:pPr>
        <w:pStyle w:val="a3"/>
        <w:spacing w:before="120" w:beforeAutospacing="0" w:after="0" w:afterAutospacing="0"/>
        <w:rPr>
          <w:sz w:val="20"/>
          <w:szCs w:val="20"/>
        </w:rPr>
      </w:pPr>
      <w:r>
        <w:rPr>
          <w:rFonts w:ascii="Arial" w:hAnsi="Arial" w:cs="Arial"/>
          <w:sz w:val="20"/>
          <w:szCs w:val="20"/>
        </w:rPr>
        <w:t>We conducted our audits of these</w:t>
      </w:r>
      <w:r>
        <w:rPr>
          <w:rFonts w:ascii="Arial" w:hAnsi="Arial" w:cs="Arial"/>
          <w:sz w:val="20"/>
          <w:szCs w:val="20"/>
        </w:rPr>
        <w:t xml:space="preserve"> consolidated financial statements in accordance with the standards of the PCAOB. Those standards require that we plan and perform the audits to obtain reasonable assurance about whether the consolidated financial statements are free of material misstateme</w:t>
      </w:r>
      <w:r>
        <w:rPr>
          <w:rFonts w:ascii="Arial" w:hAnsi="Arial" w:cs="Arial"/>
          <w:sz w:val="20"/>
          <w:szCs w:val="20"/>
        </w:rPr>
        <w:t>nt, whether due to error or fraud</w:t>
      </w:r>
      <w:r>
        <w:rPr>
          <w:rFonts w:ascii="Arial" w:hAnsi="Arial" w:cs="Arial"/>
          <w:sz w:val="20"/>
          <w:szCs w:val="20"/>
        </w:rPr>
        <w:t>.</w:t>
      </w:r>
    </w:p>
    <w:p w:rsidR="00000000" w:rsidRDefault="00010F15">
      <w:pPr>
        <w:pStyle w:val="a3"/>
        <w:spacing w:before="120" w:beforeAutospacing="0" w:after="0" w:afterAutospacing="0"/>
        <w:rPr>
          <w:sz w:val="20"/>
          <w:szCs w:val="20"/>
        </w:rPr>
      </w:pPr>
      <w:r>
        <w:rPr>
          <w:rFonts w:ascii="Arial" w:hAnsi="Arial" w:cs="Arial"/>
          <w:sz w:val="20"/>
          <w:szCs w:val="20"/>
        </w:rPr>
        <w:t>Our audits included performing procedures to assess the risks of material misstatement of the consolidated financial statements, whether due to error or fraud, and performing procedures that respond to those risks. Such p</w:t>
      </w:r>
      <w:r>
        <w:rPr>
          <w:rFonts w:ascii="Arial" w:hAnsi="Arial" w:cs="Arial"/>
          <w:sz w:val="20"/>
          <w:szCs w:val="20"/>
        </w:rPr>
        <w:t>rocedures included examining, on a test basis, evidence regarding the amounts and disclosures in the consolidated financial statements. Our audits also included evaluating the accounting principles used and significant estimates made by management, as well</w:t>
      </w:r>
      <w:r>
        <w:rPr>
          <w:rFonts w:ascii="Arial" w:hAnsi="Arial" w:cs="Arial"/>
          <w:sz w:val="20"/>
          <w:szCs w:val="20"/>
        </w:rPr>
        <w:t xml:space="preserve"> as evaluating the overall presentation of the consolidated financial statements. We believe that our audits provide a reasonable basis for our opinion</w:t>
      </w:r>
      <w:r>
        <w:rPr>
          <w:rFonts w:ascii="Arial" w:hAnsi="Arial" w:cs="Arial"/>
          <w:sz w:val="20"/>
          <w:szCs w:val="20"/>
        </w:rPr>
        <w:t>.</w: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0" w:beforeAutospacing="0" w:after="0" w:afterAutospacing="0"/>
        <w:rPr>
          <w:sz w:val="20"/>
          <w:szCs w:val="20"/>
        </w:rPr>
      </w:pPr>
      <w:r>
        <w:rPr>
          <w:rFonts w:ascii="Arial" w:hAnsi="Arial" w:cs="Arial"/>
          <w:sz w:val="20"/>
          <w:szCs w:val="20"/>
        </w:rPr>
        <w:t>/s/</w:t>
      </w:r>
      <w:r>
        <w:rPr>
          <w:rFonts w:ascii="Arial" w:hAnsi="Arial" w:cs="Arial"/>
          <w:sz w:val="20"/>
          <w:szCs w:val="20"/>
        </w:rPr>
        <w:t xml:space="preserve"> </w:t>
      </w:r>
      <w:r>
        <w:rPr>
          <w:rFonts w:ascii="Arial" w:hAnsi="Arial" w:cs="Arial"/>
          <w:sz w:val="20"/>
          <w:szCs w:val="20"/>
        </w:rPr>
        <w:t>PricewaterhouseCoopers LL</w:t>
      </w:r>
      <w:r>
        <w:rPr>
          <w:rFonts w:ascii="Arial" w:hAnsi="Arial" w:cs="Arial"/>
          <w:sz w:val="20"/>
          <w:szCs w:val="20"/>
        </w:rPr>
        <w:t>P</w:t>
      </w:r>
    </w:p>
    <w:p w:rsidR="00000000" w:rsidRDefault="00010F15">
      <w:pPr>
        <w:pStyle w:val="a3"/>
        <w:spacing w:before="0" w:beforeAutospacing="0" w:after="0" w:afterAutospacing="0"/>
        <w:rPr>
          <w:sz w:val="20"/>
          <w:szCs w:val="20"/>
        </w:rPr>
      </w:pPr>
      <w:r>
        <w:rPr>
          <w:rFonts w:ascii="Arial" w:hAnsi="Arial" w:cs="Arial"/>
          <w:sz w:val="20"/>
          <w:szCs w:val="20"/>
        </w:rPr>
        <w:t>Charlotte, North Carolin</w:t>
      </w:r>
      <w:r>
        <w:rPr>
          <w:rFonts w:ascii="Arial" w:hAnsi="Arial" w:cs="Arial"/>
          <w:sz w:val="20"/>
          <w:szCs w:val="20"/>
        </w:rPr>
        <w:t>a</w:t>
      </w:r>
    </w:p>
    <w:p w:rsidR="00000000" w:rsidRDefault="00010F15">
      <w:pPr>
        <w:pStyle w:val="a3"/>
        <w:spacing w:before="0" w:beforeAutospacing="0" w:after="0" w:afterAutospacing="0"/>
        <w:rPr>
          <w:sz w:val="20"/>
          <w:szCs w:val="20"/>
        </w:rPr>
      </w:pPr>
      <w:r>
        <w:rPr>
          <w:rFonts w:ascii="Arial" w:hAnsi="Arial" w:cs="Arial"/>
          <w:sz w:val="20"/>
          <w:szCs w:val="20"/>
        </w:rPr>
        <w:t>March 3, 202</w:t>
      </w:r>
      <w:r>
        <w:rPr>
          <w:rFonts w:ascii="Arial" w:hAnsi="Arial" w:cs="Arial"/>
          <w:sz w:val="20"/>
          <w:szCs w:val="20"/>
        </w:rPr>
        <w:t>2</w:t>
      </w:r>
    </w:p>
    <w:p w:rsidR="00000000" w:rsidRDefault="00010F15">
      <w:pPr>
        <w:pStyle w:val="a3"/>
        <w:spacing w:before="0" w:beforeAutospacing="0" w:after="0" w:afterAutospacing="0"/>
        <w:rPr>
          <w:sz w:val="20"/>
          <w:szCs w:val="20"/>
        </w:rPr>
      </w:pPr>
      <w:r>
        <w:rPr>
          <w:rFonts w:ascii="Arial" w:hAnsi="Arial" w:cs="Arial"/>
          <w:sz w:val="20"/>
          <w:szCs w:val="20"/>
        </w:rPr>
        <w:t>We have served as the Company’s auditor since 2020</w:t>
      </w:r>
      <w:r>
        <w:rPr>
          <w:rFonts w:ascii="Arial" w:hAnsi="Arial" w:cs="Arial"/>
          <w:sz w:val="20"/>
          <w:szCs w:val="20"/>
        </w:rPr>
        <w:t>.</w:t>
      </w:r>
    </w:p>
    <w:p w:rsidR="00000000" w:rsidRDefault="00010F15">
      <w:pPr>
        <w:pStyle w:val="a3"/>
        <w:spacing w:before="0" w:beforeAutospacing="0" w:after="0" w:afterAutospacing="0"/>
        <w:jc w:val="center"/>
        <w:rPr>
          <w:sz w:val="20"/>
          <w:szCs w:val="20"/>
        </w:rPr>
      </w:pPr>
      <w:r>
        <w:rPr>
          <w:rFonts w:ascii="Arial" w:hAnsi="Arial" w:cs="Arial"/>
          <w:sz w:val="20"/>
          <w:szCs w:val="20"/>
        </w:rPr>
        <w:t>7</w:t>
      </w:r>
      <w:r>
        <w:rPr>
          <w:rFonts w:ascii="Arial" w:hAnsi="Arial" w:cs="Arial"/>
          <w:sz w:val="20"/>
          <w:szCs w:val="20"/>
        </w:rPr>
        <w:t>1</w:t>
      </w:r>
    </w:p>
    <w:p w:rsidR="00000000" w:rsidRDefault="00010F15">
      <w:pPr>
        <w:rPr>
          <w:rFonts w:eastAsia="Times New Roman"/>
        </w:rPr>
      </w:pPr>
      <w:r>
        <w:rPr>
          <w:rFonts w:eastAsia="Times New Roman"/>
        </w:rPr>
        <w:pict>
          <v:rect id="_x0000_i1096"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360" w:beforeAutospacing="0" w:after="0" w:afterAutospacing="0"/>
        <w:jc w:val="center"/>
        <w:rPr>
          <w:sz w:val="20"/>
          <w:szCs w:val="20"/>
        </w:rPr>
      </w:pPr>
      <w:r>
        <w:rPr>
          <w:rFonts w:ascii="Arial" w:hAnsi="Arial" w:cs="Arial"/>
          <w:sz w:val="20"/>
          <w:szCs w:val="20"/>
        </w:rPr>
        <w:t>PAYMENTU</w:t>
      </w:r>
      <w:r>
        <w:rPr>
          <w:rFonts w:ascii="Arial" w:hAnsi="Arial" w:cs="Arial"/>
          <w:sz w:val="20"/>
          <w:szCs w:val="20"/>
        </w:rPr>
        <w:t>S</w:t>
      </w:r>
      <w:r>
        <w:rPr>
          <w:rFonts w:ascii="Arial" w:hAnsi="Arial" w:cs="Arial"/>
          <w:sz w:val="20"/>
          <w:szCs w:val="20"/>
        </w:rPr>
        <w:t xml:space="preserve"> HOLDINGS, INC</w:t>
      </w:r>
      <w:r>
        <w:rPr>
          <w:rFonts w:ascii="Arial" w:hAnsi="Arial" w:cs="Arial"/>
          <w:sz w:val="20"/>
          <w:szCs w:val="20"/>
        </w:rPr>
        <w:t>.</w:t>
      </w:r>
    </w:p>
    <w:p w:rsidR="00000000" w:rsidRDefault="00010F15">
      <w:pPr>
        <w:pStyle w:val="a3"/>
        <w:spacing w:before="0" w:beforeAutospacing="0" w:after="0" w:afterAutospacing="0"/>
        <w:jc w:val="center"/>
        <w:rPr>
          <w:sz w:val="20"/>
          <w:szCs w:val="20"/>
        </w:rPr>
      </w:pPr>
      <w:r>
        <w:rPr>
          <w:rFonts w:ascii="Arial" w:hAnsi="Arial" w:cs="Arial"/>
          <w:sz w:val="20"/>
          <w:szCs w:val="20"/>
        </w:rPr>
        <w:t>CONSOLIDATED BALANCE SHEET</w:t>
      </w:r>
      <w:r>
        <w:rPr>
          <w:rFonts w:ascii="Arial" w:hAnsi="Arial" w:cs="Arial"/>
          <w:sz w:val="20"/>
          <w:szCs w:val="20"/>
        </w:rPr>
        <w:t>S</w:t>
      </w:r>
      <w:r>
        <w:rPr>
          <w:rFonts w:ascii="Arial" w:hAnsi="Arial" w:cs="Arial"/>
          <w:sz w:val="20"/>
          <w:szCs w:val="20"/>
        </w:rPr>
        <w:t xml:space="preserve"> </w:t>
      </w:r>
    </w:p>
    <w:p w:rsidR="00000000" w:rsidRDefault="00010F15">
      <w:pPr>
        <w:pStyle w:val="a3"/>
        <w:spacing w:before="0" w:beforeAutospacing="0" w:after="0" w:afterAutospacing="0"/>
        <w:jc w:val="center"/>
        <w:rPr>
          <w:sz w:val="20"/>
          <w:szCs w:val="20"/>
        </w:rPr>
      </w:pPr>
      <w:r>
        <w:rPr>
          <w:rFonts w:ascii="Arial" w:hAnsi="Arial" w:cs="Arial"/>
          <w:sz w:val="20"/>
          <w:szCs w:val="20"/>
        </w:rPr>
        <w:t>(In thousands, except share and per share data</w:t>
      </w:r>
      <w:r>
        <w:rPr>
          <w:rFonts w:ascii="Arial" w:hAnsi="Arial" w:cs="Arial"/>
          <w:sz w:val="20"/>
          <w:szCs w:val="20"/>
        </w:rPr>
        <w:t>)</w:t>
      </w:r>
    </w:p>
    <w:p w:rsidR="00000000" w:rsidRDefault="00010F15">
      <w:pPr>
        <w:pStyle w:val="a3"/>
        <w:spacing w:before="0" w:beforeAutospacing="0" w:after="0" w:afterAutospacing="0"/>
        <w:jc w:val="center"/>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91"/>
        <w:gridCol w:w="121"/>
        <w:gridCol w:w="149"/>
        <w:gridCol w:w="1074"/>
        <w:gridCol w:w="105"/>
        <w:gridCol w:w="121"/>
        <w:gridCol w:w="149"/>
        <w:gridCol w:w="1067"/>
        <w:gridCol w:w="129"/>
      </w:tblGrid>
      <w:tr w:rsidR="00000000">
        <w:trPr>
          <w:tblCellSpacing w:w="15" w:type="dxa"/>
        </w:trPr>
        <w:tc>
          <w:tcPr>
            <w:tcW w:w="3353" w:type="pct"/>
            <w:vAlign w:val="center"/>
            <w:hideMark/>
          </w:tcPr>
          <w:p w:rsidR="00000000" w:rsidRDefault="00010F15">
            <w:pPr>
              <w:rPr>
                <w:sz w:val="20"/>
                <w:szCs w:val="20"/>
              </w:rPr>
            </w:pPr>
          </w:p>
        </w:tc>
        <w:tc>
          <w:tcPr>
            <w:tcW w:w="73" w:type="pct"/>
            <w:vAlign w:val="center"/>
            <w:hideMark/>
          </w:tcPr>
          <w:p w:rsidR="00000000" w:rsidRDefault="00010F15">
            <w:pPr>
              <w:rPr>
                <w:rFonts w:eastAsia="Times New Roman"/>
                <w:sz w:val="20"/>
                <w:szCs w:val="20"/>
              </w:rPr>
            </w:pPr>
          </w:p>
        </w:tc>
        <w:tc>
          <w:tcPr>
            <w:tcW w:w="54" w:type="pct"/>
            <w:vAlign w:val="center"/>
            <w:hideMark/>
          </w:tcPr>
          <w:p w:rsidR="00000000" w:rsidRDefault="00010F15">
            <w:pPr>
              <w:rPr>
                <w:rFonts w:eastAsia="Times New Roman"/>
                <w:sz w:val="20"/>
                <w:szCs w:val="20"/>
              </w:rPr>
            </w:pPr>
          </w:p>
        </w:tc>
        <w:tc>
          <w:tcPr>
            <w:tcW w:w="668" w:type="pct"/>
            <w:vAlign w:val="center"/>
            <w:hideMark/>
          </w:tcPr>
          <w:p w:rsidR="00000000" w:rsidRDefault="00010F15">
            <w:pPr>
              <w:rPr>
                <w:rFonts w:eastAsia="Times New Roman"/>
                <w:sz w:val="20"/>
                <w:szCs w:val="20"/>
              </w:rPr>
            </w:pPr>
          </w:p>
        </w:tc>
        <w:tc>
          <w:tcPr>
            <w:tcW w:w="26" w:type="pct"/>
            <w:vAlign w:val="center"/>
            <w:hideMark/>
          </w:tcPr>
          <w:p w:rsidR="00000000" w:rsidRDefault="00010F15">
            <w:pPr>
              <w:rPr>
                <w:rFonts w:eastAsia="Times New Roman"/>
                <w:sz w:val="20"/>
                <w:szCs w:val="20"/>
              </w:rPr>
            </w:pPr>
          </w:p>
        </w:tc>
        <w:tc>
          <w:tcPr>
            <w:tcW w:w="73" w:type="pct"/>
            <w:vAlign w:val="center"/>
            <w:hideMark/>
          </w:tcPr>
          <w:p w:rsidR="00000000" w:rsidRDefault="00010F15">
            <w:pPr>
              <w:rPr>
                <w:rFonts w:eastAsia="Times New Roman"/>
                <w:sz w:val="20"/>
                <w:szCs w:val="20"/>
              </w:rPr>
            </w:pPr>
          </w:p>
        </w:tc>
        <w:tc>
          <w:tcPr>
            <w:tcW w:w="54" w:type="pct"/>
            <w:vAlign w:val="center"/>
            <w:hideMark/>
          </w:tcPr>
          <w:p w:rsidR="00000000" w:rsidRDefault="00010F15">
            <w:pPr>
              <w:rPr>
                <w:rFonts w:eastAsia="Times New Roman"/>
                <w:sz w:val="20"/>
                <w:szCs w:val="20"/>
              </w:rPr>
            </w:pPr>
          </w:p>
        </w:tc>
        <w:tc>
          <w:tcPr>
            <w:tcW w:w="664"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r>
      <w:tr w:rsidR="00000000">
        <w:trPr>
          <w:trHeight w:val="140"/>
          <w:tblCellSpacing w:w="15" w:type="dxa"/>
        </w:trPr>
        <w:tc>
          <w:tcPr>
            <w:tcW w:w="0" w:type="auto"/>
            <w:vAlign w:val="bottom"/>
            <w:hideMark/>
          </w:tcPr>
          <w:p w:rsidR="00000000" w:rsidRDefault="00010F15">
            <w:pPr>
              <w:pStyle w:val="a3"/>
              <w:spacing w:before="0" w:beforeAutospacing="0" w:after="0" w:afterAutospacing="0"/>
              <w:jc w:val="center"/>
              <w:rPr>
                <w:sz w:val="14"/>
                <w:szCs w:val="14"/>
              </w:rPr>
            </w:pPr>
            <w:r>
              <w:rPr>
                <w:rFonts w:ascii="Arial" w:hAnsi="Arial" w:cs="Arial"/>
                <w:sz w:val="14"/>
                <w:szCs w:val="14"/>
              </w:rPr>
              <w:t> </w:t>
            </w:r>
          </w:p>
        </w:tc>
        <w:tc>
          <w:tcPr>
            <w:tcW w:w="0" w:type="auto"/>
            <w:vAlign w:val="bottom"/>
            <w:hideMark/>
          </w:tcPr>
          <w:p w:rsidR="00000000" w:rsidRDefault="00010F15">
            <w:pPr>
              <w:pStyle w:val="a3"/>
              <w:spacing w:before="0" w:beforeAutospacing="0" w:after="0" w:afterAutospacing="0"/>
              <w:rPr>
                <w:sz w:val="14"/>
                <w:szCs w:val="14"/>
              </w:rPr>
            </w:pPr>
            <w:r>
              <w:rPr>
                <w:rFonts w:ascii="Arial" w:hAnsi="Arial" w:cs="Arial"/>
                <w:sz w:val="14"/>
                <w:szCs w:val="14"/>
              </w:rPr>
              <w:t> </w:t>
            </w:r>
          </w:p>
        </w:tc>
        <w:tc>
          <w:tcPr>
            <w:tcW w:w="0" w:type="auto"/>
            <w:gridSpan w:val="6"/>
            <w:vAlign w:val="bottom"/>
            <w:hideMark/>
          </w:tcPr>
          <w:p w:rsidR="00000000" w:rsidRDefault="00010F15">
            <w:pPr>
              <w:pStyle w:val="a3"/>
              <w:spacing w:before="0" w:beforeAutospacing="0" w:after="0" w:afterAutospacing="0"/>
              <w:jc w:val="center"/>
              <w:rPr>
                <w:sz w:val="14"/>
                <w:szCs w:val="14"/>
              </w:rPr>
            </w:pPr>
            <w:r>
              <w:rPr>
                <w:rFonts w:ascii="Arial" w:hAnsi="Arial" w:cs="Arial"/>
                <w:b/>
                <w:bCs/>
                <w:sz w:val="14"/>
                <w:szCs w:val="14"/>
              </w:rPr>
              <w:t>December 31</w:t>
            </w:r>
            <w:r>
              <w:rPr>
                <w:rFonts w:ascii="Arial" w:hAnsi="Arial" w:cs="Arial"/>
                <w:b/>
                <w:bCs/>
                <w:sz w:val="14"/>
                <w:szCs w:val="14"/>
              </w:rPr>
              <w:t>,</w:t>
            </w:r>
          </w:p>
        </w:tc>
        <w:tc>
          <w:tcPr>
            <w:tcW w:w="0" w:type="auto"/>
            <w:vAlign w:val="bottom"/>
            <w:hideMark/>
          </w:tcPr>
          <w:p w:rsidR="00000000" w:rsidRDefault="00010F15">
            <w:pPr>
              <w:pStyle w:val="a3"/>
              <w:spacing w:before="0" w:beforeAutospacing="0" w:after="0" w:afterAutospacing="0"/>
              <w:jc w:val="center"/>
              <w:rPr>
                <w:sz w:val="14"/>
                <w:szCs w:val="14"/>
              </w:rPr>
            </w:pPr>
            <w:r>
              <w:rPr>
                <w:rFonts w:ascii="Arial" w:hAnsi="Arial" w:cs="Arial"/>
                <w:sz w:val="14"/>
                <w:szCs w:val="14"/>
              </w:rPr>
              <w:t> </w:t>
            </w:r>
          </w:p>
        </w:tc>
      </w:tr>
      <w:tr w:rsidR="00000000">
        <w:trPr>
          <w:trHeight w:val="140"/>
          <w:tblCellSpacing w:w="15" w:type="dxa"/>
        </w:trPr>
        <w:tc>
          <w:tcPr>
            <w:tcW w:w="0" w:type="auto"/>
            <w:vAlign w:val="bottom"/>
            <w:hideMark/>
          </w:tcPr>
          <w:p w:rsidR="00000000" w:rsidRDefault="00010F15">
            <w:pPr>
              <w:pStyle w:val="a3"/>
              <w:spacing w:before="0" w:beforeAutospacing="0" w:after="0" w:afterAutospacing="0"/>
              <w:rPr>
                <w:sz w:val="14"/>
                <w:szCs w:val="14"/>
              </w:rPr>
            </w:pPr>
            <w:r>
              <w:rPr>
                <w:rFonts w:ascii="Arial" w:hAnsi="Arial" w:cs="Arial"/>
                <w:sz w:val="14"/>
                <w:szCs w:val="14"/>
              </w:rPr>
              <w:t> </w:t>
            </w:r>
          </w:p>
        </w:tc>
        <w:tc>
          <w:tcPr>
            <w:tcW w:w="0" w:type="auto"/>
            <w:vAlign w:val="bottom"/>
            <w:hideMark/>
          </w:tcPr>
          <w:p w:rsidR="00000000" w:rsidRDefault="00010F15">
            <w:pPr>
              <w:pStyle w:val="a3"/>
              <w:spacing w:before="0" w:beforeAutospacing="0" w:after="0" w:afterAutospacing="0"/>
              <w:rPr>
                <w:sz w:val="14"/>
                <w:szCs w:val="14"/>
              </w:rPr>
            </w:pPr>
            <w:r>
              <w:rPr>
                <w:rFonts w:ascii="Arial" w:hAnsi="Arial" w:cs="Arial"/>
                <w:sz w:val="14"/>
                <w:szCs w:val="14"/>
              </w:rPr>
              <w:t> </w:t>
            </w:r>
          </w:p>
        </w:tc>
        <w:tc>
          <w:tcPr>
            <w:tcW w:w="0" w:type="auto"/>
            <w:gridSpan w:val="2"/>
            <w:vAlign w:val="bottom"/>
            <w:hideMark/>
          </w:tcPr>
          <w:p w:rsidR="00000000" w:rsidRDefault="00010F15">
            <w:pPr>
              <w:pStyle w:val="a3"/>
              <w:spacing w:before="0" w:beforeAutospacing="0" w:after="0" w:afterAutospacing="0"/>
              <w:jc w:val="center"/>
              <w:rPr>
                <w:sz w:val="14"/>
                <w:szCs w:val="14"/>
              </w:rPr>
            </w:pPr>
            <w:r>
              <w:rPr>
                <w:rFonts w:ascii="Arial" w:hAnsi="Arial" w:cs="Arial"/>
                <w:b/>
                <w:bCs/>
                <w:sz w:val="14"/>
                <w:szCs w:val="14"/>
              </w:rPr>
              <w:t>202</w:t>
            </w:r>
            <w:r>
              <w:rPr>
                <w:rFonts w:ascii="Arial" w:hAnsi="Arial" w:cs="Arial"/>
                <w:b/>
                <w:bCs/>
                <w:sz w:val="14"/>
                <w:szCs w:val="14"/>
              </w:rPr>
              <w:t>1</w:t>
            </w:r>
          </w:p>
        </w:tc>
        <w:tc>
          <w:tcPr>
            <w:tcW w:w="0" w:type="auto"/>
            <w:vAlign w:val="bottom"/>
            <w:hideMark/>
          </w:tcPr>
          <w:p w:rsidR="00000000" w:rsidRDefault="00010F15">
            <w:pPr>
              <w:pStyle w:val="a3"/>
              <w:spacing w:before="0" w:beforeAutospacing="0" w:after="0" w:afterAutospacing="0"/>
              <w:jc w:val="center"/>
              <w:rPr>
                <w:sz w:val="14"/>
                <w:szCs w:val="14"/>
              </w:rPr>
            </w:pPr>
            <w:r>
              <w:rPr>
                <w:rFonts w:ascii="Arial" w:hAnsi="Arial" w:cs="Arial"/>
                <w:sz w:val="14"/>
                <w:szCs w:val="14"/>
              </w:rPr>
              <w:t> </w:t>
            </w:r>
          </w:p>
        </w:tc>
        <w:tc>
          <w:tcPr>
            <w:tcW w:w="0" w:type="auto"/>
            <w:vAlign w:val="bottom"/>
            <w:hideMark/>
          </w:tcPr>
          <w:p w:rsidR="00000000" w:rsidRDefault="00010F15">
            <w:pPr>
              <w:pStyle w:val="a3"/>
              <w:spacing w:before="0" w:beforeAutospacing="0" w:after="0" w:afterAutospacing="0"/>
              <w:rPr>
                <w:sz w:val="14"/>
                <w:szCs w:val="14"/>
              </w:rPr>
            </w:pPr>
            <w:r>
              <w:rPr>
                <w:rFonts w:ascii="Arial" w:hAnsi="Arial" w:cs="Arial"/>
                <w:sz w:val="14"/>
                <w:szCs w:val="14"/>
              </w:rPr>
              <w:t> </w:t>
            </w:r>
          </w:p>
        </w:tc>
        <w:tc>
          <w:tcPr>
            <w:tcW w:w="0" w:type="auto"/>
            <w:gridSpan w:val="2"/>
            <w:vAlign w:val="bottom"/>
            <w:hideMark/>
          </w:tcPr>
          <w:p w:rsidR="00000000" w:rsidRDefault="00010F15">
            <w:pPr>
              <w:pStyle w:val="a3"/>
              <w:spacing w:before="0" w:beforeAutospacing="0" w:after="0" w:afterAutospacing="0"/>
              <w:jc w:val="center"/>
              <w:rPr>
                <w:sz w:val="14"/>
                <w:szCs w:val="14"/>
              </w:rPr>
            </w:pPr>
            <w:r>
              <w:rPr>
                <w:rFonts w:ascii="Arial" w:hAnsi="Arial" w:cs="Arial"/>
                <w:b/>
                <w:bCs/>
                <w:sz w:val="14"/>
                <w:szCs w:val="14"/>
              </w:rPr>
              <w:t>202</w:t>
            </w:r>
            <w:r>
              <w:rPr>
                <w:rFonts w:ascii="Arial" w:hAnsi="Arial" w:cs="Arial"/>
                <w:b/>
                <w:bCs/>
                <w:sz w:val="14"/>
                <w:szCs w:val="14"/>
              </w:rPr>
              <w:t>0</w:t>
            </w:r>
          </w:p>
        </w:tc>
        <w:tc>
          <w:tcPr>
            <w:tcW w:w="0" w:type="auto"/>
            <w:vAlign w:val="bottom"/>
            <w:hideMark/>
          </w:tcPr>
          <w:p w:rsidR="00000000" w:rsidRDefault="00010F15">
            <w:pPr>
              <w:pStyle w:val="a3"/>
              <w:spacing w:before="0" w:beforeAutospacing="0" w:after="0" w:afterAutospacing="0"/>
              <w:jc w:val="center"/>
              <w:rPr>
                <w:sz w:val="14"/>
                <w:szCs w:val="14"/>
              </w:rPr>
            </w:pPr>
            <w:r>
              <w:rPr>
                <w:rFonts w:ascii="Arial" w:hAnsi="Arial" w:cs="Arial"/>
                <w:sz w:val="14"/>
                <w:szCs w:val="14"/>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6"/>
                <w:szCs w:val="16"/>
              </w:rPr>
            </w:pPr>
            <w:r>
              <w:rPr>
                <w:rFonts w:ascii="Arial" w:hAnsi="Arial" w:cs="Arial"/>
                <w:b/>
                <w:bCs/>
                <w:sz w:val="16"/>
                <w:szCs w:val="16"/>
              </w:rPr>
              <w:t>Asset</w:t>
            </w:r>
            <w:r>
              <w:rPr>
                <w:rFonts w:ascii="Arial" w:hAnsi="Arial" w:cs="Arial"/>
                <w:b/>
                <w:bCs/>
                <w:sz w:val="16"/>
                <w:szCs w:val="16"/>
              </w:rPr>
              <w:t>s</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6"/>
                <w:szCs w:val="16"/>
              </w:rPr>
            </w:pPr>
            <w:r>
              <w:rPr>
                <w:rFonts w:ascii="Arial" w:hAnsi="Arial" w:cs="Arial"/>
                <w:sz w:val="16"/>
                <w:szCs w:val="16"/>
              </w:rPr>
              <w:t>Current asset</w:t>
            </w:r>
            <w:r>
              <w:rPr>
                <w:rFonts w:ascii="Arial" w:hAnsi="Arial" w:cs="Arial"/>
                <w:sz w:val="16"/>
                <w:szCs w:val="16"/>
              </w:rPr>
              <w:t>s</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6"/>
                <w:szCs w:val="16"/>
              </w:rPr>
            </w:pPr>
            <w:r>
              <w:rPr>
                <w:rFonts w:ascii="Arial" w:hAnsi="Arial" w:cs="Arial"/>
                <w:sz w:val="16"/>
                <w:szCs w:val="16"/>
              </w:rPr>
              <w:t>Cash and cash equivalent</w:t>
            </w:r>
            <w:r>
              <w:rPr>
                <w:rFonts w:ascii="Arial" w:hAnsi="Arial" w:cs="Arial"/>
                <w:sz w:val="16"/>
                <w:szCs w:val="16"/>
              </w:rPr>
              <w:t>s</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168,38</w:t>
            </w:r>
            <w:r>
              <w:rPr>
                <w:rFonts w:ascii="Arial" w:hAnsi="Arial" w:cs="Arial"/>
                <w:sz w:val="16"/>
                <w:szCs w:val="16"/>
              </w:rPr>
              <w:t>6</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46,66</w:t>
            </w:r>
            <w:r>
              <w:rPr>
                <w:rFonts w:ascii="Arial" w:hAnsi="Arial" w:cs="Arial"/>
                <w:sz w:val="16"/>
                <w:szCs w:val="16"/>
              </w:rPr>
              <w:t>6</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6"/>
                <w:szCs w:val="16"/>
              </w:rPr>
            </w:pPr>
            <w:r>
              <w:rPr>
                <w:rFonts w:ascii="Arial" w:hAnsi="Arial" w:cs="Arial"/>
                <w:sz w:val="16"/>
                <w:szCs w:val="16"/>
              </w:rPr>
              <w:t>Restricted funds held for financial institution</w:t>
            </w:r>
            <w:r>
              <w:rPr>
                <w:rFonts w:ascii="Arial" w:hAnsi="Arial" w:cs="Arial"/>
                <w:sz w:val="16"/>
                <w:szCs w:val="16"/>
              </w:rPr>
              <w:t>s</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33,44</w:t>
            </w:r>
            <w:r>
              <w:rPr>
                <w:rFonts w:ascii="Arial" w:hAnsi="Arial" w:cs="Arial"/>
                <w:sz w:val="16"/>
                <w:szCs w:val="16"/>
              </w:rPr>
              <w:t>3</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20"/>
                <w:szCs w:val="20"/>
              </w:rPr>
            </w:pPr>
            <w:r>
              <w:rPr>
                <w:rFonts w:ascii="Arial" w:hAnsi="Arial" w:cs="Arial"/>
                <w:sz w:val="16"/>
                <w:szCs w:val="16"/>
              </w:rPr>
              <w:t xml:space="preserve">Accounts and other receivables, net of allowance of </w:t>
            </w:r>
            <w:r>
              <w:rPr>
                <w:rFonts w:ascii="Arial" w:hAnsi="Arial" w:cs="Arial"/>
                <w:sz w:val="16"/>
                <w:szCs w:val="16"/>
              </w:rPr>
              <w:t>$</w:t>
            </w:r>
            <w:r>
              <w:rPr>
                <w:rFonts w:ascii="Arial" w:hAnsi="Arial" w:cs="Arial"/>
                <w:sz w:val="16"/>
                <w:szCs w:val="16"/>
              </w:rPr>
              <w:t>10</w:t>
            </w:r>
            <w:r>
              <w:rPr>
                <w:rFonts w:ascii="Arial" w:hAnsi="Arial" w:cs="Arial"/>
                <w:sz w:val="16"/>
                <w:szCs w:val="16"/>
              </w:rPr>
              <w:t>2</w:t>
            </w:r>
            <w:r>
              <w:rPr>
                <w:rFonts w:ascii="Arial" w:hAnsi="Arial" w:cs="Arial"/>
                <w:sz w:val="16"/>
                <w:szCs w:val="16"/>
              </w:rPr>
              <w:t xml:space="preserve"> and </w:t>
            </w:r>
            <w:r>
              <w:rPr>
                <w:rFonts w:ascii="Arial" w:hAnsi="Arial" w:cs="Arial"/>
                <w:sz w:val="16"/>
                <w:szCs w:val="16"/>
              </w:rPr>
              <w:t>$</w:t>
            </w:r>
            <w:r>
              <w:rPr>
                <w:rFonts w:ascii="Arial" w:hAnsi="Arial" w:cs="Arial"/>
                <w:sz w:val="16"/>
                <w:szCs w:val="16"/>
              </w:rPr>
              <w:t>10</w:t>
            </w:r>
            <w:r>
              <w:rPr>
                <w:rFonts w:ascii="Arial" w:hAnsi="Arial" w:cs="Arial"/>
                <w:sz w:val="16"/>
                <w:szCs w:val="16"/>
              </w:rPr>
              <w:t>0</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43,93</w:t>
            </w:r>
            <w:r>
              <w:rPr>
                <w:rFonts w:ascii="Arial" w:hAnsi="Arial" w:cs="Arial"/>
                <w:sz w:val="16"/>
                <w:szCs w:val="16"/>
              </w:rPr>
              <w:t>5</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28,03</w:t>
            </w:r>
            <w:r>
              <w:rPr>
                <w:rFonts w:ascii="Arial" w:hAnsi="Arial" w:cs="Arial"/>
                <w:sz w:val="16"/>
                <w:szCs w:val="16"/>
              </w:rPr>
              <w:t>4</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6"/>
                <w:szCs w:val="16"/>
              </w:rPr>
            </w:pPr>
            <w:r>
              <w:rPr>
                <w:rFonts w:ascii="Arial" w:hAnsi="Arial" w:cs="Arial"/>
                <w:sz w:val="16"/>
                <w:szCs w:val="16"/>
              </w:rPr>
              <w:t>Income tax receivabl</w:t>
            </w:r>
            <w:r>
              <w:rPr>
                <w:rFonts w:ascii="Arial" w:hAnsi="Arial" w:cs="Arial"/>
                <w:sz w:val="16"/>
                <w:szCs w:val="16"/>
              </w:rPr>
              <w:t>e</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2,48</w:t>
            </w:r>
            <w:r>
              <w:rPr>
                <w:rFonts w:ascii="Arial" w:hAnsi="Arial" w:cs="Arial"/>
                <w:sz w:val="16"/>
                <w:szCs w:val="16"/>
              </w:rPr>
              <w:t>8</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2,01</w:t>
            </w:r>
            <w:r>
              <w:rPr>
                <w:rFonts w:ascii="Arial" w:hAnsi="Arial" w:cs="Arial"/>
                <w:sz w:val="16"/>
                <w:szCs w:val="16"/>
              </w:rPr>
              <w:t>1</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6"/>
                <w:szCs w:val="16"/>
              </w:rPr>
            </w:pPr>
            <w:r>
              <w:rPr>
                <w:rFonts w:ascii="Arial" w:hAnsi="Arial" w:cs="Arial"/>
                <w:sz w:val="16"/>
                <w:szCs w:val="16"/>
              </w:rPr>
              <w:t>Prepaid expenses and other current asset</w:t>
            </w:r>
            <w:r>
              <w:rPr>
                <w:rFonts w:ascii="Arial" w:hAnsi="Arial" w:cs="Arial"/>
                <w:sz w:val="16"/>
                <w:szCs w:val="16"/>
              </w:rPr>
              <w:t>s</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8,18</w:t>
            </w:r>
            <w:r>
              <w:rPr>
                <w:rFonts w:ascii="Arial" w:hAnsi="Arial" w:cs="Arial"/>
                <w:sz w:val="16"/>
                <w:szCs w:val="16"/>
              </w:rPr>
              <w:t>4</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3,11</w:t>
            </w:r>
            <w:r>
              <w:rPr>
                <w:rFonts w:ascii="Arial" w:hAnsi="Arial" w:cs="Arial"/>
                <w:sz w:val="16"/>
                <w:szCs w:val="16"/>
              </w:rPr>
              <w:t>7</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400"/>
              <w:rPr>
                <w:sz w:val="16"/>
                <w:szCs w:val="16"/>
              </w:rPr>
            </w:pPr>
            <w:r>
              <w:rPr>
                <w:rFonts w:ascii="Arial" w:hAnsi="Arial" w:cs="Arial"/>
                <w:sz w:val="16"/>
                <w:szCs w:val="16"/>
              </w:rPr>
              <w:t>Total current asset</w:t>
            </w:r>
            <w:r>
              <w:rPr>
                <w:rFonts w:ascii="Arial" w:hAnsi="Arial" w:cs="Arial"/>
                <w:sz w:val="16"/>
                <w:szCs w:val="16"/>
              </w:rPr>
              <w:t>s</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256,43</w:t>
            </w:r>
            <w:r>
              <w:rPr>
                <w:rFonts w:ascii="Arial" w:hAnsi="Arial" w:cs="Arial"/>
                <w:sz w:val="16"/>
                <w:szCs w:val="16"/>
              </w:rPr>
              <w:t>6</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79,82</w:t>
            </w:r>
            <w:r>
              <w:rPr>
                <w:rFonts w:ascii="Arial" w:hAnsi="Arial" w:cs="Arial"/>
                <w:sz w:val="16"/>
                <w:szCs w:val="16"/>
              </w:rPr>
              <w:t>8</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20"/>
                <w:szCs w:val="20"/>
              </w:rPr>
            </w:pPr>
            <w:r>
              <w:rPr>
                <w:rFonts w:ascii="Arial" w:hAnsi="Arial" w:cs="Arial"/>
                <w:sz w:val="16"/>
                <w:szCs w:val="16"/>
              </w:rPr>
              <w:t>Property and equipment, net of accumulated depreciation and</w:t>
            </w:r>
            <w:r>
              <w:rPr>
                <w:rFonts w:ascii="Arial" w:hAnsi="Arial" w:cs="Arial"/>
                <w:sz w:val="16"/>
                <w:szCs w:val="16"/>
              </w:rPr>
              <w:br/>
              <w:t xml:space="preserve">   amortization of </w:t>
            </w:r>
            <w:r>
              <w:rPr>
                <w:rFonts w:ascii="Arial" w:hAnsi="Arial" w:cs="Arial"/>
                <w:sz w:val="16"/>
                <w:szCs w:val="16"/>
              </w:rPr>
              <w:t>$</w:t>
            </w:r>
            <w:r>
              <w:rPr>
                <w:rFonts w:ascii="Arial" w:hAnsi="Arial" w:cs="Arial"/>
                <w:sz w:val="16"/>
                <w:szCs w:val="16"/>
              </w:rPr>
              <w:t>4,79</w:t>
            </w:r>
            <w:r>
              <w:rPr>
                <w:rFonts w:ascii="Arial" w:hAnsi="Arial" w:cs="Arial"/>
                <w:sz w:val="16"/>
                <w:szCs w:val="16"/>
              </w:rPr>
              <w:t>1</w:t>
            </w:r>
            <w:r>
              <w:rPr>
                <w:rFonts w:ascii="Arial" w:hAnsi="Arial" w:cs="Arial"/>
                <w:sz w:val="16"/>
                <w:szCs w:val="16"/>
              </w:rPr>
              <w:t xml:space="preserve"> and </w:t>
            </w:r>
            <w:r>
              <w:rPr>
                <w:rFonts w:ascii="Arial" w:hAnsi="Arial" w:cs="Arial"/>
                <w:sz w:val="16"/>
                <w:szCs w:val="16"/>
              </w:rPr>
              <w:t>$</w:t>
            </w:r>
            <w:r>
              <w:rPr>
                <w:rFonts w:ascii="Arial" w:hAnsi="Arial" w:cs="Arial"/>
                <w:sz w:val="16"/>
                <w:szCs w:val="16"/>
              </w:rPr>
              <w:t>3,76</w:t>
            </w:r>
            <w:r>
              <w:rPr>
                <w:rFonts w:ascii="Arial" w:hAnsi="Arial" w:cs="Arial"/>
                <w:sz w:val="16"/>
                <w:szCs w:val="16"/>
              </w:rPr>
              <w:t>0</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2,04</w:t>
            </w:r>
            <w:r>
              <w:rPr>
                <w:rFonts w:ascii="Arial" w:hAnsi="Arial" w:cs="Arial"/>
                <w:sz w:val="16"/>
                <w:szCs w:val="16"/>
              </w:rPr>
              <w:t>4</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1,77</w:t>
            </w:r>
            <w:r>
              <w:rPr>
                <w:rFonts w:ascii="Arial" w:hAnsi="Arial" w:cs="Arial"/>
                <w:sz w:val="16"/>
                <w:szCs w:val="16"/>
              </w:rPr>
              <w:t>2</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6"/>
                <w:szCs w:val="16"/>
              </w:rPr>
            </w:pPr>
            <w:r>
              <w:rPr>
                <w:rFonts w:ascii="Arial" w:hAnsi="Arial" w:cs="Arial"/>
                <w:sz w:val="16"/>
                <w:szCs w:val="16"/>
              </w:rPr>
              <w:t>Capitalized internal-use software development costs, ne</w:t>
            </w:r>
            <w:r>
              <w:rPr>
                <w:rFonts w:ascii="Arial" w:hAnsi="Arial" w:cs="Arial"/>
                <w:sz w:val="16"/>
                <w:szCs w:val="16"/>
              </w:rPr>
              <w:t>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30,88</w:t>
            </w:r>
            <w:r>
              <w:rPr>
                <w:rFonts w:ascii="Arial" w:hAnsi="Arial" w:cs="Arial"/>
                <w:sz w:val="16"/>
                <w:szCs w:val="16"/>
              </w:rPr>
              <w:t>8</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20,96</w:t>
            </w:r>
            <w:r>
              <w:rPr>
                <w:rFonts w:ascii="Arial" w:hAnsi="Arial" w:cs="Arial"/>
                <w:sz w:val="16"/>
                <w:szCs w:val="16"/>
              </w:rPr>
              <w:t>3</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6"/>
                <w:szCs w:val="16"/>
              </w:rPr>
            </w:pPr>
            <w:r>
              <w:rPr>
                <w:rFonts w:ascii="Arial" w:hAnsi="Arial" w:cs="Arial"/>
                <w:sz w:val="16"/>
                <w:szCs w:val="16"/>
              </w:rPr>
              <w:t>Intangible assets, ne</w:t>
            </w:r>
            <w:r>
              <w:rPr>
                <w:rFonts w:ascii="Arial" w:hAnsi="Arial" w:cs="Arial"/>
                <w:sz w:val="16"/>
                <w:szCs w:val="16"/>
              </w:rPr>
              <w:t>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42,08</w:t>
            </w:r>
            <w:r>
              <w:rPr>
                <w:rFonts w:ascii="Arial" w:hAnsi="Arial" w:cs="Arial"/>
                <w:sz w:val="16"/>
                <w:szCs w:val="16"/>
              </w:rPr>
              <w:t>8</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29</w:t>
            </w:r>
            <w:r>
              <w:rPr>
                <w:rFonts w:ascii="Arial" w:hAnsi="Arial" w:cs="Arial"/>
                <w:sz w:val="16"/>
                <w:szCs w:val="16"/>
              </w:rPr>
              <w:t>6</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6"/>
                <w:szCs w:val="16"/>
              </w:rPr>
            </w:pPr>
            <w:r>
              <w:rPr>
                <w:rFonts w:ascii="Arial" w:hAnsi="Arial" w:cs="Arial"/>
                <w:sz w:val="16"/>
                <w:szCs w:val="16"/>
              </w:rPr>
              <w:t>Goodwil</w:t>
            </w:r>
            <w:r>
              <w:rPr>
                <w:rFonts w:ascii="Arial" w:hAnsi="Arial" w:cs="Arial"/>
                <w:sz w:val="16"/>
                <w:szCs w:val="16"/>
              </w:rPr>
              <w:t>l</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129,41</w:t>
            </w:r>
            <w:r>
              <w:rPr>
                <w:rFonts w:ascii="Arial" w:hAnsi="Arial" w:cs="Arial"/>
                <w:sz w:val="16"/>
                <w:szCs w:val="16"/>
              </w:rPr>
              <w:t>3</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13,20</w:t>
            </w:r>
            <w:r>
              <w:rPr>
                <w:rFonts w:ascii="Arial" w:hAnsi="Arial" w:cs="Arial"/>
                <w:sz w:val="16"/>
                <w:szCs w:val="16"/>
              </w:rPr>
              <w:t>5</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6"/>
                <w:szCs w:val="16"/>
              </w:rPr>
            </w:pPr>
            <w:r>
              <w:rPr>
                <w:rFonts w:ascii="Arial" w:hAnsi="Arial" w:cs="Arial"/>
                <w:sz w:val="16"/>
                <w:szCs w:val="16"/>
              </w:rPr>
              <w:t>Operating lease right-of-use asset</w:t>
            </w:r>
            <w:r>
              <w:rPr>
                <w:rFonts w:ascii="Arial" w:hAnsi="Arial" w:cs="Arial"/>
                <w:sz w:val="16"/>
                <w:szCs w:val="16"/>
              </w:rPr>
              <w:t>s</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7,70</w:t>
            </w:r>
            <w:r>
              <w:rPr>
                <w:rFonts w:ascii="Arial" w:hAnsi="Arial" w:cs="Arial"/>
                <w:sz w:val="16"/>
                <w:szCs w:val="16"/>
              </w:rPr>
              <w:t>3</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8,32</w:t>
            </w:r>
            <w:r>
              <w:rPr>
                <w:rFonts w:ascii="Arial" w:hAnsi="Arial" w:cs="Arial"/>
                <w:sz w:val="16"/>
                <w:szCs w:val="16"/>
              </w:rPr>
              <w:t>2</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6"/>
                <w:szCs w:val="16"/>
              </w:rPr>
            </w:pPr>
            <w:r>
              <w:rPr>
                <w:rFonts w:ascii="Arial" w:hAnsi="Arial" w:cs="Arial"/>
                <w:sz w:val="16"/>
                <w:szCs w:val="16"/>
              </w:rPr>
              <w:t>Deferred tax asse</w:t>
            </w:r>
            <w:r>
              <w:rPr>
                <w:rFonts w:ascii="Arial" w:hAnsi="Arial" w:cs="Arial"/>
                <w:sz w:val="16"/>
                <w:szCs w:val="16"/>
              </w:rPr>
              <w:t>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16</w:t>
            </w:r>
            <w:r>
              <w:rPr>
                <w:rFonts w:ascii="Arial" w:hAnsi="Arial" w:cs="Arial"/>
                <w:sz w:val="16"/>
                <w:szCs w:val="16"/>
              </w:rPr>
              <w:t>3</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27</w:t>
            </w:r>
            <w:r>
              <w:rPr>
                <w:rFonts w:ascii="Arial" w:hAnsi="Arial" w:cs="Arial"/>
                <w:sz w:val="16"/>
                <w:szCs w:val="16"/>
              </w:rPr>
              <w:t>0</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6"/>
                <w:szCs w:val="16"/>
              </w:rPr>
            </w:pPr>
            <w:r>
              <w:rPr>
                <w:rFonts w:ascii="Arial" w:hAnsi="Arial" w:cs="Arial"/>
                <w:sz w:val="16"/>
                <w:szCs w:val="16"/>
              </w:rPr>
              <w:t>Other long-term asset</w:t>
            </w:r>
            <w:r>
              <w:rPr>
                <w:rFonts w:ascii="Arial" w:hAnsi="Arial" w:cs="Arial"/>
                <w:sz w:val="16"/>
                <w:szCs w:val="16"/>
              </w:rPr>
              <w:t>s</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4,20</w:t>
            </w:r>
            <w:r>
              <w:rPr>
                <w:rFonts w:ascii="Arial" w:hAnsi="Arial" w:cs="Arial"/>
                <w:sz w:val="16"/>
                <w:szCs w:val="16"/>
              </w:rPr>
              <w:t>7</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21</w:t>
            </w:r>
            <w:r>
              <w:rPr>
                <w:rFonts w:ascii="Arial" w:hAnsi="Arial" w:cs="Arial"/>
                <w:sz w:val="16"/>
                <w:szCs w:val="16"/>
              </w:rPr>
              <w:t>8</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400"/>
              <w:rPr>
                <w:sz w:val="16"/>
                <w:szCs w:val="16"/>
              </w:rPr>
            </w:pPr>
            <w:r>
              <w:rPr>
                <w:rFonts w:ascii="Arial" w:hAnsi="Arial" w:cs="Arial"/>
                <w:sz w:val="16"/>
                <w:szCs w:val="16"/>
              </w:rPr>
              <w:t>Total asset</w:t>
            </w:r>
            <w:r>
              <w:rPr>
                <w:rFonts w:ascii="Arial" w:hAnsi="Arial" w:cs="Arial"/>
                <w:sz w:val="16"/>
                <w:szCs w:val="16"/>
              </w:rPr>
              <w:t>s</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472,94</w:t>
            </w:r>
            <w:r>
              <w:rPr>
                <w:rFonts w:ascii="Arial" w:hAnsi="Arial" w:cs="Arial"/>
                <w:sz w:val="16"/>
                <w:szCs w:val="16"/>
              </w:rPr>
              <w:t>2</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124,87</w:t>
            </w:r>
            <w:r>
              <w:rPr>
                <w:rFonts w:ascii="Arial" w:hAnsi="Arial" w:cs="Arial"/>
                <w:sz w:val="16"/>
                <w:szCs w:val="16"/>
              </w:rPr>
              <w:t>4</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6"/>
                <w:szCs w:val="16"/>
              </w:rPr>
            </w:pPr>
            <w:r>
              <w:rPr>
                <w:rFonts w:ascii="Arial" w:hAnsi="Arial" w:cs="Arial"/>
                <w:b/>
                <w:bCs/>
                <w:sz w:val="16"/>
                <w:szCs w:val="16"/>
              </w:rPr>
              <w:t>Liabilities and Stockholders’ Equit</w:t>
            </w:r>
            <w:r>
              <w:rPr>
                <w:rFonts w:ascii="Arial" w:hAnsi="Arial" w:cs="Arial"/>
                <w:b/>
                <w:bCs/>
                <w:sz w:val="16"/>
                <w:szCs w:val="16"/>
              </w:rPr>
              <w:t>y</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6"/>
                <w:szCs w:val="16"/>
              </w:rPr>
            </w:pPr>
            <w:r>
              <w:rPr>
                <w:rFonts w:ascii="Arial" w:hAnsi="Arial" w:cs="Arial"/>
                <w:sz w:val="16"/>
                <w:szCs w:val="16"/>
              </w:rPr>
              <w:t>Current liabilitie</w:t>
            </w:r>
            <w:r>
              <w:rPr>
                <w:rFonts w:ascii="Arial" w:hAnsi="Arial" w:cs="Arial"/>
                <w:sz w:val="16"/>
                <w:szCs w:val="16"/>
              </w:rPr>
              <w:t>s</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6"/>
                <w:szCs w:val="16"/>
              </w:rPr>
            </w:pPr>
            <w:r>
              <w:rPr>
                <w:rFonts w:ascii="Arial" w:hAnsi="Arial" w:cs="Arial"/>
                <w:sz w:val="16"/>
                <w:szCs w:val="16"/>
              </w:rPr>
              <w:t>Accounts payabl</w:t>
            </w:r>
            <w:r>
              <w:rPr>
                <w:rFonts w:ascii="Arial" w:hAnsi="Arial" w:cs="Arial"/>
                <w:sz w:val="16"/>
                <w:szCs w:val="16"/>
              </w:rPr>
              <w:t>e</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24,74</w:t>
            </w:r>
            <w:r>
              <w:rPr>
                <w:rFonts w:ascii="Arial" w:hAnsi="Arial" w:cs="Arial"/>
                <w:sz w:val="16"/>
                <w:szCs w:val="16"/>
              </w:rPr>
              <w:t>8</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16,82</w:t>
            </w:r>
            <w:r>
              <w:rPr>
                <w:rFonts w:ascii="Arial" w:hAnsi="Arial" w:cs="Arial"/>
                <w:sz w:val="16"/>
                <w:szCs w:val="16"/>
              </w:rPr>
              <w:t>5</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6"/>
                <w:szCs w:val="16"/>
              </w:rPr>
            </w:pPr>
            <w:r>
              <w:rPr>
                <w:rFonts w:ascii="Arial" w:hAnsi="Arial" w:cs="Arial"/>
                <w:sz w:val="16"/>
                <w:szCs w:val="16"/>
              </w:rPr>
              <w:t>Accrued liabilitie</w:t>
            </w:r>
            <w:r>
              <w:rPr>
                <w:rFonts w:ascii="Arial" w:hAnsi="Arial" w:cs="Arial"/>
                <w:sz w:val="16"/>
                <w:szCs w:val="16"/>
              </w:rPr>
              <w:t>s</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12,49</w:t>
            </w:r>
            <w:r>
              <w:rPr>
                <w:rFonts w:ascii="Arial" w:hAnsi="Arial" w:cs="Arial"/>
                <w:sz w:val="16"/>
                <w:szCs w:val="16"/>
              </w:rPr>
              <w:t>1</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10,20</w:t>
            </w:r>
            <w:r>
              <w:rPr>
                <w:rFonts w:ascii="Arial" w:hAnsi="Arial" w:cs="Arial"/>
                <w:sz w:val="16"/>
                <w:szCs w:val="16"/>
              </w:rPr>
              <w:t>1</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6"/>
                <w:szCs w:val="16"/>
              </w:rPr>
            </w:pPr>
            <w:r>
              <w:rPr>
                <w:rFonts w:ascii="Arial" w:hAnsi="Arial" w:cs="Arial"/>
                <w:sz w:val="16"/>
                <w:szCs w:val="16"/>
              </w:rPr>
              <w:t>Financial institution funds in-transi</w:t>
            </w:r>
            <w:r>
              <w:rPr>
                <w:rFonts w:ascii="Arial" w:hAnsi="Arial" w:cs="Arial"/>
                <w:sz w:val="16"/>
                <w:szCs w:val="16"/>
              </w:rPr>
              <w:t>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33,44</w:t>
            </w:r>
            <w:r>
              <w:rPr>
                <w:rFonts w:ascii="Arial" w:hAnsi="Arial" w:cs="Arial"/>
                <w:sz w:val="16"/>
                <w:szCs w:val="16"/>
              </w:rPr>
              <w:t>3</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6"/>
                <w:szCs w:val="16"/>
              </w:rPr>
            </w:pPr>
            <w:r>
              <w:rPr>
                <w:rFonts w:ascii="Arial" w:hAnsi="Arial" w:cs="Arial"/>
                <w:sz w:val="16"/>
                <w:szCs w:val="16"/>
              </w:rPr>
              <w:t>Operating lease liabilitie</w:t>
            </w:r>
            <w:r>
              <w:rPr>
                <w:rFonts w:ascii="Arial" w:hAnsi="Arial" w:cs="Arial"/>
                <w:sz w:val="16"/>
                <w:szCs w:val="16"/>
              </w:rPr>
              <w:t>s</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1,45</w:t>
            </w:r>
            <w:r>
              <w:rPr>
                <w:rFonts w:ascii="Arial" w:hAnsi="Arial" w:cs="Arial"/>
                <w:sz w:val="16"/>
                <w:szCs w:val="16"/>
              </w:rPr>
              <w:t>6</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3,01</w:t>
            </w:r>
            <w:r>
              <w:rPr>
                <w:rFonts w:ascii="Arial" w:hAnsi="Arial" w:cs="Arial"/>
                <w:sz w:val="16"/>
                <w:szCs w:val="16"/>
              </w:rPr>
              <w:t>0</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6"/>
                <w:szCs w:val="16"/>
              </w:rPr>
            </w:pPr>
            <w:r>
              <w:rPr>
                <w:rFonts w:ascii="Arial" w:hAnsi="Arial" w:cs="Arial"/>
                <w:sz w:val="16"/>
                <w:szCs w:val="16"/>
              </w:rPr>
              <w:t>Contract liabilitie</w:t>
            </w:r>
            <w:r>
              <w:rPr>
                <w:rFonts w:ascii="Arial" w:hAnsi="Arial" w:cs="Arial"/>
                <w:sz w:val="16"/>
                <w:szCs w:val="16"/>
              </w:rPr>
              <w:t>s</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2,17</w:t>
            </w:r>
            <w:r>
              <w:rPr>
                <w:rFonts w:ascii="Arial" w:hAnsi="Arial" w:cs="Arial"/>
                <w:sz w:val="16"/>
                <w:szCs w:val="16"/>
              </w:rPr>
              <w:t>3</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61</w:t>
            </w:r>
            <w:r>
              <w:rPr>
                <w:rFonts w:ascii="Arial" w:hAnsi="Arial" w:cs="Arial"/>
                <w:sz w:val="16"/>
                <w:szCs w:val="16"/>
              </w:rPr>
              <w:t>2</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6"/>
                <w:szCs w:val="16"/>
              </w:rPr>
            </w:pPr>
            <w:r>
              <w:rPr>
                <w:rFonts w:ascii="Arial" w:hAnsi="Arial" w:cs="Arial"/>
                <w:sz w:val="16"/>
                <w:szCs w:val="16"/>
              </w:rPr>
              <w:t>Income tax payabl</w:t>
            </w:r>
            <w:r>
              <w:rPr>
                <w:rFonts w:ascii="Arial" w:hAnsi="Arial" w:cs="Arial"/>
                <w:sz w:val="16"/>
                <w:szCs w:val="16"/>
              </w:rPr>
              <w:t>e</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12</w:t>
            </w:r>
            <w:r>
              <w:rPr>
                <w:rFonts w:ascii="Arial" w:hAnsi="Arial" w:cs="Arial"/>
                <w:sz w:val="16"/>
                <w:szCs w:val="16"/>
              </w:rPr>
              <w:t>2</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46</w:t>
            </w:r>
            <w:r>
              <w:rPr>
                <w:rFonts w:ascii="Arial" w:hAnsi="Arial" w:cs="Arial"/>
                <w:sz w:val="16"/>
                <w:szCs w:val="16"/>
              </w:rPr>
              <w:t>3</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400"/>
              <w:rPr>
                <w:sz w:val="16"/>
                <w:szCs w:val="16"/>
              </w:rPr>
            </w:pPr>
            <w:r>
              <w:rPr>
                <w:rFonts w:ascii="Arial" w:hAnsi="Arial" w:cs="Arial"/>
                <w:sz w:val="16"/>
                <w:szCs w:val="16"/>
              </w:rPr>
              <w:t>Total current liabilitie</w:t>
            </w:r>
            <w:r>
              <w:rPr>
                <w:rFonts w:ascii="Arial" w:hAnsi="Arial" w:cs="Arial"/>
                <w:sz w:val="16"/>
                <w:szCs w:val="16"/>
              </w:rPr>
              <w:t>s</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74,43</w:t>
            </w:r>
            <w:r>
              <w:rPr>
                <w:rFonts w:ascii="Arial" w:hAnsi="Arial" w:cs="Arial"/>
                <w:sz w:val="16"/>
                <w:szCs w:val="16"/>
              </w:rPr>
              <w:t>3</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31,11</w:t>
            </w:r>
            <w:r>
              <w:rPr>
                <w:rFonts w:ascii="Arial" w:hAnsi="Arial" w:cs="Arial"/>
                <w:sz w:val="16"/>
                <w:szCs w:val="16"/>
              </w:rPr>
              <w:t>1</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6"/>
                <w:szCs w:val="16"/>
              </w:rPr>
            </w:pPr>
            <w:r>
              <w:rPr>
                <w:rFonts w:ascii="Arial" w:hAnsi="Arial" w:cs="Arial"/>
                <w:sz w:val="16"/>
                <w:szCs w:val="16"/>
              </w:rPr>
              <w:t>Deferred tax liabilit</w:t>
            </w:r>
            <w:r>
              <w:rPr>
                <w:rFonts w:ascii="Arial" w:hAnsi="Arial" w:cs="Arial"/>
                <w:sz w:val="16"/>
                <w:szCs w:val="16"/>
              </w:rPr>
              <w:t>y</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3,31</w:t>
            </w:r>
            <w:r>
              <w:rPr>
                <w:rFonts w:ascii="Arial" w:hAnsi="Arial" w:cs="Arial"/>
                <w:sz w:val="16"/>
                <w:szCs w:val="16"/>
              </w:rPr>
              <w:t>8</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3,49</w:t>
            </w:r>
            <w:r>
              <w:rPr>
                <w:rFonts w:ascii="Arial" w:hAnsi="Arial" w:cs="Arial"/>
                <w:sz w:val="16"/>
                <w:szCs w:val="16"/>
              </w:rPr>
              <w:t>9</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6"/>
                <w:szCs w:val="16"/>
              </w:rPr>
            </w:pPr>
            <w:r>
              <w:rPr>
                <w:rFonts w:ascii="Arial" w:hAnsi="Arial" w:cs="Arial"/>
                <w:sz w:val="16"/>
                <w:szCs w:val="16"/>
              </w:rPr>
              <w:t>Operating leases, net of current portio</w:t>
            </w:r>
            <w:r>
              <w:rPr>
                <w:rFonts w:ascii="Arial" w:hAnsi="Arial" w:cs="Arial"/>
                <w:sz w:val="16"/>
                <w:szCs w:val="16"/>
              </w:rPr>
              <w:t>n</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6,46</w:t>
            </w:r>
            <w:r>
              <w:rPr>
                <w:rFonts w:ascii="Arial" w:hAnsi="Arial" w:cs="Arial"/>
                <w:sz w:val="16"/>
                <w:szCs w:val="16"/>
              </w:rPr>
              <w:t>3</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5,47</w:t>
            </w:r>
            <w:r>
              <w:rPr>
                <w:rFonts w:ascii="Arial" w:hAnsi="Arial" w:cs="Arial"/>
                <w:sz w:val="16"/>
                <w:szCs w:val="16"/>
              </w:rPr>
              <w:t>6</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6"/>
                <w:szCs w:val="16"/>
              </w:rPr>
            </w:pPr>
            <w:r>
              <w:rPr>
                <w:rFonts w:ascii="Arial" w:hAnsi="Arial" w:cs="Arial"/>
                <w:sz w:val="16"/>
                <w:szCs w:val="16"/>
              </w:rPr>
              <w:t>Contract liabilities, net of current portio</w:t>
            </w:r>
            <w:r>
              <w:rPr>
                <w:rFonts w:ascii="Arial" w:hAnsi="Arial" w:cs="Arial"/>
                <w:sz w:val="16"/>
                <w:szCs w:val="16"/>
              </w:rPr>
              <w:t>n</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1,71</w:t>
            </w:r>
            <w:r>
              <w:rPr>
                <w:rFonts w:ascii="Arial" w:hAnsi="Arial" w:cs="Arial"/>
                <w:sz w:val="16"/>
                <w:szCs w:val="16"/>
              </w:rPr>
              <w:t>3</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6"/>
                <w:szCs w:val="16"/>
              </w:rPr>
            </w:pPr>
            <w:r>
              <w:rPr>
                <w:rFonts w:ascii="Arial" w:hAnsi="Arial" w:cs="Arial"/>
                <w:sz w:val="16"/>
                <w:szCs w:val="16"/>
              </w:rPr>
              <w:t>Finance leases and other finance obligations, net of current portio</w:t>
            </w:r>
            <w:r>
              <w:rPr>
                <w:rFonts w:ascii="Arial" w:hAnsi="Arial" w:cs="Arial"/>
                <w:sz w:val="16"/>
                <w:szCs w:val="16"/>
              </w:rPr>
              <w:t>n</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88</w:t>
            </w:r>
            <w:r>
              <w:rPr>
                <w:rFonts w:ascii="Arial" w:hAnsi="Arial" w:cs="Arial"/>
                <w:sz w:val="16"/>
                <w:szCs w:val="16"/>
              </w:rPr>
              <w:t>3</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41</w:t>
            </w:r>
            <w:r>
              <w:rPr>
                <w:rFonts w:ascii="Arial" w:hAnsi="Arial" w:cs="Arial"/>
                <w:sz w:val="16"/>
                <w:szCs w:val="16"/>
              </w:rPr>
              <w:t>2</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400"/>
              <w:rPr>
                <w:sz w:val="16"/>
                <w:szCs w:val="16"/>
              </w:rPr>
            </w:pPr>
            <w:r>
              <w:rPr>
                <w:rFonts w:ascii="Arial" w:hAnsi="Arial" w:cs="Arial"/>
                <w:sz w:val="16"/>
                <w:szCs w:val="16"/>
              </w:rPr>
              <w:t>Total liabilitie</w:t>
            </w:r>
            <w:r>
              <w:rPr>
                <w:rFonts w:ascii="Arial" w:hAnsi="Arial" w:cs="Arial"/>
                <w:sz w:val="16"/>
                <w:szCs w:val="16"/>
              </w:rPr>
              <w:t>s</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86,81</w:t>
            </w:r>
            <w:r>
              <w:rPr>
                <w:rFonts w:ascii="Arial" w:hAnsi="Arial" w:cs="Arial"/>
                <w:sz w:val="16"/>
                <w:szCs w:val="16"/>
              </w:rPr>
              <w:t>0</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40,49</w:t>
            </w:r>
            <w:r>
              <w:rPr>
                <w:rFonts w:ascii="Arial" w:hAnsi="Arial" w:cs="Arial"/>
                <w:sz w:val="16"/>
                <w:szCs w:val="16"/>
              </w:rPr>
              <w:t>8</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20"/>
                <w:szCs w:val="20"/>
              </w:rPr>
            </w:pPr>
            <w:r>
              <w:rPr>
                <w:rFonts w:ascii="Arial" w:hAnsi="Arial" w:cs="Arial"/>
                <w:sz w:val="16"/>
                <w:szCs w:val="16"/>
              </w:rPr>
              <w:t>Commitments and contingencies (Note 9</w:t>
            </w: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6"/>
                <w:szCs w:val="16"/>
              </w:rPr>
            </w:pPr>
            <w:r>
              <w:rPr>
                <w:rFonts w:ascii="Arial" w:hAnsi="Arial" w:cs="Arial"/>
                <w:sz w:val="16"/>
                <w:szCs w:val="16"/>
              </w:rPr>
              <w:t>Stockholders’ equit</w:t>
            </w:r>
            <w:r>
              <w:rPr>
                <w:rFonts w:ascii="Arial" w:hAnsi="Arial" w:cs="Arial"/>
                <w:sz w:val="16"/>
                <w:szCs w:val="16"/>
              </w:rPr>
              <w:t>y</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20"/>
                <w:szCs w:val="20"/>
              </w:rPr>
            </w:pPr>
            <w:r>
              <w:rPr>
                <w:rFonts w:ascii="Arial" w:hAnsi="Arial" w:cs="Arial"/>
                <w:sz w:val="16"/>
                <w:szCs w:val="16"/>
              </w:rPr>
              <w:t xml:space="preserve">Preferred stock, </w:t>
            </w:r>
            <w:r>
              <w:rPr>
                <w:rFonts w:ascii="Arial" w:hAnsi="Arial" w:cs="Arial"/>
                <w:sz w:val="16"/>
                <w:szCs w:val="16"/>
              </w:rPr>
              <w:t>$</w:t>
            </w:r>
            <w:r>
              <w:rPr>
                <w:rFonts w:ascii="Arial" w:hAnsi="Arial" w:cs="Arial"/>
                <w:sz w:val="16"/>
                <w:szCs w:val="16"/>
              </w:rPr>
              <w:t>0.000</w:t>
            </w:r>
            <w:r>
              <w:rPr>
                <w:rFonts w:ascii="Arial" w:hAnsi="Arial" w:cs="Arial"/>
                <w:sz w:val="16"/>
                <w:szCs w:val="16"/>
              </w:rPr>
              <w:t>1</w:t>
            </w:r>
            <w:r>
              <w:rPr>
                <w:rFonts w:ascii="Arial" w:hAnsi="Arial" w:cs="Arial"/>
                <w:sz w:val="16"/>
                <w:szCs w:val="16"/>
              </w:rPr>
              <w:t> par value per share,</w:t>
            </w:r>
            <w:r>
              <w:rPr>
                <w:rFonts w:ascii="Arial" w:hAnsi="Arial" w:cs="Arial"/>
                <w:sz w:val="16"/>
                <w:szCs w:val="16"/>
              </w:rPr>
              <w:t xml:space="preserve"> </w:t>
            </w:r>
            <w:r>
              <w:rPr>
                <w:rFonts w:ascii="Arial" w:hAnsi="Arial" w:cs="Arial"/>
                <w:sz w:val="16"/>
                <w:szCs w:val="16"/>
              </w:rPr>
              <w:t>5,000,00</w:t>
            </w:r>
            <w:r>
              <w:rPr>
                <w:rFonts w:ascii="Arial" w:hAnsi="Arial" w:cs="Arial"/>
                <w:sz w:val="16"/>
                <w:szCs w:val="16"/>
              </w:rPr>
              <w:t>0</w:t>
            </w:r>
            <w:r>
              <w:rPr>
                <w:rFonts w:ascii="Arial" w:hAnsi="Arial" w:cs="Arial"/>
                <w:sz w:val="16"/>
                <w:szCs w:val="16"/>
              </w:rPr>
              <w:t> and</w:t>
            </w:r>
            <w:r>
              <w:rPr>
                <w:rFonts w:ascii="Arial" w:hAnsi="Arial" w:cs="Arial"/>
                <w:sz w:val="16"/>
                <w:szCs w:val="16"/>
              </w:rPr>
              <w:t xml:space="preserve"> </w:t>
            </w:r>
            <w:r>
              <w:rPr>
                <w:rFonts w:ascii="Arial" w:hAnsi="Arial" w:cs="Arial"/>
                <w:sz w:val="16"/>
                <w:szCs w:val="16"/>
              </w:rPr>
              <w:t>zer</w:t>
            </w:r>
            <w:r>
              <w:rPr>
                <w:rFonts w:ascii="Arial" w:hAnsi="Arial" w:cs="Arial"/>
                <w:sz w:val="16"/>
                <w:szCs w:val="16"/>
              </w:rPr>
              <w:t>o</w:t>
            </w:r>
            <w:r>
              <w:rPr>
                <w:rFonts w:ascii="Arial" w:hAnsi="Arial" w:cs="Arial"/>
                <w:sz w:val="16"/>
                <w:szCs w:val="16"/>
              </w:rPr>
              <w:t> shares authorized as of December 31, 2021 and 2020, respectively,</w:t>
            </w:r>
            <w:r>
              <w:rPr>
                <w:rFonts w:ascii="Arial" w:hAnsi="Arial" w:cs="Arial"/>
                <w:sz w:val="16"/>
                <w:szCs w:val="16"/>
              </w:rPr>
              <w:t xml:space="preserve"> </w:t>
            </w:r>
            <w:r>
              <w:rPr>
                <w:rFonts w:ascii="Arial" w:hAnsi="Arial" w:cs="Arial"/>
                <w:sz w:val="16"/>
                <w:szCs w:val="16"/>
              </w:rPr>
              <w:t>n</w:t>
            </w:r>
            <w:r>
              <w:rPr>
                <w:rFonts w:ascii="Arial" w:hAnsi="Arial" w:cs="Arial"/>
                <w:sz w:val="16"/>
                <w:szCs w:val="16"/>
              </w:rPr>
              <w:t>o</w:t>
            </w:r>
            <w:r>
              <w:rPr>
                <w:rFonts w:ascii="Arial" w:hAnsi="Arial" w:cs="Arial"/>
                <w:sz w:val="16"/>
                <w:szCs w:val="16"/>
              </w:rPr>
              <w:t>ne issued and outstanding as of December 31, 2021 and 2020, respectivel</w:t>
            </w:r>
            <w:r>
              <w:rPr>
                <w:rFonts w:ascii="Arial" w:hAnsi="Arial" w:cs="Arial"/>
                <w:sz w:val="16"/>
                <w:szCs w:val="16"/>
              </w:rPr>
              <w:t>y</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20"/>
                <w:szCs w:val="20"/>
              </w:rPr>
            </w:pPr>
            <w:r>
              <w:rPr>
                <w:rFonts w:ascii="Arial" w:hAnsi="Arial" w:cs="Arial"/>
                <w:sz w:val="16"/>
                <w:szCs w:val="16"/>
              </w:rPr>
              <w:t xml:space="preserve">Class A common stock, </w:t>
            </w:r>
            <w:r>
              <w:rPr>
                <w:rFonts w:ascii="Arial" w:hAnsi="Arial" w:cs="Arial"/>
                <w:sz w:val="16"/>
                <w:szCs w:val="16"/>
              </w:rPr>
              <w:t>$</w:t>
            </w:r>
            <w:r>
              <w:rPr>
                <w:rFonts w:ascii="Arial" w:hAnsi="Arial" w:cs="Arial"/>
                <w:sz w:val="16"/>
                <w:szCs w:val="16"/>
              </w:rPr>
              <w:t>0.000</w:t>
            </w:r>
            <w:r>
              <w:rPr>
                <w:rFonts w:ascii="Arial" w:hAnsi="Arial" w:cs="Arial"/>
                <w:sz w:val="16"/>
                <w:szCs w:val="16"/>
              </w:rPr>
              <w:t>1</w:t>
            </w:r>
            <w:r>
              <w:rPr>
                <w:rFonts w:ascii="Arial" w:hAnsi="Arial" w:cs="Arial"/>
                <w:sz w:val="16"/>
                <w:szCs w:val="16"/>
              </w:rPr>
              <w:t> par</w:t>
            </w:r>
            <w:r>
              <w:rPr>
                <w:rFonts w:ascii="Arial" w:hAnsi="Arial" w:cs="Arial"/>
                <w:sz w:val="16"/>
                <w:szCs w:val="16"/>
              </w:rPr>
              <w:t xml:space="preserve"> value per share,</w:t>
            </w:r>
            <w:r>
              <w:rPr>
                <w:rFonts w:ascii="Arial" w:hAnsi="Arial" w:cs="Arial"/>
                <w:sz w:val="16"/>
                <w:szCs w:val="16"/>
              </w:rPr>
              <w:t xml:space="preserve"> </w:t>
            </w:r>
            <w:r>
              <w:rPr>
                <w:rFonts w:ascii="Arial" w:hAnsi="Arial" w:cs="Arial"/>
                <w:sz w:val="16"/>
                <w:szCs w:val="16"/>
              </w:rPr>
              <w:t>883,950,00</w:t>
            </w:r>
            <w:r>
              <w:rPr>
                <w:rFonts w:ascii="Arial" w:hAnsi="Arial" w:cs="Arial"/>
                <w:sz w:val="16"/>
                <w:szCs w:val="16"/>
              </w:rPr>
              <w:t>0</w:t>
            </w:r>
            <w:r>
              <w:rPr>
                <w:rFonts w:ascii="Arial" w:hAnsi="Arial" w:cs="Arial"/>
                <w:sz w:val="16"/>
                <w:szCs w:val="16"/>
              </w:rPr>
              <w:t> and</w:t>
            </w:r>
            <w:r>
              <w:rPr>
                <w:rFonts w:ascii="Arial" w:hAnsi="Arial" w:cs="Arial"/>
                <w:sz w:val="16"/>
                <w:szCs w:val="16"/>
              </w:rPr>
              <w:t xml:space="preserve"> </w:t>
            </w:r>
            <w:r>
              <w:rPr>
                <w:rFonts w:ascii="Arial" w:hAnsi="Arial" w:cs="Arial"/>
                <w:sz w:val="16"/>
                <w:szCs w:val="16"/>
              </w:rPr>
              <w:t>zer</w:t>
            </w:r>
            <w:r>
              <w:rPr>
                <w:rFonts w:ascii="Arial" w:hAnsi="Arial" w:cs="Arial"/>
                <w:sz w:val="16"/>
                <w:szCs w:val="16"/>
              </w:rPr>
              <w:t>o</w:t>
            </w:r>
            <w:r>
              <w:rPr>
                <w:rFonts w:ascii="Arial" w:hAnsi="Arial" w:cs="Arial"/>
                <w:sz w:val="16"/>
                <w:szCs w:val="16"/>
              </w:rPr>
              <w:t> shares authorized as of December 31, 2021 and 2020, respectively;</w:t>
            </w:r>
            <w:r>
              <w:rPr>
                <w:rFonts w:ascii="Arial" w:hAnsi="Arial" w:cs="Arial"/>
                <w:sz w:val="16"/>
                <w:szCs w:val="16"/>
              </w:rPr>
              <w:t xml:space="preserve"> </w:t>
            </w:r>
            <w:r>
              <w:rPr>
                <w:rFonts w:ascii="Arial" w:hAnsi="Arial" w:cs="Arial"/>
                <w:sz w:val="16"/>
                <w:szCs w:val="16"/>
              </w:rPr>
              <w:t>17,251,07</w:t>
            </w:r>
            <w:r>
              <w:rPr>
                <w:rFonts w:ascii="Arial" w:hAnsi="Arial" w:cs="Arial"/>
                <w:sz w:val="16"/>
                <w:szCs w:val="16"/>
              </w:rPr>
              <w:t>9</w:t>
            </w:r>
            <w:r>
              <w:rPr>
                <w:rFonts w:ascii="Arial" w:hAnsi="Arial" w:cs="Arial"/>
                <w:sz w:val="16"/>
                <w:szCs w:val="16"/>
              </w:rPr>
              <w:t> and</w:t>
            </w:r>
            <w:r>
              <w:rPr>
                <w:rFonts w:ascii="Arial" w:hAnsi="Arial" w:cs="Arial"/>
                <w:sz w:val="16"/>
                <w:szCs w:val="16"/>
              </w:rPr>
              <w:t xml:space="preserve"> </w:t>
            </w:r>
            <w:r>
              <w:rPr>
                <w:rFonts w:ascii="Arial" w:hAnsi="Arial" w:cs="Arial"/>
                <w:sz w:val="16"/>
                <w:szCs w:val="16"/>
              </w:rPr>
              <w:t>zer</w:t>
            </w:r>
            <w:r>
              <w:rPr>
                <w:rFonts w:ascii="Arial" w:hAnsi="Arial" w:cs="Arial"/>
                <w:sz w:val="16"/>
                <w:szCs w:val="16"/>
              </w:rPr>
              <w:t>o</w:t>
            </w:r>
            <w:r>
              <w:rPr>
                <w:rFonts w:ascii="Arial" w:hAnsi="Arial" w:cs="Arial"/>
                <w:sz w:val="16"/>
                <w:szCs w:val="16"/>
              </w:rPr>
              <w:t> shares issued and outstanding as of December 31, 2021 and 2020, respectivel</w:t>
            </w:r>
            <w:r>
              <w:rPr>
                <w:rFonts w:ascii="Arial" w:hAnsi="Arial" w:cs="Arial"/>
                <w:sz w:val="16"/>
                <w:szCs w:val="16"/>
              </w:rPr>
              <w:t>y</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20"/>
                <w:szCs w:val="20"/>
              </w:rPr>
            </w:pPr>
            <w:r>
              <w:rPr>
                <w:rFonts w:ascii="Arial" w:hAnsi="Arial" w:cs="Arial"/>
                <w:sz w:val="16"/>
                <w:szCs w:val="16"/>
              </w:rPr>
              <w:t xml:space="preserve">Class B common stock, </w:t>
            </w:r>
            <w:r>
              <w:rPr>
                <w:rFonts w:ascii="Arial" w:hAnsi="Arial" w:cs="Arial"/>
                <w:sz w:val="16"/>
                <w:szCs w:val="16"/>
              </w:rPr>
              <w:t>$</w:t>
            </w:r>
            <w:r>
              <w:rPr>
                <w:rFonts w:ascii="Arial" w:hAnsi="Arial" w:cs="Arial"/>
                <w:sz w:val="16"/>
                <w:szCs w:val="16"/>
              </w:rPr>
              <w:t>0.000</w:t>
            </w:r>
            <w:r>
              <w:rPr>
                <w:rFonts w:ascii="Arial" w:hAnsi="Arial" w:cs="Arial"/>
                <w:sz w:val="16"/>
                <w:szCs w:val="16"/>
              </w:rPr>
              <w:t>1</w:t>
            </w:r>
            <w:r>
              <w:rPr>
                <w:rFonts w:ascii="Arial" w:hAnsi="Arial" w:cs="Arial"/>
                <w:sz w:val="16"/>
                <w:szCs w:val="16"/>
              </w:rPr>
              <w:t> par val</w:t>
            </w:r>
            <w:r>
              <w:rPr>
                <w:rFonts w:ascii="Arial" w:hAnsi="Arial" w:cs="Arial"/>
                <w:sz w:val="16"/>
                <w:szCs w:val="16"/>
              </w:rPr>
              <w:t>ue per share,</w:t>
            </w:r>
            <w:r>
              <w:rPr>
                <w:rFonts w:ascii="Arial" w:hAnsi="Arial" w:cs="Arial"/>
                <w:sz w:val="16"/>
                <w:szCs w:val="16"/>
              </w:rPr>
              <w:t xml:space="preserve"> </w:t>
            </w:r>
            <w:r>
              <w:rPr>
                <w:rFonts w:ascii="Arial" w:hAnsi="Arial" w:cs="Arial"/>
                <w:sz w:val="16"/>
                <w:szCs w:val="16"/>
              </w:rPr>
              <w:t>111,050,00</w:t>
            </w:r>
            <w:r>
              <w:rPr>
                <w:rFonts w:ascii="Arial" w:hAnsi="Arial" w:cs="Arial"/>
                <w:sz w:val="16"/>
                <w:szCs w:val="16"/>
              </w:rPr>
              <w:t>0</w:t>
            </w:r>
            <w:r>
              <w:rPr>
                <w:rFonts w:ascii="Arial" w:hAnsi="Arial" w:cs="Arial"/>
                <w:sz w:val="16"/>
                <w:szCs w:val="16"/>
              </w:rPr>
              <w:t> and</w:t>
            </w:r>
            <w:r>
              <w:rPr>
                <w:rFonts w:ascii="Arial" w:hAnsi="Arial" w:cs="Arial"/>
                <w:sz w:val="16"/>
                <w:szCs w:val="16"/>
              </w:rPr>
              <w:t xml:space="preserve"> </w:t>
            </w:r>
            <w:r>
              <w:rPr>
                <w:rFonts w:ascii="Arial" w:hAnsi="Arial" w:cs="Arial"/>
                <w:sz w:val="16"/>
                <w:szCs w:val="16"/>
              </w:rPr>
              <w:t>zer</w:t>
            </w:r>
            <w:r>
              <w:rPr>
                <w:rFonts w:ascii="Arial" w:hAnsi="Arial" w:cs="Arial"/>
                <w:sz w:val="16"/>
                <w:szCs w:val="16"/>
              </w:rPr>
              <w:t>o</w:t>
            </w:r>
            <w:r>
              <w:rPr>
                <w:rFonts w:ascii="Arial" w:hAnsi="Arial" w:cs="Arial"/>
                <w:sz w:val="16"/>
                <w:szCs w:val="16"/>
              </w:rPr>
              <w:t> shares authorized as of December 31, 2021 and 2020, respectively;</w:t>
            </w:r>
            <w:r>
              <w:rPr>
                <w:rFonts w:ascii="Arial" w:hAnsi="Arial" w:cs="Arial"/>
                <w:sz w:val="16"/>
                <w:szCs w:val="16"/>
              </w:rPr>
              <w:t xml:space="preserve"> </w:t>
            </w:r>
            <w:r>
              <w:rPr>
                <w:rFonts w:ascii="Arial" w:hAnsi="Arial" w:cs="Arial"/>
                <w:sz w:val="16"/>
                <w:szCs w:val="16"/>
              </w:rPr>
              <w:t>103,388,08</w:t>
            </w:r>
            <w:r>
              <w:rPr>
                <w:rFonts w:ascii="Arial" w:hAnsi="Arial" w:cs="Arial"/>
                <w:sz w:val="16"/>
                <w:szCs w:val="16"/>
              </w:rPr>
              <w:t>2</w:t>
            </w:r>
            <w:r>
              <w:rPr>
                <w:rFonts w:ascii="Arial" w:hAnsi="Arial" w:cs="Arial"/>
                <w:sz w:val="16"/>
                <w:szCs w:val="16"/>
              </w:rPr>
              <w:t> and</w:t>
            </w:r>
            <w:r>
              <w:rPr>
                <w:rFonts w:ascii="Arial" w:hAnsi="Arial" w:cs="Arial"/>
                <w:sz w:val="16"/>
                <w:szCs w:val="16"/>
              </w:rPr>
              <w:t xml:space="preserve"> </w:t>
            </w:r>
            <w:r>
              <w:rPr>
                <w:rFonts w:ascii="Arial" w:hAnsi="Arial" w:cs="Arial"/>
                <w:sz w:val="16"/>
                <w:szCs w:val="16"/>
              </w:rPr>
              <w:t>zer</w:t>
            </w:r>
            <w:r>
              <w:rPr>
                <w:rFonts w:ascii="Arial" w:hAnsi="Arial" w:cs="Arial"/>
                <w:sz w:val="16"/>
                <w:szCs w:val="16"/>
              </w:rPr>
              <w:t>o</w:t>
            </w:r>
            <w:r>
              <w:rPr>
                <w:rFonts w:ascii="Arial" w:hAnsi="Arial" w:cs="Arial"/>
                <w:sz w:val="16"/>
                <w:szCs w:val="16"/>
              </w:rPr>
              <w:t> shares issued and outstanding as of December 31, 2021 and 2020, respectivel</w:t>
            </w:r>
            <w:r>
              <w:rPr>
                <w:rFonts w:ascii="Arial" w:hAnsi="Arial" w:cs="Arial"/>
                <w:sz w:val="16"/>
                <w:szCs w:val="16"/>
              </w:rPr>
              <w:t>y</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w:t>
            </w:r>
            <w:r>
              <w:rPr>
                <w:rFonts w:ascii="Arial" w:hAnsi="Arial" w:cs="Arial"/>
                <w:sz w:val="16"/>
                <w:szCs w:val="16"/>
              </w:rPr>
              <w:t>1</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20"/>
                <w:szCs w:val="20"/>
              </w:rPr>
            </w:pPr>
            <w:r>
              <w:rPr>
                <w:rFonts w:ascii="Arial" w:hAnsi="Arial" w:cs="Arial"/>
                <w:sz w:val="16"/>
                <w:szCs w:val="16"/>
              </w:rPr>
              <w:t xml:space="preserve">Series A preferred stock, par value </w:t>
            </w:r>
            <w:r>
              <w:rPr>
                <w:rFonts w:ascii="Arial" w:hAnsi="Arial" w:cs="Arial"/>
                <w:sz w:val="16"/>
                <w:szCs w:val="16"/>
              </w:rPr>
              <w:t>$</w:t>
            </w:r>
            <w:r>
              <w:rPr>
                <w:rFonts w:ascii="Arial" w:hAnsi="Arial" w:cs="Arial"/>
                <w:sz w:val="16"/>
                <w:szCs w:val="16"/>
              </w:rPr>
              <w:t>0.0</w:t>
            </w:r>
            <w:r>
              <w:rPr>
                <w:rFonts w:ascii="Arial" w:hAnsi="Arial" w:cs="Arial"/>
                <w:sz w:val="16"/>
                <w:szCs w:val="16"/>
              </w:rPr>
              <w:t>1</w:t>
            </w:r>
            <w:r>
              <w:rPr>
                <w:rFonts w:ascii="Arial" w:hAnsi="Arial" w:cs="Arial"/>
                <w:sz w:val="16"/>
                <w:szCs w:val="16"/>
              </w:rPr>
              <w:t> per share;</w:t>
            </w:r>
            <w:r>
              <w:rPr>
                <w:rFonts w:ascii="Arial" w:hAnsi="Arial" w:cs="Arial"/>
                <w:sz w:val="16"/>
                <w:szCs w:val="16"/>
              </w:rPr>
              <w:t xml:space="preserve"> </w:t>
            </w:r>
            <w:r>
              <w:rPr>
                <w:rFonts w:ascii="Arial" w:hAnsi="Arial" w:cs="Arial"/>
                <w:sz w:val="16"/>
                <w:szCs w:val="16"/>
              </w:rPr>
              <w:t>zer</w:t>
            </w:r>
            <w:r>
              <w:rPr>
                <w:rFonts w:ascii="Arial" w:hAnsi="Arial" w:cs="Arial"/>
                <w:sz w:val="16"/>
                <w:szCs w:val="16"/>
              </w:rPr>
              <w:t>o</w:t>
            </w:r>
            <w:r>
              <w:rPr>
                <w:rFonts w:ascii="Arial" w:hAnsi="Arial" w:cs="Arial"/>
                <w:sz w:val="16"/>
                <w:szCs w:val="16"/>
              </w:rPr>
              <w:t> and</w:t>
            </w:r>
            <w:r>
              <w:rPr>
                <w:rFonts w:ascii="Arial" w:hAnsi="Arial" w:cs="Arial"/>
                <w:sz w:val="16"/>
                <w:szCs w:val="16"/>
              </w:rPr>
              <w:t xml:space="preserve"> </w:t>
            </w:r>
            <w:r>
              <w:rPr>
                <w:rFonts w:ascii="Arial" w:hAnsi="Arial" w:cs="Arial"/>
                <w:sz w:val="16"/>
                <w:szCs w:val="16"/>
              </w:rPr>
              <w:t>50,00</w:t>
            </w:r>
            <w:r>
              <w:rPr>
                <w:rFonts w:ascii="Arial" w:hAnsi="Arial" w:cs="Arial"/>
                <w:sz w:val="16"/>
                <w:szCs w:val="16"/>
              </w:rPr>
              <w:t>0</w:t>
            </w:r>
            <w:r>
              <w:rPr>
                <w:rFonts w:ascii="Arial" w:hAnsi="Arial" w:cs="Arial"/>
                <w:sz w:val="16"/>
                <w:szCs w:val="16"/>
              </w:rPr>
              <w:t> shares authorized as of December 31, 2021 and 2020, respectively;</w:t>
            </w:r>
            <w:r>
              <w:rPr>
                <w:rFonts w:ascii="Arial" w:hAnsi="Arial" w:cs="Arial"/>
                <w:sz w:val="16"/>
                <w:szCs w:val="16"/>
              </w:rPr>
              <w:t xml:space="preserve"> </w:t>
            </w:r>
            <w:r>
              <w:rPr>
                <w:rFonts w:ascii="Arial" w:hAnsi="Arial" w:cs="Arial"/>
                <w:sz w:val="16"/>
                <w:szCs w:val="16"/>
              </w:rPr>
              <w:t>zer</w:t>
            </w:r>
            <w:r>
              <w:rPr>
                <w:rFonts w:ascii="Arial" w:hAnsi="Arial" w:cs="Arial"/>
                <w:sz w:val="16"/>
                <w:szCs w:val="16"/>
              </w:rPr>
              <w:t>o</w:t>
            </w:r>
            <w:r>
              <w:rPr>
                <w:rFonts w:ascii="Arial" w:hAnsi="Arial" w:cs="Arial"/>
                <w:sz w:val="16"/>
                <w:szCs w:val="16"/>
              </w:rPr>
              <w:t> and</w:t>
            </w:r>
            <w:r>
              <w:rPr>
                <w:rFonts w:ascii="Arial" w:hAnsi="Arial" w:cs="Arial"/>
                <w:sz w:val="16"/>
                <w:szCs w:val="16"/>
              </w:rPr>
              <w:t xml:space="preserve"> </w:t>
            </w:r>
            <w:r>
              <w:rPr>
                <w:rFonts w:ascii="Arial" w:hAnsi="Arial" w:cs="Arial"/>
                <w:sz w:val="16"/>
                <w:szCs w:val="16"/>
              </w:rPr>
              <w:t>23,33</w:t>
            </w:r>
            <w:r>
              <w:rPr>
                <w:rFonts w:ascii="Arial" w:hAnsi="Arial" w:cs="Arial"/>
                <w:sz w:val="16"/>
                <w:szCs w:val="16"/>
              </w:rPr>
              <w:t>3</w:t>
            </w:r>
            <w:r>
              <w:rPr>
                <w:rFonts w:ascii="Arial" w:hAnsi="Arial" w:cs="Arial"/>
                <w:sz w:val="16"/>
                <w:szCs w:val="16"/>
              </w:rPr>
              <w:t> shares issued as of December 31, 2021 and 2020, respectively;</w:t>
            </w:r>
            <w:r>
              <w:rPr>
                <w:rFonts w:ascii="Arial" w:hAnsi="Arial" w:cs="Arial"/>
                <w:sz w:val="16"/>
                <w:szCs w:val="16"/>
              </w:rPr>
              <w:t xml:space="preserve"> </w:t>
            </w:r>
            <w:r>
              <w:rPr>
                <w:rFonts w:ascii="Arial" w:hAnsi="Arial" w:cs="Arial"/>
                <w:sz w:val="16"/>
                <w:szCs w:val="16"/>
              </w:rPr>
              <w:t>zer</w:t>
            </w:r>
            <w:r>
              <w:rPr>
                <w:rFonts w:ascii="Arial" w:hAnsi="Arial" w:cs="Arial"/>
                <w:sz w:val="16"/>
                <w:szCs w:val="16"/>
              </w:rPr>
              <w:t>o</w:t>
            </w:r>
            <w:r>
              <w:rPr>
                <w:rFonts w:ascii="Arial" w:hAnsi="Arial" w:cs="Arial"/>
                <w:sz w:val="16"/>
                <w:szCs w:val="16"/>
              </w:rPr>
              <w:t> and</w:t>
            </w:r>
            <w:r>
              <w:rPr>
                <w:rFonts w:ascii="Arial" w:hAnsi="Arial" w:cs="Arial"/>
                <w:sz w:val="16"/>
                <w:szCs w:val="16"/>
              </w:rPr>
              <w:t xml:space="preserve"> </w:t>
            </w:r>
            <w:r>
              <w:rPr>
                <w:rFonts w:ascii="Arial" w:hAnsi="Arial" w:cs="Arial"/>
                <w:sz w:val="16"/>
                <w:szCs w:val="16"/>
              </w:rPr>
              <w:t>23,01</w:t>
            </w:r>
            <w:r>
              <w:rPr>
                <w:rFonts w:ascii="Arial" w:hAnsi="Arial" w:cs="Arial"/>
                <w:sz w:val="16"/>
                <w:szCs w:val="16"/>
              </w:rPr>
              <w:t>3</w:t>
            </w:r>
            <w:r>
              <w:rPr>
                <w:rFonts w:ascii="Arial" w:hAnsi="Arial" w:cs="Arial"/>
                <w:sz w:val="16"/>
                <w:szCs w:val="16"/>
              </w:rPr>
              <w:t> shares outstanding as of De</w:t>
            </w:r>
            <w:r>
              <w:rPr>
                <w:rFonts w:ascii="Arial" w:hAnsi="Arial" w:cs="Arial"/>
                <w:sz w:val="16"/>
                <w:szCs w:val="16"/>
              </w:rPr>
              <w:t>cember 31, 2021 and 2020, respectivel</w:t>
            </w:r>
            <w:r>
              <w:rPr>
                <w:rFonts w:ascii="Arial" w:hAnsi="Arial" w:cs="Arial"/>
                <w:sz w:val="16"/>
                <w:szCs w:val="16"/>
              </w:rPr>
              <w:t>y</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20"/>
                <w:szCs w:val="20"/>
              </w:rPr>
            </w:pPr>
            <w:r>
              <w:rPr>
                <w:rFonts w:ascii="Arial" w:hAnsi="Arial" w:cs="Arial"/>
                <w:sz w:val="16"/>
                <w:szCs w:val="16"/>
              </w:rPr>
              <w:t xml:space="preserve">Common stock, </w:t>
            </w:r>
            <w:r>
              <w:rPr>
                <w:rFonts w:ascii="Arial" w:hAnsi="Arial" w:cs="Arial"/>
                <w:sz w:val="16"/>
                <w:szCs w:val="16"/>
              </w:rPr>
              <w:t>$</w:t>
            </w:r>
            <w:r>
              <w:rPr>
                <w:rFonts w:ascii="Arial" w:hAnsi="Arial" w:cs="Arial"/>
                <w:sz w:val="16"/>
                <w:szCs w:val="16"/>
              </w:rPr>
              <w:t>0.00</w:t>
            </w:r>
            <w:r>
              <w:rPr>
                <w:rFonts w:ascii="Arial" w:hAnsi="Arial" w:cs="Arial"/>
                <w:sz w:val="16"/>
                <w:szCs w:val="16"/>
              </w:rPr>
              <w:t>5</w:t>
            </w:r>
            <w:r>
              <w:rPr>
                <w:rFonts w:ascii="Arial" w:hAnsi="Arial" w:cs="Arial"/>
                <w:sz w:val="16"/>
                <w:szCs w:val="16"/>
              </w:rPr>
              <w:t> par value per share;</w:t>
            </w:r>
            <w:r>
              <w:rPr>
                <w:rFonts w:ascii="Arial" w:hAnsi="Arial" w:cs="Arial"/>
                <w:sz w:val="16"/>
                <w:szCs w:val="16"/>
              </w:rPr>
              <w:t xml:space="preserve"> </w:t>
            </w:r>
            <w:r>
              <w:rPr>
                <w:rFonts w:ascii="Arial" w:hAnsi="Arial" w:cs="Arial"/>
                <w:sz w:val="16"/>
                <w:szCs w:val="16"/>
              </w:rPr>
              <w:t>zer</w:t>
            </w:r>
            <w:r>
              <w:rPr>
                <w:rFonts w:ascii="Arial" w:hAnsi="Arial" w:cs="Arial"/>
                <w:sz w:val="16"/>
                <w:szCs w:val="16"/>
              </w:rPr>
              <w:t>o</w:t>
            </w:r>
            <w:r>
              <w:rPr>
                <w:rFonts w:ascii="Arial" w:hAnsi="Arial" w:cs="Arial"/>
                <w:sz w:val="16"/>
                <w:szCs w:val="16"/>
              </w:rPr>
              <w:t> and</w:t>
            </w:r>
            <w:r>
              <w:rPr>
                <w:rFonts w:ascii="Arial" w:hAnsi="Arial" w:cs="Arial"/>
                <w:sz w:val="16"/>
                <w:szCs w:val="16"/>
              </w:rPr>
              <w:t xml:space="preserve"> </w:t>
            </w:r>
            <w:r>
              <w:rPr>
                <w:rFonts w:ascii="Arial" w:hAnsi="Arial" w:cs="Arial"/>
                <w:sz w:val="16"/>
                <w:szCs w:val="16"/>
              </w:rPr>
              <w:t>150,000,00</w:t>
            </w:r>
            <w:r>
              <w:rPr>
                <w:rFonts w:ascii="Arial" w:hAnsi="Arial" w:cs="Arial"/>
                <w:sz w:val="16"/>
                <w:szCs w:val="16"/>
              </w:rPr>
              <w:t>0</w:t>
            </w:r>
            <w:r>
              <w:rPr>
                <w:rFonts w:ascii="Arial" w:hAnsi="Arial" w:cs="Arial"/>
                <w:sz w:val="16"/>
                <w:szCs w:val="16"/>
              </w:rPr>
              <w:t> shares authorized as of December 31, 2021 and 2020, respectively;</w:t>
            </w:r>
            <w:r>
              <w:rPr>
                <w:rFonts w:ascii="Arial" w:hAnsi="Arial" w:cs="Arial"/>
                <w:sz w:val="16"/>
                <w:szCs w:val="16"/>
              </w:rPr>
              <w:t xml:space="preserve"> </w:t>
            </w:r>
            <w:r>
              <w:rPr>
                <w:rFonts w:ascii="Arial" w:hAnsi="Arial" w:cs="Arial"/>
                <w:sz w:val="16"/>
                <w:szCs w:val="16"/>
              </w:rPr>
              <w:t>zer</w:t>
            </w:r>
            <w:r>
              <w:rPr>
                <w:rFonts w:ascii="Arial" w:hAnsi="Arial" w:cs="Arial"/>
                <w:sz w:val="16"/>
                <w:szCs w:val="16"/>
              </w:rPr>
              <w:t>o</w:t>
            </w:r>
            <w:r>
              <w:rPr>
                <w:rFonts w:ascii="Arial" w:hAnsi="Arial" w:cs="Arial"/>
                <w:sz w:val="16"/>
                <w:szCs w:val="16"/>
              </w:rPr>
              <w:t> and</w:t>
            </w:r>
            <w:r>
              <w:rPr>
                <w:rFonts w:ascii="Arial" w:hAnsi="Arial" w:cs="Arial"/>
                <w:sz w:val="16"/>
                <w:szCs w:val="16"/>
              </w:rPr>
              <w:t xml:space="preserve"> </w:t>
            </w:r>
            <w:r>
              <w:rPr>
                <w:rFonts w:ascii="Arial" w:hAnsi="Arial" w:cs="Arial"/>
                <w:sz w:val="16"/>
                <w:szCs w:val="16"/>
              </w:rPr>
              <w:t>104,785,65</w:t>
            </w:r>
            <w:r>
              <w:rPr>
                <w:rFonts w:ascii="Arial" w:hAnsi="Arial" w:cs="Arial"/>
                <w:sz w:val="16"/>
                <w:szCs w:val="16"/>
              </w:rPr>
              <w:t>1</w:t>
            </w:r>
            <w:r>
              <w:rPr>
                <w:rFonts w:ascii="Arial" w:hAnsi="Arial" w:cs="Arial"/>
                <w:sz w:val="16"/>
                <w:szCs w:val="16"/>
              </w:rPr>
              <w:t> shares issued as of December 31, 2021 and 2020, re</w:t>
            </w:r>
            <w:r>
              <w:rPr>
                <w:rFonts w:ascii="Arial" w:hAnsi="Arial" w:cs="Arial"/>
                <w:sz w:val="16"/>
                <w:szCs w:val="16"/>
              </w:rPr>
              <w:t>spectively; and</w:t>
            </w:r>
            <w:r>
              <w:rPr>
                <w:rFonts w:ascii="Arial" w:hAnsi="Arial" w:cs="Arial"/>
                <w:sz w:val="16"/>
                <w:szCs w:val="16"/>
              </w:rPr>
              <w:t xml:space="preserve"> </w:t>
            </w:r>
            <w:r>
              <w:rPr>
                <w:rFonts w:ascii="Arial" w:hAnsi="Arial" w:cs="Arial"/>
                <w:sz w:val="16"/>
                <w:szCs w:val="16"/>
              </w:rPr>
              <w:t>zer</w:t>
            </w:r>
            <w:r>
              <w:rPr>
                <w:rFonts w:ascii="Arial" w:hAnsi="Arial" w:cs="Arial"/>
                <w:sz w:val="16"/>
                <w:szCs w:val="16"/>
              </w:rPr>
              <w:t>o</w:t>
            </w:r>
            <w:r>
              <w:rPr>
                <w:rFonts w:ascii="Arial" w:hAnsi="Arial" w:cs="Arial"/>
                <w:sz w:val="16"/>
                <w:szCs w:val="16"/>
              </w:rPr>
              <w:t> and</w:t>
            </w:r>
            <w:r>
              <w:rPr>
                <w:rFonts w:ascii="Arial" w:hAnsi="Arial" w:cs="Arial"/>
                <w:sz w:val="16"/>
                <w:szCs w:val="16"/>
              </w:rPr>
              <w:t xml:space="preserve"> </w:t>
            </w:r>
            <w:r>
              <w:rPr>
                <w:rFonts w:ascii="Arial" w:hAnsi="Arial" w:cs="Arial"/>
                <w:sz w:val="16"/>
                <w:szCs w:val="16"/>
              </w:rPr>
              <w:t>103,479,23</w:t>
            </w:r>
            <w:r>
              <w:rPr>
                <w:rFonts w:ascii="Arial" w:hAnsi="Arial" w:cs="Arial"/>
                <w:sz w:val="16"/>
                <w:szCs w:val="16"/>
              </w:rPr>
              <w:t>9</w:t>
            </w:r>
            <w:r>
              <w:rPr>
                <w:rFonts w:ascii="Arial" w:hAnsi="Arial" w:cs="Arial"/>
                <w:sz w:val="16"/>
                <w:szCs w:val="16"/>
              </w:rPr>
              <w:t> shares outstanding as of December 31, 2021 and 2020, respectivel</w:t>
            </w:r>
            <w:r>
              <w:rPr>
                <w:rFonts w:ascii="Arial" w:hAnsi="Arial" w:cs="Arial"/>
                <w:sz w:val="16"/>
                <w:szCs w:val="16"/>
              </w:rPr>
              <w:t>y</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51</w:t>
            </w:r>
            <w:r>
              <w:rPr>
                <w:rFonts w:ascii="Arial" w:hAnsi="Arial" w:cs="Arial"/>
                <w:sz w:val="16"/>
                <w:szCs w:val="16"/>
              </w:rPr>
              <w:t>7</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20"/>
                <w:szCs w:val="20"/>
              </w:rPr>
            </w:pPr>
            <w:r>
              <w:rPr>
                <w:rFonts w:ascii="Arial" w:hAnsi="Arial" w:cs="Arial"/>
                <w:sz w:val="16"/>
                <w:szCs w:val="16"/>
              </w:rPr>
              <w:t>Treasury stock at cost,</w:t>
            </w:r>
            <w:r>
              <w:rPr>
                <w:rFonts w:ascii="Arial" w:hAnsi="Arial" w:cs="Arial"/>
                <w:sz w:val="16"/>
                <w:szCs w:val="16"/>
              </w:rPr>
              <w:t xml:space="preserve"> </w:t>
            </w:r>
            <w:r>
              <w:rPr>
                <w:rFonts w:ascii="Arial" w:hAnsi="Arial" w:cs="Arial"/>
                <w:sz w:val="16"/>
                <w:szCs w:val="16"/>
              </w:rPr>
              <w:t>zer</w:t>
            </w:r>
            <w:r>
              <w:rPr>
                <w:rFonts w:ascii="Arial" w:hAnsi="Arial" w:cs="Arial"/>
                <w:sz w:val="16"/>
                <w:szCs w:val="16"/>
              </w:rPr>
              <w:t>o</w:t>
            </w:r>
            <w:r>
              <w:rPr>
                <w:rFonts w:ascii="Arial" w:hAnsi="Arial" w:cs="Arial"/>
                <w:sz w:val="16"/>
                <w:szCs w:val="16"/>
              </w:rPr>
              <w:t> and</w:t>
            </w:r>
            <w:r>
              <w:rPr>
                <w:rFonts w:ascii="Arial" w:hAnsi="Arial" w:cs="Arial"/>
                <w:sz w:val="16"/>
                <w:szCs w:val="16"/>
              </w:rPr>
              <w:t xml:space="preserve"> </w:t>
            </w:r>
            <w:r>
              <w:rPr>
                <w:rFonts w:ascii="Arial" w:hAnsi="Arial" w:cs="Arial"/>
                <w:sz w:val="16"/>
                <w:szCs w:val="16"/>
              </w:rPr>
              <w:t>32</w:t>
            </w:r>
            <w:r>
              <w:rPr>
                <w:rFonts w:ascii="Arial" w:hAnsi="Arial" w:cs="Arial"/>
                <w:sz w:val="16"/>
                <w:szCs w:val="16"/>
              </w:rPr>
              <w:t>0</w:t>
            </w:r>
            <w:r>
              <w:rPr>
                <w:rFonts w:ascii="Arial" w:hAnsi="Arial" w:cs="Arial"/>
                <w:sz w:val="16"/>
                <w:szCs w:val="16"/>
              </w:rPr>
              <w:t> Series A preferred shares; and</w:t>
            </w:r>
            <w:r>
              <w:rPr>
                <w:rFonts w:ascii="Arial" w:hAnsi="Arial" w:cs="Arial"/>
                <w:sz w:val="16"/>
                <w:szCs w:val="16"/>
              </w:rPr>
              <w:t xml:space="preserve"> </w:t>
            </w:r>
            <w:r>
              <w:rPr>
                <w:rFonts w:ascii="Arial" w:hAnsi="Arial" w:cs="Arial"/>
                <w:sz w:val="16"/>
                <w:szCs w:val="16"/>
              </w:rPr>
              <w:t>zer</w:t>
            </w:r>
            <w:r>
              <w:rPr>
                <w:rFonts w:ascii="Arial" w:hAnsi="Arial" w:cs="Arial"/>
                <w:sz w:val="16"/>
                <w:szCs w:val="16"/>
              </w:rPr>
              <w:t>o</w:t>
            </w:r>
            <w:r>
              <w:rPr>
                <w:rFonts w:ascii="Arial" w:hAnsi="Arial" w:cs="Arial"/>
                <w:sz w:val="16"/>
                <w:szCs w:val="16"/>
              </w:rPr>
              <w:t> and</w:t>
            </w:r>
            <w:r>
              <w:rPr>
                <w:rFonts w:ascii="Arial" w:hAnsi="Arial" w:cs="Arial"/>
                <w:sz w:val="16"/>
                <w:szCs w:val="16"/>
              </w:rPr>
              <w:br/>
              <w:t>  </w:t>
            </w:r>
            <w:r>
              <w:rPr>
                <w:rFonts w:ascii="Arial" w:hAnsi="Arial" w:cs="Arial"/>
                <w:sz w:val="16"/>
                <w:szCs w:val="16"/>
              </w:rPr>
              <w:t> </w:t>
            </w:r>
            <w:r>
              <w:rPr>
                <w:rFonts w:ascii="Arial" w:hAnsi="Arial" w:cs="Arial"/>
                <w:sz w:val="16"/>
                <w:szCs w:val="16"/>
              </w:rPr>
              <w:t>1,306,41</w:t>
            </w:r>
            <w:r>
              <w:rPr>
                <w:rFonts w:ascii="Arial" w:hAnsi="Arial" w:cs="Arial"/>
                <w:sz w:val="16"/>
                <w:szCs w:val="16"/>
              </w:rPr>
              <w:t>2</w:t>
            </w:r>
            <w:r>
              <w:rPr>
                <w:rFonts w:ascii="Arial" w:hAnsi="Arial" w:cs="Arial"/>
                <w:sz w:val="16"/>
                <w:szCs w:val="16"/>
              </w:rPr>
              <w:t> </w:t>
            </w:r>
            <w:r>
              <w:rPr>
                <w:rFonts w:ascii="Arial" w:hAnsi="Arial" w:cs="Arial"/>
                <w:sz w:val="16"/>
                <w:szCs w:val="16"/>
              </w:rPr>
              <w:t>common shares as of December 31, 2021 and 2020, respectivel</w:t>
            </w:r>
            <w:r>
              <w:rPr>
                <w:rFonts w:ascii="Arial" w:hAnsi="Arial" w:cs="Arial"/>
                <w:sz w:val="16"/>
                <w:szCs w:val="16"/>
              </w:rPr>
              <w:t>y</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57</w:t>
            </w:r>
            <w:r>
              <w:rPr>
                <w:rFonts w:ascii="Arial" w:hAnsi="Arial" w:cs="Arial"/>
                <w:sz w:val="16"/>
                <w:szCs w:val="16"/>
              </w:rPr>
              <w:t>9</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6"/>
                <w:szCs w:val="16"/>
              </w:rPr>
            </w:pPr>
            <w:r>
              <w:rPr>
                <w:rFonts w:ascii="Arial" w:hAnsi="Arial" w:cs="Arial"/>
                <w:sz w:val="16"/>
                <w:szCs w:val="16"/>
              </w:rPr>
              <w:t>Additional paid-in capita</w:t>
            </w:r>
            <w:r>
              <w:rPr>
                <w:rFonts w:ascii="Arial" w:hAnsi="Arial" w:cs="Arial"/>
                <w:sz w:val="16"/>
                <w:szCs w:val="16"/>
              </w:rPr>
              <w:t>l</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356,01</w:t>
            </w:r>
            <w:r>
              <w:rPr>
                <w:rFonts w:ascii="Arial" w:hAnsi="Arial" w:cs="Arial"/>
                <w:sz w:val="16"/>
                <w:szCs w:val="16"/>
              </w:rPr>
              <w:t>7</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29,17</w:t>
            </w:r>
            <w:r>
              <w:rPr>
                <w:rFonts w:ascii="Arial" w:hAnsi="Arial" w:cs="Arial"/>
                <w:sz w:val="16"/>
                <w:szCs w:val="16"/>
              </w:rPr>
              <w:t>5</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6"/>
                <w:szCs w:val="16"/>
              </w:rPr>
            </w:pPr>
            <w:r>
              <w:rPr>
                <w:rFonts w:ascii="Arial" w:hAnsi="Arial" w:cs="Arial"/>
                <w:sz w:val="16"/>
                <w:szCs w:val="16"/>
              </w:rPr>
              <w:t>Accumulated other comprehensive incom</w:t>
            </w:r>
            <w:r>
              <w:rPr>
                <w:rFonts w:ascii="Arial" w:hAnsi="Arial" w:cs="Arial"/>
                <w:sz w:val="16"/>
                <w:szCs w:val="16"/>
              </w:rPr>
              <w:t>e</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16</w:t>
            </w:r>
            <w:r>
              <w:rPr>
                <w:rFonts w:ascii="Arial" w:hAnsi="Arial" w:cs="Arial"/>
                <w:sz w:val="16"/>
                <w:szCs w:val="16"/>
              </w:rPr>
              <w:t>8</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21</w:t>
            </w:r>
            <w:r>
              <w:rPr>
                <w:rFonts w:ascii="Arial" w:hAnsi="Arial" w:cs="Arial"/>
                <w:sz w:val="16"/>
                <w:szCs w:val="16"/>
              </w:rPr>
              <w:t>6</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6"/>
                <w:szCs w:val="16"/>
              </w:rPr>
            </w:pPr>
            <w:r>
              <w:rPr>
                <w:rFonts w:ascii="Arial" w:hAnsi="Arial" w:cs="Arial"/>
                <w:sz w:val="16"/>
                <w:szCs w:val="16"/>
              </w:rPr>
              <w:t>Retained earning</w:t>
            </w:r>
            <w:r>
              <w:rPr>
                <w:rFonts w:ascii="Arial" w:hAnsi="Arial" w:cs="Arial"/>
                <w:sz w:val="16"/>
                <w:szCs w:val="16"/>
              </w:rPr>
              <w:t>s</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29,93</w:t>
            </w:r>
            <w:r>
              <w:rPr>
                <w:rFonts w:ascii="Arial" w:hAnsi="Arial" w:cs="Arial"/>
                <w:sz w:val="16"/>
                <w:szCs w:val="16"/>
              </w:rPr>
              <w:t>5</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55,04</w:t>
            </w:r>
            <w:r>
              <w:rPr>
                <w:rFonts w:ascii="Arial" w:hAnsi="Arial" w:cs="Arial"/>
                <w:sz w:val="16"/>
                <w:szCs w:val="16"/>
              </w:rPr>
              <w:t>7</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400"/>
              <w:rPr>
                <w:sz w:val="16"/>
                <w:szCs w:val="16"/>
              </w:rPr>
            </w:pPr>
            <w:r>
              <w:rPr>
                <w:rFonts w:ascii="Arial" w:hAnsi="Arial" w:cs="Arial"/>
                <w:sz w:val="16"/>
                <w:szCs w:val="16"/>
              </w:rPr>
              <w:t>Total stockholders’ equit</w:t>
            </w:r>
            <w:r>
              <w:rPr>
                <w:rFonts w:ascii="Arial" w:hAnsi="Arial" w:cs="Arial"/>
                <w:sz w:val="16"/>
                <w:szCs w:val="16"/>
              </w:rPr>
              <w:t>y</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386,13</w:t>
            </w:r>
            <w:r>
              <w:rPr>
                <w:rFonts w:ascii="Arial" w:hAnsi="Arial" w:cs="Arial"/>
                <w:sz w:val="16"/>
                <w:szCs w:val="16"/>
              </w:rPr>
              <w:t>2</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84,37</w:t>
            </w:r>
            <w:r>
              <w:rPr>
                <w:rFonts w:ascii="Arial" w:hAnsi="Arial" w:cs="Arial"/>
                <w:sz w:val="16"/>
                <w:szCs w:val="16"/>
              </w:rPr>
              <w:t>6</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400"/>
              <w:rPr>
                <w:sz w:val="16"/>
                <w:szCs w:val="16"/>
              </w:rPr>
            </w:pPr>
            <w:r>
              <w:rPr>
                <w:rFonts w:ascii="Arial" w:hAnsi="Arial" w:cs="Arial"/>
                <w:sz w:val="16"/>
                <w:szCs w:val="16"/>
              </w:rPr>
              <w:t>Total liabilities and stockholders' equit</w:t>
            </w:r>
            <w:r>
              <w:rPr>
                <w:rFonts w:ascii="Arial" w:hAnsi="Arial" w:cs="Arial"/>
                <w:sz w:val="16"/>
                <w:szCs w:val="16"/>
              </w:rPr>
              <w:t>y</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472,94</w:t>
            </w:r>
            <w:r>
              <w:rPr>
                <w:rFonts w:ascii="Arial" w:hAnsi="Arial" w:cs="Arial"/>
                <w:sz w:val="16"/>
                <w:szCs w:val="16"/>
              </w:rPr>
              <w:t>2</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124,87</w:t>
            </w:r>
            <w:r>
              <w:rPr>
                <w:rFonts w:ascii="Arial" w:hAnsi="Arial" w:cs="Arial"/>
                <w:sz w:val="16"/>
                <w:szCs w:val="16"/>
              </w:rPr>
              <w:t>4</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bl>
    <w:p w:rsidR="00000000" w:rsidRDefault="00010F15">
      <w:pPr>
        <w:pStyle w:val="a3"/>
        <w:spacing w:before="240" w:beforeAutospacing="0" w:after="0" w:afterAutospacing="0"/>
        <w:jc w:val="center"/>
        <w:rPr>
          <w:sz w:val="20"/>
          <w:szCs w:val="20"/>
        </w:rPr>
      </w:pPr>
      <w:r>
        <w:rPr>
          <w:rFonts w:ascii="Arial" w:hAnsi="Arial" w:cs="Arial"/>
          <w:sz w:val="20"/>
          <w:szCs w:val="20"/>
        </w:rPr>
        <w:t>The accompanying notes are an integral part of these consolidated financial statements</w:t>
      </w:r>
      <w:r>
        <w:rPr>
          <w:rFonts w:ascii="Arial" w:hAnsi="Arial" w:cs="Arial"/>
          <w:sz w:val="20"/>
          <w:szCs w:val="20"/>
        </w:rPr>
        <w:t>.</w: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0" w:beforeAutospacing="0" w:after="0" w:afterAutospacing="0"/>
        <w:jc w:val="center"/>
        <w:rPr>
          <w:sz w:val="20"/>
          <w:szCs w:val="20"/>
        </w:rPr>
      </w:pPr>
      <w:r>
        <w:rPr>
          <w:rFonts w:ascii="Arial" w:hAnsi="Arial" w:cs="Arial"/>
          <w:sz w:val="20"/>
          <w:szCs w:val="20"/>
        </w:rPr>
        <w:t>7</w:t>
      </w:r>
      <w:r>
        <w:rPr>
          <w:rFonts w:ascii="Arial" w:hAnsi="Arial" w:cs="Arial"/>
          <w:sz w:val="20"/>
          <w:szCs w:val="20"/>
        </w:rPr>
        <w:t>2</w:t>
      </w:r>
    </w:p>
    <w:p w:rsidR="00000000" w:rsidRDefault="00010F15">
      <w:pPr>
        <w:rPr>
          <w:rFonts w:eastAsia="Times New Roman"/>
        </w:rPr>
      </w:pPr>
      <w:r>
        <w:rPr>
          <w:rFonts w:eastAsia="Times New Roman"/>
        </w:rPr>
        <w:pict>
          <v:rect id="_x0000_i1097"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0" w:beforeAutospacing="0" w:after="0" w:afterAutospacing="0"/>
        <w:jc w:val="center"/>
        <w:rPr>
          <w:sz w:val="20"/>
          <w:szCs w:val="20"/>
        </w:rPr>
      </w:pPr>
      <w:r>
        <w:rPr>
          <w:rFonts w:ascii="Arial" w:hAnsi="Arial" w:cs="Arial"/>
          <w:sz w:val="20"/>
          <w:szCs w:val="20"/>
        </w:rPr>
        <w:t>PAYMENTUS HOLDINGS, INC</w:t>
      </w:r>
      <w:r>
        <w:rPr>
          <w:rFonts w:ascii="Arial" w:hAnsi="Arial" w:cs="Arial"/>
          <w:sz w:val="20"/>
          <w:szCs w:val="20"/>
        </w:rPr>
        <w:t>.</w:t>
      </w:r>
    </w:p>
    <w:p w:rsidR="00000000" w:rsidRDefault="00010F15">
      <w:pPr>
        <w:pStyle w:val="a3"/>
        <w:spacing w:before="0" w:beforeAutospacing="0" w:after="0" w:afterAutospacing="0"/>
        <w:jc w:val="center"/>
        <w:rPr>
          <w:sz w:val="20"/>
          <w:szCs w:val="20"/>
        </w:rPr>
      </w:pPr>
      <w:r>
        <w:rPr>
          <w:rFonts w:ascii="Arial" w:hAnsi="Arial" w:cs="Arial"/>
          <w:sz w:val="20"/>
          <w:szCs w:val="20"/>
        </w:rPr>
        <w:t>CONSOLIDATED STATEMENTS OF OPERATION</w:t>
      </w:r>
      <w:r>
        <w:rPr>
          <w:rFonts w:ascii="Arial" w:hAnsi="Arial" w:cs="Arial"/>
          <w:sz w:val="20"/>
          <w:szCs w:val="20"/>
        </w:rPr>
        <w:t>S</w:t>
      </w:r>
    </w:p>
    <w:p w:rsidR="00000000" w:rsidRDefault="00010F15">
      <w:pPr>
        <w:pStyle w:val="a3"/>
        <w:spacing w:before="0" w:beforeAutospacing="0" w:after="0" w:afterAutospacing="0"/>
        <w:jc w:val="center"/>
        <w:rPr>
          <w:sz w:val="20"/>
          <w:szCs w:val="20"/>
        </w:rPr>
      </w:pPr>
      <w:r>
        <w:rPr>
          <w:rFonts w:ascii="Arial" w:hAnsi="Arial" w:cs="Arial"/>
          <w:sz w:val="20"/>
          <w:szCs w:val="20"/>
        </w:rPr>
        <w:t>(In thousands, except share and per share data</w:t>
      </w:r>
      <w:r>
        <w:rPr>
          <w:rFonts w:ascii="Arial" w:hAnsi="Arial" w:cs="Arial"/>
          <w:sz w:val="20"/>
          <w:szCs w:val="20"/>
        </w:rPr>
        <w:t>)</w:t>
      </w:r>
    </w:p>
    <w:p w:rsidR="00000000" w:rsidRDefault="00010F15">
      <w:pPr>
        <w:pStyle w:val="a3"/>
        <w:spacing w:before="0" w:beforeAutospacing="0" w:after="0" w:afterAutospacing="0"/>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37"/>
        <w:gridCol w:w="305"/>
        <w:gridCol w:w="149"/>
        <w:gridCol w:w="950"/>
        <w:gridCol w:w="114"/>
        <w:gridCol w:w="105"/>
        <w:gridCol w:w="149"/>
        <w:gridCol w:w="950"/>
        <w:gridCol w:w="114"/>
        <w:gridCol w:w="105"/>
        <w:gridCol w:w="149"/>
        <w:gridCol w:w="950"/>
        <w:gridCol w:w="129"/>
      </w:tblGrid>
      <w:tr w:rsidR="00000000">
        <w:trPr>
          <w:tblCellSpacing w:w="15" w:type="dxa"/>
        </w:trPr>
        <w:tc>
          <w:tcPr>
            <w:tcW w:w="2838" w:type="pct"/>
            <w:vAlign w:val="center"/>
            <w:hideMark/>
          </w:tcPr>
          <w:p w:rsidR="00000000" w:rsidRDefault="00010F15">
            <w:pPr>
              <w:rPr>
                <w:sz w:val="20"/>
                <w:szCs w:val="20"/>
              </w:rPr>
            </w:pPr>
          </w:p>
        </w:tc>
        <w:tc>
          <w:tcPr>
            <w:tcW w:w="92" w:type="pct"/>
            <w:vAlign w:val="center"/>
            <w:hideMark/>
          </w:tcPr>
          <w:p w:rsidR="00000000" w:rsidRDefault="00010F15">
            <w:pPr>
              <w:rPr>
                <w:rFonts w:eastAsia="Times New Roman"/>
                <w:sz w:val="20"/>
                <w:szCs w:val="20"/>
              </w:rPr>
            </w:pPr>
          </w:p>
        </w:tc>
        <w:tc>
          <w:tcPr>
            <w:tcW w:w="53" w:type="pct"/>
            <w:vAlign w:val="center"/>
            <w:hideMark/>
          </w:tcPr>
          <w:p w:rsidR="00000000" w:rsidRDefault="00010F15">
            <w:pPr>
              <w:rPr>
                <w:rFonts w:eastAsia="Times New Roman"/>
                <w:sz w:val="20"/>
                <w:szCs w:val="20"/>
              </w:rPr>
            </w:pPr>
          </w:p>
        </w:tc>
        <w:tc>
          <w:tcPr>
            <w:tcW w:w="560"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64" w:type="pct"/>
            <w:vAlign w:val="center"/>
            <w:hideMark/>
          </w:tcPr>
          <w:p w:rsidR="00000000" w:rsidRDefault="00010F15">
            <w:pPr>
              <w:rPr>
                <w:rFonts w:eastAsia="Times New Roman"/>
                <w:sz w:val="20"/>
                <w:szCs w:val="20"/>
              </w:rPr>
            </w:pPr>
          </w:p>
        </w:tc>
        <w:tc>
          <w:tcPr>
            <w:tcW w:w="53" w:type="pct"/>
            <w:vAlign w:val="center"/>
            <w:hideMark/>
          </w:tcPr>
          <w:p w:rsidR="00000000" w:rsidRDefault="00010F15">
            <w:pPr>
              <w:rPr>
                <w:rFonts w:eastAsia="Times New Roman"/>
                <w:sz w:val="20"/>
                <w:szCs w:val="20"/>
              </w:rPr>
            </w:pPr>
          </w:p>
        </w:tc>
        <w:tc>
          <w:tcPr>
            <w:tcW w:w="560"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64" w:type="pct"/>
            <w:vAlign w:val="center"/>
            <w:hideMark/>
          </w:tcPr>
          <w:p w:rsidR="00000000" w:rsidRDefault="00010F15">
            <w:pPr>
              <w:rPr>
                <w:rFonts w:eastAsia="Times New Roman"/>
                <w:sz w:val="20"/>
                <w:szCs w:val="20"/>
              </w:rPr>
            </w:pPr>
          </w:p>
        </w:tc>
        <w:tc>
          <w:tcPr>
            <w:tcW w:w="53" w:type="pct"/>
            <w:vAlign w:val="center"/>
            <w:hideMark/>
          </w:tcPr>
          <w:p w:rsidR="00000000" w:rsidRDefault="00010F15">
            <w:pPr>
              <w:rPr>
                <w:rFonts w:eastAsia="Times New Roman"/>
                <w:sz w:val="20"/>
                <w:szCs w:val="20"/>
              </w:rPr>
            </w:pPr>
          </w:p>
        </w:tc>
        <w:tc>
          <w:tcPr>
            <w:tcW w:w="560"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10"/>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Year Ended December 31</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201</w:t>
            </w:r>
            <w:r>
              <w:rPr>
                <w:rFonts w:ascii="Arial" w:hAnsi="Arial" w:cs="Arial"/>
                <w:b/>
                <w:bCs/>
                <w:sz w:val="16"/>
                <w:szCs w:val="16"/>
              </w:rPr>
              <w:t>9</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6"/>
                <w:szCs w:val="16"/>
              </w:rPr>
            </w:pPr>
            <w:r>
              <w:rPr>
                <w:rFonts w:ascii="Arial" w:hAnsi="Arial" w:cs="Arial"/>
                <w:sz w:val="16"/>
                <w:szCs w:val="16"/>
              </w:rPr>
              <w:t>Revenu</w:t>
            </w:r>
            <w:r>
              <w:rPr>
                <w:rFonts w:ascii="Arial" w:hAnsi="Arial" w:cs="Arial"/>
                <w:sz w:val="16"/>
                <w:szCs w:val="16"/>
              </w:rPr>
              <w:t>e</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395,52</w:t>
            </w:r>
            <w:r>
              <w:rPr>
                <w:rFonts w:ascii="Arial" w:hAnsi="Arial" w:cs="Arial"/>
                <w:sz w:val="16"/>
                <w:szCs w:val="16"/>
              </w:rPr>
              <w:t>4</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301,76</w:t>
            </w:r>
            <w:r>
              <w:rPr>
                <w:rFonts w:ascii="Arial" w:hAnsi="Arial" w:cs="Arial"/>
                <w:sz w:val="16"/>
                <w:szCs w:val="16"/>
              </w:rPr>
              <w:t>7</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235,77</w:t>
            </w:r>
            <w:r>
              <w:rPr>
                <w:rFonts w:ascii="Arial" w:hAnsi="Arial" w:cs="Arial"/>
                <w:sz w:val="16"/>
                <w:szCs w:val="16"/>
              </w:rPr>
              <w:t>8</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6"/>
                <w:szCs w:val="16"/>
              </w:rPr>
            </w:pPr>
            <w:r>
              <w:rPr>
                <w:rFonts w:ascii="Arial" w:hAnsi="Arial" w:cs="Arial"/>
                <w:sz w:val="16"/>
                <w:szCs w:val="16"/>
              </w:rPr>
              <w:t>Cost of revenu</w:t>
            </w:r>
            <w:r>
              <w:rPr>
                <w:rFonts w:ascii="Arial" w:hAnsi="Arial" w:cs="Arial"/>
                <w:sz w:val="16"/>
                <w:szCs w:val="16"/>
              </w:rPr>
              <w:t>e</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274,14</w:t>
            </w:r>
            <w:r>
              <w:rPr>
                <w:rFonts w:ascii="Arial" w:hAnsi="Arial" w:cs="Arial"/>
                <w:sz w:val="16"/>
                <w:szCs w:val="16"/>
              </w:rPr>
              <w:t>4</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209,14</w:t>
            </w:r>
            <w:r>
              <w:rPr>
                <w:rFonts w:ascii="Arial" w:hAnsi="Arial" w:cs="Arial"/>
                <w:sz w:val="16"/>
                <w:szCs w:val="16"/>
              </w:rPr>
              <w:t>0</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161,34</w:t>
            </w:r>
            <w:r>
              <w:rPr>
                <w:rFonts w:ascii="Arial" w:hAnsi="Arial" w:cs="Arial"/>
                <w:sz w:val="16"/>
                <w:szCs w:val="16"/>
              </w:rPr>
              <w:t>4</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6"/>
                <w:szCs w:val="16"/>
              </w:rPr>
            </w:pPr>
            <w:r>
              <w:rPr>
                <w:rFonts w:ascii="Arial" w:hAnsi="Arial" w:cs="Arial"/>
                <w:sz w:val="16"/>
                <w:szCs w:val="16"/>
              </w:rPr>
              <w:t>Gross profi</w:t>
            </w:r>
            <w:r>
              <w:rPr>
                <w:rFonts w:ascii="Arial" w:hAnsi="Arial" w:cs="Arial"/>
                <w:sz w:val="16"/>
                <w:szCs w:val="16"/>
              </w:rPr>
              <w:t>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121,38</w:t>
            </w:r>
            <w:r>
              <w:rPr>
                <w:rFonts w:ascii="Arial" w:hAnsi="Arial" w:cs="Arial"/>
                <w:sz w:val="16"/>
                <w:szCs w:val="16"/>
              </w:rPr>
              <w:t>0</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92,62</w:t>
            </w:r>
            <w:r>
              <w:rPr>
                <w:rFonts w:ascii="Arial" w:hAnsi="Arial" w:cs="Arial"/>
                <w:sz w:val="16"/>
                <w:szCs w:val="16"/>
              </w:rPr>
              <w:t>7</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74,43</w:t>
            </w:r>
            <w:r>
              <w:rPr>
                <w:rFonts w:ascii="Arial" w:hAnsi="Arial" w:cs="Arial"/>
                <w:sz w:val="16"/>
                <w:szCs w:val="16"/>
              </w:rPr>
              <w:t>4</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6"/>
                <w:szCs w:val="16"/>
              </w:rPr>
            </w:pPr>
            <w:r>
              <w:rPr>
                <w:rFonts w:ascii="Arial" w:hAnsi="Arial" w:cs="Arial"/>
                <w:sz w:val="16"/>
                <w:szCs w:val="16"/>
              </w:rPr>
              <w:t>Operating expense</w:t>
            </w:r>
            <w:r>
              <w:rPr>
                <w:rFonts w:ascii="Arial" w:hAnsi="Arial" w:cs="Arial"/>
                <w:sz w:val="16"/>
                <w:szCs w:val="16"/>
              </w:rPr>
              <w:t>s</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6"/>
                <w:szCs w:val="16"/>
              </w:rPr>
            </w:pPr>
            <w:r>
              <w:rPr>
                <w:rFonts w:ascii="Arial" w:hAnsi="Arial" w:cs="Arial"/>
                <w:sz w:val="16"/>
                <w:szCs w:val="16"/>
              </w:rPr>
              <w:t>Research and developmen</w:t>
            </w:r>
            <w:r>
              <w:rPr>
                <w:rFonts w:ascii="Arial" w:hAnsi="Arial" w:cs="Arial"/>
                <w:sz w:val="16"/>
                <w:szCs w:val="16"/>
              </w:rPr>
              <w:t>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34,12</w:t>
            </w:r>
            <w:r>
              <w:rPr>
                <w:rFonts w:ascii="Arial" w:hAnsi="Arial" w:cs="Arial"/>
                <w:sz w:val="16"/>
                <w:szCs w:val="16"/>
              </w:rPr>
              <w:t>2</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24,51</w:t>
            </w:r>
            <w:r>
              <w:rPr>
                <w:rFonts w:ascii="Arial" w:hAnsi="Arial" w:cs="Arial"/>
                <w:sz w:val="16"/>
                <w:szCs w:val="16"/>
              </w:rPr>
              <w:t>0</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17,86</w:t>
            </w:r>
            <w:r>
              <w:rPr>
                <w:rFonts w:ascii="Arial" w:hAnsi="Arial" w:cs="Arial"/>
                <w:sz w:val="16"/>
                <w:szCs w:val="16"/>
              </w:rPr>
              <w:t>4</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6"/>
                <w:szCs w:val="16"/>
              </w:rPr>
            </w:pPr>
            <w:r>
              <w:rPr>
                <w:rFonts w:ascii="Arial" w:hAnsi="Arial" w:cs="Arial"/>
                <w:sz w:val="16"/>
                <w:szCs w:val="16"/>
              </w:rPr>
              <w:t>Sales and marketin</w:t>
            </w:r>
            <w:r>
              <w:rPr>
                <w:rFonts w:ascii="Arial" w:hAnsi="Arial" w:cs="Arial"/>
                <w:sz w:val="16"/>
                <w:szCs w:val="16"/>
              </w:rPr>
              <w:t>g</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43,91</w:t>
            </w:r>
            <w:r>
              <w:rPr>
                <w:rFonts w:ascii="Arial" w:hAnsi="Arial" w:cs="Arial"/>
                <w:sz w:val="16"/>
                <w:szCs w:val="16"/>
              </w:rPr>
              <w:t>7</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31,84</w:t>
            </w:r>
            <w:r>
              <w:rPr>
                <w:rFonts w:ascii="Arial" w:hAnsi="Arial" w:cs="Arial"/>
                <w:sz w:val="16"/>
                <w:szCs w:val="16"/>
              </w:rPr>
              <w:t>2</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27,98</w:t>
            </w:r>
            <w:r>
              <w:rPr>
                <w:rFonts w:ascii="Arial" w:hAnsi="Arial" w:cs="Arial"/>
                <w:sz w:val="16"/>
                <w:szCs w:val="16"/>
              </w:rPr>
              <w:t>9</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6"/>
                <w:szCs w:val="16"/>
              </w:rPr>
            </w:pPr>
            <w:r>
              <w:rPr>
                <w:rFonts w:ascii="Arial" w:hAnsi="Arial" w:cs="Arial"/>
                <w:sz w:val="16"/>
                <w:szCs w:val="16"/>
              </w:rPr>
              <w:t>General and administrativ</w:t>
            </w:r>
            <w:r>
              <w:rPr>
                <w:rFonts w:ascii="Arial" w:hAnsi="Arial" w:cs="Arial"/>
                <w:sz w:val="16"/>
                <w:szCs w:val="16"/>
              </w:rPr>
              <w:t>e</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32,96</w:t>
            </w:r>
            <w:r>
              <w:rPr>
                <w:rFonts w:ascii="Arial" w:hAnsi="Arial" w:cs="Arial"/>
                <w:sz w:val="16"/>
                <w:szCs w:val="16"/>
              </w:rPr>
              <w:t>8</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17,84</w:t>
            </w:r>
            <w:r>
              <w:rPr>
                <w:rFonts w:ascii="Arial" w:hAnsi="Arial" w:cs="Arial"/>
                <w:sz w:val="16"/>
                <w:szCs w:val="16"/>
              </w:rPr>
              <w:t>7</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10,21</w:t>
            </w:r>
            <w:r>
              <w:rPr>
                <w:rFonts w:ascii="Arial" w:hAnsi="Arial" w:cs="Arial"/>
                <w:sz w:val="16"/>
                <w:szCs w:val="16"/>
              </w:rPr>
              <w:t>0</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400"/>
              <w:rPr>
                <w:sz w:val="16"/>
                <w:szCs w:val="16"/>
              </w:rPr>
            </w:pPr>
            <w:r>
              <w:rPr>
                <w:rFonts w:ascii="Arial" w:hAnsi="Arial" w:cs="Arial"/>
                <w:sz w:val="16"/>
                <w:szCs w:val="16"/>
              </w:rPr>
              <w:t>Total operating expense</w:t>
            </w:r>
            <w:r>
              <w:rPr>
                <w:rFonts w:ascii="Arial" w:hAnsi="Arial" w:cs="Arial"/>
                <w:sz w:val="16"/>
                <w:szCs w:val="16"/>
              </w:rPr>
              <w:t>s</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111,00</w:t>
            </w:r>
            <w:r>
              <w:rPr>
                <w:rFonts w:ascii="Arial" w:hAnsi="Arial" w:cs="Arial"/>
                <w:sz w:val="16"/>
                <w:szCs w:val="16"/>
              </w:rPr>
              <w:t>7</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74,19</w:t>
            </w:r>
            <w:r>
              <w:rPr>
                <w:rFonts w:ascii="Arial" w:hAnsi="Arial" w:cs="Arial"/>
                <w:sz w:val="16"/>
                <w:szCs w:val="16"/>
              </w:rPr>
              <w:t>9</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56,06</w:t>
            </w:r>
            <w:r>
              <w:rPr>
                <w:rFonts w:ascii="Arial" w:hAnsi="Arial" w:cs="Arial"/>
                <w:sz w:val="16"/>
                <w:szCs w:val="16"/>
              </w:rPr>
              <w:t>3</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400"/>
              <w:rPr>
                <w:sz w:val="16"/>
                <w:szCs w:val="16"/>
              </w:rPr>
            </w:pPr>
            <w:r>
              <w:rPr>
                <w:rFonts w:ascii="Arial" w:hAnsi="Arial" w:cs="Arial"/>
                <w:sz w:val="16"/>
                <w:szCs w:val="16"/>
              </w:rPr>
              <w:t>Income from operation</w:t>
            </w:r>
            <w:r>
              <w:rPr>
                <w:rFonts w:ascii="Arial" w:hAnsi="Arial" w:cs="Arial"/>
                <w:sz w:val="16"/>
                <w:szCs w:val="16"/>
              </w:rPr>
              <w:t>s</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10,37</w:t>
            </w:r>
            <w:r>
              <w:rPr>
                <w:rFonts w:ascii="Arial" w:hAnsi="Arial" w:cs="Arial"/>
                <w:sz w:val="16"/>
                <w:szCs w:val="16"/>
              </w:rPr>
              <w:t>3</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18,42</w:t>
            </w:r>
            <w:r>
              <w:rPr>
                <w:rFonts w:ascii="Arial" w:hAnsi="Arial" w:cs="Arial"/>
                <w:sz w:val="16"/>
                <w:szCs w:val="16"/>
              </w:rPr>
              <w:t>8</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18,37</w:t>
            </w:r>
            <w:r>
              <w:rPr>
                <w:rFonts w:ascii="Arial" w:hAnsi="Arial" w:cs="Arial"/>
                <w:sz w:val="16"/>
                <w:szCs w:val="16"/>
              </w:rPr>
              <w:t>1</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6"/>
                <w:szCs w:val="16"/>
              </w:rPr>
            </w:pPr>
            <w:r>
              <w:rPr>
                <w:rFonts w:ascii="Arial" w:hAnsi="Arial" w:cs="Arial"/>
                <w:sz w:val="16"/>
                <w:szCs w:val="16"/>
              </w:rPr>
              <w:t>Other income (loss</w:t>
            </w: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6"/>
                <w:szCs w:val="16"/>
              </w:rPr>
            </w:pPr>
            <w:r>
              <w:rPr>
                <w:rFonts w:ascii="Arial" w:hAnsi="Arial" w:cs="Arial"/>
                <w:sz w:val="16"/>
                <w:szCs w:val="16"/>
              </w:rPr>
              <w:t>Interest (expense) income, ne</w:t>
            </w:r>
            <w:r>
              <w:rPr>
                <w:rFonts w:ascii="Arial" w:hAnsi="Arial" w:cs="Arial"/>
                <w:sz w:val="16"/>
                <w:szCs w:val="16"/>
              </w:rPr>
              <w:t>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6</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5</w:t>
            </w:r>
            <w:r>
              <w:rPr>
                <w:rFonts w:ascii="Arial" w:hAnsi="Arial" w:cs="Arial"/>
                <w:sz w:val="16"/>
                <w:szCs w:val="16"/>
              </w:rPr>
              <w:t>2</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10</w:t>
            </w:r>
            <w:r>
              <w:rPr>
                <w:rFonts w:ascii="Arial" w:hAnsi="Arial" w:cs="Arial"/>
                <w:sz w:val="16"/>
                <w:szCs w:val="16"/>
              </w:rPr>
              <w:t>6</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6"/>
                <w:szCs w:val="16"/>
              </w:rPr>
            </w:pPr>
            <w:r>
              <w:rPr>
                <w:rFonts w:ascii="Arial" w:hAnsi="Arial" w:cs="Arial"/>
                <w:sz w:val="16"/>
                <w:szCs w:val="16"/>
              </w:rPr>
              <w:t>Foreign exchange (loss) gai</w:t>
            </w:r>
            <w:r>
              <w:rPr>
                <w:rFonts w:ascii="Arial" w:hAnsi="Arial" w:cs="Arial"/>
                <w:sz w:val="16"/>
                <w:szCs w:val="16"/>
              </w:rPr>
              <w:t>n</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1</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11</w:t>
            </w:r>
            <w:r>
              <w:rPr>
                <w:rFonts w:ascii="Arial" w:hAnsi="Arial" w:cs="Arial"/>
                <w:sz w:val="16"/>
                <w:szCs w:val="16"/>
              </w:rPr>
              <w:t>6</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2</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400"/>
              <w:rPr>
                <w:sz w:val="16"/>
                <w:szCs w:val="16"/>
              </w:rPr>
            </w:pPr>
            <w:r>
              <w:rPr>
                <w:rFonts w:ascii="Arial" w:hAnsi="Arial" w:cs="Arial"/>
                <w:sz w:val="16"/>
                <w:szCs w:val="16"/>
              </w:rPr>
              <w:t>Income before income taxe</w:t>
            </w:r>
            <w:r>
              <w:rPr>
                <w:rFonts w:ascii="Arial" w:hAnsi="Arial" w:cs="Arial"/>
                <w:sz w:val="16"/>
                <w:szCs w:val="16"/>
              </w:rPr>
              <w:t>s</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10,36</w:t>
            </w:r>
            <w:r>
              <w:rPr>
                <w:rFonts w:ascii="Arial" w:hAnsi="Arial" w:cs="Arial"/>
                <w:sz w:val="16"/>
                <w:szCs w:val="16"/>
              </w:rPr>
              <w:t>6</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18,36</w:t>
            </w:r>
            <w:r>
              <w:rPr>
                <w:rFonts w:ascii="Arial" w:hAnsi="Arial" w:cs="Arial"/>
                <w:sz w:val="16"/>
                <w:szCs w:val="16"/>
              </w:rPr>
              <w:t>4</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18,47</w:t>
            </w:r>
            <w:r>
              <w:rPr>
                <w:rFonts w:ascii="Arial" w:hAnsi="Arial" w:cs="Arial"/>
                <w:sz w:val="16"/>
                <w:szCs w:val="16"/>
              </w:rPr>
              <w:t>9</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6"/>
                <w:szCs w:val="16"/>
              </w:rPr>
            </w:pPr>
            <w:r>
              <w:rPr>
                <w:rFonts w:ascii="Arial" w:hAnsi="Arial" w:cs="Arial"/>
                <w:sz w:val="16"/>
                <w:szCs w:val="16"/>
              </w:rPr>
              <w:t>Provision for income taxe</w:t>
            </w:r>
            <w:r>
              <w:rPr>
                <w:rFonts w:ascii="Arial" w:hAnsi="Arial" w:cs="Arial"/>
                <w:sz w:val="16"/>
                <w:szCs w:val="16"/>
              </w:rPr>
              <w:t>s</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1,06</w:t>
            </w:r>
            <w:r>
              <w:rPr>
                <w:rFonts w:ascii="Arial" w:hAnsi="Arial" w:cs="Arial"/>
                <w:sz w:val="16"/>
                <w:szCs w:val="16"/>
              </w:rPr>
              <w:t>6</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4,65</w:t>
            </w:r>
            <w:r>
              <w:rPr>
                <w:rFonts w:ascii="Arial" w:hAnsi="Arial" w:cs="Arial"/>
                <w:sz w:val="16"/>
                <w:szCs w:val="16"/>
              </w:rPr>
              <w:t>3</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4,78</w:t>
            </w:r>
            <w:r>
              <w:rPr>
                <w:rFonts w:ascii="Arial" w:hAnsi="Arial" w:cs="Arial"/>
                <w:sz w:val="16"/>
                <w:szCs w:val="16"/>
              </w:rPr>
              <w:t>2</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r>
      <w:tr w:rsidR="00000000">
        <w:trPr>
          <w:trHeight w:val="160"/>
          <w:tblCellSpacing w:w="15" w:type="dxa"/>
        </w:trPr>
        <w:tc>
          <w:tcPr>
            <w:tcW w:w="0" w:type="auto"/>
            <w:hideMark/>
          </w:tcPr>
          <w:p w:rsidR="00000000" w:rsidRDefault="00010F15">
            <w:pPr>
              <w:pStyle w:val="a3"/>
              <w:spacing w:before="0" w:beforeAutospacing="0" w:after="0" w:afterAutospacing="0"/>
              <w:ind w:left="400"/>
              <w:rPr>
                <w:sz w:val="16"/>
                <w:szCs w:val="16"/>
              </w:rPr>
            </w:pPr>
            <w:r>
              <w:rPr>
                <w:rFonts w:ascii="Arial" w:hAnsi="Arial" w:cs="Arial"/>
                <w:sz w:val="16"/>
                <w:szCs w:val="16"/>
              </w:rPr>
              <w:t>Net incom</w:t>
            </w:r>
            <w:r>
              <w:rPr>
                <w:rFonts w:ascii="Arial" w:hAnsi="Arial" w:cs="Arial"/>
                <w:sz w:val="16"/>
                <w:szCs w:val="16"/>
              </w:rPr>
              <w:t>e</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9,30</w:t>
            </w:r>
            <w:r>
              <w:rPr>
                <w:rFonts w:ascii="Arial" w:hAnsi="Arial" w:cs="Arial"/>
                <w:sz w:val="16"/>
                <w:szCs w:val="16"/>
              </w:rPr>
              <w:t>0</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13,71</w:t>
            </w:r>
            <w:r>
              <w:rPr>
                <w:rFonts w:ascii="Arial" w:hAnsi="Arial" w:cs="Arial"/>
                <w:sz w:val="16"/>
                <w:szCs w:val="16"/>
              </w:rPr>
              <w:t>1</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13,69</w:t>
            </w:r>
            <w:r>
              <w:rPr>
                <w:rFonts w:ascii="Arial" w:hAnsi="Arial" w:cs="Arial"/>
                <w:sz w:val="16"/>
                <w:szCs w:val="16"/>
              </w:rPr>
              <w:t>7</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400"/>
              <w:rPr>
                <w:sz w:val="16"/>
                <w:szCs w:val="16"/>
              </w:rPr>
            </w:pPr>
            <w:r>
              <w:rPr>
                <w:rFonts w:ascii="Arial" w:hAnsi="Arial" w:cs="Arial"/>
                <w:sz w:val="16"/>
                <w:szCs w:val="16"/>
              </w:rPr>
              <w:t>Undeclared dividends on Series A preferred stoc</w:t>
            </w:r>
            <w:r>
              <w:rPr>
                <w:rFonts w:ascii="Arial" w:hAnsi="Arial" w:cs="Arial"/>
                <w:sz w:val="16"/>
                <w:szCs w:val="16"/>
              </w:rPr>
              <w:t>k</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2,25</w:t>
            </w:r>
            <w:r>
              <w:rPr>
                <w:rFonts w:ascii="Arial" w:hAnsi="Arial" w:cs="Arial"/>
                <w:sz w:val="16"/>
                <w:szCs w:val="16"/>
              </w:rPr>
              <w:t>8</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5,18</w:t>
            </w:r>
            <w:r>
              <w:rPr>
                <w:rFonts w:ascii="Arial" w:hAnsi="Arial" w:cs="Arial"/>
                <w:sz w:val="16"/>
                <w:szCs w:val="16"/>
              </w:rPr>
              <w:t>6</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4,69</w:t>
            </w:r>
            <w:r>
              <w:rPr>
                <w:rFonts w:ascii="Arial" w:hAnsi="Arial" w:cs="Arial"/>
                <w:sz w:val="16"/>
                <w:szCs w:val="16"/>
              </w:rPr>
              <w:t>7</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r>
      <w:tr w:rsidR="00000000">
        <w:trPr>
          <w:trHeight w:val="160"/>
          <w:tblCellSpacing w:w="15" w:type="dxa"/>
        </w:trPr>
        <w:tc>
          <w:tcPr>
            <w:tcW w:w="0" w:type="auto"/>
            <w:hideMark/>
          </w:tcPr>
          <w:p w:rsidR="00000000" w:rsidRDefault="00010F15">
            <w:pPr>
              <w:pStyle w:val="a3"/>
              <w:spacing w:before="0" w:beforeAutospacing="0" w:after="0" w:afterAutospacing="0"/>
              <w:ind w:left="400"/>
              <w:rPr>
                <w:sz w:val="16"/>
                <w:szCs w:val="16"/>
              </w:rPr>
            </w:pPr>
            <w:r>
              <w:rPr>
                <w:rFonts w:ascii="Arial" w:hAnsi="Arial" w:cs="Arial"/>
                <w:sz w:val="16"/>
                <w:szCs w:val="16"/>
              </w:rPr>
              <w:t>Net income attributable to common stoc</w:t>
            </w:r>
            <w:r>
              <w:rPr>
                <w:rFonts w:ascii="Arial" w:hAnsi="Arial" w:cs="Arial"/>
                <w:sz w:val="16"/>
                <w:szCs w:val="16"/>
              </w:rPr>
              <w:t>k</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7,04</w:t>
            </w:r>
            <w:r>
              <w:rPr>
                <w:rFonts w:ascii="Arial" w:hAnsi="Arial" w:cs="Arial"/>
                <w:sz w:val="16"/>
                <w:szCs w:val="16"/>
              </w:rPr>
              <w:t>2</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8,52</w:t>
            </w:r>
            <w:r>
              <w:rPr>
                <w:rFonts w:ascii="Arial" w:hAnsi="Arial" w:cs="Arial"/>
                <w:sz w:val="16"/>
                <w:szCs w:val="16"/>
              </w:rPr>
              <w:t>5</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9,00</w:t>
            </w:r>
            <w:r>
              <w:rPr>
                <w:rFonts w:ascii="Arial" w:hAnsi="Arial" w:cs="Arial"/>
                <w:sz w:val="16"/>
                <w:szCs w:val="16"/>
              </w:rPr>
              <w:t>0</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6"/>
                <w:szCs w:val="16"/>
              </w:rPr>
            </w:pPr>
            <w:r>
              <w:rPr>
                <w:rFonts w:ascii="Arial" w:hAnsi="Arial" w:cs="Arial"/>
                <w:sz w:val="16"/>
                <w:szCs w:val="16"/>
              </w:rPr>
              <w:t>Net income per share attributable to common stoc</w:t>
            </w:r>
            <w:r>
              <w:rPr>
                <w:rFonts w:ascii="Arial" w:hAnsi="Arial" w:cs="Arial"/>
                <w:sz w:val="16"/>
                <w:szCs w:val="16"/>
              </w:rPr>
              <w:t>k</w:t>
            </w:r>
          </w:p>
        </w:tc>
        <w:tc>
          <w:tcPr>
            <w:tcW w:w="0" w:type="auto"/>
            <w:hideMark/>
          </w:tcPr>
          <w:p w:rsidR="00000000" w:rsidRDefault="00010F15">
            <w:pPr>
              <w:pStyle w:val="a3"/>
              <w:spacing w:before="0" w:beforeAutospacing="0" w:after="0" w:afterAutospacing="0"/>
              <w:ind w:left="20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400"/>
              <w:rPr>
                <w:sz w:val="16"/>
                <w:szCs w:val="16"/>
              </w:rPr>
            </w:pPr>
            <w:r>
              <w:rPr>
                <w:rFonts w:ascii="Arial" w:hAnsi="Arial" w:cs="Arial"/>
                <w:sz w:val="16"/>
                <w:szCs w:val="16"/>
              </w:rPr>
              <w:t>Basi</w:t>
            </w:r>
            <w:r>
              <w:rPr>
                <w:rFonts w:ascii="Arial" w:hAnsi="Arial" w:cs="Arial"/>
                <w:sz w:val="16"/>
                <w:szCs w:val="16"/>
              </w:rPr>
              <w:t>c</w:t>
            </w:r>
          </w:p>
        </w:tc>
        <w:tc>
          <w:tcPr>
            <w:tcW w:w="0" w:type="auto"/>
            <w:hideMark/>
          </w:tcPr>
          <w:p w:rsidR="00000000" w:rsidRDefault="00010F15">
            <w:pPr>
              <w:pStyle w:val="a3"/>
              <w:spacing w:before="0" w:beforeAutospacing="0" w:after="0" w:afterAutospacing="0"/>
              <w:ind w:left="20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0.0</w:t>
            </w:r>
            <w:r>
              <w:rPr>
                <w:rFonts w:ascii="Arial" w:hAnsi="Arial" w:cs="Arial"/>
                <w:sz w:val="16"/>
                <w:szCs w:val="16"/>
              </w:rPr>
              <w:t>6</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0.0</w:t>
            </w:r>
            <w:r>
              <w:rPr>
                <w:rFonts w:ascii="Arial" w:hAnsi="Arial" w:cs="Arial"/>
                <w:sz w:val="16"/>
                <w:szCs w:val="16"/>
              </w:rPr>
              <w:t>8</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0.0</w:t>
            </w:r>
            <w:r>
              <w:rPr>
                <w:rFonts w:ascii="Arial" w:hAnsi="Arial" w:cs="Arial"/>
                <w:sz w:val="16"/>
                <w:szCs w:val="16"/>
              </w:rPr>
              <w:t>9</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400"/>
              <w:rPr>
                <w:sz w:val="16"/>
                <w:szCs w:val="16"/>
              </w:rPr>
            </w:pPr>
            <w:r>
              <w:rPr>
                <w:rFonts w:ascii="Arial" w:hAnsi="Arial" w:cs="Arial"/>
                <w:sz w:val="16"/>
                <w:szCs w:val="16"/>
              </w:rPr>
              <w:t>Dilute</w:t>
            </w:r>
            <w:r>
              <w:rPr>
                <w:rFonts w:ascii="Arial" w:hAnsi="Arial" w:cs="Arial"/>
                <w:sz w:val="16"/>
                <w:szCs w:val="16"/>
              </w:rPr>
              <w:t>d</w:t>
            </w:r>
          </w:p>
        </w:tc>
        <w:tc>
          <w:tcPr>
            <w:tcW w:w="0" w:type="auto"/>
            <w:hideMark/>
          </w:tcPr>
          <w:p w:rsidR="00000000" w:rsidRDefault="00010F15">
            <w:pPr>
              <w:pStyle w:val="a3"/>
              <w:spacing w:before="0" w:beforeAutospacing="0" w:after="0" w:afterAutospacing="0"/>
              <w:ind w:left="20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0.0</w:t>
            </w:r>
            <w:r>
              <w:rPr>
                <w:rFonts w:ascii="Arial" w:hAnsi="Arial" w:cs="Arial"/>
                <w:sz w:val="16"/>
                <w:szCs w:val="16"/>
              </w:rPr>
              <w:t>6</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0.0</w:t>
            </w:r>
            <w:r>
              <w:rPr>
                <w:rFonts w:ascii="Arial" w:hAnsi="Arial" w:cs="Arial"/>
                <w:sz w:val="16"/>
                <w:szCs w:val="16"/>
              </w:rPr>
              <w:t>8</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0.0</w:t>
            </w:r>
            <w:r>
              <w:rPr>
                <w:rFonts w:ascii="Arial" w:hAnsi="Arial" w:cs="Arial"/>
                <w:sz w:val="16"/>
                <w:szCs w:val="16"/>
              </w:rPr>
              <w:t>8</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6"/>
                <w:szCs w:val="16"/>
              </w:rPr>
            </w:pPr>
            <w:r>
              <w:rPr>
                <w:rFonts w:ascii="Arial" w:hAnsi="Arial" w:cs="Arial"/>
                <w:sz w:val="16"/>
                <w:szCs w:val="16"/>
              </w:rPr>
              <w:t>Weighted-average number of shares used to compute net income per share attributable to common stoc</w:t>
            </w:r>
            <w:r>
              <w:rPr>
                <w:rFonts w:ascii="Arial" w:hAnsi="Arial" w:cs="Arial"/>
                <w:sz w:val="16"/>
                <w:szCs w:val="16"/>
              </w:rPr>
              <w:t>k</w:t>
            </w:r>
          </w:p>
        </w:tc>
        <w:tc>
          <w:tcPr>
            <w:tcW w:w="0" w:type="auto"/>
            <w:hideMark/>
          </w:tcPr>
          <w:p w:rsidR="00000000" w:rsidRDefault="00010F15">
            <w:pPr>
              <w:pStyle w:val="a3"/>
              <w:spacing w:before="0" w:beforeAutospacing="0" w:after="0" w:afterAutospacing="0"/>
              <w:ind w:left="20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400"/>
              <w:rPr>
                <w:sz w:val="16"/>
                <w:szCs w:val="16"/>
              </w:rPr>
            </w:pPr>
            <w:r>
              <w:rPr>
                <w:rFonts w:ascii="Arial" w:hAnsi="Arial" w:cs="Arial"/>
                <w:sz w:val="16"/>
                <w:szCs w:val="16"/>
              </w:rPr>
              <w:t>Basi</w:t>
            </w:r>
            <w:r>
              <w:rPr>
                <w:rFonts w:ascii="Arial" w:hAnsi="Arial" w:cs="Arial"/>
                <w:sz w:val="16"/>
                <w:szCs w:val="16"/>
              </w:rPr>
              <w:t>c</w:t>
            </w:r>
          </w:p>
        </w:tc>
        <w:tc>
          <w:tcPr>
            <w:tcW w:w="0" w:type="auto"/>
            <w:hideMark/>
          </w:tcPr>
          <w:p w:rsidR="00000000" w:rsidRDefault="00010F15">
            <w:pPr>
              <w:pStyle w:val="a3"/>
              <w:spacing w:before="0" w:beforeAutospacing="0" w:after="0" w:afterAutospacing="0"/>
              <w:ind w:left="20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112,763,26</w:t>
            </w:r>
            <w:r>
              <w:rPr>
                <w:rFonts w:ascii="Arial" w:hAnsi="Arial" w:cs="Arial"/>
                <w:sz w:val="16"/>
                <w:szCs w:val="16"/>
              </w:rPr>
              <w:t>1</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103,479,23</w:t>
            </w:r>
            <w:r>
              <w:rPr>
                <w:rFonts w:ascii="Arial" w:hAnsi="Arial" w:cs="Arial"/>
                <w:sz w:val="16"/>
                <w:szCs w:val="16"/>
              </w:rPr>
              <w:t>9</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103,469,23</w:t>
            </w:r>
            <w:r>
              <w:rPr>
                <w:rFonts w:ascii="Arial" w:hAnsi="Arial" w:cs="Arial"/>
                <w:sz w:val="16"/>
                <w:szCs w:val="16"/>
              </w:rPr>
              <w:t>8</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400"/>
              <w:rPr>
                <w:sz w:val="16"/>
                <w:szCs w:val="16"/>
              </w:rPr>
            </w:pPr>
            <w:r>
              <w:rPr>
                <w:rFonts w:ascii="Arial" w:hAnsi="Arial" w:cs="Arial"/>
                <w:sz w:val="16"/>
                <w:szCs w:val="16"/>
              </w:rPr>
              <w:t>Dilute</w:t>
            </w:r>
            <w:r>
              <w:rPr>
                <w:rFonts w:ascii="Arial" w:hAnsi="Arial" w:cs="Arial"/>
                <w:sz w:val="16"/>
                <w:szCs w:val="16"/>
              </w:rPr>
              <w:t>d</w:t>
            </w:r>
          </w:p>
        </w:tc>
        <w:tc>
          <w:tcPr>
            <w:tcW w:w="0" w:type="auto"/>
            <w:hideMark/>
          </w:tcPr>
          <w:p w:rsidR="00000000" w:rsidRDefault="00010F15">
            <w:pPr>
              <w:pStyle w:val="a3"/>
              <w:spacing w:before="0" w:beforeAutospacing="0" w:after="0" w:afterAutospacing="0"/>
              <w:ind w:left="20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118,821,92</w:t>
            </w:r>
            <w:r>
              <w:rPr>
                <w:rFonts w:ascii="Arial" w:hAnsi="Arial" w:cs="Arial"/>
                <w:sz w:val="16"/>
                <w:szCs w:val="16"/>
              </w:rPr>
              <w:t>5</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106,207,88</w:t>
            </w:r>
            <w:r>
              <w:rPr>
                <w:rFonts w:ascii="Arial" w:hAnsi="Arial" w:cs="Arial"/>
                <w:sz w:val="16"/>
                <w:szCs w:val="16"/>
              </w:rPr>
              <w:t>3</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106,350,47</w:t>
            </w:r>
            <w:r>
              <w:rPr>
                <w:rFonts w:ascii="Arial" w:hAnsi="Arial" w:cs="Arial"/>
                <w:sz w:val="16"/>
                <w:szCs w:val="16"/>
              </w:rPr>
              <w:t>3</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bl>
    <w:p w:rsidR="00000000" w:rsidRDefault="00010F15">
      <w:pPr>
        <w:pStyle w:val="a3"/>
        <w:spacing w:before="120" w:beforeAutospacing="0" w:after="0" w:afterAutospacing="0"/>
        <w:jc w:val="center"/>
        <w:rPr>
          <w:sz w:val="20"/>
          <w:szCs w:val="20"/>
        </w:rPr>
      </w:pPr>
      <w:r>
        <w:rPr>
          <w:rFonts w:ascii="Arial" w:hAnsi="Arial" w:cs="Arial"/>
          <w:sz w:val="20"/>
          <w:szCs w:val="20"/>
        </w:rPr>
        <w:t>The accompanying notes are an integral part of these consolidated financial statements</w:t>
      </w:r>
      <w:r>
        <w:rPr>
          <w:rFonts w:ascii="Arial" w:hAnsi="Arial" w:cs="Arial"/>
          <w:sz w:val="20"/>
          <w:szCs w:val="20"/>
        </w:rPr>
        <w:t>.</w:t>
      </w:r>
    </w:p>
    <w:p w:rsidR="00000000" w:rsidRDefault="00010F15">
      <w:pPr>
        <w:pStyle w:val="a3"/>
        <w:spacing w:before="0" w:beforeAutospacing="0" w:after="0" w:afterAutospacing="0"/>
        <w:jc w:val="center"/>
        <w:rPr>
          <w:sz w:val="20"/>
          <w:szCs w:val="20"/>
        </w:rPr>
      </w:pPr>
      <w:r>
        <w:rPr>
          <w:rFonts w:ascii="Arial" w:hAnsi="Arial" w:cs="Arial"/>
          <w:sz w:val="20"/>
          <w:szCs w:val="20"/>
        </w:rPr>
        <w:t>7</w:t>
      </w:r>
      <w:r>
        <w:rPr>
          <w:rFonts w:ascii="Arial" w:hAnsi="Arial" w:cs="Arial"/>
          <w:sz w:val="20"/>
          <w:szCs w:val="20"/>
        </w:rPr>
        <w:t>3</w:t>
      </w:r>
    </w:p>
    <w:p w:rsidR="00000000" w:rsidRDefault="00010F15">
      <w:pPr>
        <w:rPr>
          <w:rFonts w:eastAsia="Times New Roman"/>
        </w:rPr>
      </w:pPr>
      <w:r>
        <w:rPr>
          <w:rFonts w:eastAsia="Times New Roman"/>
        </w:rPr>
        <w:pict>
          <v:rect id="_x0000_i1098"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0" w:beforeAutospacing="0" w:after="0" w:afterAutospacing="0"/>
        <w:jc w:val="center"/>
        <w:rPr>
          <w:sz w:val="20"/>
          <w:szCs w:val="20"/>
        </w:rPr>
      </w:pPr>
      <w:r>
        <w:rPr>
          <w:rFonts w:ascii="Arial" w:hAnsi="Arial" w:cs="Arial"/>
          <w:sz w:val="20"/>
          <w:szCs w:val="20"/>
        </w:rPr>
        <w:t>PAYMENTUS HOLDINGS, INC</w:t>
      </w:r>
      <w:r>
        <w:rPr>
          <w:rFonts w:ascii="Arial" w:hAnsi="Arial" w:cs="Arial"/>
          <w:sz w:val="20"/>
          <w:szCs w:val="20"/>
        </w:rPr>
        <w:t>.</w:t>
      </w:r>
    </w:p>
    <w:p w:rsidR="00000000" w:rsidRDefault="00010F15">
      <w:pPr>
        <w:pStyle w:val="a3"/>
        <w:spacing w:before="0" w:beforeAutospacing="0" w:after="0" w:afterAutospacing="0"/>
        <w:jc w:val="center"/>
        <w:rPr>
          <w:sz w:val="20"/>
          <w:szCs w:val="20"/>
        </w:rPr>
      </w:pPr>
      <w:r>
        <w:rPr>
          <w:rFonts w:ascii="Arial" w:hAnsi="Arial" w:cs="Arial"/>
          <w:sz w:val="20"/>
          <w:szCs w:val="20"/>
        </w:rPr>
        <w:t>CONSOLIDATED STATEMENTS OF COMPREHENSIVE INCOM</w:t>
      </w:r>
      <w:r>
        <w:rPr>
          <w:rFonts w:ascii="Arial" w:hAnsi="Arial" w:cs="Arial"/>
          <w:sz w:val="20"/>
          <w:szCs w:val="20"/>
        </w:rPr>
        <w:t>E</w:t>
      </w:r>
    </w:p>
    <w:p w:rsidR="00000000" w:rsidRDefault="00010F15">
      <w:pPr>
        <w:pStyle w:val="a3"/>
        <w:spacing w:before="0" w:beforeAutospacing="0" w:after="0" w:afterAutospacing="0"/>
        <w:jc w:val="center"/>
        <w:rPr>
          <w:sz w:val="20"/>
          <w:szCs w:val="20"/>
        </w:rPr>
      </w:pPr>
      <w:r>
        <w:rPr>
          <w:rFonts w:ascii="Arial" w:hAnsi="Arial" w:cs="Arial"/>
          <w:sz w:val="20"/>
          <w:szCs w:val="20"/>
        </w:rPr>
        <w:t>(In 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33"/>
        <w:gridCol w:w="111"/>
        <w:gridCol w:w="161"/>
        <w:gridCol w:w="857"/>
        <w:gridCol w:w="120"/>
        <w:gridCol w:w="111"/>
        <w:gridCol w:w="161"/>
        <w:gridCol w:w="867"/>
        <w:gridCol w:w="111"/>
        <w:gridCol w:w="111"/>
        <w:gridCol w:w="161"/>
        <w:gridCol w:w="876"/>
        <w:gridCol w:w="126"/>
      </w:tblGrid>
      <w:tr w:rsidR="00000000">
        <w:trPr>
          <w:tblCellSpacing w:w="15" w:type="dxa"/>
        </w:trPr>
        <w:tc>
          <w:tcPr>
            <w:tcW w:w="2862" w:type="pct"/>
            <w:vAlign w:val="center"/>
            <w:hideMark/>
          </w:tcPr>
          <w:p w:rsidR="00000000" w:rsidRDefault="00010F15">
            <w:pPr>
              <w:rPr>
                <w:sz w:val="20"/>
                <w:szCs w:val="20"/>
              </w:rPr>
            </w:pPr>
          </w:p>
        </w:tc>
        <w:tc>
          <w:tcPr>
            <w:tcW w:w="65" w:type="pct"/>
            <w:vAlign w:val="center"/>
            <w:hideMark/>
          </w:tcPr>
          <w:p w:rsidR="00000000" w:rsidRDefault="00010F15">
            <w:pPr>
              <w:rPr>
                <w:rFonts w:eastAsia="Times New Roman"/>
                <w:sz w:val="20"/>
                <w:szCs w:val="20"/>
              </w:rPr>
            </w:pPr>
          </w:p>
        </w:tc>
        <w:tc>
          <w:tcPr>
            <w:tcW w:w="60" w:type="pct"/>
            <w:vAlign w:val="center"/>
            <w:hideMark/>
          </w:tcPr>
          <w:p w:rsidR="00000000" w:rsidRDefault="00010F15">
            <w:pPr>
              <w:rPr>
                <w:rFonts w:eastAsia="Times New Roman"/>
                <w:sz w:val="20"/>
                <w:szCs w:val="20"/>
              </w:rPr>
            </w:pPr>
          </w:p>
        </w:tc>
        <w:tc>
          <w:tcPr>
            <w:tcW w:w="549" w:type="pct"/>
            <w:vAlign w:val="center"/>
            <w:hideMark/>
          </w:tcPr>
          <w:p w:rsidR="00000000" w:rsidRDefault="00010F15">
            <w:pPr>
              <w:rPr>
                <w:rFonts w:eastAsia="Times New Roman"/>
                <w:sz w:val="20"/>
                <w:szCs w:val="20"/>
              </w:rPr>
            </w:pPr>
          </w:p>
        </w:tc>
        <w:tc>
          <w:tcPr>
            <w:tcW w:w="36" w:type="pct"/>
            <w:vAlign w:val="center"/>
            <w:hideMark/>
          </w:tcPr>
          <w:p w:rsidR="00000000" w:rsidRDefault="00010F15">
            <w:pPr>
              <w:rPr>
                <w:rFonts w:eastAsia="Times New Roman"/>
                <w:sz w:val="20"/>
                <w:szCs w:val="20"/>
              </w:rPr>
            </w:pPr>
          </w:p>
        </w:tc>
        <w:tc>
          <w:tcPr>
            <w:tcW w:w="65" w:type="pct"/>
            <w:vAlign w:val="center"/>
            <w:hideMark/>
          </w:tcPr>
          <w:p w:rsidR="00000000" w:rsidRDefault="00010F15">
            <w:pPr>
              <w:rPr>
                <w:rFonts w:eastAsia="Times New Roman"/>
                <w:sz w:val="20"/>
                <w:szCs w:val="20"/>
              </w:rPr>
            </w:pPr>
          </w:p>
        </w:tc>
        <w:tc>
          <w:tcPr>
            <w:tcW w:w="60" w:type="pct"/>
            <w:vAlign w:val="center"/>
            <w:hideMark/>
          </w:tcPr>
          <w:p w:rsidR="00000000" w:rsidRDefault="00010F15">
            <w:pPr>
              <w:rPr>
                <w:rFonts w:eastAsia="Times New Roman"/>
                <w:sz w:val="20"/>
                <w:szCs w:val="20"/>
              </w:rPr>
            </w:pPr>
          </w:p>
        </w:tc>
        <w:tc>
          <w:tcPr>
            <w:tcW w:w="555" w:type="pct"/>
            <w:vAlign w:val="center"/>
            <w:hideMark/>
          </w:tcPr>
          <w:p w:rsidR="00000000" w:rsidRDefault="00010F15">
            <w:pPr>
              <w:rPr>
                <w:rFonts w:eastAsia="Times New Roman"/>
                <w:sz w:val="20"/>
                <w:szCs w:val="20"/>
              </w:rPr>
            </w:pPr>
          </w:p>
        </w:tc>
        <w:tc>
          <w:tcPr>
            <w:tcW w:w="29" w:type="pct"/>
            <w:vAlign w:val="center"/>
            <w:hideMark/>
          </w:tcPr>
          <w:p w:rsidR="00000000" w:rsidRDefault="00010F15">
            <w:pPr>
              <w:rPr>
                <w:rFonts w:eastAsia="Times New Roman"/>
                <w:sz w:val="20"/>
                <w:szCs w:val="20"/>
              </w:rPr>
            </w:pPr>
          </w:p>
        </w:tc>
        <w:tc>
          <w:tcPr>
            <w:tcW w:w="70" w:type="pct"/>
            <w:vAlign w:val="center"/>
            <w:hideMark/>
          </w:tcPr>
          <w:p w:rsidR="00000000" w:rsidRDefault="00010F15">
            <w:pPr>
              <w:rPr>
                <w:rFonts w:eastAsia="Times New Roman"/>
                <w:sz w:val="20"/>
                <w:szCs w:val="20"/>
              </w:rPr>
            </w:pPr>
          </w:p>
        </w:tc>
        <w:tc>
          <w:tcPr>
            <w:tcW w:w="60" w:type="pct"/>
            <w:vAlign w:val="center"/>
            <w:hideMark/>
          </w:tcPr>
          <w:p w:rsidR="00000000" w:rsidRDefault="00010F15">
            <w:pPr>
              <w:rPr>
                <w:rFonts w:eastAsia="Times New Roman"/>
                <w:sz w:val="20"/>
                <w:szCs w:val="20"/>
              </w:rPr>
            </w:pPr>
          </w:p>
        </w:tc>
        <w:tc>
          <w:tcPr>
            <w:tcW w:w="555" w:type="pct"/>
            <w:vAlign w:val="center"/>
            <w:hideMark/>
          </w:tcPr>
          <w:p w:rsidR="00000000" w:rsidRDefault="00010F15">
            <w:pPr>
              <w:rPr>
                <w:rFonts w:eastAsia="Times New Roman"/>
                <w:sz w:val="20"/>
                <w:szCs w:val="20"/>
              </w:rPr>
            </w:pPr>
          </w:p>
        </w:tc>
        <w:tc>
          <w:tcPr>
            <w:tcW w:w="29" w:type="pct"/>
            <w:vAlign w:val="center"/>
            <w:hideMark/>
          </w:tcPr>
          <w:p w:rsidR="00000000" w:rsidRDefault="00010F15">
            <w:pPr>
              <w:rPr>
                <w:rFonts w:eastAsia="Times New Roman"/>
                <w:sz w:val="20"/>
                <w:szCs w:val="20"/>
              </w:rPr>
            </w:pP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10"/>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Year Ended December 31</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201</w:t>
            </w:r>
            <w:r>
              <w:rPr>
                <w:rFonts w:ascii="Arial" w:hAnsi="Arial" w:cs="Arial"/>
                <w:b/>
                <w:bCs/>
                <w:sz w:val="16"/>
                <w:szCs w:val="16"/>
              </w:rPr>
              <w:t>9</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180"/>
          <w:tblCellSpacing w:w="15" w:type="dxa"/>
        </w:trPr>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Net incom</w:t>
            </w:r>
            <w:r>
              <w:rPr>
                <w:rFonts w:ascii="Arial" w:hAnsi="Arial" w:cs="Arial"/>
                <w:sz w:val="18"/>
                <w:szCs w:val="18"/>
              </w:rPr>
              <w:t>e</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8"/>
                <w:szCs w:val="18"/>
              </w:rPr>
              <w:t>9,30</w:t>
            </w:r>
            <w:r>
              <w:rPr>
                <w:rFonts w:ascii="Arial" w:hAnsi="Arial" w:cs="Arial"/>
                <w:sz w:val="18"/>
                <w:szCs w:val="18"/>
              </w:rPr>
              <w:t>0</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8"/>
                <w:szCs w:val="18"/>
              </w:rPr>
              <w:t>13,71</w:t>
            </w:r>
            <w:r>
              <w:rPr>
                <w:rFonts w:ascii="Arial" w:hAnsi="Arial" w:cs="Arial"/>
                <w:sz w:val="18"/>
                <w:szCs w:val="18"/>
              </w:rPr>
              <w:t>1</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8"/>
                <w:szCs w:val="18"/>
              </w:rPr>
              <w:t>13,69</w:t>
            </w:r>
            <w:r>
              <w:rPr>
                <w:rFonts w:ascii="Arial" w:hAnsi="Arial" w:cs="Arial"/>
                <w:sz w:val="18"/>
                <w:szCs w:val="18"/>
              </w:rPr>
              <w:t>7</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r>
      <w:tr w:rsidR="00000000">
        <w:trPr>
          <w:trHeight w:val="180"/>
          <w:tblCellSpacing w:w="15" w:type="dxa"/>
        </w:trPr>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Other comprehensive income (loss), net of ta</w:t>
            </w:r>
            <w:r>
              <w:rPr>
                <w:rFonts w:ascii="Arial" w:hAnsi="Arial" w:cs="Arial"/>
                <w:sz w:val="18"/>
                <w:szCs w:val="18"/>
              </w:rPr>
              <w:t>x</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010F15">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010F15">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jc w:val="right"/>
              <w:rPr>
                <w:sz w:val="18"/>
                <w:szCs w:val="18"/>
              </w:rPr>
            </w:pPr>
            <w:r>
              <w:rPr>
                <w:rFonts w:ascii="Arial" w:hAnsi="Arial" w:cs="Arial"/>
                <w:sz w:val="18"/>
                <w:szCs w:val="18"/>
              </w:rPr>
              <w:t> </w:t>
            </w:r>
          </w:p>
        </w:tc>
        <w:tc>
          <w:tcPr>
            <w:tcW w:w="0" w:type="auto"/>
            <w:gridSpan w:val="2"/>
            <w:vAlign w:val="bottom"/>
            <w:hideMark/>
          </w:tcPr>
          <w:p w:rsidR="00000000" w:rsidRDefault="00010F15">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jc w:val="right"/>
              <w:rPr>
                <w:sz w:val="18"/>
                <w:szCs w:val="18"/>
              </w:rPr>
            </w:pPr>
            <w:r>
              <w:rPr>
                <w:rFonts w:ascii="Arial" w:hAnsi="Arial" w:cs="Arial"/>
                <w:sz w:val="18"/>
                <w:szCs w:val="18"/>
              </w:rPr>
              <w:t> </w:t>
            </w:r>
          </w:p>
        </w:tc>
      </w:tr>
      <w:tr w:rsidR="00000000">
        <w:trPr>
          <w:trHeight w:val="180"/>
          <w:tblCellSpacing w:w="15" w:type="dxa"/>
        </w:trPr>
        <w:tc>
          <w:tcPr>
            <w:tcW w:w="0" w:type="auto"/>
            <w:gridSpan w:val="2"/>
            <w:vAlign w:val="bottom"/>
            <w:hideMark/>
          </w:tcPr>
          <w:p w:rsidR="00000000" w:rsidRDefault="00010F15">
            <w:pPr>
              <w:pStyle w:val="a3"/>
              <w:spacing w:before="0" w:beforeAutospacing="0" w:after="0" w:afterAutospacing="0"/>
              <w:ind w:left="200"/>
              <w:rPr>
                <w:sz w:val="18"/>
                <w:szCs w:val="18"/>
              </w:rPr>
            </w:pPr>
            <w:r>
              <w:rPr>
                <w:rFonts w:ascii="Arial" w:hAnsi="Arial" w:cs="Arial"/>
                <w:sz w:val="18"/>
                <w:szCs w:val="18"/>
              </w:rPr>
              <w:t>Foreign currency translation adjustments, net of ta</w:t>
            </w:r>
            <w:r>
              <w:rPr>
                <w:rFonts w:ascii="Arial" w:hAnsi="Arial" w:cs="Arial"/>
                <w:sz w:val="18"/>
                <w:szCs w:val="18"/>
              </w:rPr>
              <w:t>x</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4</w:t>
            </w:r>
            <w:r>
              <w:rPr>
                <w:rFonts w:ascii="Arial" w:hAnsi="Arial" w:cs="Arial"/>
                <w:sz w:val="18"/>
                <w:szCs w:val="18"/>
              </w:rPr>
              <w:t>8</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8"/>
                <w:szCs w:val="18"/>
              </w:rPr>
              <w:t>6</w:t>
            </w:r>
            <w:r>
              <w:rPr>
                <w:rFonts w:ascii="Arial" w:hAnsi="Arial" w:cs="Arial"/>
                <w:sz w:val="18"/>
                <w:szCs w:val="18"/>
              </w:rPr>
              <w:t>7</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8"/>
                <w:szCs w:val="18"/>
              </w:rPr>
              <w:t>1</w:t>
            </w:r>
            <w:r>
              <w:rPr>
                <w:rFonts w:ascii="Arial" w:hAnsi="Arial" w:cs="Arial"/>
                <w:sz w:val="18"/>
                <w:szCs w:val="18"/>
              </w:rPr>
              <w:t>6</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r>
      <w:tr w:rsidR="00000000">
        <w:trPr>
          <w:trHeight w:val="180"/>
          <w:tblCellSpacing w:w="15" w:type="dxa"/>
        </w:trPr>
        <w:tc>
          <w:tcPr>
            <w:tcW w:w="0" w:type="auto"/>
            <w:vAlign w:val="bottom"/>
            <w:hideMark/>
          </w:tcPr>
          <w:p w:rsidR="00000000" w:rsidRDefault="00010F15">
            <w:pPr>
              <w:pStyle w:val="a3"/>
              <w:spacing w:before="0" w:beforeAutospacing="0" w:after="0" w:afterAutospacing="0"/>
              <w:ind w:left="400"/>
              <w:rPr>
                <w:sz w:val="18"/>
                <w:szCs w:val="18"/>
              </w:rPr>
            </w:pPr>
            <w:r>
              <w:rPr>
                <w:rFonts w:ascii="Arial" w:hAnsi="Arial" w:cs="Arial"/>
                <w:sz w:val="18"/>
                <w:szCs w:val="18"/>
              </w:rPr>
              <w:t>Comprehensive incom</w:t>
            </w:r>
            <w:r>
              <w:rPr>
                <w:rFonts w:ascii="Arial" w:hAnsi="Arial" w:cs="Arial"/>
                <w:sz w:val="18"/>
                <w:szCs w:val="18"/>
              </w:rPr>
              <w:t>e</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8"/>
                <w:szCs w:val="18"/>
              </w:rPr>
              <w:t>9,25</w:t>
            </w:r>
            <w:r>
              <w:rPr>
                <w:rFonts w:ascii="Arial" w:hAnsi="Arial" w:cs="Arial"/>
                <w:sz w:val="18"/>
                <w:szCs w:val="18"/>
              </w:rPr>
              <w:t>2</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8"/>
                <w:szCs w:val="18"/>
              </w:rPr>
              <w:t>13,77</w:t>
            </w:r>
            <w:r>
              <w:rPr>
                <w:rFonts w:ascii="Arial" w:hAnsi="Arial" w:cs="Arial"/>
                <w:sz w:val="18"/>
                <w:szCs w:val="18"/>
              </w:rPr>
              <w:t>8</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8"/>
                <w:szCs w:val="18"/>
              </w:rPr>
              <w:t>13,71</w:t>
            </w:r>
            <w:r>
              <w:rPr>
                <w:rFonts w:ascii="Arial" w:hAnsi="Arial" w:cs="Arial"/>
                <w:sz w:val="18"/>
                <w:szCs w:val="18"/>
              </w:rPr>
              <w:t>3</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r>
    </w:tbl>
    <w:p w:rsidR="00000000" w:rsidRDefault="00010F15">
      <w:pPr>
        <w:pStyle w:val="a3"/>
        <w:spacing w:before="240" w:beforeAutospacing="0" w:after="0" w:afterAutospacing="0"/>
        <w:jc w:val="center"/>
        <w:rPr>
          <w:sz w:val="20"/>
          <w:szCs w:val="20"/>
        </w:rPr>
      </w:pPr>
      <w:r>
        <w:rPr>
          <w:rFonts w:ascii="Arial" w:hAnsi="Arial" w:cs="Arial"/>
          <w:sz w:val="20"/>
          <w:szCs w:val="20"/>
        </w:rPr>
        <w:t>The accompanying notes are an integral part of these consolidated financial statements</w:t>
      </w:r>
      <w:r>
        <w:rPr>
          <w:rFonts w:ascii="Arial" w:hAnsi="Arial" w:cs="Arial"/>
          <w:sz w:val="20"/>
          <w:szCs w:val="20"/>
        </w:rPr>
        <w:t>.</w:t>
      </w:r>
    </w:p>
    <w:p w:rsidR="00000000" w:rsidRDefault="00010F15">
      <w:pPr>
        <w:pStyle w:val="a3"/>
        <w:spacing w:before="0" w:beforeAutospacing="0" w:after="0" w:afterAutospacing="0"/>
        <w:jc w:val="center"/>
        <w:rPr>
          <w:sz w:val="20"/>
          <w:szCs w:val="20"/>
        </w:rPr>
      </w:pPr>
      <w:r>
        <w:rPr>
          <w:rFonts w:ascii="Arial" w:hAnsi="Arial" w:cs="Arial"/>
          <w:sz w:val="20"/>
          <w:szCs w:val="20"/>
        </w:rPr>
        <w:t>7</w:t>
      </w:r>
      <w:r>
        <w:rPr>
          <w:rFonts w:ascii="Arial" w:hAnsi="Arial" w:cs="Arial"/>
          <w:sz w:val="20"/>
          <w:szCs w:val="20"/>
        </w:rPr>
        <w:t>4</w:t>
      </w:r>
    </w:p>
    <w:p w:rsidR="00000000" w:rsidRDefault="00010F15">
      <w:pPr>
        <w:rPr>
          <w:rFonts w:eastAsia="Times New Roman"/>
        </w:rPr>
      </w:pPr>
      <w:r>
        <w:rPr>
          <w:rFonts w:eastAsia="Times New Roman"/>
        </w:rPr>
        <w:pict>
          <v:rect id="_x0000_i1099"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0" w:beforeAutospacing="0" w:after="0" w:afterAutospacing="0"/>
        <w:jc w:val="center"/>
        <w:rPr>
          <w:sz w:val="20"/>
          <w:szCs w:val="20"/>
        </w:rPr>
      </w:pPr>
      <w:r>
        <w:rPr>
          <w:rFonts w:ascii="Arial" w:hAnsi="Arial" w:cs="Arial"/>
          <w:sz w:val="20"/>
          <w:szCs w:val="20"/>
        </w:rPr>
        <w:t>PAYMENTUS HOLDINGS, INC</w:t>
      </w:r>
      <w:r>
        <w:rPr>
          <w:rFonts w:ascii="Arial" w:hAnsi="Arial" w:cs="Arial"/>
          <w:sz w:val="20"/>
          <w:szCs w:val="20"/>
        </w:rPr>
        <w:t>.</w:t>
      </w:r>
    </w:p>
    <w:p w:rsidR="00000000" w:rsidRDefault="00010F15">
      <w:pPr>
        <w:pStyle w:val="a3"/>
        <w:spacing w:before="0" w:beforeAutospacing="0" w:after="0" w:afterAutospacing="0"/>
        <w:jc w:val="center"/>
        <w:rPr>
          <w:sz w:val="20"/>
          <w:szCs w:val="20"/>
        </w:rPr>
      </w:pPr>
      <w:r>
        <w:rPr>
          <w:rFonts w:ascii="Arial" w:hAnsi="Arial" w:cs="Arial"/>
          <w:sz w:val="20"/>
          <w:szCs w:val="20"/>
        </w:rPr>
        <w:t>CONSOLIDATED STATEMENTS OF STOCKHOLDERS’ EQUIT</w:t>
      </w:r>
      <w:r>
        <w:rPr>
          <w:rFonts w:ascii="Arial" w:hAnsi="Arial" w:cs="Arial"/>
          <w:sz w:val="20"/>
          <w:szCs w:val="20"/>
        </w:rPr>
        <w:t>Y</w:t>
      </w:r>
    </w:p>
    <w:p w:rsidR="00000000" w:rsidRDefault="00010F15">
      <w:pPr>
        <w:pStyle w:val="a3"/>
        <w:spacing w:before="0" w:beforeAutospacing="0" w:after="0" w:afterAutospacing="0"/>
        <w:jc w:val="center"/>
        <w:rPr>
          <w:sz w:val="20"/>
          <w:szCs w:val="20"/>
        </w:rPr>
      </w:pPr>
      <w:r>
        <w:rPr>
          <w:rFonts w:ascii="Arial" w:hAnsi="Arial" w:cs="Arial"/>
          <w:sz w:val="20"/>
          <w:szCs w:val="20"/>
        </w:rPr>
        <w:t>(In thousands, except share amounts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60"/>
        <w:gridCol w:w="111"/>
        <w:gridCol w:w="105"/>
        <w:gridCol w:w="603"/>
        <w:gridCol w:w="114"/>
        <w:gridCol w:w="111"/>
        <w:gridCol w:w="150"/>
        <w:gridCol w:w="528"/>
        <w:gridCol w:w="111"/>
        <w:gridCol w:w="111"/>
        <w:gridCol w:w="105"/>
        <w:gridCol w:w="950"/>
        <w:gridCol w:w="111"/>
        <w:gridCol w:w="111"/>
        <w:gridCol w:w="150"/>
        <w:gridCol w:w="537"/>
        <w:gridCol w:w="114"/>
        <w:gridCol w:w="111"/>
        <w:gridCol w:w="150"/>
        <w:gridCol w:w="697"/>
        <w:gridCol w:w="114"/>
        <w:gridCol w:w="111"/>
        <w:gridCol w:w="150"/>
        <w:gridCol w:w="596"/>
        <w:gridCol w:w="114"/>
        <w:gridCol w:w="111"/>
        <w:gridCol w:w="149"/>
        <w:gridCol w:w="603"/>
        <w:gridCol w:w="114"/>
        <w:gridCol w:w="111"/>
        <w:gridCol w:w="151"/>
        <w:gridCol w:w="1120"/>
        <w:gridCol w:w="114"/>
        <w:gridCol w:w="111"/>
        <w:gridCol w:w="164"/>
        <w:gridCol w:w="955"/>
        <w:gridCol w:w="129"/>
      </w:tblGrid>
      <w:tr w:rsidR="00000000">
        <w:trPr>
          <w:tblCellSpacing w:w="15" w:type="dxa"/>
        </w:trPr>
        <w:tc>
          <w:tcPr>
            <w:tcW w:w="1277" w:type="pct"/>
            <w:vAlign w:val="center"/>
            <w:hideMark/>
          </w:tcPr>
          <w:p w:rsidR="00000000" w:rsidRDefault="00010F15">
            <w:pPr>
              <w:rPr>
                <w:sz w:val="20"/>
                <w:szCs w:val="20"/>
              </w:rPr>
            </w:pPr>
          </w:p>
        </w:tc>
        <w:tc>
          <w:tcPr>
            <w:tcW w:w="45" w:type="pct"/>
            <w:vAlign w:val="center"/>
            <w:hideMark/>
          </w:tcPr>
          <w:p w:rsidR="00000000" w:rsidRDefault="00010F15">
            <w:pPr>
              <w:rPr>
                <w:rFonts w:eastAsia="Times New Roman"/>
                <w:sz w:val="20"/>
                <w:szCs w:val="20"/>
              </w:rPr>
            </w:pPr>
          </w:p>
        </w:tc>
        <w:tc>
          <w:tcPr>
            <w:tcW w:w="24" w:type="pct"/>
            <w:vAlign w:val="center"/>
            <w:hideMark/>
          </w:tcPr>
          <w:p w:rsidR="00000000" w:rsidRDefault="00010F15">
            <w:pPr>
              <w:rPr>
                <w:rFonts w:eastAsia="Times New Roman"/>
                <w:sz w:val="20"/>
                <w:szCs w:val="20"/>
              </w:rPr>
            </w:pPr>
          </w:p>
        </w:tc>
        <w:tc>
          <w:tcPr>
            <w:tcW w:w="268" w:type="pct"/>
            <w:vAlign w:val="center"/>
            <w:hideMark/>
          </w:tcPr>
          <w:p w:rsidR="00000000" w:rsidRDefault="00010F15">
            <w:pPr>
              <w:rPr>
                <w:rFonts w:eastAsia="Times New Roman"/>
                <w:sz w:val="20"/>
                <w:szCs w:val="20"/>
              </w:rPr>
            </w:pPr>
          </w:p>
        </w:tc>
        <w:tc>
          <w:tcPr>
            <w:tcW w:w="27" w:type="pct"/>
            <w:vAlign w:val="center"/>
            <w:hideMark/>
          </w:tcPr>
          <w:p w:rsidR="00000000" w:rsidRDefault="00010F15">
            <w:pPr>
              <w:rPr>
                <w:rFonts w:eastAsia="Times New Roman"/>
                <w:sz w:val="20"/>
                <w:szCs w:val="20"/>
              </w:rPr>
            </w:pPr>
          </w:p>
        </w:tc>
        <w:tc>
          <w:tcPr>
            <w:tcW w:w="45" w:type="pct"/>
            <w:vAlign w:val="center"/>
            <w:hideMark/>
          </w:tcPr>
          <w:p w:rsidR="00000000" w:rsidRDefault="00010F15">
            <w:pPr>
              <w:rPr>
                <w:rFonts w:eastAsia="Times New Roman"/>
                <w:sz w:val="20"/>
                <w:szCs w:val="20"/>
              </w:rPr>
            </w:pPr>
          </w:p>
        </w:tc>
        <w:tc>
          <w:tcPr>
            <w:tcW w:w="47" w:type="pct"/>
            <w:vAlign w:val="center"/>
            <w:hideMark/>
          </w:tcPr>
          <w:p w:rsidR="00000000" w:rsidRDefault="00010F15">
            <w:pPr>
              <w:rPr>
                <w:rFonts w:eastAsia="Times New Roman"/>
                <w:sz w:val="20"/>
                <w:szCs w:val="20"/>
              </w:rPr>
            </w:pPr>
          </w:p>
        </w:tc>
        <w:tc>
          <w:tcPr>
            <w:tcW w:w="220" w:type="pct"/>
            <w:vAlign w:val="center"/>
            <w:hideMark/>
          </w:tcPr>
          <w:p w:rsidR="00000000" w:rsidRDefault="00010F15">
            <w:pPr>
              <w:rPr>
                <w:rFonts w:eastAsia="Times New Roman"/>
                <w:sz w:val="20"/>
                <w:szCs w:val="20"/>
              </w:rPr>
            </w:pPr>
          </w:p>
        </w:tc>
        <w:tc>
          <w:tcPr>
            <w:tcW w:w="24" w:type="pct"/>
            <w:vAlign w:val="center"/>
            <w:hideMark/>
          </w:tcPr>
          <w:p w:rsidR="00000000" w:rsidRDefault="00010F15">
            <w:pPr>
              <w:rPr>
                <w:rFonts w:eastAsia="Times New Roman"/>
                <w:sz w:val="20"/>
                <w:szCs w:val="20"/>
              </w:rPr>
            </w:pPr>
          </w:p>
        </w:tc>
        <w:tc>
          <w:tcPr>
            <w:tcW w:w="45" w:type="pct"/>
            <w:vAlign w:val="center"/>
            <w:hideMark/>
          </w:tcPr>
          <w:p w:rsidR="00000000" w:rsidRDefault="00010F15">
            <w:pPr>
              <w:rPr>
                <w:rFonts w:eastAsia="Times New Roman"/>
                <w:sz w:val="20"/>
                <w:szCs w:val="20"/>
              </w:rPr>
            </w:pPr>
          </w:p>
        </w:tc>
        <w:tc>
          <w:tcPr>
            <w:tcW w:w="24" w:type="pct"/>
            <w:vAlign w:val="center"/>
            <w:hideMark/>
          </w:tcPr>
          <w:p w:rsidR="00000000" w:rsidRDefault="00010F15">
            <w:pPr>
              <w:rPr>
                <w:rFonts w:eastAsia="Times New Roman"/>
                <w:sz w:val="20"/>
                <w:szCs w:val="20"/>
              </w:rPr>
            </w:pPr>
          </w:p>
        </w:tc>
        <w:tc>
          <w:tcPr>
            <w:tcW w:w="383" w:type="pct"/>
            <w:vAlign w:val="center"/>
            <w:hideMark/>
          </w:tcPr>
          <w:p w:rsidR="00000000" w:rsidRDefault="00010F15">
            <w:pPr>
              <w:rPr>
                <w:rFonts w:eastAsia="Times New Roman"/>
                <w:sz w:val="20"/>
                <w:szCs w:val="20"/>
              </w:rPr>
            </w:pPr>
          </w:p>
        </w:tc>
        <w:tc>
          <w:tcPr>
            <w:tcW w:w="24" w:type="pct"/>
            <w:vAlign w:val="center"/>
            <w:hideMark/>
          </w:tcPr>
          <w:p w:rsidR="00000000" w:rsidRDefault="00010F15">
            <w:pPr>
              <w:rPr>
                <w:rFonts w:eastAsia="Times New Roman"/>
                <w:sz w:val="20"/>
                <w:szCs w:val="20"/>
              </w:rPr>
            </w:pPr>
          </w:p>
        </w:tc>
        <w:tc>
          <w:tcPr>
            <w:tcW w:w="45" w:type="pct"/>
            <w:vAlign w:val="center"/>
            <w:hideMark/>
          </w:tcPr>
          <w:p w:rsidR="00000000" w:rsidRDefault="00010F15">
            <w:pPr>
              <w:rPr>
                <w:rFonts w:eastAsia="Times New Roman"/>
                <w:sz w:val="20"/>
                <w:szCs w:val="20"/>
              </w:rPr>
            </w:pPr>
          </w:p>
        </w:tc>
        <w:tc>
          <w:tcPr>
            <w:tcW w:w="47" w:type="pct"/>
            <w:vAlign w:val="center"/>
            <w:hideMark/>
          </w:tcPr>
          <w:p w:rsidR="00000000" w:rsidRDefault="00010F15">
            <w:pPr>
              <w:rPr>
                <w:rFonts w:eastAsia="Times New Roman"/>
                <w:sz w:val="20"/>
                <w:szCs w:val="20"/>
              </w:rPr>
            </w:pPr>
          </w:p>
        </w:tc>
        <w:tc>
          <w:tcPr>
            <w:tcW w:w="244" w:type="pct"/>
            <w:vAlign w:val="center"/>
            <w:hideMark/>
          </w:tcPr>
          <w:p w:rsidR="00000000" w:rsidRDefault="00010F15">
            <w:pPr>
              <w:rPr>
                <w:rFonts w:eastAsia="Times New Roman"/>
                <w:sz w:val="20"/>
                <w:szCs w:val="20"/>
              </w:rPr>
            </w:pPr>
          </w:p>
        </w:tc>
        <w:tc>
          <w:tcPr>
            <w:tcW w:w="27" w:type="pct"/>
            <w:vAlign w:val="center"/>
            <w:hideMark/>
          </w:tcPr>
          <w:p w:rsidR="00000000" w:rsidRDefault="00010F15">
            <w:pPr>
              <w:rPr>
                <w:rFonts w:eastAsia="Times New Roman"/>
                <w:sz w:val="20"/>
                <w:szCs w:val="20"/>
              </w:rPr>
            </w:pPr>
          </w:p>
        </w:tc>
        <w:tc>
          <w:tcPr>
            <w:tcW w:w="45" w:type="pct"/>
            <w:vAlign w:val="center"/>
            <w:hideMark/>
          </w:tcPr>
          <w:p w:rsidR="00000000" w:rsidRDefault="00010F15">
            <w:pPr>
              <w:rPr>
                <w:rFonts w:eastAsia="Times New Roman"/>
                <w:sz w:val="20"/>
                <w:szCs w:val="20"/>
              </w:rPr>
            </w:pPr>
          </w:p>
        </w:tc>
        <w:tc>
          <w:tcPr>
            <w:tcW w:w="47" w:type="pct"/>
            <w:vAlign w:val="center"/>
            <w:hideMark/>
          </w:tcPr>
          <w:p w:rsidR="00000000" w:rsidRDefault="00010F15">
            <w:pPr>
              <w:rPr>
                <w:rFonts w:eastAsia="Times New Roman"/>
                <w:sz w:val="20"/>
                <w:szCs w:val="20"/>
              </w:rPr>
            </w:pPr>
          </w:p>
        </w:tc>
        <w:tc>
          <w:tcPr>
            <w:tcW w:w="272" w:type="pct"/>
            <w:vAlign w:val="center"/>
            <w:hideMark/>
          </w:tcPr>
          <w:p w:rsidR="00000000" w:rsidRDefault="00010F15">
            <w:pPr>
              <w:rPr>
                <w:rFonts w:eastAsia="Times New Roman"/>
                <w:sz w:val="20"/>
                <w:szCs w:val="20"/>
              </w:rPr>
            </w:pPr>
          </w:p>
        </w:tc>
        <w:tc>
          <w:tcPr>
            <w:tcW w:w="27" w:type="pct"/>
            <w:vAlign w:val="center"/>
            <w:hideMark/>
          </w:tcPr>
          <w:p w:rsidR="00000000" w:rsidRDefault="00010F15">
            <w:pPr>
              <w:rPr>
                <w:rFonts w:eastAsia="Times New Roman"/>
                <w:sz w:val="20"/>
                <w:szCs w:val="20"/>
              </w:rPr>
            </w:pPr>
          </w:p>
        </w:tc>
        <w:tc>
          <w:tcPr>
            <w:tcW w:w="45" w:type="pct"/>
            <w:vAlign w:val="center"/>
            <w:hideMark/>
          </w:tcPr>
          <w:p w:rsidR="00000000" w:rsidRDefault="00010F15">
            <w:pPr>
              <w:rPr>
                <w:rFonts w:eastAsia="Times New Roman"/>
                <w:sz w:val="20"/>
                <w:szCs w:val="20"/>
              </w:rPr>
            </w:pPr>
          </w:p>
        </w:tc>
        <w:tc>
          <w:tcPr>
            <w:tcW w:w="47" w:type="pct"/>
            <w:vAlign w:val="center"/>
            <w:hideMark/>
          </w:tcPr>
          <w:p w:rsidR="00000000" w:rsidRDefault="00010F15">
            <w:pPr>
              <w:rPr>
                <w:rFonts w:eastAsia="Times New Roman"/>
                <w:sz w:val="20"/>
                <w:szCs w:val="20"/>
              </w:rPr>
            </w:pPr>
          </w:p>
        </w:tc>
        <w:tc>
          <w:tcPr>
            <w:tcW w:w="244" w:type="pct"/>
            <w:vAlign w:val="center"/>
            <w:hideMark/>
          </w:tcPr>
          <w:p w:rsidR="00000000" w:rsidRDefault="00010F15">
            <w:pPr>
              <w:rPr>
                <w:rFonts w:eastAsia="Times New Roman"/>
                <w:sz w:val="20"/>
                <w:szCs w:val="20"/>
              </w:rPr>
            </w:pPr>
          </w:p>
        </w:tc>
        <w:tc>
          <w:tcPr>
            <w:tcW w:w="27" w:type="pct"/>
            <w:vAlign w:val="center"/>
            <w:hideMark/>
          </w:tcPr>
          <w:p w:rsidR="00000000" w:rsidRDefault="00010F15">
            <w:pPr>
              <w:rPr>
                <w:rFonts w:eastAsia="Times New Roman"/>
                <w:sz w:val="20"/>
                <w:szCs w:val="20"/>
              </w:rPr>
            </w:pPr>
          </w:p>
        </w:tc>
        <w:tc>
          <w:tcPr>
            <w:tcW w:w="45" w:type="pct"/>
            <w:vAlign w:val="center"/>
            <w:hideMark/>
          </w:tcPr>
          <w:p w:rsidR="00000000" w:rsidRDefault="00010F15">
            <w:pPr>
              <w:rPr>
                <w:rFonts w:eastAsia="Times New Roman"/>
                <w:sz w:val="20"/>
                <w:szCs w:val="20"/>
              </w:rPr>
            </w:pPr>
          </w:p>
        </w:tc>
        <w:tc>
          <w:tcPr>
            <w:tcW w:w="47" w:type="pct"/>
            <w:vAlign w:val="center"/>
            <w:hideMark/>
          </w:tcPr>
          <w:p w:rsidR="00000000" w:rsidRDefault="00010F15">
            <w:pPr>
              <w:rPr>
                <w:rFonts w:eastAsia="Times New Roman"/>
                <w:sz w:val="20"/>
                <w:szCs w:val="20"/>
              </w:rPr>
            </w:pPr>
          </w:p>
        </w:tc>
        <w:tc>
          <w:tcPr>
            <w:tcW w:w="271" w:type="pct"/>
            <w:vAlign w:val="center"/>
            <w:hideMark/>
          </w:tcPr>
          <w:p w:rsidR="00000000" w:rsidRDefault="00010F15">
            <w:pPr>
              <w:rPr>
                <w:rFonts w:eastAsia="Times New Roman"/>
                <w:sz w:val="20"/>
                <w:szCs w:val="20"/>
              </w:rPr>
            </w:pPr>
          </w:p>
        </w:tc>
        <w:tc>
          <w:tcPr>
            <w:tcW w:w="27" w:type="pct"/>
            <w:vAlign w:val="center"/>
            <w:hideMark/>
          </w:tcPr>
          <w:p w:rsidR="00000000" w:rsidRDefault="00010F15">
            <w:pPr>
              <w:rPr>
                <w:rFonts w:eastAsia="Times New Roman"/>
                <w:sz w:val="20"/>
                <w:szCs w:val="20"/>
              </w:rPr>
            </w:pPr>
          </w:p>
        </w:tc>
        <w:tc>
          <w:tcPr>
            <w:tcW w:w="45" w:type="pct"/>
            <w:vAlign w:val="center"/>
            <w:hideMark/>
          </w:tcPr>
          <w:p w:rsidR="00000000" w:rsidRDefault="00010F15">
            <w:pPr>
              <w:rPr>
                <w:rFonts w:eastAsia="Times New Roman"/>
                <w:sz w:val="20"/>
                <w:szCs w:val="20"/>
              </w:rPr>
            </w:pPr>
          </w:p>
        </w:tc>
        <w:tc>
          <w:tcPr>
            <w:tcW w:w="47" w:type="pct"/>
            <w:vAlign w:val="center"/>
            <w:hideMark/>
          </w:tcPr>
          <w:p w:rsidR="00000000" w:rsidRDefault="00010F15">
            <w:pPr>
              <w:rPr>
                <w:rFonts w:eastAsia="Times New Roman"/>
                <w:sz w:val="20"/>
                <w:szCs w:val="20"/>
              </w:rPr>
            </w:pPr>
          </w:p>
        </w:tc>
        <w:tc>
          <w:tcPr>
            <w:tcW w:w="464" w:type="pct"/>
            <w:vAlign w:val="center"/>
            <w:hideMark/>
          </w:tcPr>
          <w:p w:rsidR="00000000" w:rsidRDefault="00010F15">
            <w:pPr>
              <w:rPr>
                <w:rFonts w:eastAsia="Times New Roman"/>
                <w:sz w:val="20"/>
                <w:szCs w:val="20"/>
              </w:rPr>
            </w:pPr>
          </w:p>
        </w:tc>
        <w:tc>
          <w:tcPr>
            <w:tcW w:w="27" w:type="pct"/>
            <w:vAlign w:val="center"/>
            <w:hideMark/>
          </w:tcPr>
          <w:p w:rsidR="00000000" w:rsidRDefault="00010F15">
            <w:pPr>
              <w:rPr>
                <w:rFonts w:eastAsia="Times New Roman"/>
                <w:sz w:val="20"/>
                <w:szCs w:val="20"/>
              </w:rPr>
            </w:pPr>
          </w:p>
        </w:tc>
        <w:tc>
          <w:tcPr>
            <w:tcW w:w="45" w:type="pct"/>
            <w:vAlign w:val="center"/>
            <w:hideMark/>
          </w:tcPr>
          <w:p w:rsidR="00000000" w:rsidRDefault="00010F15">
            <w:pPr>
              <w:rPr>
                <w:rFonts w:eastAsia="Times New Roman"/>
                <w:sz w:val="20"/>
                <w:szCs w:val="20"/>
              </w:rPr>
            </w:pPr>
          </w:p>
        </w:tc>
        <w:tc>
          <w:tcPr>
            <w:tcW w:w="47" w:type="pct"/>
            <w:vAlign w:val="center"/>
            <w:hideMark/>
          </w:tcPr>
          <w:p w:rsidR="00000000" w:rsidRDefault="00010F15">
            <w:pPr>
              <w:rPr>
                <w:rFonts w:eastAsia="Times New Roman"/>
                <w:sz w:val="20"/>
                <w:szCs w:val="20"/>
              </w:rPr>
            </w:pPr>
          </w:p>
        </w:tc>
        <w:tc>
          <w:tcPr>
            <w:tcW w:w="327" w:type="pct"/>
            <w:vAlign w:val="center"/>
            <w:hideMark/>
          </w:tcPr>
          <w:p w:rsidR="00000000" w:rsidRDefault="00010F15">
            <w:pPr>
              <w:rPr>
                <w:rFonts w:eastAsia="Times New Roman"/>
                <w:sz w:val="20"/>
                <w:szCs w:val="20"/>
              </w:rPr>
            </w:pPr>
          </w:p>
        </w:tc>
        <w:tc>
          <w:tcPr>
            <w:tcW w:w="27" w:type="pct"/>
            <w:vAlign w:val="center"/>
            <w:hideMark/>
          </w:tcPr>
          <w:p w:rsidR="00000000" w:rsidRDefault="00010F15">
            <w:pPr>
              <w:rPr>
                <w:rFonts w:eastAsia="Times New Roman"/>
                <w:sz w:val="20"/>
                <w:szCs w:val="20"/>
              </w:rPr>
            </w:pP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6"/>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 xml:space="preserve">Series </w:t>
            </w:r>
            <w:r>
              <w:rPr>
                <w:rFonts w:ascii="Arial" w:hAnsi="Arial" w:cs="Arial"/>
                <w:b/>
                <w:bCs/>
                <w:sz w:val="16"/>
                <w:szCs w:val="16"/>
              </w:rPr>
              <w:t>A</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Additiona</w:t>
            </w:r>
            <w:r>
              <w:rPr>
                <w:rFonts w:ascii="Arial" w:hAnsi="Arial" w:cs="Arial"/>
                <w:b/>
                <w:bCs/>
                <w:sz w:val="16"/>
                <w:szCs w:val="16"/>
              </w:rPr>
              <w:t>l</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Accumulated</w:t>
            </w:r>
            <w:r>
              <w:rPr>
                <w:rFonts w:ascii="Arial" w:hAnsi="Arial" w:cs="Arial"/>
                <w:b/>
                <w:bCs/>
                <w:sz w:val="16"/>
                <w:szCs w:val="16"/>
              </w:rPr>
              <w:br/>
              <w:t>Othe</w:t>
            </w:r>
            <w:r>
              <w:rPr>
                <w:rFonts w:ascii="Arial" w:hAnsi="Arial" w:cs="Arial"/>
                <w:b/>
                <w:bCs/>
                <w:sz w:val="16"/>
                <w:szCs w:val="16"/>
              </w:rPr>
              <w:t>r</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Tota</w:t>
            </w:r>
            <w:r>
              <w:rPr>
                <w:rFonts w:ascii="Arial" w:hAnsi="Arial" w:cs="Arial"/>
                <w:b/>
                <w:bCs/>
                <w:sz w:val="16"/>
                <w:szCs w:val="16"/>
              </w:rPr>
              <w:t>l</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6"/>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Preferred Stoc</w:t>
            </w:r>
            <w:r>
              <w:rPr>
                <w:rFonts w:ascii="Arial" w:hAnsi="Arial" w:cs="Arial"/>
                <w:b/>
                <w:bCs/>
                <w:sz w:val="16"/>
                <w:szCs w:val="16"/>
              </w:rPr>
              <w:t>k</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6"/>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Common Stoc</w:t>
            </w:r>
            <w:r>
              <w:rPr>
                <w:rFonts w:ascii="Arial" w:hAnsi="Arial" w:cs="Arial"/>
                <w:b/>
                <w:bCs/>
                <w:sz w:val="16"/>
                <w:szCs w:val="16"/>
              </w:rPr>
              <w:t>k</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rPr>
                <w:sz w:val="16"/>
                <w:szCs w:val="16"/>
              </w:rPr>
            </w:pPr>
            <w:r>
              <w:rPr>
                <w:rFonts w:ascii="Arial" w:hAnsi="Arial" w:cs="Arial"/>
                <w:b/>
                <w:bCs/>
                <w:sz w:val="16"/>
                <w:szCs w:val="16"/>
              </w:rPr>
              <w:t>Paid-I</w:t>
            </w:r>
            <w:r>
              <w:rPr>
                <w:rFonts w:ascii="Arial" w:hAnsi="Arial" w:cs="Arial"/>
                <w:b/>
                <w:bCs/>
                <w:sz w:val="16"/>
                <w:szCs w:val="16"/>
              </w:rPr>
              <w:t>n</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Treasur</w:t>
            </w:r>
            <w:r>
              <w:rPr>
                <w:rFonts w:ascii="Arial" w:hAnsi="Arial" w:cs="Arial"/>
                <w:b/>
                <w:bCs/>
                <w:sz w:val="16"/>
                <w:szCs w:val="16"/>
              </w:rPr>
              <w:t>y</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Retaine</w:t>
            </w:r>
            <w:r>
              <w:rPr>
                <w:rFonts w:ascii="Arial" w:hAnsi="Arial" w:cs="Arial"/>
                <w:b/>
                <w:bCs/>
                <w:sz w:val="16"/>
                <w:szCs w:val="16"/>
              </w:rPr>
              <w:t>d</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Comprehensiv</w:t>
            </w:r>
            <w:r>
              <w:rPr>
                <w:rFonts w:ascii="Arial" w:hAnsi="Arial" w:cs="Arial"/>
                <w:b/>
                <w:bCs/>
                <w:sz w:val="16"/>
                <w:szCs w:val="16"/>
              </w:rPr>
              <w:t>e</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rPr>
                <w:sz w:val="16"/>
                <w:szCs w:val="16"/>
              </w:rPr>
            </w:pPr>
            <w:r>
              <w:rPr>
                <w:rFonts w:ascii="Arial" w:hAnsi="Arial" w:cs="Arial"/>
                <w:b/>
                <w:bCs/>
                <w:sz w:val="16"/>
                <w:szCs w:val="16"/>
              </w:rPr>
              <w:t>Stockholders</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Share</w:t>
            </w:r>
            <w:r>
              <w:rPr>
                <w:rFonts w:ascii="Arial" w:hAnsi="Arial" w:cs="Arial"/>
                <w:b/>
                <w:bCs/>
                <w:sz w:val="16"/>
                <w:szCs w:val="16"/>
              </w:rPr>
              <w:t>s</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Share</w:t>
            </w:r>
            <w:r>
              <w:rPr>
                <w:rFonts w:ascii="Arial" w:hAnsi="Arial" w:cs="Arial"/>
                <w:b/>
                <w:bCs/>
                <w:sz w:val="16"/>
                <w:szCs w:val="16"/>
              </w:rPr>
              <w:t>s</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Capita</w:t>
            </w:r>
            <w:r>
              <w:rPr>
                <w:rFonts w:ascii="Arial" w:hAnsi="Arial" w:cs="Arial"/>
                <w:b/>
                <w:bCs/>
                <w:sz w:val="16"/>
                <w:szCs w:val="16"/>
              </w:rPr>
              <w:t>l</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Stoc</w:t>
            </w:r>
            <w:r>
              <w:rPr>
                <w:rFonts w:ascii="Arial" w:hAnsi="Arial" w:cs="Arial"/>
                <w:b/>
                <w:bCs/>
                <w:sz w:val="16"/>
                <w:szCs w:val="16"/>
              </w:rPr>
              <w:t>k</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Earning</w:t>
            </w:r>
            <w:r>
              <w:rPr>
                <w:rFonts w:ascii="Arial" w:hAnsi="Arial" w:cs="Arial"/>
                <w:b/>
                <w:bCs/>
                <w:sz w:val="16"/>
                <w:szCs w:val="16"/>
              </w:rPr>
              <w:t>s</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Incom</w:t>
            </w:r>
            <w:r>
              <w:rPr>
                <w:rFonts w:ascii="Arial" w:hAnsi="Arial" w:cs="Arial"/>
                <w:b/>
                <w:bCs/>
                <w:sz w:val="16"/>
                <w:szCs w:val="16"/>
              </w:rPr>
              <w:t>e</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Equit</w:t>
            </w:r>
            <w:r>
              <w:rPr>
                <w:rFonts w:ascii="Arial" w:hAnsi="Arial" w:cs="Arial"/>
                <w:b/>
                <w:bCs/>
                <w:sz w:val="16"/>
                <w:szCs w:val="16"/>
              </w:rPr>
              <w:t>y</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blCellSpacing w:w="15" w:type="dxa"/>
        </w:trPr>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6"/>
                <w:szCs w:val="16"/>
              </w:rPr>
            </w:pPr>
            <w:r>
              <w:rPr>
                <w:rFonts w:ascii="Arial" w:hAnsi="Arial" w:cs="Arial"/>
                <w:b/>
                <w:bCs/>
                <w:sz w:val="16"/>
                <w:szCs w:val="16"/>
              </w:rPr>
              <w:t>Balances at December 31, 201</w:t>
            </w:r>
            <w:r>
              <w:rPr>
                <w:rFonts w:ascii="Arial" w:hAnsi="Arial" w:cs="Arial"/>
                <w:b/>
                <w:bCs/>
                <w:sz w:val="16"/>
                <w:szCs w:val="16"/>
              </w:rPr>
              <w:t>8</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22,97</w:t>
            </w:r>
            <w:r>
              <w:rPr>
                <w:rFonts w:ascii="Arial" w:hAnsi="Arial" w:cs="Arial"/>
                <w:sz w:val="16"/>
                <w:szCs w:val="16"/>
              </w:rPr>
              <w:t>2</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103,380,57</w:t>
            </w:r>
            <w:r>
              <w:rPr>
                <w:rFonts w:ascii="Arial" w:hAnsi="Arial" w:cs="Arial"/>
                <w:sz w:val="16"/>
                <w:szCs w:val="16"/>
              </w:rPr>
              <w:t>9</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51</w:t>
            </w:r>
            <w:r>
              <w:rPr>
                <w:rFonts w:ascii="Arial" w:hAnsi="Arial" w:cs="Arial"/>
                <w:sz w:val="16"/>
                <w:szCs w:val="16"/>
              </w:rPr>
              <w:t>7</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25,49</w:t>
            </w:r>
            <w:r>
              <w:rPr>
                <w:rFonts w:ascii="Arial" w:hAnsi="Arial" w:cs="Arial"/>
                <w:sz w:val="16"/>
                <w:szCs w:val="16"/>
              </w:rPr>
              <w:t>6</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57</w:t>
            </w:r>
            <w:r>
              <w:rPr>
                <w:rFonts w:ascii="Arial" w:hAnsi="Arial" w:cs="Arial"/>
                <w:sz w:val="16"/>
                <w:szCs w:val="16"/>
              </w:rPr>
              <w:t>9</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27,63</w:t>
            </w:r>
            <w:r>
              <w:rPr>
                <w:rFonts w:ascii="Arial" w:hAnsi="Arial" w:cs="Arial"/>
                <w:sz w:val="16"/>
                <w:szCs w:val="16"/>
              </w:rPr>
              <w:t>9</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13</w:t>
            </w:r>
            <w:r>
              <w:rPr>
                <w:rFonts w:ascii="Arial" w:hAnsi="Arial" w:cs="Arial"/>
                <w:sz w:val="16"/>
                <w:szCs w:val="16"/>
              </w:rPr>
              <w:t>3</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53,20</w:t>
            </w:r>
            <w:r>
              <w:rPr>
                <w:rFonts w:ascii="Arial" w:hAnsi="Arial" w:cs="Arial"/>
                <w:sz w:val="16"/>
                <w:szCs w:val="16"/>
              </w:rPr>
              <w:t>6</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6"/>
                <w:szCs w:val="16"/>
              </w:rPr>
            </w:pPr>
            <w:r>
              <w:rPr>
                <w:rFonts w:ascii="Arial" w:hAnsi="Arial" w:cs="Arial"/>
                <w:sz w:val="16"/>
                <w:szCs w:val="16"/>
              </w:rPr>
              <w:t>Issuance of share</w:t>
            </w:r>
            <w:r>
              <w:rPr>
                <w:rFonts w:ascii="Arial" w:hAnsi="Arial" w:cs="Arial"/>
                <w:sz w:val="16"/>
                <w:szCs w:val="16"/>
              </w:rPr>
              <w:t>s</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4</w:t>
            </w:r>
            <w:r>
              <w:rPr>
                <w:rFonts w:ascii="Arial" w:hAnsi="Arial" w:cs="Arial"/>
                <w:sz w:val="16"/>
                <w:szCs w:val="16"/>
              </w:rPr>
              <w:t>1</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98,66</w:t>
            </w:r>
            <w:r>
              <w:rPr>
                <w:rFonts w:ascii="Arial" w:hAnsi="Arial" w:cs="Arial"/>
                <w:sz w:val="16"/>
                <w:szCs w:val="16"/>
              </w:rPr>
              <w:t>0</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10</w:t>
            </w:r>
            <w:r>
              <w:rPr>
                <w:rFonts w:ascii="Arial" w:hAnsi="Arial" w:cs="Arial"/>
                <w:sz w:val="16"/>
                <w:szCs w:val="16"/>
              </w:rPr>
              <w:t>0</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10</w:t>
            </w:r>
            <w:r>
              <w:rPr>
                <w:rFonts w:ascii="Arial" w:hAnsi="Arial" w:cs="Arial"/>
                <w:sz w:val="16"/>
                <w:szCs w:val="16"/>
              </w:rPr>
              <w:t>0</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6"/>
                <w:szCs w:val="16"/>
              </w:rPr>
            </w:pPr>
            <w:r>
              <w:rPr>
                <w:rFonts w:ascii="Arial" w:hAnsi="Arial" w:cs="Arial"/>
                <w:sz w:val="16"/>
                <w:szCs w:val="16"/>
              </w:rPr>
              <w:t>Stock-based compensatio</w:t>
            </w:r>
            <w:r>
              <w:rPr>
                <w:rFonts w:ascii="Arial" w:hAnsi="Arial" w:cs="Arial"/>
                <w:sz w:val="16"/>
                <w:szCs w:val="16"/>
              </w:rPr>
              <w:t>n</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1,58</w:t>
            </w:r>
            <w:r>
              <w:rPr>
                <w:rFonts w:ascii="Arial" w:hAnsi="Arial" w:cs="Arial"/>
                <w:sz w:val="16"/>
                <w:szCs w:val="16"/>
              </w:rPr>
              <w:t>5</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1,58</w:t>
            </w:r>
            <w:r>
              <w:rPr>
                <w:rFonts w:ascii="Arial" w:hAnsi="Arial" w:cs="Arial"/>
                <w:sz w:val="16"/>
                <w:szCs w:val="16"/>
              </w:rPr>
              <w:t>5</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6"/>
                <w:szCs w:val="16"/>
              </w:rPr>
            </w:pPr>
            <w:r>
              <w:rPr>
                <w:rFonts w:ascii="Arial" w:hAnsi="Arial" w:cs="Arial"/>
                <w:sz w:val="16"/>
                <w:szCs w:val="16"/>
              </w:rPr>
              <w:t>Related party loan receivabl</w:t>
            </w:r>
            <w:r>
              <w:rPr>
                <w:rFonts w:ascii="Arial" w:hAnsi="Arial" w:cs="Arial"/>
                <w:sz w:val="16"/>
                <w:szCs w:val="16"/>
              </w:rPr>
              <w:t>e</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6"/>
                <w:szCs w:val="16"/>
              </w:rPr>
            </w:pPr>
            <w:r>
              <w:rPr>
                <w:rFonts w:ascii="Arial" w:hAnsi="Arial" w:cs="Arial"/>
                <w:sz w:val="16"/>
                <w:szCs w:val="16"/>
              </w:rPr>
              <w:t>Other comprehensive incom</w:t>
            </w:r>
            <w:r>
              <w:rPr>
                <w:rFonts w:ascii="Arial" w:hAnsi="Arial" w:cs="Arial"/>
                <w:sz w:val="16"/>
                <w:szCs w:val="16"/>
              </w:rPr>
              <w:t>e</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w:t>
            </w:r>
            <w:r>
              <w:rPr>
                <w:rFonts w:ascii="Arial" w:hAnsi="Arial" w:cs="Arial"/>
                <w:sz w:val="16"/>
                <w:szCs w:val="16"/>
              </w:rPr>
              <w:t>6</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w:t>
            </w:r>
            <w:r>
              <w:rPr>
                <w:rFonts w:ascii="Arial" w:hAnsi="Arial" w:cs="Arial"/>
                <w:sz w:val="16"/>
                <w:szCs w:val="16"/>
              </w:rPr>
              <w:t>6</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6"/>
                <w:szCs w:val="16"/>
              </w:rPr>
            </w:pPr>
            <w:r>
              <w:rPr>
                <w:rFonts w:ascii="Arial" w:hAnsi="Arial" w:cs="Arial"/>
                <w:sz w:val="16"/>
                <w:szCs w:val="16"/>
              </w:rPr>
              <w:t>Net incom</w:t>
            </w:r>
            <w:r>
              <w:rPr>
                <w:rFonts w:ascii="Arial" w:hAnsi="Arial" w:cs="Arial"/>
                <w:sz w:val="16"/>
                <w:szCs w:val="16"/>
              </w:rPr>
              <w:t>e</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13,69</w:t>
            </w:r>
            <w:r>
              <w:rPr>
                <w:rFonts w:ascii="Arial" w:hAnsi="Arial" w:cs="Arial"/>
                <w:sz w:val="16"/>
                <w:szCs w:val="16"/>
              </w:rPr>
              <w:t>7</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13,69</w:t>
            </w:r>
            <w:r>
              <w:rPr>
                <w:rFonts w:ascii="Arial" w:hAnsi="Arial" w:cs="Arial"/>
                <w:sz w:val="16"/>
                <w:szCs w:val="16"/>
              </w:rPr>
              <w:t>7</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6"/>
                <w:szCs w:val="16"/>
              </w:rPr>
            </w:pPr>
            <w:r>
              <w:rPr>
                <w:rFonts w:ascii="Arial" w:hAnsi="Arial" w:cs="Arial"/>
                <w:b/>
                <w:bCs/>
                <w:sz w:val="16"/>
                <w:szCs w:val="16"/>
              </w:rPr>
              <w:t>Balances at December 31, 201</w:t>
            </w:r>
            <w:r>
              <w:rPr>
                <w:rFonts w:ascii="Arial" w:hAnsi="Arial" w:cs="Arial"/>
                <w:b/>
                <w:bCs/>
                <w:sz w:val="16"/>
                <w:szCs w:val="16"/>
              </w:rPr>
              <w:t>9</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23,01</w:t>
            </w:r>
            <w:r>
              <w:rPr>
                <w:rFonts w:ascii="Arial" w:hAnsi="Arial" w:cs="Arial"/>
                <w:sz w:val="16"/>
                <w:szCs w:val="16"/>
              </w:rPr>
              <w:t>3</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103,479,23</w:t>
            </w:r>
            <w:r>
              <w:rPr>
                <w:rFonts w:ascii="Arial" w:hAnsi="Arial" w:cs="Arial"/>
                <w:sz w:val="16"/>
                <w:szCs w:val="16"/>
              </w:rPr>
              <w:t>9</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51</w:t>
            </w:r>
            <w:r>
              <w:rPr>
                <w:rFonts w:ascii="Arial" w:hAnsi="Arial" w:cs="Arial"/>
                <w:sz w:val="16"/>
                <w:szCs w:val="16"/>
              </w:rPr>
              <w:t>7</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27,18</w:t>
            </w:r>
            <w:r>
              <w:rPr>
                <w:rFonts w:ascii="Arial" w:hAnsi="Arial" w:cs="Arial"/>
                <w:sz w:val="16"/>
                <w:szCs w:val="16"/>
              </w:rPr>
              <w:t>1</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57</w:t>
            </w:r>
            <w:r>
              <w:rPr>
                <w:rFonts w:ascii="Arial" w:hAnsi="Arial" w:cs="Arial"/>
                <w:sz w:val="16"/>
                <w:szCs w:val="16"/>
              </w:rPr>
              <w:t>9</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41,33</w:t>
            </w:r>
            <w:r>
              <w:rPr>
                <w:rFonts w:ascii="Arial" w:hAnsi="Arial" w:cs="Arial"/>
                <w:sz w:val="16"/>
                <w:szCs w:val="16"/>
              </w:rPr>
              <w:t>6</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14</w:t>
            </w:r>
            <w:r>
              <w:rPr>
                <w:rFonts w:ascii="Arial" w:hAnsi="Arial" w:cs="Arial"/>
                <w:sz w:val="16"/>
                <w:szCs w:val="16"/>
              </w:rPr>
              <w:t>9</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68,60</w:t>
            </w:r>
            <w:r>
              <w:rPr>
                <w:rFonts w:ascii="Arial" w:hAnsi="Arial" w:cs="Arial"/>
                <w:sz w:val="16"/>
                <w:szCs w:val="16"/>
              </w:rPr>
              <w:t>4</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6"/>
                <w:szCs w:val="16"/>
              </w:rPr>
            </w:pPr>
            <w:r>
              <w:rPr>
                <w:rFonts w:ascii="Arial" w:hAnsi="Arial" w:cs="Arial"/>
                <w:sz w:val="16"/>
                <w:szCs w:val="16"/>
              </w:rPr>
              <w:t>Stock-based compensatio</w:t>
            </w:r>
            <w:r>
              <w:rPr>
                <w:rFonts w:ascii="Arial" w:hAnsi="Arial" w:cs="Arial"/>
                <w:sz w:val="16"/>
                <w:szCs w:val="16"/>
              </w:rPr>
              <w:t>n</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1,99</w:t>
            </w:r>
            <w:r>
              <w:rPr>
                <w:rFonts w:ascii="Arial" w:hAnsi="Arial" w:cs="Arial"/>
                <w:sz w:val="16"/>
                <w:szCs w:val="16"/>
              </w:rPr>
              <w:t>4</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1,99</w:t>
            </w:r>
            <w:r>
              <w:rPr>
                <w:rFonts w:ascii="Arial" w:hAnsi="Arial" w:cs="Arial"/>
                <w:sz w:val="16"/>
                <w:szCs w:val="16"/>
              </w:rPr>
              <w:t>4</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6"/>
                <w:szCs w:val="16"/>
              </w:rPr>
            </w:pPr>
            <w:r>
              <w:rPr>
                <w:rFonts w:ascii="Arial" w:hAnsi="Arial" w:cs="Arial"/>
                <w:sz w:val="16"/>
                <w:szCs w:val="16"/>
              </w:rPr>
              <w:t>Related party loan receivabl</w:t>
            </w:r>
            <w:r>
              <w:rPr>
                <w:rFonts w:ascii="Arial" w:hAnsi="Arial" w:cs="Arial"/>
                <w:sz w:val="16"/>
                <w:szCs w:val="16"/>
              </w:rPr>
              <w:t>e</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6"/>
                <w:szCs w:val="16"/>
              </w:rPr>
            </w:pPr>
            <w:r>
              <w:rPr>
                <w:rFonts w:ascii="Arial" w:hAnsi="Arial" w:cs="Arial"/>
                <w:sz w:val="16"/>
                <w:szCs w:val="16"/>
              </w:rPr>
              <w:t>Other comprehensive incom</w:t>
            </w:r>
            <w:r>
              <w:rPr>
                <w:rFonts w:ascii="Arial" w:hAnsi="Arial" w:cs="Arial"/>
                <w:sz w:val="16"/>
                <w:szCs w:val="16"/>
              </w:rPr>
              <w:t>e</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6</w:t>
            </w:r>
            <w:r>
              <w:rPr>
                <w:rFonts w:ascii="Arial" w:hAnsi="Arial" w:cs="Arial"/>
                <w:sz w:val="16"/>
                <w:szCs w:val="16"/>
              </w:rPr>
              <w:t>7</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6</w:t>
            </w:r>
            <w:r>
              <w:rPr>
                <w:rFonts w:ascii="Arial" w:hAnsi="Arial" w:cs="Arial"/>
                <w:sz w:val="16"/>
                <w:szCs w:val="16"/>
              </w:rPr>
              <w:t>7</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6"/>
                <w:szCs w:val="16"/>
              </w:rPr>
            </w:pPr>
            <w:r>
              <w:rPr>
                <w:rFonts w:ascii="Arial" w:hAnsi="Arial" w:cs="Arial"/>
                <w:sz w:val="16"/>
                <w:szCs w:val="16"/>
              </w:rPr>
              <w:t>Net incom</w:t>
            </w:r>
            <w:r>
              <w:rPr>
                <w:rFonts w:ascii="Arial" w:hAnsi="Arial" w:cs="Arial"/>
                <w:sz w:val="16"/>
                <w:szCs w:val="16"/>
              </w:rPr>
              <w:t>e</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13,71</w:t>
            </w:r>
            <w:r>
              <w:rPr>
                <w:rFonts w:ascii="Arial" w:hAnsi="Arial" w:cs="Arial"/>
                <w:sz w:val="16"/>
                <w:szCs w:val="16"/>
              </w:rPr>
              <w:t>1</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13,71</w:t>
            </w:r>
            <w:r>
              <w:rPr>
                <w:rFonts w:ascii="Arial" w:hAnsi="Arial" w:cs="Arial"/>
                <w:sz w:val="16"/>
                <w:szCs w:val="16"/>
              </w:rPr>
              <w:t>1</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6"/>
                <w:szCs w:val="16"/>
              </w:rPr>
            </w:pPr>
            <w:r>
              <w:rPr>
                <w:rFonts w:ascii="Arial" w:hAnsi="Arial" w:cs="Arial"/>
                <w:b/>
                <w:bCs/>
                <w:sz w:val="16"/>
                <w:szCs w:val="16"/>
              </w:rPr>
              <w:t>Balances at December 31, 202</w:t>
            </w:r>
            <w:r>
              <w:rPr>
                <w:rFonts w:ascii="Arial" w:hAnsi="Arial" w:cs="Arial"/>
                <w:b/>
                <w:bCs/>
                <w:sz w:val="16"/>
                <w:szCs w:val="16"/>
              </w:rPr>
              <w:t>0</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23,01</w:t>
            </w:r>
            <w:r>
              <w:rPr>
                <w:rFonts w:ascii="Arial" w:hAnsi="Arial" w:cs="Arial"/>
                <w:sz w:val="16"/>
                <w:szCs w:val="16"/>
              </w:rPr>
              <w:t>3</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103,479,23</w:t>
            </w:r>
            <w:r>
              <w:rPr>
                <w:rFonts w:ascii="Arial" w:hAnsi="Arial" w:cs="Arial"/>
                <w:sz w:val="16"/>
                <w:szCs w:val="16"/>
              </w:rPr>
              <w:t>9</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51</w:t>
            </w:r>
            <w:r>
              <w:rPr>
                <w:rFonts w:ascii="Arial" w:hAnsi="Arial" w:cs="Arial"/>
                <w:sz w:val="16"/>
                <w:szCs w:val="16"/>
              </w:rPr>
              <w:t>7</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29,17</w:t>
            </w:r>
            <w:r>
              <w:rPr>
                <w:rFonts w:ascii="Arial" w:hAnsi="Arial" w:cs="Arial"/>
                <w:sz w:val="16"/>
                <w:szCs w:val="16"/>
              </w:rPr>
              <w:t>5</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57</w:t>
            </w:r>
            <w:r>
              <w:rPr>
                <w:rFonts w:ascii="Arial" w:hAnsi="Arial" w:cs="Arial"/>
                <w:sz w:val="16"/>
                <w:szCs w:val="16"/>
              </w:rPr>
              <w:t>9</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55,04</w:t>
            </w:r>
            <w:r>
              <w:rPr>
                <w:rFonts w:ascii="Arial" w:hAnsi="Arial" w:cs="Arial"/>
                <w:sz w:val="16"/>
                <w:szCs w:val="16"/>
              </w:rPr>
              <w:t>7</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21</w:t>
            </w:r>
            <w:r>
              <w:rPr>
                <w:rFonts w:ascii="Arial" w:hAnsi="Arial" w:cs="Arial"/>
                <w:sz w:val="16"/>
                <w:szCs w:val="16"/>
              </w:rPr>
              <w:t>6</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84,37</w:t>
            </w:r>
            <w:r>
              <w:rPr>
                <w:rFonts w:ascii="Arial" w:hAnsi="Arial" w:cs="Arial"/>
                <w:sz w:val="16"/>
                <w:szCs w:val="16"/>
              </w:rPr>
              <w:t>6</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6"/>
                <w:szCs w:val="16"/>
              </w:rPr>
            </w:pPr>
            <w:r>
              <w:rPr>
                <w:rFonts w:ascii="Arial" w:hAnsi="Arial" w:cs="Arial"/>
                <w:sz w:val="16"/>
                <w:szCs w:val="16"/>
              </w:rPr>
              <w:t>Issuance of Class A common stock in connection with initial public offering and private placement, net of offering costs, underwriting discounts and commission</w:t>
            </w:r>
            <w:r>
              <w:rPr>
                <w:rFonts w:ascii="Arial" w:hAnsi="Arial" w:cs="Arial"/>
                <w:sz w:val="16"/>
                <w:szCs w:val="16"/>
              </w:rPr>
              <w:t>s</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13,880,95</w:t>
            </w:r>
            <w:r>
              <w:rPr>
                <w:rFonts w:ascii="Arial" w:hAnsi="Arial" w:cs="Arial"/>
                <w:sz w:val="16"/>
                <w:szCs w:val="16"/>
              </w:rPr>
              <w:t>0</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272,63</w:t>
            </w:r>
            <w:r>
              <w:rPr>
                <w:rFonts w:ascii="Arial" w:hAnsi="Arial" w:cs="Arial"/>
                <w:sz w:val="16"/>
                <w:szCs w:val="16"/>
              </w:rPr>
              <w:t>3</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272,63</w:t>
            </w:r>
            <w:r>
              <w:rPr>
                <w:rFonts w:ascii="Arial" w:hAnsi="Arial" w:cs="Arial"/>
                <w:sz w:val="16"/>
                <w:szCs w:val="16"/>
              </w:rPr>
              <w:t>4</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6"/>
                <w:szCs w:val="16"/>
              </w:rPr>
            </w:pPr>
            <w:r>
              <w:rPr>
                <w:rFonts w:ascii="Arial" w:hAnsi="Arial" w:cs="Arial"/>
                <w:sz w:val="16"/>
                <w:szCs w:val="16"/>
              </w:rPr>
              <w:t>Conversion of common stock to Class B common stock in connection with initial public offerin</w:t>
            </w:r>
            <w:r>
              <w:rPr>
                <w:rFonts w:ascii="Arial" w:hAnsi="Arial" w:cs="Arial"/>
                <w:sz w:val="16"/>
                <w:szCs w:val="16"/>
              </w:rPr>
              <w:t>g</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50</w:t>
            </w:r>
            <w:r>
              <w:rPr>
                <w:rFonts w:ascii="Arial" w:hAnsi="Arial" w:cs="Arial"/>
                <w:sz w:val="16"/>
                <w:szCs w:val="16"/>
              </w:rPr>
              <w:t>6</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50</w:t>
            </w:r>
            <w:r>
              <w:rPr>
                <w:rFonts w:ascii="Arial" w:hAnsi="Arial" w:cs="Arial"/>
                <w:sz w:val="16"/>
                <w:szCs w:val="16"/>
              </w:rPr>
              <w:t>6</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6"/>
                <w:szCs w:val="16"/>
              </w:rPr>
            </w:pPr>
            <w:r>
              <w:rPr>
                <w:rFonts w:ascii="Arial" w:hAnsi="Arial" w:cs="Arial"/>
                <w:sz w:val="16"/>
                <w:szCs w:val="16"/>
              </w:rPr>
              <w:t>Redemption of Series A preferred stock in connection with initial public offerin</w:t>
            </w:r>
            <w:r>
              <w:rPr>
                <w:rFonts w:ascii="Arial" w:hAnsi="Arial" w:cs="Arial"/>
                <w:sz w:val="16"/>
                <w:szCs w:val="16"/>
              </w:rPr>
              <w:t>g</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23,01</w:t>
            </w:r>
            <w:r>
              <w:rPr>
                <w:rFonts w:ascii="Arial" w:hAnsi="Arial" w:cs="Arial"/>
                <w:sz w:val="16"/>
                <w:szCs w:val="16"/>
              </w:rPr>
              <w:t>3</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23,01</w:t>
            </w:r>
            <w:r>
              <w:rPr>
                <w:rFonts w:ascii="Arial" w:hAnsi="Arial" w:cs="Arial"/>
                <w:sz w:val="16"/>
                <w:szCs w:val="16"/>
              </w:rPr>
              <w:t>3</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34,41</w:t>
            </w:r>
            <w:r>
              <w:rPr>
                <w:rFonts w:ascii="Arial" w:hAnsi="Arial" w:cs="Arial"/>
                <w:sz w:val="16"/>
                <w:szCs w:val="16"/>
              </w:rPr>
              <w:t>2</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57,42</w:t>
            </w:r>
            <w:r>
              <w:rPr>
                <w:rFonts w:ascii="Arial" w:hAnsi="Arial" w:cs="Arial"/>
                <w:sz w:val="16"/>
                <w:szCs w:val="16"/>
              </w:rPr>
              <w:t>5</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6"/>
                <w:szCs w:val="16"/>
              </w:rPr>
            </w:pPr>
            <w:r>
              <w:rPr>
                <w:rFonts w:ascii="Arial" w:hAnsi="Arial" w:cs="Arial"/>
                <w:sz w:val="16"/>
                <w:szCs w:val="16"/>
              </w:rPr>
              <w:t>Issuance of warran</w:t>
            </w:r>
            <w:r>
              <w:rPr>
                <w:rFonts w:ascii="Arial" w:hAnsi="Arial" w:cs="Arial"/>
                <w:sz w:val="16"/>
                <w:szCs w:val="16"/>
              </w:rPr>
              <w:t>t</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4,80</w:t>
            </w:r>
            <w:r>
              <w:rPr>
                <w:rFonts w:ascii="Arial" w:hAnsi="Arial" w:cs="Arial"/>
                <w:sz w:val="16"/>
                <w:szCs w:val="16"/>
              </w:rPr>
              <w:t>2</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4,80</w:t>
            </w:r>
            <w:r>
              <w:rPr>
                <w:rFonts w:ascii="Arial" w:hAnsi="Arial" w:cs="Arial"/>
                <w:sz w:val="16"/>
                <w:szCs w:val="16"/>
              </w:rPr>
              <w:t>2</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6"/>
                <w:szCs w:val="16"/>
              </w:rPr>
            </w:pPr>
            <w:r>
              <w:rPr>
                <w:rFonts w:ascii="Arial" w:hAnsi="Arial" w:cs="Arial"/>
                <w:sz w:val="16"/>
                <w:szCs w:val="16"/>
              </w:rPr>
              <w:t>Retirement of treasury stock in connection with initial public offerin</w:t>
            </w:r>
            <w:r>
              <w:rPr>
                <w:rFonts w:ascii="Arial" w:hAnsi="Arial" w:cs="Arial"/>
                <w:sz w:val="16"/>
                <w:szCs w:val="16"/>
              </w:rPr>
              <w:t>g</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57</w:t>
            </w:r>
            <w:r>
              <w:rPr>
                <w:rFonts w:ascii="Arial" w:hAnsi="Arial" w:cs="Arial"/>
                <w:sz w:val="16"/>
                <w:szCs w:val="16"/>
              </w:rPr>
              <w:t>9</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57</w:t>
            </w:r>
            <w:r>
              <w:rPr>
                <w:rFonts w:ascii="Arial" w:hAnsi="Arial" w:cs="Arial"/>
                <w:sz w:val="16"/>
                <w:szCs w:val="16"/>
              </w:rPr>
              <w:t>9</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6"/>
                <w:szCs w:val="16"/>
              </w:rPr>
            </w:pPr>
            <w:r>
              <w:rPr>
                <w:rFonts w:ascii="Arial" w:hAnsi="Arial" w:cs="Arial"/>
                <w:sz w:val="16"/>
                <w:szCs w:val="16"/>
              </w:rPr>
              <w:t>Issuance of Class A common stock for acquisition</w:t>
            </w:r>
            <w:r>
              <w:rPr>
                <w:rFonts w:ascii="Arial" w:hAnsi="Arial" w:cs="Arial"/>
                <w:sz w:val="16"/>
                <w:szCs w:val="16"/>
              </w:rPr>
              <w:t>s</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2,655,25</w:t>
            </w:r>
            <w:r>
              <w:rPr>
                <w:rFonts w:ascii="Arial" w:hAnsi="Arial" w:cs="Arial"/>
                <w:sz w:val="16"/>
                <w:szCs w:val="16"/>
              </w:rPr>
              <w:t>2</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68,22</w:t>
            </w:r>
            <w:r>
              <w:rPr>
                <w:rFonts w:ascii="Arial" w:hAnsi="Arial" w:cs="Arial"/>
                <w:sz w:val="16"/>
                <w:szCs w:val="16"/>
              </w:rPr>
              <w:t>9</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68,22</w:t>
            </w:r>
            <w:r>
              <w:rPr>
                <w:rFonts w:ascii="Arial" w:hAnsi="Arial" w:cs="Arial"/>
                <w:sz w:val="16"/>
                <w:szCs w:val="16"/>
              </w:rPr>
              <w:t>9</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6"/>
                <w:szCs w:val="16"/>
              </w:rPr>
            </w:pPr>
            <w:r>
              <w:rPr>
                <w:rFonts w:ascii="Arial" w:hAnsi="Arial" w:cs="Arial"/>
                <w:sz w:val="16"/>
                <w:szCs w:val="16"/>
              </w:rPr>
              <w:t>Issuance of Class A common stock for stock option exercise</w:t>
            </w:r>
            <w:r>
              <w:rPr>
                <w:rFonts w:ascii="Arial" w:hAnsi="Arial" w:cs="Arial"/>
                <w:sz w:val="16"/>
                <w:szCs w:val="16"/>
              </w:rPr>
              <w:t>s</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616,22</w:t>
            </w:r>
            <w:r>
              <w:rPr>
                <w:rFonts w:ascii="Arial" w:hAnsi="Arial" w:cs="Arial"/>
                <w:sz w:val="16"/>
                <w:szCs w:val="16"/>
              </w:rPr>
              <w:t>0</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31</w:t>
            </w:r>
            <w:r>
              <w:rPr>
                <w:rFonts w:ascii="Arial" w:hAnsi="Arial" w:cs="Arial"/>
                <w:sz w:val="16"/>
                <w:szCs w:val="16"/>
              </w:rPr>
              <w:t>5</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31</w:t>
            </w:r>
            <w:r>
              <w:rPr>
                <w:rFonts w:ascii="Arial" w:hAnsi="Arial" w:cs="Arial"/>
                <w:sz w:val="16"/>
                <w:szCs w:val="16"/>
              </w:rPr>
              <w:t>5</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6"/>
                <w:szCs w:val="16"/>
              </w:rPr>
            </w:pPr>
            <w:r>
              <w:rPr>
                <w:rFonts w:ascii="Arial" w:hAnsi="Arial" w:cs="Arial"/>
                <w:sz w:val="16"/>
                <w:szCs w:val="16"/>
              </w:rPr>
              <w:t>Issuance of Class B common stock for stock option exercise</w:t>
            </w:r>
            <w:r>
              <w:rPr>
                <w:rFonts w:ascii="Arial" w:hAnsi="Arial" w:cs="Arial"/>
                <w:sz w:val="16"/>
                <w:szCs w:val="16"/>
              </w:rPr>
              <w:t>s</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7,50</w:t>
            </w:r>
            <w:r>
              <w:rPr>
                <w:rFonts w:ascii="Arial" w:hAnsi="Arial" w:cs="Arial"/>
                <w:sz w:val="16"/>
                <w:szCs w:val="16"/>
              </w:rPr>
              <w:t>0</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6"/>
                <w:szCs w:val="16"/>
              </w:rPr>
            </w:pPr>
            <w:r>
              <w:rPr>
                <w:rFonts w:ascii="Arial" w:hAnsi="Arial" w:cs="Arial"/>
                <w:sz w:val="16"/>
                <w:szCs w:val="16"/>
              </w:rPr>
              <w:t>Stock-based compensatio</w:t>
            </w:r>
            <w:r>
              <w:rPr>
                <w:rFonts w:ascii="Arial" w:hAnsi="Arial" w:cs="Arial"/>
                <w:sz w:val="16"/>
                <w:szCs w:val="16"/>
              </w:rPr>
              <w:t>n</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3,13</w:t>
            </w:r>
            <w:r>
              <w:rPr>
                <w:rFonts w:ascii="Arial" w:hAnsi="Arial" w:cs="Arial"/>
                <w:sz w:val="16"/>
                <w:szCs w:val="16"/>
              </w:rPr>
              <w:t>6</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3,13</w:t>
            </w:r>
            <w:r>
              <w:rPr>
                <w:rFonts w:ascii="Arial" w:hAnsi="Arial" w:cs="Arial"/>
                <w:sz w:val="16"/>
                <w:szCs w:val="16"/>
              </w:rPr>
              <w:t>6</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6"/>
                <w:szCs w:val="16"/>
              </w:rPr>
            </w:pPr>
            <w:r>
              <w:rPr>
                <w:rFonts w:ascii="Arial" w:hAnsi="Arial" w:cs="Arial"/>
                <w:sz w:val="16"/>
                <w:szCs w:val="16"/>
              </w:rPr>
              <w:t>Repayment of related party loan receivabl</w:t>
            </w:r>
            <w:r>
              <w:rPr>
                <w:rFonts w:ascii="Arial" w:hAnsi="Arial" w:cs="Arial"/>
                <w:sz w:val="16"/>
                <w:szCs w:val="16"/>
              </w:rPr>
              <w:t>e</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81</w:t>
            </w:r>
            <w:r>
              <w:rPr>
                <w:rFonts w:ascii="Arial" w:hAnsi="Arial" w:cs="Arial"/>
                <w:sz w:val="16"/>
                <w:szCs w:val="16"/>
              </w:rPr>
              <w:t>3</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81</w:t>
            </w:r>
            <w:r>
              <w:rPr>
                <w:rFonts w:ascii="Arial" w:hAnsi="Arial" w:cs="Arial"/>
                <w:sz w:val="16"/>
                <w:szCs w:val="16"/>
              </w:rPr>
              <w:t>3</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6"/>
                <w:szCs w:val="16"/>
              </w:rPr>
            </w:pPr>
            <w:r>
              <w:rPr>
                <w:rFonts w:ascii="Arial" w:hAnsi="Arial" w:cs="Arial"/>
                <w:sz w:val="16"/>
                <w:szCs w:val="16"/>
              </w:rPr>
              <w:t>Other comprehensive los</w:t>
            </w:r>
            <w:r>
              <w:rPr>
                <w:rFonts w:ascii="Arial" w:hAnsi="Arial" w:cs="Arial"/>
                <w:sz w:val="16"/>
                <w:szCs w:val="16"/>
              </w:rPr>
              <w:t>s</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4</w:t>
            </w:r>
            <w:r>
              <w:rPr>
                <w:rFonts w:ascii="Arial" w:hAnsi="Arial" w:cs="Arial"/>
                <w:sz w:val="16"/>
                <w:szCs w:val="16"/>
              </w:rPr>
              <w:t>8</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4</w:t>
            </w:r>
            <w:r>
              <w:rPr>
                <w:rFonts w:ascii="Arial" w:hAnsi="Arial" w:cs="Arial"/>
                <w:sz w:val="16"/>
                <w:szCs w:val="16"/>
              </w:rPr>
              <w:t>8</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6"/>
                <w:szCs w:val="16"/>
              </w:rPr>
            </w:pPr>
            <w:r>
              <w:rPr>
                <w:rFonts w:ascii="Arial" w:hAnsi="Arial" w:cs="Arial"/>
                <w:sz w:val="16"/>
                <w:szCs w:val="16"/>
              </w:rPr>
              <w:t>Net incom</w:t>
            </w:r>
            <w:r>
              <w:rPr>
                <w:rFonts w:ascii="Arial" w:hAnsi="Arial" w:cs="Arial"/>
                <w:sz w:val="16"/>
                <w:szCs w:val="16"/>
              </w:rPr>
              <w:t>e</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9,30</w:t>
            </w:r>
            <w:r>
              <w:rPr>
                <w:rFonts w:ascii="Arial" w:hAnsi="Arial" w:cs="Arial"/>
                <w:sz w:val="16"/>
                <w:szCs w:val="16"/>
              </w:rPr>
              <w:t>0</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9,30</w:t>
            </w:r>
            <w:r>
              <w:rPr>
                <w:rFonts w:ascii="Arial" w:hAnsi="Arial" w:cs="Arial"/>
                <w:sz w:val="16"/>
                <w:szCs w:val="16"/>
              </w:rPr>
              <w:t>0</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6"/>
                <w:szCs w:val="16"/>
              </w:rPr>
            </w:pPr>
            <w:r>
              <w:rPr>
                <w:rFonts w:ascii="Arial" w:hAnsi="Arial" w:cs="Arial"/>
                <w:b/>
                <w:bCs/>
                <w:sz w:val="16"/>
                <w:szCs w:val="16"/>
              </w:rPr>
              <w:t>Balances at December 31, 202</w:t>
            </w:r>
            <w:r>
              <w:rPr>
                <w:rFonts w:ascii="Arial" w:hAnsi="Arial" w:cs="Arial"/>
                <w:b/>
                <w:bCs/>
                <w:sz w:val="16"/>
                <w:szCs w:val="16"/>
              </w:rPr>
              <w:t>1</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120,639,16</w:t>
            </w:r>
            <w:r>
              <w:rPr>
                <w:rFonts w:ascii="Arial" w:hAnsi="Arial" w:cs="Arial"/>
                <w:sz w:val="16"/>
                <w:szCs w:val="16"/>
              </w:rPr>
              <w:t>1</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w:t>
            </w:r>
            <w:r>
              <w:rPr>
                <w:rFonts w:ascii="Arial" w:hAnsi="Arial" w:cs="Arial"/>
                <w:sz w:val="16"/>
                <w:szCs w:val="16"/>
              </w:rPr>
              <w:t>2</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356,01</w:t>
            </w:r>
            <w:r>
              <w:rPr>
                <w:rFonts w:ascii="Arial" w:hAnsi="Arial" w:cs="Arial"/>
                <w:sz w:val="16"/>
                <w:szCs w:val="16"/>
              </w:rPr>
              <w:t>7</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29,93</w:t>
            </w:r>
            <w:r>
              <w:rPr>
                <w:rFonts w:ascii="Arial" w:hAnsi="Arial" w:cs="Arial"/>
                <w:sz w:val="16"/>
                <w:szCs w:val="16"/>
              </w:rPr>
              <w:t>5</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16</w:t>
            </w:r>
            <w:r>
              <w:rPr>
                <w:rFonts w:ascii="Arial" w:hAnsi="Arial" w:cs="Arial"/>
                <w:sz w:val="16"/>
                <w:szCs w:val="16"/>
              </w:rPr>
              <w:t>8</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6"/>
                <w:szCs w:val="16"/>
              </w:rPr>
              <w:t>386,13</w:t>
            </w:r>
            <w:r>
              <w:rPr>
                <w:rFonts w:ascii="Arial" w:hAnsi="Arial" w:cs="Arial"/>
                <w:sz w:val="16"/>
                <w:szCs w:val="16"/>
              </w:rPr>
              <w:t>2</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r>
      <w:tr w:rsidR="00000000">
        <w:trPr>
          <w:tblCellSpacing w:w="15" w:type="dxa"/>
        </w:trPr>
        <w:tc>
          <w:tcPr>
            <w:tcW w:w="0" w:type="auto"/>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right"/>
              <w:rPr>
                <w:sz w:val="16"/>
                <w:szCs w:val="16"/>
              </w:rPr>
            </w:pPr>
            <w:r>
              <w:rPr>
                <w:rFonts w:ascii="Arial" w:hAnsi="Arial" w:cs="Arial"/>
                <w:sz w:val="16"/>
                <w:szCs w:val="16"/>
              </w:rPr>
              <w:t> </w:t>
            </w:r>
          </w:p>
        </w:tc>
      </w:tr>
    </w:tbl>
    <w:p w:rsidR="00000000" w:rsidRDefault="00010F15">
      <w:pPr>
        <w:pStyle w:val="a3"/>
        <w:spacing w:before="120" w:beforeAutospacing="0" w:after="0" w:afterAutospacing="0"/>
        <w:jc w:val="center"/>
        <w:rPr>
          <w:sz w:val="20"/>
          <w:szCs w:val="20"/>
        </w:rPr>
      </w:pPr>
      <w:r>
        <w:rPr>
          <w:rFonts w:ascii="Arial" w:hAnsi="Arial" w:cs="Arial"/>
          <w:sz w:val="20"/>
          <w:szCs w:val="20"/>
        </w:rPr>
        <w:t>The accompanying notes are an integral part of these consolidated financial statements</w:t>
      </w:r>
      <w:r>
        <w:rPr>
          <w:rFonts w:ascii="Arial" w:hAnsi="Arial" w:cs="Arial"/>
          <w:sz w:val="20"/>
          <w:szCs w:val="20"/>
        </w:rPr>
        <w:t>.</w:t>
      </w:r>
    </w:p>
    <w:p w:rsidR="00000000" w:rsidRDefault="00010F15">
      <w:pPr>
        <w:pStyle w:val="a3"/>
        <w:spacing w:before="0" w:beforeAutospacing="0" w:after="0" w:afterAutospacing="0"/>
        <w:jc w:val="center"/>
        <w:rPr>
          <w:sz w:val="20"/>
          <w:szCs w:val="20"/>
        </w:rPr>
      </w:pPr>
      <w:r>
        <w:rPr>
          <w:rFonts w:ascii="Arial" w:hAnsi="Arial" w:cs="Arial"/>
          <w:sz w:val="20"/>
          <w:szCs w:val="20"/>
        </w:rPr>
        <w:t>7</w:t>
      </w:r>
      <w:r>
        <w:rPr>
          <w:rFonts w:ascii="Arial" w:hAnsi="Arial" w:cs="Arial"/>
          <w:sz w:val="20"/>
          <w:szCs w:val="20"/>
        </w:rPr>
        <w:t>5</w:t>
      </w:r>
    </w:p>
    <w:p w:rsidR="00000000" w:rsidRDefault="00010F15">
      <w:pPr>
        <w:rPr>
          <w:rFonts w:eastAsia="Times New Roman"/>
        </w:rPr>
      </w:pPr>
      <w:r>
        <w:rPr>
          <w:rFonts w:eastAsia="Times New Roman"/>
        </w:rPr>
        <w:pict>
          <v:rect id="_x0000_i1100"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0" w:beforeAutospacing="0" w:after="0" w:afterAutospacing="0"/>
        <w:jc w:val="center"/>
        <w:rPr>
          <w:sz w:val="20"/>
          <w:szCs w:val="20"/>
        </w:rPr>
      </w:pPr>
      <w:r>
        <w:rPr>
          <w:rFonts w:ascii="Arial" w:hAnsi="Arial" w:cs="Arial"/>
          <w:sz w:val="20"/>
          <w:szCs w:val="20"/>
        </w:rPr>
        <w:t>PAYMENTUS HOLDINGS, INC</w:t>
      </w:r>
      <w:r>
        <w:rPr>
          <w:rFonts w:ascii="Arial" w:hAnsi="Arial" w:cs="Arial"/>
          <w:sz w:val="20"/>
          <w:szCs w:val="20"/>
        </w:rPr>
        <w:t>.</w:t>
      </w:r>
    </w:p>
    <w:p w:rsidR="00000000" w:rsidRDefault="00010F15">
      <w:pPr>
        <w:pStyle w:val="a3"/>
        <w:spacing w:before="0" w:beforeAutospacing="0" w:after="0" w:afterAutospacing="0"/>
        <w:jc w:val="center"/>
        <w:rPr>
          <w:sz w:val="20"/>
          <w:szCs w:val="20"/>
        </w:rPr>
      </w:pPr>
      <w:r>
        <w:rPr>
          <w:rFonts w:ascii="Arial" w:hAnsi="Arial" w:cs="Arial"/>
          <w:sz w:val="20"/>
          <w:szCs w:val="20"/>
        </w:rPr>
        <w:t>CONSOLIDATED STATEMENTS OF CASH FLOW</w:t>
      </w:r>
      <w:r>
        <w:rPr>
          <w:rFonts w:ascii="Arial" w:hAnsi="Arial" w:cs="Arial"/>
          <w:sz w:val="20"/>
          <w:szCs w:val="20"/>
        </w:rPr>
        <w:t>S</w:t>
      </w:r>
    </w:p>
    <w:p w:rsidR="00000000" w:rsidRDefault="00010F15">
      <w:pPr>
        <w:pStyle w:val="a3"/>
        <w:spacing w:before="0" w:beforeAutospacing="0" w:after="0" w:afterAutospacing="0"/>
        <w:jc w:val="center"/>
        <w:rPr>
          <w:sz w:val="20"/>
          <w:szCs w:val="20"/>
        </w:rPr>
      </w:pPr>
      <w:r>
        <w:rPr>
          <w:rFonts w:ascii="Arial" w:hAnsi="Arial" w:cs="Arial"/>
          <w:sz w:val="20"/>
          <w:szCs w:val="20"/>
        </w:rPr>
        <w:t>(In thousands</w:t>
      </w:r>
      <w:r>
        <w:rPr>
          <w:rFonts w:ascii="Arial" w:hAnsi="Arial" w:cs="Arial"/>
          <w:sz w:val="20"/>
          <w:szCs w:val="20"/>
        </w:rPr>
        <w:t>)</w:t>
      </w:r>
    </w:p>
    <w:p w:rsidR="00000000" w:rsidRDefault="00010F15">
      <w:pPr>
        <w:pStyle w:val="a3"/>
        <w:spacing w:before="0" w:beforeAutospacing="0" w:after="0" w:afterAutospacing="0"/>
        <w:jc w:val="center"/>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55"/>
        <w:gridCol w:w="108"/>
        <w:gridCol w:w="155"/>
        <w:gridCol w:w="864"/>
        <w:gridCol w:w="117"/>
        <w:gridCol w:w="108"/>
        <w:gridCol w:w="155"/>
        <w:gridCol w:w="866"/>
        <w:gridCol w:w="117"/>
        <w:gridCol w:w="108"/>
        <w:gridCol w:w="155"/>
        <w:gridCol w:w="866"/>
        <w:gridCol w:w="132"/>
      </w:tblGrid>
      <w:tr w:rsidR="00000000">
        <w:trPr>
          <w:tblCellSpacing w:w="15" w:type="dxa"/>
        </w:trPr>
        <w:tc>
          <w:tcPr>
            <w:tcW w:w="2874" w:type="pct"/>
            <w:vAlign w:val="center"/>
            <w:hideMark/>
          </w:tcPr>
          <w:p w:rsidR="00000000" w:rsidRDefault="00010F15">
            <w:pPr>
              <w:rPr>
                <w:sz w:val="20"/>
                <w:szCs w:val="20"/>
              </w:rPr>
            </w:pPr>
          </w:p>
        </w:tc>
        <w:tc>
          <w:tcPr>
            <w:tcW w:w="65" w:type="pct"/>
            <w:vAlign w:val="center"/>
            <w:hideMark/>
          </w:tcPr>
          <w:p w:rsidR="00000000" w:rsidRDefault="00010F15">
            <w:pPr>
              <w:rPr>
                <w:rFonts w:eastAsia="Times New Roman"/>
                <w:sz w:val="20"/>
                <w:szCs w:val="20"/>
              </w:rPr>
            </w:pPr>
          </w:p>
        </w:tc>
        <w:tc>
          <w:tcPr>
            <w:tcW w:w="57" w:type="pct"/>
            <w:vAlign w:val="center"/>
            <w:hideMark/>
          </w:tcPr>
          <w:p w:rsidR="00000000" w:rsidRDefault="00010F15">
            <w:pPr>
              <w:rPr>
                <w:rFonts w:eastAsia="Times New Roman"/>
                <w:sz w:val="20"/>
                <w:szCs w:val="20"/>
              </w:rPr>
            </w:pPr>
          </w:p>
        </w:tc>
        <w:tc>
          <w:tcPr>
            <w:tcW w:w="551" w:type="pct"/>
            <w:vAlign w:val="center"/>
            <w:hideMark/>
          </w:tcPr>
          <w:p w:rsidR="00000000" w:rsidRDefault="00010F15">
            <w:pPr>
              <w:rPr>
                <w:rFonts w:eastAsia="Times New Roman"/>
                <w:sz w:val="20"/>
                <w:szCs w:val="20"/>
              </w:rPr>
            </w:pPr>
          </w:p>
        </w:tc>
        <w:tc>
          <w:tcPr>
            <w:tcW w:w="33" w:type="pct"/>
            <w:vAlign w:val="center"/>
            <w:hideMark/>
          </w:tcPr>
          <w:p w:rsidR="00000000" w:rsidRDefault="00010F15">
            <w:pPr>
              <w:rPr>
                <w:rFonts w:eastAsia="Times New Roman"/>
                <w:sz w:val="20"/>
                <w:szCs w:val="20"/>
              </w:rPr>
            </w:pPr>
          </w:p>
        </w:tc>
        <w:tc>
          <w:tcPr>
            <w:tcW w:w="65" w:type="pct"/>
            <w:vAlign w:val="center"/>
            <w:hideMark/>
          </w:tcPr>
          <w:p w:rsidR="00000000" w:rsidRDefault="00010F15">
            <w:pPr>
              <w:rPr>
                <w:rFonts w:eastAsia="Times New Roman"/>
                <w:sz w:val="20"/>
                <w:szCs w:val="20"/>
              </w:rPr>
            </w:pPr>
          </w:p>
        </w:tc>
        <w:tc>
          <w:tcPr>
            <w:tcW w:w="57" w:type="pct"/>
            <w:vAlign w:val="center"/>
            <w:hideMark/>
          </w:tcPr>
          <w:p w:rsidR="00000000" w:rsidRDefault="00010F15">
            <w:pPr>
              <w:rPr>
                <w:rFonts w:eastAsia="Times New Roman"/>
                <w:sz w:val="20"/>
                <w:szCs w:val="20"/>
              </w:rPr>
            </w:pPr>
          </w:p>
        </w:tc>
        <w:tc>
          <w:tcPr>
            <w:tcW w:w="551" w:type="pct"/>
            <w:vAlign w:val="center"/>
            <w:hideMark/>
          </w:tcPr>
          <w:p w:rsidR="00000000" w:rsidRDefault="00010F15">
            <w:pPr>
              <w:rPr>
                <w:rFonts w:eastAsia="Times New Roman"/>
                <w:sz w:val="20"/>
                <w:szCs w:val="20"/>
              </w:rPr>
            </w:pPr>
          </w:p>
        </w:tc>
        <w:tc>
          <w:tcPr>
            <w:tcW w:w="33" w:type="pct"/>
            <w:vAlign w:val="center"/>
            <w:hideMark/>
          </w:tcPr>
          <w:p w:rsidR="00000000" w:rsidRDefault="00010F15">
            <w:pPr>
              <w:rPr>
                <w:rFonts w:eastAsia="Times New Roman"/>
                <w:sz w:val="20"/>
                <w:szCs w:val="20"/>
              </w:rPr>
            </w:pPr>
          </w:p>
        </w:tc>
        <w:tc>
          <w:tcPr>
            <w:tcW w:w="65" w:type="pct"/>
            <w:vAlign w:val="center"/>
            <w:hideMark/>
          </w:tcPr>
          <w:p w:rsidR="00000000" w:rsidRDefault="00010F15">
            <w:pPr>
              <w:rPr>
                <w:rFonts w:eastAsia="Times New Roman"/>
                <w:sz w:val="20"/>
                <w:szCs w:val="20"/>
              </w:rPr>
            </w:pPr>
          </w:p>
        </w:tc>
        <w:tc>
          <w:tcPr>
            <w:tcW w:w="57" w:type="pct"/>
            <w:vAlign w:val="center"/>
            <w:hideMark/>
          </w:tcPr>
          <w:p w:rsidR="00000000" w:rsidRDefault="00010F15">
            <w:pPr>
              <w:rPr>
                <w:rFonts w:eastAsia="Times New Roman"/>
                <w:sz w:val="20"/>
                <w:szCs w:val="20"/>
              </w:rPr>
            </w:pPr>
          </w:p>
        </w:tc>
        <w:tc>
          <w:tcPr>
            <w:tcW w:w="551" w:type="pct"/>
            <w:vAlign w:val="center"/>
            <w:hideMark/>
          </w:tcPr>
          <w:p w:rsidR="00000000" w:rsidRDefault="00010F15">
            <w:pPr>
              <w:rPr>
                <w:rFonts w:eastAsia="Times New Roman"/>
                <w:sz w:val="20"/>
                <w:szCs w:val="20"/>
              </w:rPr>
            </w:pPr>
          </w:p>
        </w:tc>
        <w:tc>
          <w:tcPr>
            <w:tcW w:w="33" w:type="pct"/>
            <w:vAlign w:val="center"/>
            <w:hideMark/>
          </w:tcPr>
          <w:p w:rsidR="00000000" w:rsidRDefault="00010F15">
            <w:pPr>
              <w:rPr>
                <w:rFonts w:eastAsia="Times New Roman"/>
                <w:sz w:val="20"/>
                <w:szCs w:val="20"/>
              </w:rPr>
            </w:pP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10"/>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Year Ended December 31</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201</w:t>
            </w:r>
            <w:r>
              <w:rPr>
                <w:rFonts w:ascii="Arial" w:hAnsi="Arial" w:cs="Arial"/>
                <w:b/>
                <w:bCs/>
                <w:sz w:val="16"/>
                <w:szCs w:val="16"/>
              </w:rPr>
              <w:t>9</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7"/>
                <w:szCs w:val="17"/>
              </w:rPr>
            </w:pPr>
            <w:r>
              <w:rPr>
                <w:rFonts w:ascii="Arial" w:hAnsi="Arial" w:cs="Arial"/>
                <w:b/>
                <w:bCs/>
                <w:sz w:val="17"/>
                <w:szCs w:val="17"/>
              </w:rPr>
              <w:t>Cash flows from operating activitie</w:t>
            </w:r>
            <w:r>
              <w:rPr>
                <w:rFonts w:ascii="Arial" w:hAnsi="Arial" w:cs="Arial"/>
                <w:b/>
                <w:bCs/>
                <w:sz w:val="17"/>
                <w:szCs w:val="17"/>
              </w:rPr>
              <w:t>s</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7"/>
                <w:szCs w:val="17"/>
              </w:rPr>
            </w:pPr>
            <w:r>
              <w:rPr>
                <w:rFonts w:ascii="Arial" w:hAnsi="Arial" w:cs="Arial"/>
                <w:sz w:val="17"/>
                <w:szCs w:val="17"/>
              </w:rPr>
              <w:t>Net incom</w:t>
            </w:r>
            <w:r>
              <w:rPr>
                <w:rFonts w:ascii="Arial" w:hAnsi="Arial" w:cs="Arial"/>
                <w:sz w:val="17"/>
                <w:szCs w:val="17"/>
              </w:rPr>
              <w:t>e</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9,30</w:t>
            </w:r>
            <w:r>
              <w:rPr>
                <w:rFonts w:ascii="Arial" w:hAnsi="Arial" w:cs="Arial"/>
                <w:sz w:val="17"/>
                <w:szCs w:val="17"/>
              </w:rPr>
              <w:t>0</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13,71</w:t>
            </w:r>
            <w:r>
              <w:rPr>
                <w:rFonts w:ascii="Arial" w:hAnsi="Arial" w:cs="Arial"/>
                <w:sz w:val="17"/>
                <w:szCs w:val="17"/>
              </w:rPr>
              <w:t>1</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13,69</w:t>
            </w:r>
            <w:r>
              <w:rPr>
                <w:rFonts w:ascii="Arial" w:hAnsi="Arial" w:cs="Arial"/>
                <w:sz w:val="17"/>
                <w:szCs w:val="17"/>
              </w:rPr>
              <w:t>7</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7"/>
                <w:szCs w:val="17"/>
              </w:rPr>
            </w:pPr>
            <w:r>
              <w:rPr>
                <w:rFonts w:ascii="Arial" w:hAnsi="Arial" w:cs="Arial"/>
                <w:sz w:val="17"/>
                <w:szCs w:val="17"/>
              </w:rPr>
              <w:t>Adjustments to reconcile net income to net cash provided by operating</w:t>
            </w:r>
            <w:r>
              <w:rPr>
                <w:rFonts w:ascii="Arial" w:hAnsi="Arial" w:cs="Arial"/>
                <w:sz w:val="17"/>
                <w:szCs w:val="17"/>
              </w:rPr>
              <w:br/>
              <w:t>   activitie</w:t>
            </w:r>
            <w:r>
              <w:rPr>
                <w:rFonts w:ascii="Arial" w:hAnsi="Arial" w:cs="Arial"/>
                <w:sz w:val="17"/>
                <w:szCs w:val="17"/>
              </w:rPr>
              <w:t>s</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gridSpan w:val="2"/>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7"/>
                <w:szCs w:val="17"/>
              </w:rPr>
            </w:pPr>
            <w:r>
              <w:rPr>
                <w:rFonts w:ascii="Arial" w:hAnsi="Arial" w:cs="Arial"/>
                <w:sz w:val="17"/>
                <w:szCs w:val="17"/>
              </w:rPr>
              <w:t>Depreciation and amortizatio</w:t>
            </w:r>
            <w:r>
              <w:rPr>
                <w:rFonts w:ascii="Arial" w:hAnsi="Arial" w:cs="Arial"/>
                <w:sz w:val="17"/>
                <w:szCs w:val="17"/>
              </w:rPr>
              <w:t>n</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13,29</w:t>
            </w:r>
            <w:r>
              <w:rPr>
                <w:rFonts w:ascii="Arial" w:hAnsi="Arial" w:cs="Arial"/>
                <w:sz w:val="17"/>
                <w:szCs w:val="17"/>
              </w:rPr>
              <w:t>5</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8,06</w:t>
            </w:r>
            <w:r>
              <w:rPr>
                <w:rFonts w:ascii="Arial" w:hAnsi="Arial" w:cs="Arial"/>
                <w:sz w:val="17"/>
                <w:szCs w:val="17"/>
              </w:rPr>
              <w:t>9</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6,00</w:t>
            </w:r>
            <w:r>
              <w:rPr>
                <w:rFonts w:ascii="Arial" w:hAnsi="Arial" w:cs="Arial"/>
                <w:sz w:val="17"/>
                <w:szCs w:val="17"/>
              </w:rPr>
              <w:t>1</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7"/>
                <w:szCs w:val="17"/>
              </w:rPr>
            </w:pPr>
            <w:r>
              <w:rPr>
                <w:rFonts w:ascii="Arial" w:hAnsi="Arial" w:cs="Arial"/>
                <w:sz w:val="17"/>
                <w:szCs w:val="17"/>
              </w:rPr>
              <w:t>Deferred income taxe</w:t>
            </w:r>
            <w:r>
              <w:rPr>
                <w:rFonts w:ascii="Arial" w:hAnsi="Arial" w:cs="Arial"/>
                <w:sz w:val="17"/>
                <w:szCs w:val="17"/>
              </w:rPr>
              <w:t>s</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66</w:t>
            </w:r>
            <w:r>
              <w:rPr>
                <w:rFonts w:ascii="Arial" w:hAnsi="Arial" w:cs="Arial"/>
                <w:sz w:val="17"/>
                <w:szCs w:val="17"/>
              </w:rPr>
              <w:t>0</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1,63</w:t>
            </w:r>
            <w:r>
              <w:rPr>
                <w:rFonts w:ascii="Arial" w:hAnsi="Arial" w:cs="Arial"/>
                <w:sz w:val="17"/>
                <w:szCs w:val="17"/>
              </w:rPr>
              <w:t>8</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1,27</w:t>
            </w:r>
            <w:r>
              <w:rPr>
                <w:rFonts w:ascii="Arial" w:hAnsi="Arial" w:cs="Arial"/>
                <w:sz w:val="17"/>
                <w:szCs w:val="17"/>
              </w:rPr>
              <w:t>9</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7"/>
                <w:szCs w:val="17"/>
              </w:rPr>
            </w:pPr>
            <w:r>
              <w:rPr>
                <w:rFonts w:ascii="Arial" w:hAnsi="Arial" w:cs="Arial"/>
                <w:sz w:val="17"/>
                <w:szCs w:val="17"/>
              </w:rPr>
              <w:t>Stock-based compensatio</w:t>
            </w:r>
            <w:r>
              <w:rPr>
                <w:rFonts w:ascii="Arial" w:hAnsi="Arial" w:cs="Arial"/>
                <w:sz w:val="17"/>
                <w:szCs w:val="17"/>
              </w:rPr>
              <w:t>n</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3,13</w:t>
            </w:r>
            <w:r>
              <w:rPr>
                <w:rFonts w:ascii="Arial" w:hAnsi="Arial" w:cs="Arial"/>
                <w:sz w:val="17"/>
                <w:szCs w:val="17"/>
              </w:rPr>
              <w:t>6</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1,99</w:t>
            </w:r>
            <w:r>
              <w:rPr>
                <w:rFonts w:ascii="Arial" w:hAnsi="Arial" w:cs="Arial"/>
                <w:sz w:val="17"/>
                <w:szCs w:val="17"/>
              </w:rPr>
              <w:t>4</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1,58</w:t>
            </w:r>
            <w:r>
              <w:rPr>
                <w:rFonts w:ascii="Arial" w:hAnsi="Arial" w:cs="Arial"/>
                <w:sz w:val="17"/>
                <w:szCs w:val="17"/>
              </w:rPr>
              <w:t>5</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7"/>
                <w:szCs w:val="17"/>
              </w:rPr>
            </w:pPr>
            <w:r>
              <w:rPr>
                <w:rFonts w:ascii="Arial" w:hAnsi="Arial" w:cs="Arial"/>
                <w:sz w:val="17"/>
                <w:szCs w:val="17"/>
              </w:rPr>
              <w:t>Non-cash lease expens</w:t>
            </w:r>
            <w:r>
              <w:rPr>
                <w:rFonts w:ascii="Arial" w:hAnsi="Arial" w:cs="Arial"/>
                <w:sz w:val="17"/>
                <w:szCs w:val="17"/>
              </w:rPr>
              <w:t>e</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2,49</w:t>
            </w:r>
            <w:r>
              <w:rPr>
                <w:rFonts w:ascii="Arial" w:hAnsi="Arial" w:cs="Arial"/>
                <w:sz w:val="17"/>
                <w:szCs w:val="17"/>
              </w:rPr>
              <w:t>7</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2,80</w:t>
            </w:r>
            <w:r>
              <w:rPr>
                <w:rFonts w:ascii="Arial" w:hAnsi="Arial" w:cs="Arial"/>
                <w:sz w:val="17"/>
                <w:szCs w:val="17"/>
              </w:rPr>
              <w:t>2</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7"/>
                <w:szCs w:val="17"/>
              </w:rPr>
            </w:pPr>
            <w:r>
              <w:rPr>
                <w:rFonts w:ascii="Arial" w:hAnsi="Arial" w:cs="Arial"/>
                <w:sz w:val="17"/>
                <w:szCs w:val="17"/>
              </w:rPr>
              <w:t>Amortization of contract asse</w:t>
            </w:r>
            <w:r>
              <w:rPr>
                <w:rFonts w:ascii="Arial" w:hAnsi="Arial" w:cs="Arial"/>
                <w:sz w:val="17"/>
                <w:szCs w:val="17"/>
              </w:rPr>
              <w:t>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66</w:t>
            </w:r>
            <w:r>
              <w:rPr>
                <w:rFonts w:ascii="Arial" w:hAnsi="Arial" w:cs="Arial"/>
                <w:sz w:val="17"/>
                <w:szCs w:val="17"/>
              </w:rPr>
              <w:t>9</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7"/>
                <w:szCs w:val="17"/>
              </w:rPr>
            </w:pPr>
            <w:r>
              <w:rPr>
                <w:rFonts w:ascii="Arial" w:hAnsi="Arial" w:cs="Arial"/>
                <w:sz w:val="17"/>
                <w:szCs w:val="17"/>
              </w:rPr>
              <w:t>Provision for credit losse</w:t>
            </w:r>
            <w:r>
              <w:rPr>
                <w:rFonts w:ascii="Arial" w:hAnsi="Arial" w:cs="Arial"/>
                <w:sz w:val="17"/>
                <w:szCs w:val="17"/>
              </w:rPr>
              <w:t>s</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10</w:t>
            </w:r>
            <w:r>
              <w:rPr>
                <w:rFonts w:ascii="Arial" w:hAnsi="Arial" w:cs="Arial"/>
                <w:sz w:val="17"/>
                <w:szCs w:val="17"/>
              </w:rPr>
              <w:t>6</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10</w:t>
            </w:r>
            <w:r>
              <w:rPr>
                <w:rFonts w:ascii="Arial" w:hAnsi="Arial" w:cs="Arial"/>
                <w:sz w:val="17"/>
                <w:szCs w:val="17"/>
              </w:rPr>
              <w:t>0</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7"/>
                <w:szCs w:val="17"/>
              </w:rPr>
            </w:pPr>
            <w:r>
              <w:rPr>
                <w:rFonts w:ascii="Arial" w:hAnsi="Arial" w:cs="Arial"/>
                <w:sz w:val="17"/>
                <w:szCs w:val="17"/>
              </w:rPr>
              <w:t>Change in operating assets and liabilities, net of impact of business</w:t>
            </w:r>
            <w:r>
              <w:rPr>
                <w:rFonts w:ascii="Arial" w:hAnsi="Arial" w:cs="Arial"/>
                <w:sz w:val="17"/>
                <w:szCs w:val="17"/>
              </w:rPr>
              <w:br/>
              <w:t>   combinatio</w:t>
            </w:r>
            <w:r>
              <w:rPr>
                <w:rFonts w:ascii="Arial" w:hAnsi="Arial" w:cs="Arial"/>
                <w:sz w:val="17"/>
                <w:szCs w:val="17"/>
              </w:rPr>
              <w:t>n</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gridSpan w:val="2"/>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400"/>
              <w:rPr>
                <w:sz w:val="17"/>
                <w:szCs w:val="17"/>
              </w:rPr>
            </w:pPr>
            <w:r>
              <w:rPr>
                <w:rFonts w:ascii="Arial" w:hAnsi="Arial" w:cs="Arial"/>
                <w:sz w:val="17"/>
                <w:szCs w:val="17"/>
              </w:rPr>
              <w:t>Accounts and other receivable</w:t>
            </w:r>
            <w:r>
              <w:rPr>
                <w:rFonts w:ascii="Arial" w:hAnsi="Arial" w:cs="Arial"/>
                <w:sz w:val="17"/>
                <w:szCs w:val="17"/>
              </w:rPr>
              <w:t>s</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14,73</w:t>
            </w:r>
            <w:r>
              <w:rPr>
                <w:rFonts w:ascii="Arial" w:hAnsi="Arial" w:cs="Arial"/>
                <w:sz w:val="17"/>
                <w:szCs w:val="17"/>
              </w:rPr>
              <w:t>6</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8,68</w:t>
            </w:r>
            <w:r>
              <w:rPr>
                <w:rFonts w:ascii="Arial" w:hAnsi="Arial" w:cs="Arial"/>
                <w:sz w:val="17"/>
                <w:szCs w:val="17"/>
              </w:rPr>
              <w:t>9</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5,07</w:t>
            </w:r>
            <w:r>
              <w:rPr>
                <w:rFonts w:ascii="Arial" w:hAnsi="Arial" w:cs="Arial"/>
                <w:sz w:val="17"/>
                <w:szCs w:val="17"/>
              </w:rPr>
              <w:t>0</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010F15">
            <w:pPr>
              <w:pStyle w:val="a3"/>
              <w:spacing w:before="0" w:beforeAutospacing="0" w:after="0" w:afterAutospacing="0"/>
              <w:ind w:left="400"/>
              <w:rPr>
                <w:sz w:val="17"/>
                <w:szCs w:val="17"/>
              </w:rPr>
            </w:pPr>
            <w:r>
              <w:rPr>
                <w:rFonts w:ascii="Arial" w:hAnsi="Arial" w:cs="Arial"/>
                <w:sz w:val="17"/>
                <w:szCs w:val="17"/>
              </w:rPr>
              <w:t>Prepaid expenses and other current and long-term asset</w:t>
            </w:r>
            <w:r>
              <w:rPr>
                <w:rFonts w:ascii="Arial" w:hAnsi="Arial" w:cs="Arial"/>
                <w:sz w:val="17"/>
                <w:szCs w:val="17"/>
              </w:rPr>
              <w:t>s</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1,34</w:t>
            </w:r>
            <w:r>
              <w:rPr>
                <w:rFonts w:ascii="Arial" w:hAnsi="Arial" w:cs="Arial"/>
                <w:sz w:val="17"/>
                <w:szCs w:val="17"/>
              </w:rPr>
              <w:t>6</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84</w:t>
            </w:r>
            <w:r>
              <w:rPr>
                <w:rFonts w:ascii="Arial" w:hAnsi="Arial" w:cs="Arial"/>
                <w:sz w:val="17"/>
                <w:szCs w:val="17"/>
              </w:rPr>
              <w:t>0</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20</w:t>
            </w:r>
            <w:r>
              <w:rPr>
                <w:rFonts w:ascii="Arial" w:hAnsi="Arial" w:cs="Arial"/>
                <w:sz w:val="17"/>
                <w:szCs w:val="17"/>
              </w:rPr>
              <w:t>8</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400"/>
              <w:rPr>
                <w:sz w:val="17"/>
                <w:szCs w:val="17"/>
              </w:rPr>
            </w:pPr>
            <w:r>
              <w:rPr>
                <w:rFonts w:ascii="Arial" w:hAnsi="Arial" w:cs="Arial"/>
                <w:sz w:val="17"/>
                <w:szCs w:val="17"/>
              </w:rPr>
              <w:t>Accounts payabl</w:t>
            </w:r>
            <w:r>
              <w:rPr>
                <w:rFonts w:ascii="Arial" w:hAnsi="Arial" w:cs="Arial"/>
                <w:sz w:val="17"/>
                <w:szCs w:val="17"/>
              </w:rPr>
              <w:t>e</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7,38</w:t>
            </w:r>
            <w:r>
              <w:rPr>
                <w:rFonts w:ascii="Arial" w:hAnsi="Arial" w:cs="Arial"/>
                <w:sz w:val="17"/>
                <w:szCs w:val="17"/>
              </w:rPr>
              <w:t>0</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14,63</w:t>
            </w:r>
            <w:r>
              <w:rPr>
                <w:rFonts w:ascii="Arial" w:hAnsi="Arial" w:cs="Arial"/>
                <w:sz w:val="17"/>
                <w:szCs w:val="17"/>
              </w:rPr>
              <w:t>6</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59</w:t>
            </w:r>
            <w:r>
              <w:rPr>
                <w:rFonts w:ascii="Arial" w:hAnsi="Arial" w:cs="Arial"/>
                <w:sz w:val="17"/>
                <w:szCs w:val="17"/>
              </w:rPr>
              <w:t>6</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010F15">
            <w:pPr>
              <w:pStyle w:val="a3"/>
              <w:spacing w:before="0" w:beforeAutospacing="0" w:after="0" w:afterAutospacing="0"/>
              <w:ind w:left="400"/>
              <w:rPr>
                <w:sz w:val="17"/>
                <w:szCs w:val="17"/>
              </w:rPr>
            </w:pPr>
            <w:r>
              <w:rPr>
                <w:rFonts w:ascii="Arial" w:hAnsi="Arial" w:cs="Arial"/>
                <w:sz w:val="17"/>
                <w:szCs w:val="17"/>
              </w:rPr>
              <w:t>Accrued liabilitie</w:t>
            </w:r>
            <w:r>
              <w:rPr>
                <w:rFonts w:ascii="Arial" w:hAnsi="Arial" w:cs="Arial"/>
                <w:sz w:val="17"/>
                <w:szCs w:val="17"/>
              </w:rPr>
              <w:t>s</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4</w:t>
            </w:r>
            <w:r>
              <w:rPr>
                <w:rFonts w:ascii="Arial" w:hAnsi="Arial" w:cs="Arial"/>
                <w:sz w:val="17"/>
                <w:szCs w:val="17"/>
              </w:rPr>
              <w:t>4</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2,75</w:t>
            </w:r>
            <w:r>
              <w:rPr>
                <w:rFonts w:ascii="Arial" w:hAnsi="Arial" w:cs="Arial"/>
                <w:sz w:val="17"/>
                <w:szCs w:val="17"/>
              </w:rPr>
              <w:t>9</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2,13</w:t>
            </w:r>
            <w:r>
              <w:rPr>
                <w:rFonts w:ascii="Arial" w:hAnsi="Arial" w:cs="Arial"/>
                <w:sz w:val="17"/>
                <w:szCs w:val="17"/>
              </w:rPr>
              <w:t>1</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400"/>
              <w:rPr>
                <w:sz w:val="17"/>
                <w:szCs w:val="17"/>
              </w:rPr>
            </w:pPr>
            <w:r>
              <w:rPr>
                <w:rFonts w:ascii="Arial" w:hAnsi="Arial" w:cs="Arial"/>
                <w:sz w:val="17"/>
                <w:szCs w:val="17"/>
              </w:rPr>
              <w:t>Operating lease liabilitie</w:t>
            </w:r>
            <w:r>
              <w:rPr>
                <w:rFonts w:ascii="Arial" w:hAnsi="Arial" w:cs="Arial"/>
                <w:sz w:val="17"/>
                <w:szCs w:val="17"/>
              </w:rPr>
              <w:t>s</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2,44</w:t>
            </w:r>
            <w:r>
              <w:rPr>
                <w:rFonts w:ascii="Arial" w:hAnsi="Arial" w:cs="Arial"/>
                <w:sz w:val="17"/>
                <w:szCs w:val="17"/>
              </w:rPr>
              <w:t>3</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2,64</w:t>
            </w:r>
            <w:r>
              <w:rPr>
                <w:rFonts w:ascii="Arial" w:hAnsi="Arial" w:cs="Arial"/>
                <w:sz w:val="17"/>
                <w:szCs w:val="17"/>
              </w:rPr>
              <w:t>1</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400"/>
              <w:rPr>
                <w:sz w:val="17"/>
                <w:szCs w:val="17"/>
              </w:rPr>
            </w:pPr>
            <w:r>
              <w:rPr>
                <w:rFonts w:ascii="Arial" w:hAnsi="Arial" w:cs="Arial"/>
                <w:sz w:val="17"/>
                <w:szCs w:val="17"/>
              </w:rPr>
              <w:t>Contract liabilitie</w:t>
            </w:r>
            <w:r>
              <w:rPr>
                <w:rFonts w:ascii="Arial" w:hAnsi="Arial" w:cs="Arial"/>
                <w:sz w:val="17"/>
                <w:szCs w:val="17"/>
              </w:rPr>
              <w:t>s</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47</w:t>
            </w:r>
            <w:r>
              <w:rPr>
                <w:rFonts w:ascii="Arial" w:hAnsi="Arial" w:cs="Arial"/>
                <w:sz w:val="17"/>
                <w:szCs w:val="17"/>
              </w:rPr>
              <w:t>4</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18</w:t>
            </w:r>
            <w:r>
              <w:rPr>
                <w:rFonts w:ascii="Arial" w:hAnsi="Arial" w:cs="Arial"/>
                <w:sz w:val="17"/>
                <w:szCs w:val="17"/>
              </w:rPr>
              <w:t>4</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32</w:t>
            </w:r>
            <w:r>
              <w:rPr>
                <w:rFonts w:ascii="Arial" w:hAnsi="Arial" w:cs="Arial"/>
                <w:sz w:val="17"/>
                <w:szCs w:val="17"/>
              </w:rPr>
              <w:t>3</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010F15">
            <w:pPr>
              <w:pStyle w:val="a3"/>
              <w:spacing w:before="0" w:beforeAutospacing="0" w:after="0" w:afterAutospacing="0"/>
              <w:ind w:left="400"/>
              <w:rPr>
                <w:sz w:val="17"/>
                <w:szCs w:val="17"/>
              </w:rPr>
            </w:pPr>
            <w:r>
              <w:rPr>
                <w:rFonts w:ascii="Arial" w:hAnsi="Arial" w:cs="Arial"/>
                <w:sz w:val="17"/>
                <w:szCs w:val="17"/>
              </w:rPr>
              <w:t>Income taxes receivable, net of payabl</w:t>
            </w:r>
            <w:r>
              <w:rPr>
                <w:rFonts w:ascii="Arial" w:hAnsi="Arial" w:cs="Arial"/>
                <w:sz w:val="17"/>
                <w:szCs w:val="17"/>
              </w:rPr>
              <w:t>e</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82</w:t>
            </w:r>
            <w:r>
              <w:rPr>
                <w:rFonts w:ascii="Arial" w:hAnsi="Arial" w:cs="Arial"/>
                <w:sz w:val="17"/>
                <w:szCs w:val="17"/>
              </w:rPr>
              <w:t>7</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21</w:t>
            </w:r>
            <w:r>
              <w:rPr>
                <w:rFonts w:ascii="Arial" w:hAnsi="Arial" w:cs="Arial"/>
                <w:sz w:val="17"/>
                <w:szCs w:val="17"/>
              </w:rPr>
              <w:t>7</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1,40</w:t>
            </w:r>
            <w:r>
              <w:rPr>
                <w:rFonts w:ascii="Arial" w:hAnsi="Arial" w:cs="Arial"/>
                <w:sz w:val="17"/>
                <w:szCs w:val="17"/>
              </w:rPr>
              <w:t>1</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010F15">
            <w:pPr>
              <w:pStyle w:val="a3"/>
              <w:spacing w:before="0" w:beforeAutospacing="0" w:after="0" w:afterAutospacing="0"/>
              <w:ind w:left="400"/>
              <w:rPr>
                <w:sz w:val="17"/>
                <w:szCs w:val="17"/>
              </w:rPr>
            </w:pPr>
            <w:r>
              <w:rPr>
                <w:rFonts w:ascii="Arial" w:hAnsi="Arial" w:cs="Arial"/>
                <w:sz w:val="17"/>
                <w:szCs w:val="17"/>
              </w:rPr>
              <w:t>Net cash provided by operating activitie</w:t>
            </w:r>
            <w:r>
              <w:rPr>
                <w:rFonts w:ascii="Arial" w:hAnsi="Arial" w:cs="Arial"/>
                <w:sz w:val="17"/>
                <w:szCs w:val="17"/>
              </w:rPr>
              <w:t>s</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19,49</w:t>
            </w:r>
            <w:r>
              <w:rPr>
                <w:rFonts w:ascii="Arial" w:hAnsi="Arial" w:cs="Arial"/>
                <w:sz w:val="17"/>
                <w:szCs w:val="17"/>
              </w:rPr>
              <w:t>3</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35,62</w:t>
            </w:r>
            <w:r>
              <w:rPr>
                <w:rFonts w:ascii="Arial" w:hAnsi="Arial" w:cs="Arial"/>
                <w:sz w:val="17"/>
                <w:szCs w:val="17"/>
              </w:rPr>
              <w:t>0</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17,51</w:t>
            </w:r>
            <w:r>
              <w:rPr>
                <w:rFonts w:ascii="Arial" w:hAnsi="Arial" w:cs="Arial"/>
                <w:sz w:val="17"/>
                <w:szCs w:val="17"/>
              </w:rPr>
              <w:t>1</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7"/>
                <w:szCs w:val="17"/>
              </w:rPr>
            </w:pPr>
            <w:r>
              <w:rPr>
                <w:rFonts w:ascii="Arial" w:hAnsi="Arial" w:cs="Arial"/>
                <w:b/>
                <w:bCs/>
                <w:sz w:val="17"/>
                <w:szCs w:val="17"/>
              </w:rPr>
              <w:t>Cash flows from investing activitie</w:t>
            </w:r>
            <w:r>
              <w:rPr>
                <w:rFonts w:ascii="Arial" w:hAnsi="Arial" w:cs="Arial"/>
                <w:b/>
                <w:bCs/>
                <w:sz w:val="17"/>
                <w:szCs w:val="17"/>
              </w:rPr>
              <w:t>s</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gridSpan w:val="2"/>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7"/>
                <w:szCs w:val="17"/>
              </w:rPr>
            </w:pPr>
            <w:r>
              <w:rPr>
                <w:rFonts w:ascii="Arial" w:hAnsi="Arial" w:cs="Arial"/>
                <w:sz w:val="17"/>
                <w:szCs w:val="17"/>
              </w:rPr>
              <w:t>Business combinations, net of cash and restricted cash acquire</w:t>
            </w:r>
            <w:r>
              <w:rPr>
                <w:rFonts w:ascii="Arial" w:hAnsi="Arial" w:cs="Arial"/>
                <w:sz w:val="17"/>
                <w:szCs w:val="17"/>
              </w:rPr>
              <w:t>d</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57,40</w:t>
            </w:r>
            <w:r>
              <w:rPr>
                <w:rFonts w:ascii="Arial" w:hAnsi="Arial" w:cs="Arial"/>
                <w:sz w:val="17"/>
                <w:szCs w:val="17"/>
              </w:rPr>
              <w:t>0</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29</w:t>
            </w:r>
            <w:r>
              <w:rPr>
                <w:rFonts w:ascii="Arial" w:hAnsi="Arial" w:cs="Arial"/>
                <w:sz w:val="17"/>
                <w:szCs w:val="17"/>
              </w:rPr>
              <w:t>0</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1,37</w:t>
            </w:r>
            <w:r>
              <w:rPr>
                <w:rFonts w:ascii="Arial" w:hAnsi="Arial" w:cs="Arial"/>
                <w:sz w:val="17"/>
                <w:szCs w:val="17"/>
              </w:rPr>
              <w:t>0</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7"/>
                <w:szCs w:val="17"/>
              </w:rPr>
            </w:pPr>
            <w:r>
              <w:rPr>
                <w:rFonts w:ascii="Arial" w:hAnsi="Arial" w:cs="Arial"/>
                <w:sz w:val="17"/>
                <w:szCs w:val="17"/>
              </w:rPr>
              <w:t>Other intangible assets acquire</w:t>
            </w:r>
            <w:r>
              <w:rPr>
                <w:rFonts w:ascii="Arial" w:hAnsi="Arial" w:cs="Arial"/>
                <w:sz w:val="17"/>
                <w:szCs w:val="17"/>
              </w:rPr>
              <w:t>d</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13</w:t>
            </w:r>
            <w:r>
              <w:rPr>
                <w:rFonts w:ascii="Arial" w:hAnsi="Arial" w:cs="Arial"/>
                <w:sz w:val="17"/>
                <w:szCs w:val="17"/>
              </w:rPr>
              <w:t>0</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1,26</w:t>
            </w:r>
            <w:r>
              <w:rPr>
                <w:rFonts w:ascii="Arial" w:hAnsi="Arial" w:cs="Arial"/>
                <w:sz w:val="17"/>
                <w:szCs w:val="17"/>
              </w:rPr>
              <w:t>5</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7"/>
                <w:szCs w:val="17"/>
              </w:rPr>
            </w:pPr>
            <w:r>
              <w:rPr>
                <w:rFonts w:ascii="Arial" w:hAnsi="Arial" w:cs="Arial"/>
                <w:sz w:val="17"/>
                <w:szCs w:val="17"/>
              </w:rPr>
              <w:t>Purchases of property and equipmen</w:t>
            </w:r>
            <w:r>
              <w:rPr>
                <w:rFonts w:ascii="Arial" w:hAnsi="Arial" w:cs="Arial"/>
                <w:sz w:val="17"/>
                <w:szCs w:val="17"/>
              </w:rPr>
              <w:t>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97</w:t>
            </w:r>
            <w:r>
              <w:rPr>
                <w:rFonts w:ascii="Arial" w:hAnsi="Arial" w:cs="Arial"/>
                <w:sz w:val="17"/>
                <w:szCs w:val="17"/>
              </w:rPr>
              <w:t>9</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45</w:t>
            </w:r>
            <w:r>
              <w:rPr>
                <w:rFonts w:ascii="Arial" w:hAnsi="Arial" w:cs="Arial"/>
                <w:sz w:val="17"/>
                <w:szCs w:val="17"/>
              </w:rPr>
              <w:t>8</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1,04</w:t>
            </w:r>
            <w:r>
              <w:rPr>
                <w:rFonts w:ascii="Arial" w:hAnsi="Arial" w:cs="Arial"/>
                <w:sz w:val="17"/>
                <w:szCs w:val="17"/>
              </w:rPr>
              <w:t>0</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7"/>
                <w:szCs w:val="17"/>
              </w:rPr>
            </w:pPr>
            <w:r>
              <w:rPr>
                <w:rFonts w:ascii="Arial" w:hAnsi="Arial" w:cs="Arial"/>
                <w:sz w:val="17"/>
                <w:szCs w:val="17"/>
              </w:rPr>
              <w:t>Capitalized internal-use software development cost</w:t>
            </w:r>
            <w:r>
              <w:rPr>
                <w:rFonts w:ascii="Arial" w:hAnsi="Arial" w:cs="Arial"/>
                <w:sz w:val="17"/>
                <w:szCs w:val="17"/>
              </w:rPr>
              <w:t>s</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19,30</w:t>
            </w:r>
            <w:r>
              <w:rPr>
                <w:rFonts w:ascii="Arial" w:hAnsi="Arial" w:cs="Arial"/>
                <w:sz w:val="17"/>
                <w:szCs w:val="17"/>
              </w:rPr>
              <w:t>0</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14,38</w:t>
            </w:r>
            <w:r>
              <w:rPr>
                <w:rFonts w:ascii="Arial" w:hAnsi="Arial" w:cs="Arial"/>
                <w:sz w:val="17"/>
                <w:szCs w:val="17"/>
              </w:rPr>
              <w:t>9</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10,22</w:t>
            </w:r>
            <w:r>
              <w:rPr>
                <w:rFonts w:ascii="Arial" w:hAnsi="Arial" w:cs="Arial"/>
                <w:sz w:val="17"/>
                <w:szCs w:val="17"/>
              </w:rPr>
              <w:t>2</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010F15">
            <w:pPr>
              <w:pStyle w:val="a3"/>
              <w:spacing w:before="0" w:beforeAutospacing="0" w:after="0" w:afterAutospacing="0"/>
              <w:ind w:left="400"/>
              <w:rPr>
                <w:sz w:val="17"/>
                <w:szCs w:val="17"/>
              </w:rPr>
            </w:pPr>
            <w:r>
              <w:rPr>
                <w:rFonts w:ascii="Arial" w:hAnsi="Arial" w:cs="Arial"/>
                <w:sz w:val="17"/>
                <w:szCs w:val="17"/>
              </w:rPr>
              <w:t>Net cash used in investing activitie</w:t>
            </w:r>
            <w:r>
              <w:rPr>
                <w:rFonts w:ascii="Arial" w:hAnsi="Arial" w:cs="Arial"/>
                <w:sz w:val="17"/>
                <w:szCs w:val="17"/>
              </w:rPr>
              <w:t>s</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77,80</w:t>
            </w:r>
            <w:r>
              <w:rPr>
                <w:rFonts w:ascii="Arial" w:hAnsi="Arial" w:cs="Arial"/>
                <w:sz w:val="17"/>
                <w:szCs w:val="17"/>
              </w:rPr>
              <w:t>9</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15,13</w:t>
            </w:r>
            <w:r>
              <w:rPr>
                <w:rFonts w:ascii="Arial" w:hAnsi="Arial" w:cs="Arial"/>
                <w:sz w:val="17"/>
                <w:szCs w:val="17"/>
              </w:rPr>
              <w:t>7</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13,89</w:t>
            </w:r>
            <w:r>
              <w:rPr>
                <w:rFonts w:ascii="Arial" w:hAnsi="Arial" w:cs="Arial"/>
                <w:sz w:val="17"/>
                <w:szCs w:val="17"/>
              </w:rPr>
              <w:t>7</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7"/>
                <w:szCs w:val="17"/>
              </w:rPr>
            </w:pPr>
            <w:r>
              <w:rPr>
                <w:rFonts w:ascii="Arial" w:hAnsi="Arial" w:cs="Arial"/>
                <w:b/>
                <w:bCs/>
                <w:sz w:val="17"/>
                <w:szCs w:val="17"/>
              </w:rPr>
              <w:t>Cash flows from financing activitie</w:t>
            </w:r>
            <w:r>
              <w:rPr>
                <w:rFonts w:ascii="Arial" w:hAnsi="Arial" w:cs="Arial"/>
                <w:b/>
                <w:bCs/>
                <w:sz w:val="17"/>
                <w:szCs w:val="17"/>
              </w:rPr>
              <w:t>s</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gridSpan w:val="2"/>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7"/>
                <w:szCs w:val="17"/>
              </w:rPr>
            </w:pPr>
            <w:r>
              <w:rPr>
                <w:rFonts w:ascii="Arial" w:hAnsi="Arial" w:cs="Arial"/>
                <w:sz w:val="17"/>
                <w:szCs w:val="17"/>
              </w:rPr>
              <w:t>Proceeds from initial public offering, net of underwriter's discounts and commission</w:t>
            </w:r>
            <w:r>
              <w:rPr>
                <w:rFonts w:ascii="Arial" w:hAnsi="Arial" w:cs="Arial"/>
                <w:sz w:val="17"/>
                <w:szCs w:val="17"/>
              </w:rPr>
              <w:t>s</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224,59</w:t>
            </w:r>
            <w:r>
              <w:rPr>
                <w:rFonts w:ascii="Arial" w:hAnsi="Arial" w:cs="Arial"/>
                <w:sz w:val="17"/>
                <w:szCs w:val="17"/>
              </w:rPr>
              <w:t>5</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7"/>
                <w:szCs w:val="17"/>
              </w:rPr>
            </w:pPr>
            <w:r>
              <w:rPr>
                <w:rFonts w:ascii="Arial" w:hAnsi="Arial" w:cs="Arial"/>
                <w:sz w:val="17"/>
                <w:szCs w:val="17"/>
              </w:rPr>
              <w:t>Proceeds from private placemen</w:t>
            </w:r>
            <w:r>
              <w:rPr>
                <w:rFonts w:ascii="Arial" w:hAnsi="Arial" w:cs="Arial"/>
                <w:sz w:val="17"/>
                <w:szCs w:val="17"/>
              </w:rPr>
              <w:t>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50,00</w:t>
            </w:r>
            <w:r>
              <w:rPr>
                <w:rFonts w:ascii="Arial" w:hAnsi="Arial" w:cs="Arial"/>
                <w:sz w:val="17"/>
                <w:szCs w:val="17"/>
              </w:rPr>
              <w:t>0</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7"/>
                <w:szCs w:val="17"/>
              </w:rPr>
            </w:pPr>
            <w:r>
              <w:rPr>
                <w:rFonts w:ascii="Arial" w:hAnsi="Arial" w:cs="Arial"/>
                <w:sz w:val="17"/>
                <w:szCs w:val="17"/>
              </w:rPr>
              <w:t>Redemption of Series A preferred stoc</w:t>
            </w:r>
            <w:r>
              <w:rPr>
                <w:rFonts w:ascii="Arial" w:hAnsi="Arial" w:cs="Arial"/>
                <w:sz w:val="17"/>
                <w:szCs w:val="17"/>
              </w:rPr>
              <w:t>k</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23,01</w:t>
            </w:r>
            <w:r>
              <w:rPr>
                <w:rFonts w:ascii="Arial" w:hAnsi="Arial" w:cs="Arial"/>
                <w:sz w:val="17"/>
                <w:szCs w:val="17"/>
              </w:rPr>
              <w:t>3</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7"/>
                <w:szCs w:val="17"/>
              </w:rPr>
            </w:pPr>
            <w:r>
              <w:rPr>
                <w:rFonts w:ascii="Arial" w:hAnsi="Arial" w:cs="Arial"/>
                <w:sz w:val="17"/>
                <w:szCs w:val="17"/>
              </w:rPr>
              <w:t>Payment of dividends on Series A preferred stoc</w:t>
            </w:r>
            <w:r>
              <w:rPr>
                <w:rFonts w:ascii="Arial" w:hAnsi="Arial" w:cs="Arial"/>
                <w:sz w:val="17"/>
                <w:szCs w:val="17"/>
              </w:rPr>
              <w:t>k</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34,41</w:t>
            </w:r>
            <w:r>
              <w:rPr>
                <w:rFonts w:ascii="Arial" w:hAnsi="Arial" w:cs="Arial"/>
                <w:sz w:val="17"/>
                <w:szCs w:val="17"/>
              </w:rPr>
              <w:t>2</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7"/>
                <w:szCs w:val="17"/>
              </w:rPr>
            </w:pPr>
            <w:r>
              <w:rPr>
                <w:rFonts w:ascii="Arial" w:hAnsi="Arial" w:cs="Arial"/>
                <w:sz w:val="17"/>
                <w:szCs w:val="17"/>
              </w:rPr>
              <w:t>Proceeds from repayment of related party loa</w:t>
            </w:r>
            <w:r>
              <w:rPr>
                <w:rFonts w:ascii="Arial" w:hAnsi="Arial" w:cs="Arial"/>
                <w:sz w:val="17"/>
                <w:szCs w:val="17"/>
              </w:rPr>
              <w:t>n</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81</w:t>
            </w:r>
            <w:r>
              <w:rPr>
                <w:rFonts w:ascii="Arial" w:hAnsi="Arial" w:cs="Arial"/>
                <w:sz w:val="17"/>
                <w:szCs w:val="17"/>
              </w:rPr>
              <w:t>3</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7"/>
                <w:szCs w:val="17"/>
              </w:rPr>
            </w:pPr>
            <w:r>
              <w:rPr>
                <w:rFonts w:ascii="Arial" w:hAnsi="Arial" w:cs="Arial"/>
                <w:sz w:val="17"/>
                <w:szCs w:val="17"/>
              </w:rPr>
              <w:t>Proceeds from exercise of stock option</w:t>
            </w:r>
            <w:r>
              <w:rPr>
                <w:rFonts w:ascii="Arial" w:hAnsi="Arial" w:cs="Arial"/>
                <w:sz w:val="17"/>
                <w:szCs w:val="17"/>
              </w:rPr>
              <w:t>s</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31</w:t>
            </w:r>
            <w:r>
              <w:rPr>
                <w:rFonts w:ascii="Arial" w:hAnsi="Arial" w:cs="Arial"/>
                <w:sz w:val="17"/>
                <w:szCs w:val="17"/>
              </w:rPr>
              <w:t>5</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7"/>
                <w:szCs w:val="17"/>
              </w:rPr>
            </w:pPr>
            <w:r>
              <w:rPr>
                <w:rFonts w:ascii="Arial" w:hAnsi="Arial" w:cs="Arial"/>
                <w:sz w:val="17"/>
                <w:szCs w:val="17"/>
              </w:rPr>
              <w:t>Financial institution funds in-transi</w:t>
            </w:r>
            <w:r>
              <w:rPr>
                <w:rFonts w:ascii="Arial" w:hAnsi="Arial" w:cs="Arial"/>
                <w:sz w:val="17"/>
                <w:szCs w:val="17"/>
              </w:rPr>
              <w:t>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1,98</w:t>
            </w:r>
            <w:r>
              <w:rPr>
                <w:rFonts w:ascii="Arial" w:hAnsi="Arial" w:cs="Arial"/>
                <w:sz w:val="17"/>
                <w:szCs w:val="17"/>
              </w:rPr>
              <w:t>4</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7"/>
                <w:szCs w:val="17"/>
              </w:rPr>
            </w:pPr>
            <w:r>
              <w:rPr>
                <w:rFonts w:ascii="Arial" w:hAnsi="Arial" w:cs="Arial"/>
                <w:sz w:val="17"/>
                <w:szCs w:val="17"/>
              </w:rPr>
              <w:t>Payments of deferred offering cost</w:t>
            </w:r>
            <w:r>
              <w:rPr>
                <w:rFonts w:ascii="Arial" w:hAnsi="Arial" w:cs="Arial"/>
                <w:sz w:val="17"/>
                <w:szCs w:val="17"/>
              </w:rPr>
              <w:t>s</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1,96</w:t>
            </w:r>
            <w:r>
              <w:rPr>
                <w:rFonts w:ascii="Arial" w:hAnsi="Arial" w:cs="Arial"/>
                <w:sz w:val="17"/>
                <w:szCs w:val="17"/>
              </w:rPr>
              <w:t>1</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7"/>
                <w:szCs w:val="17"/>
              </w:rPr>
            </w:pPr>
            <w:r>
              <w:rPr>
                <w:rFonts w:ascii="Arial" w:hAnsi="Arial" w:cs="Arial"/>
                <w:sz w:val="17"/>
                <w:szCs w:val="17"/>
              </w:rPr>
              <w:t>Payments on other financing obligation</w:t>
            </w:r>
            <w:r>
              <w:rPr>
                <w:rFonts w:ascii="Arial" w:hAnsi="Arial" w:cs="Arial"/>
                <w:sz w:val="17"/>
                <w:szCs w:val="17"/>
              </w:rPr>
              <w:t>s</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4,56</w:t>
            </w:r>
            <w:r>
              <w:rPr>
                <w:rFonts w:ascii="Arial" w:hAnsi="Arial" w:cs="Arial"/>
                <w:sz w:val="17"/>
                <w:szCs w:val="17"/>
              </w:rPr>
              <w:t>2</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1,03</w:t>
            </w:r>
            <w:r>
              <w:rPr>
                <w:rFonts w:ascii="Arial" w:hAnsi="Arial" w:cs="Arial"/>
                <w:sz w:val="17"/>
                <w:szCs w:val="17"/>
              </w:rPr>
              <w:t>5</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67</w:t>
            </w:r>
            <w:r>
              <w:rPr>
                <w:rFonts w:ascii="Arial" w:hAnsi="Arial" w:cs="Arial"/>
                <w:sz w:val="17"/>
                <w:szCs w:val="17"/>
              </w:rPr>
              <w:t>5</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7"/>
                <w:szCs w:val="17"/>
              </w:rPr>
            </w:pPr>
            <w:r>
              <w:rPr>
                <w:rFonts w:ascii="Arial" w:hAnsi="Arial" w:cs="Arial"/>
                <w:sz w:val="17"/>
                <w:szCs w:val="17"/>
              </w:rPr>
              <w:t>Payments on finance lease</w:t>
            </w:r>
            <w:r>
              <w:rPr>
                <w:rFonts w:ascii="Arial" w:hAnsi="Arial" w:cs="Arial"/>
                <w:sz w:val="17"/>
                <w:szCs w:val="17"/>
              </w:rPr>
              <w:t>s</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27</w:t>
            </w:r>
            <w:r>
              <w:rPr>
                <w:rFonts w:ascii="Arial" w:hAnsi="Arial" w:cs="Arial"/>
                <w:sz w:val="17"/>
                <w:szCs w:val="17"/>
              </w:rPr>
              <w:t>2</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32</w:t>
            </w:r>
            <w:r>
              <w:rPr>
                <w:rFonts w:ascii="Arial" w:hAnsi="Arial" w:cs="Arial"/>
                <w:sz w:val="17"/>
                <w:szCs w:val="17"/>
              </w:rPr>
              <w:t>3</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19</w:t>
            </w:r>
            <w:r>
              <w:rPr>
                <w:rFonts w:ascii="Arial" w:hAnsi="Arial" w:cs="Arial"/>
                <w:sz w:val="17"/>
                <w:szCs w:val="17"/>
              </w:rPr>
              <w:t>6</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7"/>
                <w:szCs w:val="17"/>
              </w:rPr>
            </w:pPr>
            <w:r>
              <w:rPr>
                <w:rFonts w:ascii="Arial" w:hAnsi="Arial" w:cs="Arial"/>
                <w:sz w:val="17"/>
                <w:szCs w:val="17"/>
              </w:rPr>
              <w:t>Proceeds from issuance of common share</w:t>
            </w:r>
            <w:r>
              <w:rPr>
                <w:rFonts w:ascii="Arial" w:hAnsi="Arial" w:cs="Arial"/>
                <w:sz w:val="17"/>
                <w:szCs w:val="17"/>
              </w:rPr>
              <w:t>s</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5</w:t>
            </w:r>
            <w:r>
              <w:rPr>
                <w:rFonts w:ascii="Arial" w:hAnsi="Arial" w:cs="Arial"/>
                <w:sz w:val="17"/>
                <w:szCs w:val="17"/>
              </w:rPr>
              <w:t>9</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7"/>
                <w:szCs w:val="17"/>
              </w:rPr>
            </w:pPr>
            <w:r>
              <w:rPr>
                <w:rFonts w:ascii="Arial" w:hAnsi="Arial" w:cs="Arial"/>
                <w:sz w:val="17"/>
                <w:szCs w:val="17"/>
              </w:rPr>
              <w:t>Proceeds from issuance of Series A preferred share</w:t>
            </w:r>
            <w:r>
              <w:rPr>
                <w:rFonts w:ascii="Arial" w:hAnsi="Arial" w:cs="Arial"/>
                <w:sz w:val="17"/>
                <w:szCs w:val="17"/>
              </w:rPr>
              <w:t>s</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4</w:t>
            </w:r>
            <w:r>
              <w:rPr>
                <w:rFonts w:ascii="Arial" w:hAnsi="Arial" w:cs="Arial"/>
                <w:sz w:val="17"/>
                <w:szCs w:val="17"/>
              </w:rPr>
              <w:t>1</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7"/>
                <w:szCs w:val="17"/>
              </w:rPr>
            </w:pPr>
            <w:r>
              <w:rPr>
                <w:rFonts w:ascii="Arial" w:hAnsi="Arial" w:cs="Arial"/>
                <w:sz w:val="17"/>
                <w:szCs w:val="17"/>
              </w:rPr>
              <w:t>Payment on debt assumed in acquisition</w:t>
            </w:r>
            <w:r>
              <w:rPr>
                <w:rFonts w:ascii="Arial" w:hAnsi="Arial" w:cs="Arial"/>
                <w:sz w:val="17"/>
                <w:szCs w:val="17"/>
              </w:rPr>
              <w:t>s</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8</w:t>
            </w:r>
            <w:r>
              <w:rPr>
                <w:rFonts w:ascii="Arial" w:hAnsi="Arial" w:cs="Arial"/>
                <w:sz w:val="17"/>
                <w:szCs w:val="17"/>
              </w:rPr>
              <w:t>6</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010F15">
            <w:pPr>
              <w:pStyle w:val="a3"/>
              <w:spacing w:before="0" w:beforeAutospacing="0" w:after="0" w:afterAutospacing="0"/>
              <w:ind w:left="400"/>
              <w:rPr>
                <w:sz w:val="17"/>
                <w:szCs w:val="17"/>
              </w:rPr>
            </w:pPr>
            <w:r>
              <w:rPr>
                <w:rFonts w:ascii="Arial" w:hAnsi="Arial" w:cs="Arial"/>
                <w:sz w:val="17"/>
                <w:szCs w:val="17"/>
              </w:rPr>
              <w:t>Net cash provided by (used in) financing activitie</w:t>
            </w:r>
            <w:r>
              <w:rPr>
                <w:rFonts w:ascii="Arial" w:hAnsi="Arial" w:cs="Arial"/>
                <w:sz w:val="17"/>
                <w:szCs w:val="17"/>
              </w:rPr>
              <w:t>s</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213,48</w:t>
            </w:r>
            <w:r>
              <w:rPr>
                <w:rFonts w:ascii="Arial" w:hAnsi="Arial" w:cs="Arial"/>
                <w:sz w:val="17"/>
                <w:szCs w:val="17"/>
              </w:rPr>
              <w:t>7</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1,35</w:t>
            </w:r>
            <w:r>
              <w:rPr>
                <w:rFonts w:ascii="Arial" w:hAnsi="Arial" w:cs="Arial"/>
                <w:sz w:val="17"/>
                <w:szCs w:val="17"/>
              </w:rPr>
              <w:t>8</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85</w:t>
            </w:r>
            <w:r>
              <w:rPr>
                <w:rFonts w:ascii="Arial" w:hAnsi="Arial" w:cs="Arial"/>
                <w:sz w:val="17"/>
                <w:szCs w:val="17"/>
              </w:rPr>
              <w:t>7</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7"/>
                <w:szCs w:val="17"/>
              </w:rPr>
            </w:pPr>
            <w:r>
              <w:rPr>
                <w:rFonts w:ascii="Arial" w:hAnsi="Arial" w:cs="Arial"/>
                <w:sz w:val="17"/>
                <w:szCs w:val="17"/>
              </w:rPr>
              <w:t>Foreign currency effect on cash, cash equivalents and restricted cas</w:t>
            </w:r>
            <w:r>
              <w:rPr>
                <w:rFonts w:ascii="Arial" w:hAnsi="Arial" w:cs="Arial"/>
                <w:sz w:val="17"/>
                <w:szCs w:val="17"/>
              </w:rPr>
              <w:t>h</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8</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11</w:t>
            </w:r>
            <w:r>
              <w:rPr>
                <w:rFonts w:ascii="Arial" w:hAnsi="Arial" w:cs="Arial"/>
                <w:sz w:val="17"/>
                <w:szCs w:val="17"/>
              </w:rPr>
              <w:t>4</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3</w:t>
            </w:r>
            <w:r>
              <w:rPr>
                <w:rFonts w:ascii="Arial" w:hAnsi="Arial" w:cs="Arial"/>
                <w:sz w:val="17"/>
                <w:szCs w:val="17"/>
              </w:rPr>
              <w:t>6</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400"/>
              <w:rPr>
                <w:sz w:val="17"/>
                <w:szCs w:val="17"/>
              </w:rPr>
            </w:pPr>
            <w:r>
              <w:rPr>
                <w:rFonts w:ascii="Arial" w:hAnsi="Arial" w:cs="Arial"/>
                <w:sz w:val="17"/>
                <w:szCs w:val="17"/>
              </w:rPr>
              <w:t>Net increase in cash, cash equivalents and restricted cas</w:t>
            </w:r>
            <w:r>
              <w:rPr>
                <w:rFonts w:ascii="Arial" w:hAnsi="Arial" w:cs="Arial"/>
                <w:sz w:val="17"/>
                <w:szCs w:val="17"/>
              </w:rPr>
              <w:t>h</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155,16</w:t>
            </w:r>
            <w:r>
              <w:rPr>
                <w:rFonts w:ascii="Arial" w:hAnsi="Arial" w:cs="Arial"/>
                <w:sz w:val="17"/>
                <w:szCs w:val="17"/>
              </w:rPr>
              <w:t>3</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19,23</w:t>
            </w:r>
            <w:r>
              <w:rPr>
                <w:rFonts w:ascii="Arial" w:hAnsi="Arial" w:cs="Arial"/>
                <w:sz w:val="17"/>
                <w:szCs w:val="17"/>
              </w:rPr>
              <w:t>9</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2,79</w:t>
            </w:r>
            <w:r>
              <w:rPr>
                <w:rFonts w:ascii="Arial" w:hAnsi="Arial" w:cs="Arial"/>
                <w:sz w:val="17"/>
                <w:szCs w:val="17"/>
              </w:rPr>
              <w:t>3</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7"/>
                <w:szCs w:val="17"/>
              </w:rPr>
            </w:pPr>
            <w:r>
              <w:rPr>
                <w:rFonts w:ascii="Arial" w:hAnsi="Arial" w:cs="Arial"/>
                <w:b/>
                <w:bCs/>
                <w:sz w:val="17"/>
                <w:szCs w:val="17"/>
              </w:rPr>
              <w:t>Cash, cash equivalents and restricted cas</w:t>
            </w:r>
            <w:r>
              <w:rPr>
                <w:rFonts w:ascii="Arial" w:hAnsi="Arial" w:cs="Arial"/>
                <w:b/>
                <w:bCs/>
                <w:sz w:val="17"/>
                <w:szCs w:val="17"/>
              </w:rPr>
              <w:t>h</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gridSpan w:val="2"/>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7"/>
                <w:szCs w:val="17"/>
              </w:rPr>
            </w:pPr>
            <w:r>
              <w:rPr>
                <w:rFonts w:ascii="Arial" w:hAnsi="Arial" w:cs="Arial"/>
                <w:sz w:val="17"/>
                <w:szCs w:val="17"/>
              </w:rPr>
              <w:t>Beginning of perio</w:t>
            </w:r>
            <w:r>
              <w:rPr>
                <w:rFonts w:ascii="Arial" w:hAnsi="Arial" w:cs="Arial"/>
                <w:sz w:val="17"/>
                <w:szCs w:val="17"/>
              </w:rPr>
              <w:t>d</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46,66</w:t>
            </w:r>
            <w:r>
              <w:rPr>
                <w:rFonts w:ascii="Arial" w:hAnsi="Arial" w:cs="Arial"/>
                <w:sz w:val="17"/>
                <w:szCs w:val="17"/>
              </w:rPr>
              <w:t>6</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27,42</w:t>
            </w:r>
            <w:r>
              <w:rPr>
                <w:rFonts w:ascii="Arial" w:hAnsi="Arial" w:cs="Arial"/>
                <w:sz w:val="17"/>
                <w:szCs w:val="17"/>
              </w:rPr>
              <w:t>7</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24,63</w:t>
            </w:r>
            <w:r>
              <w:rPr>
                <w:rFonts w:ascii="Arial" w:hAnsi="Arial" w:cs="Arial"/>
                <w:sz w:val="17"/>
                <w:szCs w:val="17"/>
              </w:rPr>
              <w:t>4</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7"/>
                <w:szCs w:val="17"/>
              </w:rPr>
            </w:pPr>
            <w:r>
              <w:rPr>
                <w:rFonts w:ascii="Arial" w:hAnsi="Arial" w:cs="Arial"/>
                <w:sz w:val="17"/>
                <w:szCs w:val="17"/>
              </w:rPr>
              <w:t>End of perio</w:t>
            </w:r>
            <w:r>
              <w:rPr>
                <w:rFonts w:ascii="Arial" w:hAnsi="Arial" w:cs="Arial"/>
                <w:sz w:val="17"/>
                <w:szCs w:val="17"/>
              </w:rPr>
              <w:t>d</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201,82</w:t>
            </w:r>
            <w:r>
              <w:rPr>
                <w:rFonts w:ascii="Arial" w:hAnsi="Arial" w:cs="Arial"/>
                <w:sz w:val="17"/>
                <w:szCs w:val="17"/>
              </w:rPr>
              <w:t>9</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46,66</w:t>
            </w:r>
            <w:r>
              <w:rPr>
                <w:rFonts w:ascii="Arial" w:hAnsi="Arial" w:cs="Arial"/>
                <w:sz w:val="17"/>
                <w:szCs w:val="17"/>
              </w:rPr>
              <w:t>6</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27,42</w:t>
            </w:r>
            <w:r>
              <w:rPr>
                <w:rFonts w:ascii="Arial" w:hAnsi="Arial" w:cs="Arial"/>
                <w:sz w:val="17"/>
                <w:szCs w:val="17"/>
              </w:rPr>
              <w:t>7</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7"/>
                <w:szCs w:val="17"/>
              </w:rPr>
            </w:pPr>
            <w:r>
              <w:rPr>
                <w:rFonts w:ascii="Arial" w:hAnsi="Arial" w:cs="Arial"/>
                <w:b/>
                <w:bCs/>
                <w:sz w:val="17"/>
                <w:szCs w:val="17"/>
              </w:rPr>
              <w:t>Supplemental disclosure of cash flow information</w:t>
            </w:r>
            <w:r>
              <w:rPr>
                <w:rFonts w:ascii="Arial" w:hAnsi="Arial" w:cs="Arial"/>
                <w:b/>
                <w:bCs/>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gridSpan w:val="2"/>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7"/>
                <w:szCs w:val="17"/>
              </w:rPr>
            </w:pPr>
            <w:r>
              <w:rPr>
                <w:rFonts w:ascii="Arial" w:hAnsi="Arial" w:cs="Arial"/>
                <w:sz w:val="17"/>
                <w:szCs w:val="17"/>
              </w:rPr>
              <w:t>Cash paid for income taxes, net of refund</w:t>
            </w:r>
            <w:r>
              <w:rPr>
                <w:rFonts w:ascii="Arial" w:hAnsi="Arial" w:cs="Arial"/>
                <w:sz w:val="17"/>
                <w:szCs w:val="17"/>
              </w:rPr>
              <w:t>s</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2,48</w:t>
            </w:r>
            <w:r>
              <w:rPr>
                <w:rFonts w:ascii="Arial" w:hAnsi="Arial" w:cs="Arial"/>
                <w:sz w:val="17"/>
                <w:szCs w:val="17"/>
              </w:rPr>
              <w:t>7</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2,89</w:t>
            </w:r>
            <w:r>
              <w:rPr>
                <w:rFonts w:ascii="Arial" w:hAnsi="Arial" w:cs="Arial"/>
                <w:sz w:val="17"/>
                <w:szCs w:val="17"/>
              </w:rPr>
              <w:t>1</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4,73</w:t>
            </w:r>
            <w:r>
              <w:rPr>
                <w:rFonts w:ascii="Arial" w:hAnsi="Arial" w:cs="Arial"/>
                <w:sz w:val="17"/>
                <w:szCs w:val="17"/>
              </w:rPr>
              <w:t>5</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7"/>
                <w:szCs w:val="17"/>
              </w:rPr>
            </w:pPr>
            <w:r>
              <w:rPr>
                <w:rFonts w:ascii="Arial" w:hAnsi="Arial" w:cs="Arial"/>
                <w:b/>
                <w:bCs/>
                <w:sz w:val="17"/>
                <w:szCs w:val="17"/>
              </w:rPr>
              <w:t>Non-cash investing activities</w:t>
            </w:r>
            <w:r>
              <w:rPr>
                <w:rFonts w:ascii="Arial" w:hAnsi="Arial" w:cs="Arial"/>
                <w:b/>
                <w:bCs/>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gridSpan w:val="2"/>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7"/>
                <w:szCs w:val="17"/>
              </w:rPr>
            </w:pPr>
            <w:r>
              <w:rPr>
                <w:rFonts w:ascii="Arial" w:hAnsi="Arial" w:cs="Arial"/>
                <w:sz w:val="17"/>
                <w:szCs w:val="17"/>
              </w:rPr>
              <w:t>Fair value of Class A common stock issued for acquisition</w:t>
            </w:r>
            <w:r>
              <w:rPr>
                <w:rFonts w:ascii="Arial" w:hAnsi="Arial" w:cs="Arial"/>
                <w:sz w:val="17"/>
                <w:szCs w:val="17"/>
              </w:rPr>
              <w:t>s</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68,22</w:t>
            </w:r>
            <w:r>
              <w:rPr>
                <w:rFonts w:ascii="Arial" w:hAnsi="Arial" w:cs="Arial"/>
                <w:sz w:val="17"/>
                <w:szCs w:val="17"/>
              </w:rPr>
              <w:t>9</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7"/>
                <w:szCs w:val="17"/>
              </w:rPr>
            </w:pPr>
            <w:r>
              <w:rPr>
                <w:rFonts w:ascii="Arial" w:hAnsi="Arial" w:cs="Arial"/>
                <w:sz w:val="17"/>
                <w:szCs w:val="17"/>
              </w:rPr>
              <w:t>Property and equipment purchases in accounts payabl</w:t>
            </w:r>
            <w:r>
              <w:rPr>
                <w:rFonts w:ascii="Arial" w:hAnsi="Arial" w:cs="Arial"/>
                <w:sz w:val="17"/>
                <w:szCs w:val="17"/>
              </w:rPr>
              <w:t>e</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26</w:t>
            </w:r>
            <w:r>
              <w:rPr>
                <w:rFonts w:ascii="Arial" w:hAnsi="Arial" w:cs="Arial"/>
                <w:sz w:val="17"/>
                <w:szCs w:val="17"/>
              </w:rPr>
              <w:t>8</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7</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1</w:t>
            </w:r>
            <w:r>
              <w:rPr>
                <w:rFonts w:ascii="Arial" w:hAnsi="Arial" w:cs="Arial"/>
                <w:sz w:val="17"/>
                <w:szCs w:val="17"/>
              </w:rPr>
              <w:t>6</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7"/>
                <w:szCs w:val="17"/>
              </w:rPr>
            </w:pPr>
            <w:r>
              <w:rPr>
                <w:rFonts w:ascii="Arial" w:hAnsi="Arial" w:cs="Arial"/>
                <w:sz w:val="17"/>
                <w:szCs w:val="17"/>
              </w:rPr>
              <w:t>Business acquisition liability in accrued liabilities and finance leases and other finance obligations, net of current portio</w:t>
            </w:r>
            <w:r>
              <w:rPr>
                <w:rFonts w:ascii="Arial" w:hAnsi="Arial" w:cs="Arial"/>
                <w:sz w:val="17"/>
                <w:szCs w:val="17"/>
              </w:rPr>
              <w:t>n</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81</w:t>
            </w:r>
            <w:r>
              <w:rPr>
                <w:rFonts w:ascii="Arial" w:hAnsi="Arial" w:cs="Arial"/>
                <w:sz w:val="17"/>
                <w:szCs w:val="17"/>
              </w:rPr>
              <w:t>3</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29</w:t>
            </w:r>
            <w:r>
              <w:rPr>
                <w:rFonts w:ascii="Arial" w:hAnsi="Arial" w:cs="Arial"/>
                <w:sz w:val="17"/>
                <w:szCs w:val="17"/>
              </w:rPr>
              <w:t>0</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010F15">
            <w:pPr>
              <w:pStyle w:val="a3"/>
              <w:spacing w:before="0" w:beforeAutospacing="0" w:after="0" w:afterAutospacing="0"/>
              <w:rPr>
                <w:sz w:val="17"/>
                <w:szCs w:val="17"/>
              </w:rPr>
            </w:pPr>
            <w:r>
              <w:rPr>
                <w:rFonts w:ascii="Arial" w:hAnsi="Arial" w:cs="Arial"/>
                <w:b/>
                <w:bCs/>
                <w:sz w:val="17"/>
                <w:szCs w:val="17"/>
              </w:rPr>
              <w:t>Non-cash financing activities</w:t>
            </w:r>
            <w:r>
              <w:rPr>
                <w:rFonts w:ascii="Arial" w:hAnsi="Arial" w:cs="Arial"/>
                <w:b/>
                <w:bCs/>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gridSpan w:val="2"/>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7"/>
                <w:szCs w:val="17"/>
              </w:rPr>
            </w:pPr>
            <w:r>
              <w:rPr>
                <w:rFonts w:ascii="Arial" w:hAnsi="Arial" w:cs="Arial"/>
                <w:sz w:val="17"/>
                <w:szCs w:val="17"/>
              </w:rPr>
              <w:t>Prepaid insurance funded through short-term borrowing</w:t>
            </w:r>
            <w:r>
              <w:rPr>
                <w:rFonts w:ascii="Arial" w:hAnsi="Arial" w:cs="Arial"/>
                <w:sz w:val="17"/>
                <w:szCs w:val="17"/>
              </w:rPr>
              <w:t>s</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5,75</w:t>
            </w:r>
            <w:r>
              <w:rPr>
                <w:rFonts w:ascii="Arial" w:hAnsi="Arial" w:cs="Arial"/>
                <w:sz w:val="17"/>
                <w:szCs w:val="17"/>
              </w:rPr>
              <w:t>6</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1,38</w:t>
            </w:r>
            <w:r>
              <w:rPr>
                <w:rFonts w:ascii="Arial" w:hAnsi="Arial" w:cs="Arial"/>
                <w:sz w:val="17"/>
                <w:szCs w:val="17"/>
              </w:rPr>
              <w:t>9</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86</w:t>
            </w:r>
            <w:r>
              <w:rPr>
                <w:rFonts w:ascii="Arial" w:hAnsi="Arial" w:cs="Arial"/>
                <w:sz w:val="17"/>
                <w:szCs w:val="17"/>
              </w:rPr>
              <w:t>0</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7"/>
                <w:szCs w:val="17"/>
              </w:rPr>
            </w:pPr>
            <w:r>
              <w:rPr>
                <w:rFonts w:ascii="Arial" w:hAnsi="Arial" w:cs="Arial"/>
                <w:sz w:val="17"/>
                <w:szCs w:val="17"/>
              </w:rPr>
              <w:t>Issuance of warran</w:t>
            </w:r>
            <w:r>
              <w:rPr>
                <w:rFonts w:ascii="Arial" w:hAnsi="Arial" w:cs="Arial"/>
                <w:sz w:val="17"/>
                <w:szCs w:val="17"/>
              </w:rPr>
              <w:t>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4,80</w:t>
            </w:r>
            <w:r>
              <w:rPr>
                <w:rFonts w:ascii="Arial" w:hAnsi="Arial" w:cs="Arial"/>
                <w:sz w:val="17"/>
                <w:szCs w:val="17"/>
              </w:rPr>
              <w:t>2</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010F15">
            <w:pPr>
              <w:pStyle w:val="a3"/>
              <w:spacing w:before="0" w:beforeAutospacing="0" w:after="0" w:afterAutospacing="0"/>
              <w:ind w:left="200"/>
              <w:rPr>
                <w:sz w:val="17"/>
                <w:szCs w:val="17"/>
              </w:rPr>
            </w:pPr>
            <w:r>
              <w:rPr>
                <w:rFonts w:ascii="Arial" w:hAnsi="Arial" w:cs="Arial"/>
                <w:sz w:val="17"/>
                <w:szCs w:val="17"/>
              </w:rPr>
              <w:t>Property and equipment acquired through finance lease liabilitie</w:t>
            </w:r>
            <w:r>
              <w:rPr>
                <w:rFonts w:ascii="Arial" w:hAnsi="Arial" w:cs="Arial"/>
                <w:sz w:val="17"/>
                <w:szCs w:val="17"/>
              </w:rPr>
              <w:t>s</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81</w:t>
            </w:r>
            <w:r>
              <w:rPr>
                <w:rFonts w:ascii="Arial" w:hAnsi="Arial" w:cs="Arial"/>
                <w:sz w:val="17"/>
                <w:szCs w:val="17"/>
              </w:rPr>
              <w:t>4</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ind w:left="200"/>
              <w:rPr>
                <w:sz w:val="17"/>
                <w:szCs w:val="17"/>
              </w:rPr>
            </w:pPr>
            <w:r>
              <w:rPr>
                <w:rFonts w:ascii="Arial" w:hAnsi="Arial" w:cs="Arial"/>
                <w:sz w:val="17"/>
                <w:szCs w:val="17"/>
              </w:rPr>
              <w:t>Intangibles acquired through other financing obligation</w:t>
            </w:r>
            <w:r>
              <w:rPr>
                <w:rFonts w:ascii="Arial" w:hAnsi="Arial" w:cs="Arial"/>
                <w:sz w:val="17"/>
                <w:szCs w:val="17"/>
              </w:rPr>
              <w:t>s</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5</w:t>
            </w:r>
            <w:r>
              <w:rPr>
                <w:rFonts w:ascii="Arial" w:hAnsi="Arial" w:cs="Arial"/>
                <w:sz w:val="17"/>
                <w:szCs w:val="17"/>
              </w:rPr>
              <w:t>5</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r>
    </w:tbl>
    <w:p w:rsidR="00000000" w:rsidRDefault="00010F15">
      <w:pPr>
        <w:pStyle w:val="a3"/>
        <w:spacing w:before="240" w:beforeAutospacing="0" w:after="0" w:afterAutospacing="0"/>
        <w:jc w:val="center"/>
        <w:rPr>
          <w:sz w:val="20"/>
          <w:szCs w:val="20"/>
        </w:rPr>
      </w:pPr>
      <w:r>
        <w:rPr>
          <w:rFonts w:ascii="Arial" w:hAnsi="Arial" w:cs="Arial"/>
          <w:sz w:val="20"/>
          <w:szCs w:val="20"/>
        </w:rPr>
        <w:t>The accompanying notes are an integral part of these consolidated financial statements</w:t>
      </w:r>
      <w:r>
        <w:rPr>
          <w:rFonts w:ascii="Arial" w:hAnsi="Arial" w:cs="Arial"/>
          <w:sz w:val="20"/>
          <w:szCs w:val="20"/>
        </w:rPr>
        <w:t>.</w: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0" w:beforeAutospacing="0" w:after="0" w:afterAutospacing="0"/>
        <w:jc w:val="center"/>
        <w:rPr>
          <w:sz w:val="20"/>
          <w:szCs w:val="20"/>
        </w:rPr>
      </w:pPr>
      <w:r>
        <w:rPr>
          <w:rFonts w:ascii="Arial" w:hAnsi="Arial" w:cs="Arial"/>
          <w:sz w:val="20"/>
          <w:szCs w:val="20"/>
        </w:rPr>
        <w:t>7</w:t>
      </w:r>
      <w:r>
        <w:rPr>
          <w:rFonts w:ascii="Arial" w:hAnsi="Arial" w:cs="Arial"/>
          <w:sz w:val="20"/>
          <w:szCs w:val="20"/>
        </w:rPr>
        <w:t>6</w:t>
      </w:r>
    </w:p>
    <w:p w:rsidR="00000000" w:rsidRDefault="00010F15">
      <w:pPr>
        <w:rPr>
          <w:rFonts w:eastAsia="Times New Roman"/>
        </w:rPr>
      </w:pPr>
      <w:r>
        <w:rPr>
          <w:rFonts w:eastAsia="Times New Roman"/>
        </w:rPr>
        <w:pict>
          <v:rect id="_x0000_i1101"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0" w:beforeAutospacing="0" w:after="0" w:afterAutospacing="0"/>
        <w:jc w:val="center"/>
        <w:rPr>
          <w:sz w:val="20"/>
          <w:szCs w:val="20"/>
        </w:rPr>
      </w:pPr>
      <w:r>
        <w:rPr>
          <w:rFonts w:ascii="Arial" w:hAnsi="Arial" w:cs="Arial"/>
          <w:sz w:val="20"/>
          <w:szCs w:val="20"/>
        </w:rPr>
        <w:t>PAYMENTUS HOLDINGS, INC</w:t>
      </w:r>
      <w:r>
        <w:rPr>
          <w:rFonts w:ascii="Arial" w:hAnsi="Arial" w:cs="Arial"/>
          <w:sz w:val="20"/>
          <w:szCs w:val="20"/>
        </w:rPr>
        <w:t>.</w:t>
      </w:r>
    </w:p>
    <w:p w:rsidR="00000000" w:rsidRDefault="00010F15">
      <w:pPr>
        <w:pStyle w:val="a3"/>
        <w:spacing w:before="0" w:beforeAutospacing="0" w:after="0" w:afterAutospacing="0"/>
        <w:jc w:val="center"/>
        <w:rPr>
          <w:sz w:val="20"/>
          <w:szCs w:val="20"/>
        </w:rPr>
      </w:pPr>
      <w:r>
        <w:rPr>
          <w:rFonts w:ascii="Arial" w:hAnsi="Arial" w:cs="Arial"/>
          <w:sz w:val="20"/>
          <w:szCs w:val="20"/>
        </w:rPr>
        <w:t>CONSOLIDATED STATEMENTS OF CASH FLOWS (continued</w:t>
      </w:r>
      <w:r>
        <w:rPr>
          <w:rFonts w:ascii="Arial" w:hAnsi="Arial" w:cs="Arial"/>
          <w:sz w:val="20"/>
          <w:szCs w:val="20"/>
        </w:rPr>
        <w:t>)</w:t>
      </w:r>
    </w:p>
    <w:p w:rsidR="00000000" w:rsidRDefault="00010F15">
      <w:pPr>
        <w:pStyle w:val="a3"/>
        <w:spacing w:before="0" w:beforeAutospacing="0" w:after="0" w:afterAutospacing="0"/>
        <w:jc w:val="center"/>
        <w:rPr>
          <w:sz w:val="20"/>
          <w:szCs w:val="20"/>
        </w:rPr>
      </w:pPr>
      <w:r>
        <w:rPr>
          <w:rFonts w:ascii="Arial" w:hAnsi="Arial" w:cs="Arial"/>
          <w:sz w:val="20"/>
          <w:szCs w:val="20"/>
        </w:rPr>
        <w:t>(In thousands</w:t>
      </w:r>
      <w:r>
        <w:rPr>
          <w:rFonts w:ascii="Arial" w:hAnsi="Arial" w:cs="Arial"/>
          <w:sz w:val="20"/>
          <w:szCs w:val="20"/>
        </w:rPr>
        <w:t>)</w:t>
      </w:r>
    </w:p>
    <w:p w:rsidR="00000000" w:rsidRDefault="00010F15">
      <w:pPr>
        <w:pStyle w:val="a3"/>
        <w:spacing w:before="0" w:beforeAutospacing="0" w:after="0" w:afterAutospacing="0"/>
        <w:jc w:val="center"/>
        <w:rPr>
          <w:sz w:val="20"/>
          <w:szCs w:val="20"/>
        </w:rPr>
      </w:pPr>
      <w:r>
        <w:rPr>
          <w:rFonts w:ascii="Arial" w:hAnsi="Arial" w:cs="Arial"/>
          <w:sz w:val="20"/>
          <w:szCs w:val="20"/>
        </w:rPr>
        <w:t> </w:t>
      </w:r>
    </w:p>
    <w:p w:rsidR="00000000" w:rsidRDefault="00010F15">
      <w:pPr>
        <w:pStyle w:val="a3"/>
        <w:spacing w:before="0" w:beforeAutospacing="0" w:after="0" w:afterAutospacing="0"/>
        <w:jc w:val="center"/>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53"/>
        <w:gridCol w:w="116"/>
        <w:gridCol w:w="155"/>
        <w:gridCol w:w="867"/>
        <w:gridCol w:w="108"/>
        <w:gridCol w:w="108"/>
        <w:gridCol w:w="155"/>
        <w:gridCol w:w="875"/>
        <w:gridCol w:w="108"/>
        <w:gridCol w:w="108"/>
        <w:gridCol w:w="155"/>
        <w:gridCol w:w="875"/>
        <w:gridCol w:w="123"/>
      </w:tblGrid>
      <w:tr w:rsidR="00000000">
        <w:trPr>
          <w:tblCellSpacing w:w="15" w:type="dxa"/>
        </w:trPr>
        <w:tc>
          <w:tcPr>
            <w:tcW w:w="2874" w:type="pct"/>
            <w:vAlign w:val="center"/>
            <w:hideMark/>
          </w:tcPr>
          <w:p w:rsidR="00000000" w:rsidRDefault="00010F15">
            <w:pPr>
              <w:rPr>
                <w:sz w:val="20"/>
                <w:szCs w:val="20"/>
              </w:rPr>
            </w:pPr>
          </w:p>
        </w:tc>
        <w:tc>
          <w:tcPr>
            <w:tcW w:w="65" w:type="pct"/>
            <w:vAlign w:val="center"/>
            <w:hideMark/>
          </w:tcPr>
          <w:p w:rsidR="00000000" w:rsidRDefault="00010F15">
            <w:pPr>
              <w:rPr>
                <w:rFonts w:eastAsia="Times New Roman"/>
                <w:sz w:val="20"/>
                <w:szCs w:val="20"/>
              </w:rPr>
            </w:pPr>
          </w:p>
        </w:tc>
        <w:tc>
          <w:tcPr>
            <w:tcW w:w="57" w:type="pct"/>
            <w:vAlign w:val="center"/>
            <w:hideMark/>
          </w:tcPr>
          <w:p w:rsidR="00000000" w:rsidRDefault="00010F15">
            <w:pPr>
              <w:rPr>
                <w:rFonts w:eastAsia="Times New Roman"/>
                <w:sz w:val="20"/>
                <w:szCs w:val="20"/>
              </w:rPr>
            </w:pPr>
          </w:p>
        </w:tc>
        <w:tc>
          <w:tcPr>
            <w:tcW w:w="558" w:type="pct"/>
            <w:vAlign w:val="center"/>
            <w:hideMark/>
          </w:tcPr>
          <w:p w:rsidR="00000000" w:rsidRDefault="00010F15">
            <w:pPr>
              <w:rPr>
                <w:rFonts w:eastAsia="Times New Roman"/>
                <w:sz w:val="20"/>
                <w:szCs w:val="20"/>
              </w:rPr>
            </w:pPr>
          </w:p>
        </w:tc>
        <w:tc>
          <w:tcPr>
            <w:tcW w:w="27" w:type="pct"/>
            <w:vAlign w:val="center"/>
            <w:hideMark/>
          </w:tcPr>
          <w:p w:rsidR="00000000" w:rsidRDefault="00010F15">
            <w:pPr>
              <w:rPr>
                <w:rFonts w:eastAsia="Times New Roman"/>
                <w:sz w:val="20"/>
                <w:szCs w:val="20"/>
              </w:rPr>
            </w:pPr>
          </w:p>
        </w:tc>
        <w:tc>
          <w:tcPr>
            <w:tcW w:w="65" w:type="pct"/>
            <w:vAlign w:val="center"/>
            <w:hideMark/>
          </w:tcPr>
          <w:p w:rsidR="00000000" w:rsidRDefault="00010F15">
            <w:pPr>
              <w:rPr>
                <w:rFonts w:eastAsia="Times New Roman"/>
                <w:sz w:val="20"/>
                <w:szCs w:val="20"/>
              </w:rPr>
            </w:pPr>
          </w:p>
        </w:tc>
        <w:tc>
          <w:tcPr>
            <w:tcW w:w="57" w:type="pct"/>
            <w:vAlign w:val="center"/>
            <w:hideMark/>
          </w:tcPr>
          <w:p w:rsidR="00000000" w:rsidRDefault="00010F15">
            <w:pPr>
              <w:rPr>
                <w:rFonts w:eastAsia="Times New Roman"/>
                <w:sz w:val="20"/>
                <w:szCs w:val="20"/>
              </w:rPr>
            </w:pPr>
          </w:p>
        </w:tc>
        <w:tc>
          <w:tcPr>
            <w:tcW w:w="557" w:type="pct"/>
            <w:vAlign w:val="center"/>
            <w:hideMark/>
          </w:tcPr>
          <w:p w:rsidR="00000000" w:rsidRDefault="00010F15">
            <w:pPr>
              <w:rPr>
                <w:rFonts w:eastAsia="Times New Roman"/>
                <w:sz w:val="20"/>
                <w:szCs w:val="20"/>
              </w:rPr>
            </w:pPr>
          </w:p>
        </w:tc>
        <w:tc>
          <w:tcPr>
            <w:tcW w:w="27" w:type="pct"/>
            <w:vAlign w:val="center"/>
            <w:hideMark/>
          </w:tcPr>
          <w:p w:rsidR="00000000" w:rsidRDefault="00010F15">
            <w:pPr>
              <w:rPr>
                <w:rFonts w:eastAsia="Times New Roman"/>
                <w:sz w:val="20"/>
                <w:szCs w:val="20"/>
              </w:rPr>
            </w:pPr>
          </w:p>
        </w:tc>
        <w:tc>
          <w:tcPr>
            <w:tcW w:w="65" w:type="pct"/>
            <w:vAlign w:val="center"/>
            <w:hideMark/>
          </w:tcPr>
          <w:p w:rsidR="00000000" w:rsidRDefault="00010F15">
            <w:pPr>
              <w:rPr>
                <w:rFonts w:eastAsia="Times New Roman"/>
                <w:sz w:val="20"/>
                <w:szCs w:val="20"/>
              </w:rPr>
            </w:pPr>
          </w:p>
        </w:tc>
        <w:tc>
          <w:tcPr>
            <w:tcW w:w="57" w:type="pct"/>
            <w:vAlign w:val="center"/>
            <w:hideMark/>
          </w:tcPr>
          <w:p w:rsidR="00000000" w:rsidRDefault="00010F15">
            <w:pPr>
              <w:rPr>
                <w:rFonts w:eastAsia="Times New Roman"/>
                <w:sz w:val="20"/>
                <w:szCs w:val="20"/>
              </w:rPr>
            </w:pPr>
          </w:p>
        </w:tc>
        <w:tc>
          <w:tcPr>
            <w:tcW w:w="557" w:type="pct"/>
            <w:vAlign w:val="center"/>
            <w:hideMark/>
          </w:tcPr>
          <w:p w:rsidR="00000000" w:rsidRDefault="00010F15">
            <w:pPr>
              <w:rPr>
                <w:rFonts w:eastAsia="Times New Roman"/>
                <w:sz w:val="20"/>
                <w:szCs w:val="20"/>
              </w:rPr>
            </w:pPr>
          </w:p>
        </w:tc>
        <w:tc>
          <w:tcPr>
            <w:tcW w:w="27" w:type="pct"/>
            <w:vAlign w:val="center"/>
            <w:hideMark/>
          </w:tcPr>
          <w:p w:rsidR="00000000" w:rsidRDefault="00010F15">
            <w:pPr>
              <w:rPr>
                <w:rFonts w:eastAsia="Times New Roman"/>
                <w:sz w:val="20"/>
                <w:szCs w:val="20"/>
              </w:rPr>
            </w:pP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10"/>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Year Ended December 31</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201</w:t>
            </w:r>
            <w:r>
              <w:rPr>
                <w:rFonts w:ascii="Arial" w:hAnsi="Arial" w:cs="Arial"/>
                <w:b/>
                <w:bCs/>
                <w:sz w:val="16"/>
                <w:szCs w:val="16"/>
              </w:rPr>
              <w:t>9</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10"/>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rPr>
                <w:sz w:val="17"/>
                <w:szCs w:val="17"/>
              </w:rPr>
            </w:pPr>
            <w:r>
              <w:rPr>
                <w:rFonts w:ascii="Arial" w:hAnsi="Arial" w:cs="Arial"/>
                <w:b/>
                <w:bCs/>
                <w:sz w:val="17"/>
                <w:szCs w:val="17"/>
              </w:rPr>
              <w:t>The below table reconciles cash, cash equivalents, and restricted cash in the consolidated balance sheets to the total of the same amounts shown in the consolidated statements of cash flows</w:t>
            </w:r>
            <w:r>
              <w:rPr>
                <w:rFonts w:ascii="Arial" w:hAnsi="Arial" w:cs="Arial"/>
                <w:b/>
                <w:bCs/>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ind w:left="200"/>
              <w:rPr>
                <w:sz w:val="17"/>
                <w:szCs w:val="17"/>
              </w:rPr>
            </w:pPr>
            <w:r>
              <w:rPr>
                <w:rFonts w:ascii="Arial" w:hAnsi="Arial" w:cs="Arial"/>
                <w:sz w:val="17"/>
                <w:szCs w:val="17"/>
              </w:rPr>
              <w:t> Cash and cash equivalent</w:t>
            </w:r>
            <w:r>
              <w:rPr>
                <w:rFonts w:ascii="Arial" w:hAnsi="Arial" w:cs="Arial"/>
                <w:sz w:val="17"/>
                <w:szCs w:val="17"/>
              </w:rPr>
              <w:t>s</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168,38</w:t>
            </w:r>
            <w:r>
              <w:rPr>
                <w:rFonts w:ascii="Arial" w:hAnsi="Arial" w:cs="Arial"/>
                <w:sz w:val="17"/>
                <w:szCs w:val="17"/>
              </w:rPr>
              <w:t>6</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46,66</w:t>
            </w:r>
            <w:r>
              <w:rPr>
                <w:rFonts w:ascii="Arial" w:hAnsi="Arial" w:cs="Arial"/>
                <w:sz w:val="17"/>
                <w:szCs w:val="17"/>
              </w:rPr>
              <w:t>6</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27,42</w:t>
            </w:r>
            <w:r>
              <w:rPr>
                <w:rFonts w:ascii="Arial" w:hAnsi="Arial" w:cs="Arial"/>
                <w:sz w:val="17"/>
                <w:szCs w:val="17"/>
              </w:rPr>
              <w:t>7</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ind w:left="200"/>
              <w:rPr>
                <w:sz w:val="17"/>
                <w:szCs w:val="17"/>
              </w:rPr>
            </w:pPr>
            <w:r>
              <w:rPr>
                <w:rFonts w:ascii="Arial" w:hAnsi="Arial" w:cs="Arial"/>
                <w:sz w:val="17"/>
                <w:szCs w:val="17"/>
              </w:rPr>
              <w:t> Restricted funds held for financial institution</w:t>
            </w:r>
            <w:r>
              <w:rPr>
                <w:rFonts w:ascii="Arial" w:hAnsi="Arial" w:cs="Arial"/>
                <w:sz w:val="17"/>
                <w:szCs w:val="17"/>
              </w:rPr>
              <w:t>s</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33,44</w:t>
            </w:r>
            <w:r>
              <w:rPr>
                <w:rFonts w:ascii="Arial" w:hAnsi="Arial" w:cs="Arial"/>
                <w:sz w:val="17"/>
                <w:szCs w:val="17"/>
              </w:rPr>
              <w:t>3</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r>
              <w:rPr>
                <w:rFonts w:ascii="Arial" w:hAnsi="Arial" w:cs="Arial"/>
                <w:sz w:val="17"/>
                <w:szCs w:val="17"/>
              </w:rPr>
              <w:t>Total cash, cash equivalents and restricted cash as shown in the consolidated statements of cash flow</w:t>
            </w:r>
            <w:r>
              <w:rPr>
                <w:rFonts w:ascii="Arial" w:hAnsi="Arial" w:cs="Arial"/>
                <w:sz w:val="17"/>
                <w:szCs w:val="17"/>
              </w:rPr>
              <w:t>s</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201,82</w:t>
            </w:r>
            <w:r>
              <w:rPr>
                <w:rFonts w:ascii="Arial" w:hAnsi="Arial" w:cs="Arial"/>
                <w:sz w:val="17"/>
                <w:szCs w:val="17"/>
              </w:rPr>
              <w:t>9</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46,66</w:t>
            </w:r>
            <w:r>
              <w:rPr>
                <w:rFonts w:ascii="Arial" w:hAnsi="Arial" w:cs="Arial"/>
                <w:sz w:val="17"/>
                <w:szCs w:val="17"/>
              </w:rPr>
              <w:t>6</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17"/>
                <w:szCs w:val="17"/>
              </w:rPr>
              <w:t>27,42</w:t>
            </w:r>
            <w:r>
              <w:rPr>
                <w:rFonts w:ascii="Arial" w:hAnsi="Arial" w:cs="Arial"/>
                <w:sz w:val="17"/>
                <w:szCs w:val="17"/>
              </w:rPr>
              <w:t>7</w:t>
            </w:r>
          </w:p>
        </w:tc>
        <w:tc>
          <w:tcPr>
            <w:tcW w:w="0" w:type="auto"/>
            <w:vAlign w:val="bottom"/>
            <w:hideMark/>
          </w:tcPr>
          <w:p w:rsidR="00000000" w:rsidRDefault="00010F15">
            <w:pPr>
              <w:pStyle w:val="a3"/>
              <w:spacing w:before="0" w:beforeAutospacing="0" w:after="0" w:afterAutospacing="0"/>
              <w:rPr>
                <w:sz w:val="17"/>
                <w:szCs w:val="17"/>
              </w:rPr>
            </w:pPr>
            <w:r>
              <w:rPr>
                <w:rFonts w:ascii="Arial" w:hAnsi="Arial" w:cs="Arial"/>
                <w:sz w:val="17"/>
                <w:szCs w:val="17"/>
              </w:rPr>
              <w:t> </w:t>
            </w:r>
          </w:p>
        </w:tc>
      </w:tr>
    </w:tbl>
    <w:p w:rsidR="00000000" w:rsidRDefault="00010F15">
      <w:pPr>
        <w:pStyle w:val="a3"/>
        <w:spacing w:before="240" w:beforeAutospacing="0" w:after="0" w:afterAutospacing="0"/>
        <w:jc w:val="center"/>
        <w:rPr>
          <w:sz w:val="20"/>
          <w:szCs w:val="20"/>
        </w:rPr>
      </w:pPr>
      <w:r>
        <w:rPr>
          <w:rFonts w:ascii="Arial" w:hAnsi="Arial" w:cs="Arial"/>
          <w:sz w:val="20"/>
          <w:szCs w:val="20"/>
        </w:rPr>
        <w:t>The accompanying notes are an integral part of these consolidated financial statements</w:t>
      </w:r>
      <w:r>
        <w:rPr>
          <w:rFonts w:ascii="Arial" w:hAnsi="Arial" w:cs="Arial"/>
          <w:sz w:val="20"/>
          <w:szCs w:val="20"/>
        </w:rPr>
        <w:t>.</w: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0" w:beforeAutospacing="0" w:after="0" w:afterAutospacing="0"/>
        <w:jc w:val="center"/>
        <w:rPr>
          <w:sz w:val="20"/>
          <w:szCs w:val="20"/>
        </w:rPr>
      </w:pPr>
      <w:r>
        <w:rPr>
          <w:rFonts w:ascii="Arial" w:hAnsi="Arial" w:cs="Arial"/>
          <w:sz w:val="20"/>
          <w:szCs w:val="20"/>
        </w:rPr>
        <w:t>7</w:t>
      </w:r>
      <w:r>
        <w:rPr>
          <w:rFonts w:ascii="Arial" w:hAnsi="Arial" w:cs="Arial"/>
          <w:sz w:val="20"/>
          <w:szCs w:val="20"/>
        </w:rPr>
        <w:t>7</w:t>
      </w:r>
    </w:p>
    <w:p w:rsidR="00000000" w:rsidRDefault="00010F15">
      <w:pPr>
        <w:rPr>
          <w:rFonts w:eastAsia="Times New Roman"/>
        </w:rPr>
      </w:pPr>
      <w:r>
        <w:rPr>
          <w:rFonts w:eastAsia="Times New Roman"/>
        </w:rPr>
        <w:pict>
          <v:rect id="_x0000_i1102"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0" w:beforeAutospacing="0" w:after="0" w:afterAutospacing="0"/>
        <w:jc w:val="center"/>
        <w:rPr>
          <w:sz w:val="20"/>
          <w:szCs w:val="20"/>
        </w:rPr>
      </w:pPr>
      <w:r>
        <w:rPr>
          <w:rFonts w:ascii="Arial" w:hAnsi="Arial" w:cs="Arial"/>
          <w:sz w:val="20"/>
          <w:szCs w:val="20"/>
        </w:rPr>
        <w:t>PAYMENTUS HOLDINGS, INC</w:t>
      </w:r>
      <w:r>
        <w:rPr>
          <w:rFonts w:ascii="Arial" w:hAnsi="Arial" w:cs="Arial"/>
          <w:sz w:val="20"/>
          <w:szCs w:val="20"/>
        </w:rPr>
        <w:t>.</w:t>
      </w:r>
    </w:p>
    <w:p w:rsidR="00000000" w:rsidRDefault="00010F15">
      <w:pPr>
        <w:pStyle w:val="a3"/>
        <w:spacing w:before="0" w:beforeAutospacing="0" w:after="0" w:afterAutospacing="0"/>
        <w:jc w:val="center"/>
        <w:rPr>
          <w:sz w:val="20"/>
          <w:szCs w:val="20"/>
        </w:rPr>
      </w:pPr>
      <w:r>
        <w:rPr>
          <w:rFonts w:ascii="Arial" w:hAnsi="Arial" w:cs="Arial"/>
          <w:sz w:val="20"/>
          <w:szCs w:val="20"/>
        </w:rPr>
        <w:t xml:space="preserve">NOTES TO CONSOLIDATED </w:t>
      </w:r>
      <w:r>
        <w:rPr>
          <w:rFonts w:ascii="Arial" w:hAnsi="Arial" w:cs="Arial"/>
          <w:sz w:val="20"/>
          <w:szCs w:val="20"/>
        </w:rPr>
        <w:t>F</w:t>
      </w:r>
      <w:r>
        <w:rPr>
          <w:rFonts w:ascii="Arial" w:hAnsi="Arial" w:cs="Arial"/>
          <w:sz w:val="20"/>
          <w:szCs w:val="20"/>
        </w:rPr>
        <w:t>INANCIAL STATEMENT</w:t>
      </w:r>
      <w:r>
        <w:rPr>
          <w:rFonts w:ascii="Arial" w:hAnsi="Arial" w:cs="Arial"/>
          <w:sz w:val="20"/>
          <w:szCs w:val="20"/>
        </w:rPr>
        <w:t>S</w:t>
      </w:r>
    </w:p>
    <w:p w:rsidR="00000000" w:rsidRDefault="00010F15">
      <w:pPr>
        <w:pStyle w:val="a3"/>
        <w:spacing w:before="240" w:beforeAutospacing="0" w:after="0" w:afterAutospacing="0"/>
        <w:ind w:hanging="422"/>
        <w:divId w:val="187333439"/>
        <w:rPr>
          <w:sz w:val="20"/>
          <w:szCs w:val="20"/>
        </w:rPr>
      </w:pPr>
      <w:r>
        <w:rPr>
          <w:rFonts w:ascii="Arial" w:hAnsi="Arial" w:cs="Arial"/>
          <w:b/>
          <w:bCs/>
          <w:sz w:val="20"/>
          <w:szCs w:val="20"/>
        </w:rPr>
        <w:t>1. Organization and Description of Busines</w:t>
      </w:r>
      <w:r>
        <w:rPr>
          <w:rFonts w:ascii="Arial" w:hAnsi="Arial" w:cs="Arial"/>
          <w:b/>
          <w:bCs/>
          <w:sz w:val="20"/>
          <w:szCs w:val="20"/>
        </w:rPr>
        <w:t>s</w:t>
      </w:r>
    </w:p>
    <w:p w:rsidR="00000000" w:rsidRDefault="00010F15">
      <w:pPr>
        <w:pStyle w:val="a3"/>
        <w:spacing w:before="240" w:beforeAutospacing="0" w:after="0" w:afterAutospacing="0"/>
        <w:divId w:val="187333439"/>
        <w:rPr>
          <w:sz w:val="20"/>
          <w:szCs w:val="20"/>
        </w:rPr>
      </w:pPr>
      <w:r>
        <w:rPr>
          <w:rFonts w:ascii="Arial" w:hAnsi="Arial" w:cs="Arial"/>
          <w:b/>
          <w:bCs/>
          <w:i/>
          <w:iCs/>
          <w:sz w:val="20"/>
          <w:szCs w:val="20"/>
        </w:rPr>
        <w:t>Description of Busines</w:t>
      </w:r>
      <w:r>
        <w:rPr>
          <w:rFonts w:ascii="Arial" w:hAnsi="Arial" w:cs="Arial"/>
          <w:b/>
          <w:bCs/>
          <w:i/>
          <w:iCs/>
          <w:sz w:val="20"/>
          <w:szCs w:val="20"/>
        </w:rPr>
        <w:t>s</w:t>
      </w:r>
    </w:p>
    <w:p w:rsidR="00000000" w:rsidRDefault="00010F15">
      <w:pPr>
        <w:pStyle w:val="a3"/>
        <w:spacing w:before="120" w:beforeAutospacing="0" w:after="0" w:afterAutospacing="0"/>
        <w:ind w:firstLine="539"/>
        <w:divId w:val="187333439"/>
        <w:rPr>
          <w:sz w:val="20"/>
          <w:szCs w:val="20"/>
        </w:rPr>
      </w:pPr>
      <w:r>
        <w:rPr>
          <w:rFonts w:ascii="Arial" w:hAnsi="Arial" w:cs="Arial"/>
          <w:sz w:val="20"/>
          <w:szCs w:val="20"/>
        </w:rPr>
        <w:t>Paymentus Holdings, Inc. and its wholly owned subsidiaries (“Paymentus” or “the Company”</w:t>
      </w:r>
      <w:r>
        <w:rPr>
          <w:rFonts w:ascii="Arial" w:hAnsi="Arial" w:cs="Arial"/>
          <w:sz w:val="20"/>
          <w:szCs w:val="20"/>
        </w:rPr>
        <w:t>) provides electronic bill presentment and payment services, enterprise customer communication and self-service revenue management to billers through a Software-as-a-Service, (“SaaS”), secure, omni-channel technology platform. The platform seamlessly integ</w:t>
      </w:r>
      <w:r>
        <w:rPr>
          <w:rFonts w:ascii="Arial" w:hAnsi="Arial" w:cs="Arial"/>
          <w:sz w:val="20"/>
          <w:szCs w:val="20"/>
        </w:rPr>
        <w:t>rates into a biller’s core financial and operating systems to provide flexible and secure access to payment processing of credit cards, debit cards, eChecks and digital wallets across a significant number of channels including online, mobile, IVR, call cen</w:t>
      </w:r>
      <w:r>
        <w:rPr>
          <w:rFonts w:ascii="Arial" w:hAnsi="Arial" w:cs="Arial"/>
          <w:sz w:val="20"/>
          <w:szCs w:val="20"/>
        </w:rPr>
        <w:t>ter, chatbot and voice-based assistants. Paymentus was incorporated in the state of Delaware on September 2, 2011 with office locations in Charlotte, North Carolina, Richmond Hill, Ontario (Canada), Blacksburg, Virginia, Cromwell, Connecticut, Redmond, Was</w:t>
      </w:r>
      <w:r>
        <w:rPr>
          <w:rFonts w:ascii="Arial" w:hAnsi="Arial" w:cs="Arial"/>
          <w:sz w:val="20"/>
          <w:szCs w:val="20"/>
        </w:rPr>
        <w:t>hington and Delhi and Bangalore (India). The Company was headquartered in Charlotte, North Carolina until 2020 when the Company moved its headquarters to Redmond, Washington</w:t>
      </w:r>
      <w:r>
        <w:rPr>
          <w:rFonts w:ascii="Arial" w:hAnsi="Arial" w:cs="Arial"/>
          <w:sz w:val="20"/>
          <w:szCs w:val="20"/>
        </w:rPr>
        <w:t>.</w:t>
      </w:r>
    </w:p>
    <w:p w:rsidR="00000000" w:rsidRDefault="00010F15">
      <w:pPr>
        <w:pStyle w:val="a3"/>
        <w:spacing w:before="240" w:beforeAutospacing="0" w:after="0" w:afterAutospacing="0"/>
        <w:jc w:val="both"/>
        <w:divId w:val="187333439"/>
        <w:rPr>
          <w:sz w:val="20"/>
          <w:szCs w:val="20"/>
        </w:rPr>
      </w:pPr>
      <w:r>
        <w:rPr>
          <w:rFonts w:ascii="Arial" w:hAnsi="Arial" w:cs="Arial"/>
          <w:b/>
          <w:bCs/>
          <w:i/>
          <w:iCs/>
          <w:sz w:val="20"/>
          <w:szCs w:val="20"/>
        </w:rPr>
        <w:t>Initial Public Offering and Private Placemen</w:t>
      </w:r>
      <w:r>
        <w:rPr>
          <w:rFonts w:ascii="Arial" w:hAnsi="Arial" w:cs="Arial"/>
          <w:b/>
          <w:bCs/>
          <w:i/>
          <w:iCs/>
          <w:sz w:val="20"/>
          <w:szCs w:val="20"/>
        </w:rPr>
        <w:t>t</w:t>
      </w:r>
    </w:p>
    <w:p w:rsidR="00000000" w:rsidRDefault="00010F15">
      <w:pPr>
        <w:pStyle w:val="a3"/>
        <w:spacing w:before="120" w:beforeAutospacing="0" w:after="0" w:afterAutospacing="0"/>
        <w:ind w:firstLine="539"/>
        <w:divId w:val="187333439"/>
        <w:rPr>
          <w:sz w:val="20"/>
          <w:szCs w:val="20"/>
        </w:rPr>
      </w:pPr>
      <w:r>
        <w:rPr>
          <w:rFonts w:ascii="Arial" w:hAnsi="Arial" w:cs="Arial"/>
          <w:sz w:val="20"/>
          <w:szCs w:val="20"/>
        </w:rPr>
        <w:t xml:space="preserve">In May 2021, the Company completed </w:t>
      </w:r>
      <w:r>
        <w:rPr>
          <w:rFonts w:ascii="Arial" w:hAnsi="Arial" w:cs="Arial"/>
          <w:sz w:val="20"/>
          <w:szCs w:val="20"/>
        </w:rPr>
        <w:t>its initial public offering (“IPO”), in which the Company issued and sold</w:t>
      </w:r>
      <w:r>
        <w:rPr>
          <w:rFonts w:ascii="Arial" w:hAnsi="Arial" w:cs="Arial"/>
          <w:sz w:val="20"/>
          <w:szCs w:val="20"/>
        </w:rPr>
        <w:t xml:space="preserve"> </w:t>
      </w:r>
      <w:r>
        <w:rPr>
          <w:rFonts w:ascii="Arial" w:hAnsi="Arial" w:cs="Arial"/>
          <w:sz w:val="20"/>
          <w:szCs w:val="20"/>
        </w:rPr>
        <w:t>11,500,00</w:t>
      </w:r>
      <w:r>
        <w:rPr>
          <w:rFonts w:ascii="Arial" w:hAnsi="Arial" w:cs="Arial"/>
          <w:sz w:val="20"/>
          <w:szCs w:val="20"/>
        </w:rPr>
        <w:t>0</w:t>
      </w:r>
      <w:r>
        <w:rPr>
          <w:rFonts w:ascii="Arial" w:hAnsi="Arial" w:cs="Arial"/>
          <w:sz w:val="20"/>
          <w:szCs w:val="20"/>
        </w:rPr>
        <w:t xml:space="preserve"> shares of its Class A common stock at</w:t>
      </w:r>
      <w:r>
        <w:rPr>
          <w:rFonts w:ascii="Arial" w:hAnsi="Arial" w:cs="Arial"/>
          <w:sz w:val="20"/>
          <w:szCs w:val="20"/>
        </w:rPr>
        <w:t xml:space="preserve"> </w:t>
      </w:r>
      <w:r>
        <w:rPr>
          <w:rFonts w:ascii="Arial" w:hAnsi="Arial" w:cs="Arial"/>
          <w:sz w:val="20"/>
          <w:szCs w:val="20"/>
        </w:rPr>
        <w:t>$</w:t>
      </w:r>
      <w:r>
        <w:rPr>
          <w:rFonts w:ascii="Arial" w:hAnsi="Arial" w:cs="Arial"/>
          <w:sz w:val="20"/>
          <w:szCs w:val="20"/>
        </w:rPr>
        <w:t>21.0</w:t>
      </w:r>
      <w:r>
        <w:rPr>
          <w:rFonts w:ascii="Arial" w:hAnsi="Arial" w:cs="Arial"/>
          <w:sz w:val="20"/>
          <w:szCs w:val="20"/>
        </w:rPr>
        <w:t>0</w:t>
      </w:r>
      <w:r>
        <w:rPr>
          <w:rFonts w:ascii="Arial" w:hAnsi="Arial" w:cs="Arial"/>
          <w:sz w:val="20"/>
          <w:szCs w:val="20"/>
        </w:rPr>
        <w:t xml:space="preserve"> per share, including</w:t>
      </w:r>
      <w:r>
        <w:rPr>
          <w:rFonts w:ascii="Arial" w:hAnsi="Arial" w:cs="Arial"/>
          <w:sz w:val="20"/>
          <w:szCs w:val="20"/>
        </w:rPr>
        <w:t xml:space="preserve"> </w:t>
      </w:r>
      <w:r>
        <w:rPr>
          <w:rFonts w:ascii="Arial" w:hAnsi="Arial" w:cs="Arial"/>
          <w:sz w:val="20"/>
          <w:szCs w:val="20"/>
        </w:rPr>
        <w:t>1,500,00</w:t>
      </w:r>
      <w:r>
        <w:rPr>
          <w:rFonts w:ascii="Arial" w:hAnsi="Arial" w:cs="Arial"/>
          <w:sz w:val="20"/>
          <w:szCs w:val="20"/>
        </w:rPr>
        <w:t>0</w:t>
      </w:r>
      <w:r>
        <w:rPr>
          <w:rFonts w:ascii="Arial" w:hAnsi="Arial" w:cs="Arial"/>
          <w:sz w:val="20"/>
          <w:szCs w:val="20"/>
        </w:rPr>
        <w:t xml:space="preserve"> shares issued upon the exercise of the underwriters’ option to purchase additional shares. The </w:t>
      </w:r>
      <w:r>
        <w:rPr>
          <w:rFonts w:ascii="Arial" w:hAnsi="Arial" w:cs="Arial"/>
          <w:sz w:val="20"/>
          <w:szCs w:val="20"/>
        </w:rPr>
        <w:t>Company received net proceeds of</w:t>
      </w:r>
      <w:r>
        <w:rPr>
          <w:rFonts w:ascii="Arial" w:hAnsi="Arial" w:cs="Arial"/>
          <w:sz w:val="20"/>
          <w:szCs w:val="20"/>
        </w:rPr>
        <w:t xml:space="preserve"> </w:t>
      </w:r>
      <w:r>
        <w:rPr>
          <w:rFonts w:ascii="Arial" w:hAnsi="Arial" w:cs="Arial"/>
          <w:sz w:val="20"/>
          <w:szCs w:val="20"/>
        </w:rPr>
        <w:t>$</w:t>
      </w:r>
      <w:r>
        <w:rPr>
          <w:rFonts w:ascii="Arial" w:hAnsi="Arial" w:cs="Arial"/>
          <w:sz w:val="20"/>
          <w:szCs w:val="20"/>
        </w:rPr>
        <w:t>224.</w:t>
      </w:r>
      <w:r>
        <w:rPr>
          <w:rFonts w:ascii="Arial" w:hAnsi="Arial" w:cs="Arial"/>
          <w:sz w:val="20"/>
          <w:szCs w:val="20"/>
        </w:rPr>
        <w:t>6</w:t>
      </w:r>
      <w:r>
        <w:rPr>
          <w:rFonts w:ascii="Arial" w:hAnsi="Arial" w:cs="Arial"/>
          <w:sz w:val="20"/>
          <w:szCs w:val="20"/>
        </w:rPr>
        <w:t xml:space="preserve"> million after deducting underwriting discounts and commissions of</w:t>
      </w:r>
      <w:r>
        <w:rPr>
          <w:rFonts w:ascii="Arial" w:hAnsi="Arial" w:cs="Arial"/>
          <w:sz w:val="20"/>
          <w:szCs w:val="20"/>
        </w:rPr>
        <w:t xml:space="preserve"> </w:t>
      </w:r>
      <w:r>
        <w:rPr>
          <w:rFonts w:ascii="Arial" w:hAnsi="Arial" w:cs="Arial"/>
          <w:sz w:val="20"/>
          <w:szCs w:val="20"/>
        </w:rPr>
        <w:t>$</w:t>
      </w:r>
      <w:r>
        <w:rPr>
          <w:rFonts w:ascii="Arial" w:hAnsi="Arial" w:cs="Arial"/>
          <w:sz w:val="20"/>
          <w:szCs w:val="20"/>
        </w:rPr>
        <w:t>16.</w:t>
      </w:r>
      <w:r>
        <w:rPr>
          <w:rFonts w:ascii="Arial" w:hAnsi="Arial" w:cs="Arial"/>
          <w:sz w:val="20"/>
          <w:szCs w:val="20"/>
        </w:rPr>
        <w:t>9</w:t>
      </w:r>
      <w:r>
        <w:rPr>
          <w:rFonts w:ascii="Arial" w:hAnsi="Arial" w:cs="Arial"/>
          <w:sz w:val="20"/>
          <w:szCs w:val="20"/>
        </w:rPr>
        <w:t xml:space="preserve"> million. The Company incurred direct offering expenses of</w:t>
      </w:r>
      <w:r>
        <w:rPr>
          <w:rFonts w:ascii="Arial" w:hAnsi="Arial" w:cs="Arial"/>
          <w:sz w:val="20"/>
          <w:szCs w:val="20"/>
        </w:rPr>
        <w:t xml:space="preserve"> </w:t>
      </w:r>
      <w:r>
        <w:rPr>
          <w:rFonts w:ascii="Arial" w:hAnsi="Arial" w:cs="Arial"/>
          <w:sz w:val="20"/>
          <w:szCs w:val="20"/>
        </w:rPr>
        <w:t>$</w:t>
      </w:r>
      <w:r>
        <w:rPr>
          <w:rFonts w:ascii="Arial" w:hAnsi="Arial" w:cs="Arial"/>
          <w:sz w:val="20"/>
          <w:szCs w:val="20"/>
        </w:rPr>
        <w:t>2.</w:t>
      </w:r>
      <w:r>
        <w:rPr>
          <w:rFonts w:ascii="Arial" w:hAnsi="Arial" w:cs="Arial"/>
          <w:sz w:val="20"/>
          <w:szCs w:val="20"/>
        </w:rPr>
        <w:t>0</w:t>
      </w:r>
      <w:r>
        <w:rPr>
          <w:rFonts w:ascii="Arial" w:hAnsi="Arial" w:cs="Arial"/>
          <w:sz w:val="20"/>
          <w:szCs w:val="20"/>
        </w:rPr>
        <w:t xml:space="preserve"> million</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divId w:val="187333439"/>
        <w:rPr>
          <w:sz w:val="20"/>
          <w:szCs w:val="20"/>
        </w:rPr>
      </w:pPr>
      <w:r>
        <w:rPr>
          <w:rFonts w:ascii="Arial" w:hAnsi="Arial" w:cs="Arial"/>
          <w:sz w:val="20"/>
          <w:szCs w:val="20"/>
        </w:rPr>
        <w:t>In connection with the IPO</w:t>
      </w:r>
      <w:r>
        <w:rPr>
          <w:rFonts w:ascii="Arial" w:hAnsi="Arial" w:cs="Arial"/>
          <w:sz w:val="20"/>
          <w:szCs w:val="20"/>
        </w:rPr>
        <w:t>:</w:t>
      </w:r>
    </w:p>
    <w:p w:rsidR="00000000" w:rsidRDefault="00010F15">
      <w:pPr>
        <w:divId w:val="896432638"/>
        <w:rPr>
          <w:rFonts w:ascii="Arial" w:eastAsia="Times New Roman" w:hAnsi="Arial" w:cs="Arial"/>
          <w:sz w:val="20"/>
          <w:szCs w:val="20"/>
        </w:rPr>
      </w:pPr>
      <w:r>
        <w:rPr>
          <w:rFonts w:eastAsia="Times New Roman"/>
          <w:sz w:val="20"/>
          <w:szCs w:val="20"/>
        </w:rPr>
        <w:t>•</w:t>
      </w:r>
    </w:p>
    <w:p w:rsidR="00000000" w:rsidRDefault="00010F15">
      <w:pPr>
        <w:divId w:val="839810982"/>
        <w:rPr>
          <w:rFonts w:ascii="Arial" w:eastAsia="Times New Roman" w:hAnsi="Arial" w:cs="Arial"/>
          <w:sz w:val="20"/>
          <w:szCs w:val="20"/>
        </w:rPr>
      </w:pPr>
      <w:r>
        <w:rPr>
          <w:rFonts w:ascii="Arial" w:eastAsia="Times New Roman" w:hAnsi="Arial" w:cs="Arial"/>
          <w:sz w:val="20"/>
          <w:szCs w:val="20"/>
        </w:rPr>
        <w:t>all</w:t>
      </w:r>
      <w:r>
        <w:rPr>
          <w:rFonts w:ascii="Arial" w:eastAsia="Times New Roman" w:hAnsi="Arial" w:cs="Arial"/>
          <w:sz w:val="20"/>
          <w:szCs w:val="20"/>
        </w:rPr>
        <w:t xml:space="preserve"> </w:t>
      </w:r>
      <w:r>
        <w:rPr>
          <w:rFonts w:ascii="Arial" w:eastAsia="Times New Roman" w:hAnsi="Arial" w:cs="Arial"/>
          <w:sz w:val="20"/>
          <w:szCs w:val="20"/>
        </w:rPr>
        <w:t>103,479,23</w:t>
      </w:r>
      <w:r>
        <w:rPr>
          <w:rFonts w:ascii="Arial" w:eastAsia="Times New Roman" w:hAnsi="Arial" w:cs="Arial"/>
          <w:sz w:val="20"/>
          <w:szCs w:val="20"/>
        </w:rPr>
        <w:t>9</w:t>
      </w:r>
      <w:r>
        <w:rPr>
          <w:rFonts w:ascii="Arial" w:eastAsia="Times New Roman" w:hAnsi="Arial" w:cs="Arial"/>
          <w:sz w:val="20"/>
          <w:szCs w:val="20"/>
        </w:rPr>
        <w:t xml:space="preserve"> shares of the Company’s o</w:t>
      </w:r>
      <w:r>
        <w:rPr>
          <w:rFonts w:ascii="Arial" w:eastAsia="Times New Roman" w:hAnsi="Arial" w:cs="Arial"/>
          <w:sz w:val="20"/>
          <w:szCs w:val="20"/>
        </w:rPr>
        <w:t>utstanding common stock automatically converted into an equivalent number of shares of Class B common stock on a one-to-one basis; an</w:t>
      </w:r>
      <w:r>
        <w:rPr>
          <w:rFonts w:ascii="Arial" w:eastAsia="Times New Roman" w:hAnsi="Arial" w:cs="Arial"/>
          <w:sz w:val="20"/>
          <w:szCs w:val="20"/>
        </w:rPr>
        <w:t>d</w:t>
      </w:r>
    </w:p>
    <w:p w:rsidR="00000000" w:rsidRDefault="00010F15">
      <w:pPr>
        <w:divId w:val="1371104927"/>
        <w:rPr>
          <w:rFonts w:ascii="Arial" w:eastAsia="Times New Roman" w:hAnsi="Arial" w:cs="Arial"/>
          <w:sz w:val="20"/>
          <w:szCs w:val="20"/>
        </w:rPr>
      </w:pPr>
      <w:r>
        <w:rPr>
          <w:rFonts w:eastAsia="Times New Roman"/>
          <w:sz w:val="20"/>
          <w:szCs w:val="20"/>
        </w:rPr>
        <w:t>•</w:t>
      </w:r>
    </w:p>
    <w:p w:rsidR="00000000" w:rsidRDefault="00010F15">
      <w:pPr>
        <w:divId w:val="786851402"/>
        <w:rPr>
          <w:rFonts w:ascii="Arial" w:eastAsia="Times New Roman" w:hAnsi="Arial" w:cs="Arial"/>
          <w:sz w:val="20"/>
          <w:szCs w:val="20"/>
        </w:rPr>
      </w:pPr>
      <w:r>
        <w:rPr>
          <w:rFonts w:ascii="Arial" w:eastAsia="Times New Roman" w:hAnsi="Arial" w:cs="Arial"/>
          <w:sz w:val="20"/>
          <w:szCs w:val="20"/>
        </w:rPr>
        <w:t>entities affiliated with Accel-KKR purchased</w:t>
      </w:r>
      <w:r>
        <w:rPr>
          <w:rFonts w:ascii="Arial" w:eastAsia="Times New Roman" w:hAnsi="Arial" w:cs="Arial"/>
          <w:sz w:val="20"/>
          <w:szCs w:val="20"/>
        </w:rPr>
        <w:t xml:space="preserve"> </w:t>
      </w:r>
      <w:r>
        <w:rPr>
          <w:rFonts w:ascii="Arial" w:eastAsia="Times New Roman" w:hAnsi="Arial" w:cs="Arial"/>
          <w:sz w:val="20"/>
          <w:szCs w:val="20"/>
        </w:rPr>
        <w:t>2,380,95</w:t>
      </w:r>
      <w:r>
        <w:rPr>
          <w:rFonts w:ascii="Arial" w:eastAsia="Times New Roman" w:hAnsi="Arial" w:cs="Arial"/>
          <w:sz w:val="20"/>
          <w:szCs w:val="20"/>
        </w:rPr>
        <w:t>0</w:t>
      </w:r>
      <w:r>
        <w:rPr>
          <w:rFonts w:ascii="Arial" w:eastAsia="Times New Roman" w:hAnsi="Arial" w:cs="Arial"/>
          <w:sz w:val="20"/>
          <w:szCs w:val="20"/>
        </w:rPr>
        <w:t xml:space="preserve"> shares of the Company’s Class A common stock at</w:t>
      </w:r>
      <w:r>
        <w:rPr>
          <w:rFonts w:ascii="Arial" w:eastAsia="Times New Roman" w:hAnsi="Arial" w:cs="Arial"/>
          <w:sz w:val="20"/>
          <w:szCs w:val="20"/>
        </w:rPr>
        <w:t xml:space="preserve"> </w:t>
      </w:r>
      <w:r>
        <w:rPr>
          <w:rFonts w:ascii="Arial" w:eastAsia="Times New Roman" w:hAnsi="Arial" w:cs="Arial"/>
          <w:sz w:val="20"/>
          <w:szCs w:val="20"/>
        </w:rPr>
        <w:t>$</w:t>
      </w:r>
      <w:r>
        <w:rPr>
          <w:rFonts w:ascii="Arial" w:eastAsia="Times New Roman" w:hAnsi="Arial" w:cs="Arial"/>
          <w:sz w:val="20"/>
          <w:szCs w:val="20"/>
        </w:rPr>
        <w:t>21.0</w:t>
      </w:r>
      <w:r>
        <w:rPr>
          <w:rFonts w:ascii="Arial" w:eastAsia="Times New Roman" w:hAnsi="Arial" w:cs="Arial"/>
          <w:sz w:val="20"/>
          <w:szCs w:val="20"/>
        </w:rPr>
        <w:t>0</w:t>
      </w:r>
      <w:r>
        <w:rPr>
          <w:rFonts w:ascii="Arial" w:eastAsia="Times New Roman" w:hAnsi="Arial" w:cs="Arial"/>
          <w:sz w:val="20"/>
          <w:szCs w:val="20"/>
        </w:rPr>
        <w:t xml:space="preserve"> per share</w:t>
      </w:r>
      <w:r>
        <w:rPr>
          <w:rFonts w:ascii="Arial" w:eastAsia="Times New Roman" w:hAnsi="Arial" w:cs="Arial"/>
          <w:sz w:val="20"/>
          <w:szCs w:val="20"/>
        </w:rPr>
        <w:t xml:space="preserve"> in a concurrent private placement that closed immediately subsequent to the closing of the IPO. The Company received aggregate proceeds of</w:t>
      </w:r>
      <w:r>
        <w:rPr>
          <w:rFonts w:ascii="Arial" w:eastAsia="Times New Roman" w:hAnsi="Arial" w:cs="Arial"/>
          <w:sz w:val="20"/>
          <w:szCs w:val="20"/>
        </w:rPr>
        <w:t xml:space="preserve"> </w:t>
      </w:r>
      <w:r>
        <w:rPr>
          <w:rFonts w:ascii="Arial" w:eastAsia="Times New Roman" w:hAnsi="Arial" w:cs="Arial"/>
          <w:sz w:val="20"/>
          <w:szCs w:val="20"/>
        </w:rPr>
        <w:t>$</w:t>
      </w:r>
      <w:r>
        <w:rPr>
          <w:rFonts w:ascii="Arial" w:eastAsia="Times New Roman" w:hAnsi="Arial" w:cs="Arial"/>
          <w:sz w:val="20"/>
          <w:szCs w:val="20"/>
        </w:rPr>
        <w:t>50.</w:t>
      </w:r>
      <w:r>
        <w:rPr>
          <w:rFonts w:ascii="Arial" w:eastAsia="Times New Roman" w:hAnsi="Arial" w:cs="Arial"/>
          <w:sz w:val="20"/>
          <w:szCs w:val="20"/>
        </w:rPr>
        <w:t>0</w:t>
      </w:r>
      <w:r>
        <w:rPr>
          <w:rFonts w:ascii="Arial" w:eastAsia="Times New Roman" w:hAnsi="Arial" w:cs="Arial"/>
          <w:sz w:val="20"/>
          <w:szCs w:val="20"/>
        </w:rPr>
        <w:t xml:space="preserve"> million in this concurrent private placement and did not pay underwriting discounts or commissions with respec</w:t>
      </w:r>
      <w:r>
        <w:rPr>
          <w:rFonts w:ascii="Arial" w:eastAsia="Times New Roman" w:hAnsi="Arial" w:cs="Arial"/>
          <w:sz w:val="20"/>
          <w:szCs w:val="20"/>
        </w:rPr>
        <w:t>t to the shares of Class A common stock that were sold in the private placement</w:t>
      </w:r>
      <w:r>
        <w:rPr>
          <w:rFonts w:ascii="Arial" w:eastAsia="Times New Roman" w:hAnsi="Arial" w:cs="Arial"/>
          <w:sz w:val="20"/>
          <w:szCs w:val="20"/>
        </w:rPr>
        <w:t>.</w:t>
      </w:r>
    </w:p>
    <w:p w:rsidR="00000000" w:rsidRDefault="00010F15">
      <w:pPr>
        <w:pStyle w:val="a3"/>
        <w:spacing w:before="240" w:beforeAutospacing="0" w:after="0" w:afterAutospacing="0"/>
        <w:ind w:hanging="569"/>
        <w:divId w:val="1754886306"/>
        <w:rPr>
          <w:sz w:val="20"/>
          <w:szCs w:val="20"/>
        </w:rPr>
      </w:pPr>
      <w:r>
        <w:rPr>
          <w:rFonts w:ascii="Arial" w:hAnsi="Arial" w:cs="Arial"/>
          <w:b/>
          <w:bCs/>
          <w:sz w:val="20"/>
          <w:szCs w:val="20"/>
        </w:rPr>
        <w:t>2. Basis of Presentation and Summary of Significant Accounting Policie</w:t>
      </w:r>
      <w:r>
        <w:rPr>
          <w:rFonts w:ascii="Arial" w:hAnsi="Arial" w:cs="Arial"/>
          <w:b/>
          <w:bCs/>
          <w:sz w:val="20"/>
          <w:szCs w:val="20"/>
        </w:rPr>
        <w:t>s</w:t>
      </w:r>
    </w:p>
    <w:p w:rsidR="00000000" w:rsidRDefault="00010F15">
      <w:pPr>
        <w:pStyle w:val="a3"/>
        <w:spacing w:before="240" w:beforeAutospacing="0" w:after="0" w:afterAutospacing="0"/>
        <w:divId w:val="1435436500"/>
        <w:rPr>
          <w:sz w:val="20"/>
          <w:szCs w:val="20"/>
        </w:rPr>
      </w:pPr>
      <w:r>
        <w:rPr>
          <w:rFonts w:ascii="Arial" w:hAnsi="Arial" w:cs="Arial"/>
          <w:b/>
          <w:bCs/>
          <w:i/>
          <w:iCs/>
          <w:sz w:val="20"/>
          <w:szCs w:val="20"/>
        </w:rPr>
        <w:t>Basis of Presentatio</w:t>
      </w:r>
      <w:r>
        <w:rPr>
          <w:rFonts w:ascii="Arial" w:hAnsi="Arial" w:cs="Arial"/>
          <w:b/>
          <w:bCs/>
          <w:i/>
          <w:iCs/>
          <w:sz w:val="20"/>
          <w:szCs w:val="20"/>
        </w:rPr>
        <w:t>n</w:t>
      </w:r>
    </w:p>
    <w:p w:rsidR="00000000" w:rsidRDefault="00010F15">
      <w:pPr>
        <w:pStyle w:val="a3"/>
        <w:spacing w:before="120" w:beforeAutospacing="0" w:after="0" w:afterAutospacing="0"/>
        <w:ind w:firstLine="539"/>
        <w:divId w:val="1435436500"/>
        <w:rPr>
          <w:sz w:val="20"/>
          <w:szCs w:val="20"/>
        </w:rPr>
      </w:pPr>
      <w:r>
        <w:rPr>
          <w:rFonts w:ascii="Arial" w:hAnsi="Arial" w:cs="Arial"/>
          <w:sz w:val="20"/>
          <w:szCs w:val="20"/>
        </w:rPr>
        <w:t>The accompanying consolidated financial statements and related notes have been pr</w:t>
      </w:r>
      <w:r>
        <w:rPr>
          <w:rFonts w:ascii="Arial" w:hAnsi="Arial" w:cs="Arial"/>
          <w:sz w:val="20"/>
          <w:szCs w:val="20"/>
        </w:rPr>
        <w:t>epared in accordance with accounting principles generally accepted in the United States (“GAAP”)</w:t>
      </w:r>
      <w:r>
        <w:rPr>
          <w:rFonts w:ascii="Arial" w:hAnsi="Arial" w:cs="Arial"/>
          <w:sz w:val="20"/>
          <w:szCs w:val="20"/>
        </w:rPr>
        <w:t>.</w:t>
      </w:r>
      <w:r>
        <w:rPr>
          <w:rFonts w:ascii="Arial" w:hAnsi="Arial" w:cs="Arial"/>
          <w:sz w:val="20"/>
          <w:szCs w:val="20"/>
        </w:rPr>
        <w:t xml:space="preserve"> </w:t>
      </w:r>
    </w:p>
    <w:p w:rsidR="00000000" w:rsidRDefault="00010F15">
      <w:pPr>
        <w:pStyle w:val="a3"/>
        <w:spacing w:before="240" w:beforeAutospacing="0" w:after="0" w:afterAutospacing="0"/>
        <w:divId w:val="712732407"/>
        <w:rPr>
          <w:sz w:val="20"/>
          <w:szCs w:val="20"/>
        </w:rPr>
      </w:pPr>
      <w:r>
        <w:rPr>
          <w:rFonts w:ascii="Arial" w:hAnsi="Arial" w:cs="Arial"/>
          <w:b/>
          <w:bCs/>
          <w:i/>
          <w:iCs/>
          <w:sz w:val="20"/>
          <w:szCs w:val="20"/>
        </w:rPr>
        <w:t>Stock Spli</w:t>
      </w:r>
      <w:r>
        <w:rPr>
          <w:rFonts w:ascii="Arial" w:hAnsi="Arial" w:cs="Arial"/>
          <w:b/>
          <w:bCs/>
          <w:i/>
          <w:iCs/>
          <w:sz w:val="20"/>
          <w:szCs w:val="20"/>
        </w:rPr>
        <w:t>t</w:t>
      </w:r>
    </w:p>
    <w:p w:rsidR="00000000" w:rsidRDefault="00010F15">
      <w:pPr>
        <w:pStyle w:val="a3"/>
        <w:spacing w:before="120" w:beforeAutospacing="0" w:after="0" w:afterAutospacing="0"/>
        <w:ind w:firstLine="539"/>
        <w:divId w:val="712732407"/>
        <w:rPr>
          <w:sz w:val="20"/>
          <w:szCs w:val="20"/>
        </w:rPr>
      </w:pPr>
      <w:r>
        <w:rPr>
          <w:rFonts w:ascii="Arial" w:hAnsi="Arial" w:cs="Arial"/>
          <w:sz w:val="20"/>
          <w:szCs w:val="20"/>
        </w:rPr>
        <w:t>On May 10, 2021, the Company effected a</w:t>
      </w:r>
      <w:r>
        <w:rPr>
          <w:rFonts w:ascii="Arial" w:hAnsi="Arial" w:cs="Arial"/>
          <w:sz w:val="20"/>
          <w:szCs w:val="20"/>
        </w:rPr>
        <w:t xml:space="preserve"> </w:t>
      </w:r>
      <w:r>
        <w:rPr>
          <w:rFonts w:ascii="Arial" w:hAnsi="Arial" w:cs="Arial"/>
          <w:sz w:val="20"/>
          <w:szCs w:val="20"/>
        </w:rPr>
        <w:t>5</w:t>
      </w:r>
      <w:r>
        <w:rPr>
          <w:rFonts w:ascii="Arial" w:hAnsi="Arial" w:cs="Arial"/>
          <w:sz w:val="20"/>
          <w:szCs w:val="20"/>
        </w:rPr>
        <w:t xml:space="preserve">-for-1 forward stock split of its common stock. In connection with the forward stock split, each issued </w:t>
      </w:r>
      <w:r>
        <w:rPr>
          <w:rFonts w:ascii="Arial" w:hAnsi="Arial" w:cs="Arial"/>
          <w:sz w:val="20"/>
          <w:szCs w:val="20"/>
        </w:rPr>
        <w:t xml:space="preserve">and outstanding share of common stock, automatically and without action on the part of the holders, became five shares of common stock. The par value per share of common stock was not adjusted. All share, per share and related information presented in the </w:t>
      </w:r>
      <w:r>
        <w:rPr>
          <w:rFonts w:ascii="Arial" w:hAnsi="Arial" w:cs="Arial"/>
          <w:sz w:val="20"/>
          <w:szCs w:val="20"/>
        </w:rPr>
        <w:t>consolidated financial statements and accompanying notes have been retroactively adjusted, where applicable, to reflect the impact of the stock split</w:t>
      </w:r>
      <w:r>
        <w:rPr>
          <w:rFonts w:ascii="Arial" w:hAnsi="Arial" w:cs="Arial"/>
          <w:sz w:val="20"/>
          <w:szCs w:val="20"/>
        </w:rPr>
        <w:t>.</w:t>
      </w:r>
    </w:p>
    <w:p w:rsidR="00000000" w:rsidRDefault="00010F15">
      <w:pPr>
        <w:pStyle w:val="a3"/>
        <w:spacing w:before="240" w:beforeAutospacing="0" w:after="0" w:afterAutospacing="0"/>
        <w:divId w:val="786848085"/>
        <w:rPr>
          <w:sz w:val="20"/>
          <w:szCs w:val="20"/>
        </w:rPr>
      </w:pPr>
      <w:r>
        <w:rPr>
          <w:rFonts w:ascii="Arial" w:hAnsi="Arial" w:cs="Arial"/>
          <w:b/>
          <w:bCs/>
          <w:i/>
          <w:iCs/>
          <w:sz w:val="20"/>
          <w:szCs w:val="20"/>
        </w:rPr>
        <w:t>Principles of Consolidatio</w:t>
      </w:r>
      <w:r>
        <w:rPr>
          <w:rFonts w:ascii="Arial" w:hAnsi="Arial" w:cs="Arial"/>
          <w:b/>
          <w:bCs/>
          <w:i/>
          <w:iCs/>
          <w:sz w:val="20"/>
          <w:szCs w:val="20"/>
        </w:rPr>
        <w:t>n</w:t>
      </w:r>
    </w:p>
    <w:p w:rsidR="00000000" w:rsidRDefault="00010F15">
      <w:pPr>
        <w:pStyle w:val="a3"/>
        <w:spacing w:before="120" w:beforeAutospacing="0" w:after="0" w:afterAutospacing="0"/>
        <w:ind w:firstLine="539"/>
        <w:divId w:val="786848085"/>
        <w:rPr>
          <w:sz w:val="20"/>
          <w:szCs w:val="20"/>
        </w:rPr>
      </w:pPr>
      <w:r>
        <w:rPr>
          <w:rFonts w:ascii="Arial" w:hAnsi="Arial" w:cs="Arial"/>
          <w:sz w:val="20"/>
          <w:szCs w:val="20"/>
        </w:rPr>
        <w:t>The consolidated financial statements include the accounts of the Company and</w:t>
      </w:r>
      <w:r>
        <w:rPr>
          <w:rFonts w:ascii="Arial" w:hAnsi="Arial" w:cs="Arial"/>
          <w:sz w:val="20"/>
          <w:szCs w:val="20"/>
        </w:rPr>
        <w:t xml:space="preserve"> its wholly owned subsidiaries. All intercompany accounts and balances have been eliminated upon consolidation</w:t>
      </w:r>
      <w:r>
        <w:rPr>
          <w:rFonts w:ascii="Arial" w:hAnsi="Arial" w:cs="Arial"/>
          <w:sz w:val="20"/>
          <w:szCs w:val="20"/>
        </w:rPr>
        <w:t>.</w:t>
      </w:r>
      <w:r>
        <w:rPr>
          <w:rFonts w:ascii="Arial" w:hAnsi="Arial" w:cs="Arial"/>
          <w:sz w:val="20"/>
          <w:szCs w:val="20"/>
        </w:rPr>
        <w:t xml:space="preserve"> </w:t>
      </w:r>
    </w:p>
    <w:p w:rsidR="00000000" w:rsidRDefault="00010F15">
      <w:pPr>
        <w:pStyle w:val="a3"/>
        <w:spacing w:before="240" w:beforeAutospacing="0" w:after="0" w:afterAutospacing="0"/>
        <w:divId w:val="902180468"/>
        <w:rPr>
          <w:sz w:val="20"/>
          <w:szCs w:val="20"/>
        </w:rPr>
      </w:pPr>
      <w:r>
        <w:rPr>
          <w:rFonts w:ascii="Arial" w:hAnsi="Arial" w:cs="Arial"/>
          <w:b/>
          <w:bCs/>
          <w:i/>
          <w:iCs/>
          <w:sz w:val="20"/>
          <w:szCs w:val="20"/>
        </w:rPr>
        <w:t>Segment Informatio</w:t>
      </w:r>
      <w:r>
        <w:rPr>
          <w:rFonts w:ascii="Arial" w:hAnsi="Arial" w:cs="Arial"/>
          <w:b/>
          <w:bCs/>
          <w:i/>
          <w:iCs/>
          <w:sz w:val="20"/>
          <w:szCs w:val="20"/>
        </w:rPr>
        <w:t>n</w:t>
      </w:r>
    </w:p>
    <w:p w:rsidR="00000000" w:rsidRDefault="00010F15">
      <w:pPr>
        <w:pStyle w:val="a3"/>
        <w:spacing w:before="120" w:beforeAutospacing="0" w:after="0" w:afterAutospacing="0"/>
        <w:ind w:firstLine="539"/>
        <w:divId w:val="902180468"/>
        <w:rPr>
          <w:sz w:val="20"/>
          <w:szCs w:val="20"/>
        </w:rPr>
      </w:pPr>
      <w:r>
        <w:rPr>
          <w:rFonts w:ascii="Arial" w:hAnsi="Arial" w:cs="Arial"/>
          <w:sz w:val="20"/>
          <w:szCs w:val="20"/>
        </w:rPr>
        <w:t>Operating segments are defined as components of an enterprise for which separate financial information is available and eva</w:t>
      </w:r>
      <w:r>
        <w:rPr>
          <w:rFonts w:ascii="Arial" w:hAnsi="Arial" w:cs="Arial"/>
          <w:sz w:val="20"/>
          <w:szCs w:val="20"/>
        </w:rPr>
        <w:t>luated regularly by the chief operating decision maker (“CODM”) in deciding how to make operating decisions, allocate resources and assess performance. The Company has</w:t>
      </w:r>
      <w:r>
        <w:rPr>
          <w:rFonts w:ascii="Arial" w:hAnsi="Arial" w:cs="Arial"/>
          <w:sz w:val="20"/>
          <w:szCs w:val="20"/>
        </w:rPr>
        <w:t xml:space="preserve"> </w:t>
      </w:r>
      <w:r>
        <w:rPr>
          <w:rFonts w:ascii="Arial" w:hAnsi="Arial" w:cs="Arial"/>
          <w:sz w:val="20"/>
          <w:szCs w:val="20"/>
        </w:rPr>
        <w:t>thre</w:t>
      </w:r>
      <w:r>
        <w:rPr>
          <w:rFonts w:ascii="Arial" w:hAnsi="Arial" w:cs="Arial"/>
          <w:sz w:val="20"/>
          <w:szCs w:val="20"/>
        </w:rPr>
        <w:t>e</w:t>
      </w:r>
      <w:r>
        <w:rPr>
          <w:rFonts w:ascii="Arial" w:hAnsi="Arial" w:cs="Arial"/>
          <w:sz w:val="20"/>
          <w:szCs w:val="20"/>
        </w:rPr>
        <w:t xml:space="preserve"> operating</w:t>
      </w:r>
      <w:r>
        <w:rPr>
          <w:rFonts w:ascii="Arial" w:hAnsi="Arial" w:cs="Arial"/>
          <w:sz w:val="20"/>
          <w:szCs w:val="20"/>
        </w:rPr>
        <w:t xml:space="preserve"> </w:t>
      </w:r>
      <w:r>
        <w:rPr>
          <w:rFonts w:ascii="Arial" w:hAnsi="Arial" w:cs="Arial"/>
          <w:sz w:val="20"/>
          <w:szCs w:val="20"/>
        </w:rPr>
        <w:t>segments based on geography. The United States segment represents the va</w:t>
      </w:r>
      <w:r>
        <w:rPr>
          <w:rFonts w:ascii="Arial" w:hAnsi="Arial" w:cs="Arial"/>
          <w:sz w:val="20"/>
          <w:szCs w:val="20"/>
        </w:rPr>
        <w:t>st majority of the Company’s consolidated net sales and gross profit. The additional two operating segments, Canada and India, do not meet the quantitative thresholds for separate reporting, either individually or in the aggregate. None of the operating se</w:t>
      </w:r>
      <w:r>
        <w:rPr>
          <w:rFonts w:ascii="Arial" w:hAnsi="Arial" w:cs="Arial"/>
          <w:sz w:val="20"/>
          <w:szCs w:val="20"/>
        </w:rPr>
        <w:t>gments qualified for aggregation. The Company’s COD</w:t>
      </w:r>
      <w:r>
        <w:rPr>
          <w:rFonts w:ascii="Arial" w:hAnsi="Arial" w:cs="Arial"/>
          <w:sz w:val="20"/>
          <w:szCs w:val="20"/>
        </w:rPr>
        <w:t>M</w:t>
      </w:r>
      <w:r>
        <w:rPr>
          <w:rFonts w:ascii="Arial" w:hAnsi="Arial" w:cs="Arial"/>
          <w:sz w:val="20"/>
          <w:szCs w:val="20"/>
        </w:rPr>
        <w:t xml:space="preserve"> </w:t>
      </w:r>
    </w:p>
    <w:p w:rsidR="00000000" w:rsidRDefault="00010F15">
      <w:pPr>
        <w:pStyle w:val="a3"/>
        <w:spacing w:before="120" w:beforeAutospacing="0" w:after="0" w:afterAutospacing="0"/>
        <w:jc w:val="center"/>
        <w:divId w:val="902180468"/>
        <w:rPr>
          <w:sz w:val="20"/>
          <w:szCs w:val="20"/>
        </w:rPr>
      </w:pPr>
      <w:r>
        <w:rPr>
          <w:rFonts w:ascii="Arial" w:hAnsi="Arial" w:cs="Arial"/>
          <w:sz w:val="20"/>
          <w:szCs w:val="20"/>
        </w:rPr>
        <w:t>7</w:t>
      </w:r>
      <w:r>
        <w:rPr>
          <w:rFonts w:ascii="Arial" w:hAnsi="Arial" w:cs="Arial"/>
          <w:sz w:val="20"/>
          <w:szCs w:val="20"/>
        </w:rPr>
        <w:t>8</w:t>
      </w:r>
    </w:p>
    <w:p w:rsidR="00000000" w:rsidRDefault="00010F15">
      <w:pPr>
        <w:divId w:val="902180468"/>
        <w:rPr>
          <w:rFonts w:ascii="Arial" w:eastAsia="Times New Roman" w:hAnsi="Arial" w:cs="Arial"/>
          <w:sz w:val="20"/>
          <w:szCs w:val="20"/>
        </w:rPr>
      </w:pPr>
      <w:r>
        <w:rPr>
          <w:rFonts w:ascii="Arial" w:eastAsia="Times New Roman" w:hAnsi="Arial" w:cs="Arial"/>
          <w:sz w:val="20"/>
          <w:szCs w:val="20"/>
        </w:rPr>
        <w:pict>
          <v:rect id="_x0000_i1103" style="width:0;height:1.5pt" o:hralign="center" o:hrstd="t" o:hr="t" fillcolor="#a0a0a0" stroked="f"/>
        </w:pict>
      </w:r>
    </w:p>
    <w:p w:rsidR="00000000" w:rsidRDefault="00010F15">
      <w:pPr>
        <w:pStyle w:val="a3"/>
        <w:spacing w:before="0" w:beforeAutospacing="0" w:after="0" w:afterAutospacing="0"/>
        <w:divId w:val="902180468"/>
        <w:rPr>
          <w:sz w:val="20"/>
          <w:szCs w:val="20"/>
        </w:rPr>
      </w:pPr>
      <w:r>
        <w:rPr>
          <w:sz w:val="20"/>
          <w:szCs w:val="20"/>
        </w:rPr>
        <w:t> </w:t>
      </w:r>
    </w:p>
    <w:p w:rsidR="00000000" w:rsidRDefault="00010F15">
      <w:pPr>
        <w:pStyle w:val="a3"/>
        <w:spacing w:before="120" w:beforeAutospacing="0" w:after="0" w:afterAutospacing="0"/>
        <w:divId w:val="902180468"/>
        <w:rPr>
          <w:sz w:val="20"/>
          <w:szCs w:val="20"/>
        </w:rPr>
      </w:pPr>
      <w:r>
        <w:rPr>
          <w:rFonts w:ascii="Arial" w:hAnsi="Arial" w:cs="Arial"/>
          <w:sz w:val="20"/>
          <w:szCs w:val="20"/>
        </w:rPr>
        <w:t>is</w:t>
      </w:r>
      <w:r>
        <w:rPr>
          <w:rFonts w:ascii="Arial" w:hAnsi="Arial" w:cs="Arial"/>
          <w:sz w:val="20"/>
          <w:szCs w:val="20"/>
        </w:rPr>
        <w:t xml:space="preserve"> </w:t>
      </w:r>
      <w:r>
        <w:rPr>
          <w:rFonts w:ascii="Arial" w:hAnsi="Arial" w:cs="Arial"/>
          <w:sz w:val="20"/>
          <w:szCs w:val="20"/>
        </w:rPr>
        <w:t xml:space="preserve">its Chief Executive Officer. The CODM evaluates the performance of the Company’s operating segments based on revenue and gross profit. The Company does not analyze discrete segment balance sheet information related </w:t>
      </w:r>
      <w:r>
        <w:rPr>
          <w:rFonts w:ascii="Arial" w:hAnsi="Arial" w:cs="Arial"/>
          <w:sz w:val="20"/>
          <w:szCs w:val="20"/>
        </w:rPr>
        <w:t>to long-term assets. All other financial information is presented on a consolidated basis. For information regarding the Company’s long-lived assets and revenue by geographic area, see Note 14</w:t>
      </w:r>
      <w:r>
        <w:rPr>
          <w:rFonts w:ascii="Arial" w:hAnsi="Arial" w:cs="Arial"/>
          <w:sz w:val="20"/>
          <w:szCs w:val="20"/>
        </w:rPr>
        <w:t>.</w:t>
      </w:r>
    </w:p>
    <w:p w:rsidR="00000000" w:rsidRDefault="00010F15">
      <w:pPr>
        <w:pStyle w:val="a3"/>
        <w:spacing w:before="240" w:beforeAutospacing="0" w:after="0" w:afterAutospacing="0"/>
        <w:divId w:val="1086342216"/>
        <w:rPr>
          <w:sz w:val="20"/>
          <w:szCs w:val="20"/>
        </w:rPr>
      </w:pPr>
      <w:r>
        <w:rPr>
          <w:rFonts w:ascii="Arial" w:hAnsi="Arial" w:cs="Arial"/>
          <w:b/>
          <w:bCs/>
          <w:i/>
          <w:iCs/>
          <w:sz w:val="20"/>
          <w:szCs w:val="20"/>
        </w:rPr>
        <w:t>Use of Estimate</w:t>
      </w:r>
      <w:r>
        <w:rPr>
          <w:rFonts w:ascii="Arial" w:hAnsi="Arial" w:cs="Arial"/>
          <w:b/>
          <w:bCs/>
          <w:i/>
          <w:iCs/>
          <w:sz w:val="20"/>
          <w:szCs w:val="20"/>
        </w:rPr>
        <w:t>s</w:t>
      </w:r>
    </w:p>
    <w:p w:rsidR="00000000" w:rsidRDefault="00010F15">
      <w:pPr>
        <w:pStyle w:val="a3"/>
        <w:spacing w:before="120" w:beforeAutospacing="0" w:after="0" w:afterAutospacing="0"/>
        <w:ind w:firstLine="539"/>
        <w:divId w:val="1086342216"/>
        <w:rPr>
          <w:sz w:val="20"/>
          <w:szCs w:val="20"/>
        </w:rPr>
      </w:pPr>
      <w:r>
        <w:rPr>
          <w:rFonts w:ascii="Arial" w:hAnsi="Arial" w:cs="Arial"/>
          <w:sz w:val="20"/>
          <w:szCs w:val="20"/>
        </w:rPr>
        <w:t>The preparation of consolidated financial sta</w:t>
      </w:r>
      <w:r>
        <w:rPr>
          <w:rFonts w:ascii="Arial" w:hAnsi="Arial" w:cs="Arial"/>
          <w:sz w:val="20"/>
          <w:szCs w:val="20"/>
        </w:rPr>
        <w:t>tements in conformity with GAAP requires management to make estimates and assumptions that affect the amounts reported in the consolidated financial statements and accompanying notes. Such estimates include revenue recognition, the allowance for credit los</w:t>
      </w:r>
      <w:r>
        <w:rPr>
          <w:rFonts w:ascii="Arial" w:hAnsi="Arial" w:cs="Arial"/>
          <w:sz w:val="20"/>
          <w:szCs w:val="20"/>
        </w:rPr>
        <w:t>ses, the lives of tangible and intangible assets, the valuation of acquired intangible assets and the recoverability or impairment of intangible assets, including goodwill, internal-use software development costs, valuation of stock warrants issued, stock-</w:t>
      </w:r>
      <w:r>
        <w:rPr>
          <w:rFonts w:ascii="Arial" w:hAnsi="Arial" w:cs="Arial"/>
          <w:sz w:val="20"/>
          <w:szCs w:val="20"/>
        </w:rPr>
        <w:t>based compensation, and accounting for income taxes. The Company bases its estimates on historical experience and also on assumptions that management considers reasonable. The Company assesses these estimates on a regular basis; however, actual results cou</w:t>
      </w:r>
      <w:r>
        <w:rPr>
          <w:rFonts w:ascii="Arial" w:hAnsi="Arial" w:cs="Arial"/>
          <w:sz w:val="20"/>
          <w:szCs w:val="20"/>
        </w:rPr>
        <w:t>ld differ from these estimates</w:t>
      </w:r>
      <w:r>
        <w:rPr>
          <w:rFonts w:ascii="Arial" w:hAnsi="Arial" w:cs="Arial"/>
          <w:sz w:val="20"/>
          <w:szCs w:val="20"/>
        </w:rPr>
        <w:t>.</w:t>
      </w:r>
    </w:p>
    <w:p w:rsidR="00000000" w:rsidRDefault="00010F15">
      <w:pPr>
        <w:pStyle w:val="a3"/>
        <w:spacing w:before="240" w:beforeAutospacing="0" w:after="0" w:afterAutospacing="0"/>
        <w:divId w:val="398328025"/>
        <w:rPr>
          <w:sz w:val="20"/>
          <w:szCs w:val="20"/>
        </w:rPr>
      </w:pPr>
      <w:r>
        <w:rPr>
          <w:rFonts w:ascii="Arial" w:hAnsi="Arial" w:cs="Arial"/>
          <w:b/>
          <w:bCs/>
          <w:i/>
          <w:iCs/>
          <w:sz w:val="20"/>
          <w:szCs w:val="20"/>
        </w:rPr>
        <w:t>Foreign Currenc</w:t>
      </w:r>
      <w:r>
        <w:rPr>
          <w:rFonts w:ascii="Arial" w:hAnsi="Arial" w:cs="Arial"/>
          <w:b/>
          <w:bCs/>
          <w:i/>
          <w:iCs/>
          <w:sz w:val="20"/>
          <w:szCs w:val="20"/>
        </w:rPr>
        <w:t>y</w:t>
      </w:r>
    </w:p>
    <w:p w:rsidR="00000000" w:rsidRDefault="00010F15">
      <w:pPr>
        <w:pStyle w:val="a3"/>
        <w:spacing w:before="120" w:beforeAutospacing="0" w:after="0" w:afterAutospacing="0"/>
        <w:ind w:firstLine="539"/>
        <w:divId w:val="398328025"/>
        <w:rPr>
          <w:sz w:val="20"/>
          <w:szCs w:val="20"/>
        </w:rPr>
      </w:pPr>
      <w:r>
        <w:rPr>
          <w:rFonts w:ascii="Arial" w:hAnsi="Arial" w:cs="Arial"/>
          <w:sz w:val="20"/>
          <w:szCs w:val="20"/>
        </w:rPr>
        <w:t>The reporting currency of the Company is the United States Dollar. The Company’s foreign subsidiaries use the local currency of their respective countries as their functional currency. Assets and liabilities</w:t>
      </w:r>
      <w:r>
        <w:rPr>
          <w:rFonts w:ascii="Arial" w:hAnsi="Arial" w:cs="Arial"/>
          <w:sz w:val="20"/>
          <w:szCs w:val="20"/>
        </w:rPr>
        <w:t xml:space="preserve"> are translated using the exchange rates at the balance sheet date. Revenue and expenses are translated at average exchange rates during the period. Equity transactions are translated using historical exchange rates. The effects of foreign currency transla</w:t>
      </w:r>
      <w:r>
        <w:rPr>
          <w:rFonts w:ascii="Arial" w:hAnsi="Arial" w:cs="Arial"/>
          <w:sz w:val="20"/>
          <w:szCs w:val="20"/>
        </w:rPr>
        <w:t>tion adjustments are recorded in accumulated other comprehensive income (loss) or (“AOCI”) as a component of stockholders' equity, and related periodic movements are summarized as a line item in the consolidated statements of comprehensive income. Gains an</w:t>
      </w:r>
      <w:r>
        <w:rPr>
          <w:rFonts w:ascii="Arial" w:hAnsi="Arial" w:cs="Arial"/>
          <w:sz w:val="20"/>
          <w:szCs w:val="20"/>
        </w:rPr>
        <w:t>d losses from the remeasurement of foreign currency transactions into the functional currency are recognized as foreign exchange gain (loss) in the consolidated statements of operations</w:t>
      </w:r>
      <w:r>
        <w:rPr>
          <w:rFonts w:ascii="Arial" w:hAnsi="Arial" w:cs="Arial"/>
          <w:sz w:val="20"/>
          <w:szCs w:val="20"/>
        </w:rPr>
        <w:t>.</w:t>
      </w:r>
    </w:p>
    <w:p w:rsidR="00000000" w:rsidRDefault="00010F15">
      <w:pPr>
        <w:pStyle w:val="a3"/>
        <w:spacing w:before="240" w:beforeAutospacing="0" w:after="0" w:afterAutospacing="0"/>
        <w:divId w:val="333147032"/>
        <w:rPr>
          <w:sz w:val="20"/>
          <w:szCs w:val="20"/>
        </w:rPr>
      </w:pPr>
      <w:r>
        <w:rPr>
          <w:rFonts w:ascii="Arial" w:hAnsi="Arial" w:cs="Arial"/>
          <w:b/>
          <w:bCs/>
          <w:i/>
          <w:iCs/>
          <w:sz w:val="20"/>
          <w:szCs w:val="20"/>
        </w:rPr>
        <w:t>Revenue Recognitio</w:t>
      </w:r>
      <w:r>
        <w:rPr>
          <w:rFonts w:ascii="Arial" w:hAnsi="Arial" w:cs="Arial"/>
          <w:b/>
          <w:bCs/>
          <w:i/>
          <w:iCs/>
          <w:sz w:val="20"/>
          <w:szCs w:val="20"/>
        </w:rPr>
        <w:t>n</w:t>
      </w:r>
    </w:p>
    <w:p w:rsidR="00000000" w:rsidRDefault="00010F15">
      <w:pPr>
        <w:pStyle w:val="a3"/>
        <w:spacing w:before="120" w:beforeAutospacing="0" w:after="0" w:afterAutospacing="0"/>
        <w:ind w:firstLine="539"/>
        <w:divId w:val="333147032"/>
        <w:rPr>
          <w:sz w:val="20"/>
          <w:szCs w:val="20"/>
        </w:rPr>
      </w:pPr>
      <w:r>
        <w:rPr>
          <w:rFonts w:ascii="Arial" w:hAnsi="Arial" w:cs="Arial"/>
          <w:sz w:val="20"/>
          <w:szCs w:val="20"/>
        </w:rPr>
        <w:t>The Company generates revenue primarily from paym</w:t>
      </w:r>
      <w:r>
        <w:rPr>
          <w:rFonts w:ascii="Arial" w:hAnsi="Arial" w:cs="Arial"/>
          <w:sz w:val="20"/>
          <w:szCs w:val="20"/>
        </w:rPr>
        <w:t>ent transaction fees processed through the Company’s platform. The fees are generated as a percentage of transaction value or a specified fee per transaction. For biller transactions the actual fees are dependent on payment type, payment channel or industr</w:t>
      </w:r>
      <w:r>
        <w:rPr>
          <w:rFonts w:ascii="Arial" w:hAnsi="Arial" w:cs="Arial"/>
          <w:sz w:val="20"/>
          <w:szCs w:val="20"/>
        </w:rPr>
        <w:t>y vertical. The payment transaction fees are received directly (i) from billers, who absorb the cost, or from customers in the form of a convenience-type fee, or (ii) from financial institutions. Transaction fees are collected for each completed transactio</w:t>
      </w:r>
      <w:r>
        <w:rPr>
          <w:rFonts w:ascii="Arial" w:hAnsi="Arial" w:cs="Arial"/>
          <w:sz w:val="20"/>
          <w:szCs w:val="20"/>
        </w:rPr>
        <w:t>n processed through the platform. The Company also earns other revenue, which primarily consists of maintenance revenue and subscription revenue. Other revenue represented approximately</w:t>
      </w:r>
      <w:r>
        <w:rPr>
          <w:rFonts w:ascii="Arial" w:hAnsi="Arial" w:cs="Arial"/>
          <w:sz w:val="20"/>
          <w:szCs w:val="20"/>
        </w:rPr>
        <w:t xml:space="preserve"> </w:t>
      </w:r>
      <w:r>
        <w:rPr>
          <w:rFonts w:ascii="Arial" w:hAnsi="Arial" w:cs="Arial"/>
          <w:sz w:val="20"/>
          <w:szCs w:val="20"/>
        </w:rPr>
        <w:t>1.</w:t>
      </w:r>
      <w:r>
        <w:rPr>
          <w:rFonts w:ascii="Arial" w:hAnsi="Arial" w:cs="Arial"/>
          <w:sz w:val="20"/>
          <w:szCs w:val="20"/>
        </w:rPr>
        <w:t>2</w:t>
      </w:r>
      <w:r>
        <w:rPr>
          <w:rFonts w:ascii="Arial" w:hAnsi="Arial" w:cs="Arial"/>
          <w:sz w:val="20"/>
          <w:szCs w:val="20"/>
        </w:rPr>
        <w:t>%,</w:t>
      </w:r>
      <w:r>
        <w:rPr>
          <w:rFonts w:ascii="Arial" w:hAnsi="Arial" w:cs="Arial"/>
          <w:sz w:val="20"/>
          <w:szCs w:val="20"/>
        </w:rPr>
        <w:t xml:space="preserve"> </w:t>
      </w:r>
      <w:r>
        <w:rPr>
          <w:rFonts w:ascii="Arial" w:hAnsi="Arial" w:cs="Arial"/>
          <w:sz w:val="20"/>
          <w:szCs w:val="20"/>
        </w:rPr>
        <w:t>1.</w:t>
      </w:r>
      <w:r>
        <w:rPr>
          <w:rFonts w:ascii="Arial" w:hAnsi="Arial" w:cs="Arial"/>
          <w:sz w:val="20"/>
          <w:szCs w:val="20"/>
        </w:rPr>
        <w:t>4</w:t>
      </w:r>
      <w:r>
        <w:rPr>
          <w:rFonts w:ascii="Arial" w:hAnsi="Arial" w:cs="Arial"/>
          <w:sz w:val="20"/>
          <w:szCs w:val="20"/>
        </w:rPr>
        <w:t>% and</w:t>
      </w:r>
      <w:r>
        <w:rPr>
          <w:rFonts w:ascii="Arial" w:hAnsi="Arial" w:cs="Arial"/>
          <w:sz w:val="20"/>
          <w:szCs w:val="20"/>
        </w:rPr>
        <w:t xml:space="preserve"> </w:t>
      </w:r>
      <w:r>
        <w:rPr>
          <w:rFonts w:ascii="Arial" w:hAnsi="Arial" w:cs="Arial"/>
          <w:sz w:val="20"/>
          <w:szCs w:val="20"/>
        </w:rPr>
        <w:t>1.</w:t>
      </w:r>
      <w:r>
        <w:rPr>
          <w:rFonts w:ascii="Arial" w:hAnsi="Arial" w:cs="Arial"/>
          <w:sz w:val="20"/>
          <w:szCs w:val="20"/>
        </w:rPr>
        <w:t>4</w:t>
      </w:r>
      <w:r>
        <w:rPr>
          <w:rFonts w:ascii="Arial" w:hAnsi="Arial" w:cs="Arial"/>
          <w:sz w:val="20"/>
          <w:szCs w:val="20"/>
        </w:rPr>
        <w:t xml:space="preserve">% of total revenue for the years ended December 31, </w:t>
      </w:r>
      <w:r>
        <w:rPr>
          <w:rFonts w:ascii="Arial" w:hAnsi="Arial" w:cs="Arial"/>
          <w:sz w:val="20"/>
          <w:szCs w:val="20"/>
        </w:rPr>
        <w:t>2021, 2020 and 2019, respectively</w:t>
      </w:r>
      <w:r>
        <w:rPr>
          <w:rFonts w:ascii="Arial" w:hAnsi="Arial" w:cs="Arial"/>
          <w:sz w:val="20"/>
          <w:szCs w:val="20"/>
        </w:rPr>
        <w:t>.</w:t>
      </w:r>
    </w:p>
    <w:p w:rsidR="00000000" w:rsidRDefault="00010F15">
      <w:pPr>
        <w:pStyle w:val="a3"/>
        <w:spacing w:before="120" w:beforeAutospacing="0" w:after="0" w:afterAutospacing="0"/>
        <w:divId w:val="333147032"/>
        <w:rPr>
          <w:sz w:val="20"/>
          <w:szCs w:val="20"/>
        </w:rPr>
      </w:pPr>
      <w:r>
        <w:rPr>
          <w:rFonts w:ascii="Arial" w:hAnsi="Arial" w:cs="Arial"/>
          <w:i/>
          <w:iCs/>
          <w:sz w:val="20"/>
          <w:szCs w:val="20"/>
        </w:rPr>
        <w:t>Contract Asset</w:t>
      </w:r>
      <w:r>
        <w:rPr>
          <w:rFonts w:ascii="Arial" w:hAnsi="Arial" w:cs="Arial"/>
          <w:i/>
          <w:iCs/>
          <w:sz w:val="20"/>
          <w:szCs w:val="20"/>
        </w:rPr>
        <w:t>s</w:t>
      </w:r>
    </w:p>
    <w:p w:rsidR="00000000" w:rsidRDefault="00010F15">
      <w:pPr>
        <w:pStyle w:val="a3"/>
        <w:spacing w:before="120" w:beforeAutospacing="0" w:after="0" w:afterAutospacing="0"/>
        <w:ind w:firstLine="539"/>
        <w:divId w:val="333147032"/>
        <w:rPr>
          <w:sz w:val="20"/>
          <w:szCs w:val="20"/>
        </w:rPr>
      </w:pPr>
      <w:r>
        <w:rPr>
          <w:rFonts w:ascii="Arial" w:hAnsi="Arial" w:cs="Arial"/>
          <w:sz w:val="20"/>
          <w:szCs w:val="20"/>
        </w:rPr>
        <w:t>Contract assets include unbilled amounts typically resulting from arrangements whereby complete satisfaction of a performance obligation and the right to payment are conditioned on completing additional ta</w:t>
      </w:r>
      <w:r>
        <w:rPr>
          <w:rFonts w:ascii="Arial" w:hAnsi="Arial" w:cs="Arial"/>
          <w:sz w:val="20"/>
          <w:szCs w:val="20"/>
        </w:rPr>
        <w:t>sks or services. In addition, the Company recorded a contract asset in connection with a warrant agreement with a customer that was signed in May 2021. Following the guidance in ASC 606, the Company accounts for consideration payable in the form of warrant</w:t>
      </w:r>
      <w:r>
        <w:rPr>
          <w:rFonts w:ascii="Arial" w:hAnsi="Arial" w:cs="Arial"/>
          <w:sz w:val="20"/>
          <w:szCs w:val="20"/>
        </w:rPr>
        <w:t>s to a customer as a reduction of the transaction price and therefore, of revenue. The Company has estimated the transaction price related to the revenue for this customer inclusive of the estimated value of the warrants earned and expected to be earned ov</w:t>
      </w:r>
      <w:r>
        <w:rPr>
          <w:rFonts w:ascii="Arial" w:hAnsi="Arial" w:cs="Arial"/>
          <w:sz w:val="20"/>
          <w:szCs w:val="20"/>
        </w:rPr>
        <w:t>er the term of the contract</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divId w:val="1754886306"/>
        <w:rPr>
          <w:sz w:val="20"/>
          <w:szCs w:val="20"/>
        </w:rPr>
      </w:pPr>
      <w:r>
        <w:rPr>
          <w:rFonts w:ascii="Arial" w:hAnsi="Arial" w:cs="Arial"/>
          <w:i/>
          <w:iCs/>
          <w:sz w:val="20"/>
          <w:szCs w:val="20"/>
        </w:rPr>
        <w:t>Contract Liabilitie</w:t>
      </w:r>
      <w:r>
        <w:rPr>
          <w:rFonts w:ascii="Arial" w:hAnsi="Arial" w:cs="Arial"/>
          <w:i/>
          <w:iCs/>
          <w:sz w:val="20"/>
          <w:szCs w:val="20"/>
        </w:rPr>
        <w:t>s</w:t>
      </w:r>
    </w:p>
    <w:p w:rsidR="00000000" w:rsidRDefault="00010F15">
      <w:pPr>
        <w:pStyle w:val="a3"/>
        <w:spacing w:before="120" w:beforeAutospacing="0" w:after="0" w:afterAutospacing="0"/>
        <w:ind w:firstLine="539"/>
        <w:divId w:val="1754886306"/>
        <w:rPr>
          <w:sz w:val="20"/>
          <w:szCs w:val="20"/>
        </w:rPr>
      </w:pPr>
      <w:r>
        <w:rPr>
          <w:rFonts w:ascii="Arial" w:hAnsi="Arial" w:cs="Arial"/>
          <w:sz w:val="20"/>
          <w:szCs w:val="20"/>
        </w:rPr>
        <w:t>Contract liabilities relate to fees billed in advance of services provided. The terms of the contract normally require the customer to pay a fixed monthly fee for hosting and maintenance, plus a nonrefunda</w:t>
      </w:r>
      <w:r>
        <w:rPr>
          <w:rFonts w:ascii="Arial" w:hAnsi="Arial" w:cs="Arial"/>
          <w:sz w:val="20"/>
          <w:szCs w:val="20"/>
        </w:rPr>
        <w:t>ble up-front fee for set-up, integration services, and data conversion at contract inception. The non-refundable up-front fees are typically billed in advance of services provided and are recorded as contract liability in the consolidated balance sheets. T</w:t>
      </w:r>
      <w:r>
        <w:rPr>
          <w:rFonts w:ascii="Arial" w:hAnsi="Arial" w:cs="Arial"/>
          <w:sz w:val="20"/>
          <w:szCs w:val="20"/>
        </w:rPr>
        <w:t xml:space="preserve">hese fees are amortized ratably over the term of the agreement and recognized as revenue. The fixed monthly fee is for a promised service of hosting and maintenance. These services are provided over the same period and have the same pattern of transfer to </w:t>
      </w:r>
      <w:r>
        <w:rPr>
          <w:rFonts w:ascii="Arial" w:hAnsi="Arial" w:cs="Arial"/>
          <w:sz w:val="20"/>
          <w:szCs w:val="20"/>
        </w:rPr>
        <w:t>the customer as the payment processing services. They are both stand-ready obligations satisfied ratably over the contractual period, and assessed as a single performance obligation. Therefore, they are recognized in the same manner as the variable conside</w:t>
      </w:r>
      <w:r>
        <w:rPr>
          <w:rFonts w:ascii="Arial" w:hAnsi="Arial" w:cs="Arial"/>
          <w:sz w:val="20"/>
          <w:szCs w:val="20"/>
        </w:rPr>
        <w:t>ration</w:t>
      </w:r>
      <w:r>
        <w:rPr>
          <w:rFonts w:ascii="Arial" w:hAnsi="Arial" w:cs="Arial"/>
          <w:sz w:val="20"/>
          <w:szCs w:val="20"/>
        </w:rPr>
        <w:t>.</w:t>
      </w:r>
    </w:p>
    <w:p w:rsidR="00000000" w:rsidRDefault="00010F15">
      <w:pPr>
        <w:pStyle w:val="a3"/>
        <w:spacing w:before="120" w:beforeAutospacing="0" w:after="0" w:afterAutospacing="0"/>
        <w:divId w:val="1754886306"/>
        <w:rPr>
          <w:sz w:val="20"/>
          <w:szCs w:val="20"/>
        </w:rPr>
      </w:pPr>
      <w:r>
        <w:rPr>
          <w:rFonts w:ascii="Arial" w:hAnsi="Arial" w:cs="Arial"/>
          <w:i/>
          <w:iCs/>
          <w:sz w:val="20"/>
          <w:szCs w:val="20"/>
        </w:rPr>
        <w:t>Assets Recognized From the Costs to Obtain a Contract With a Custome</w:t>
      </w:r>
      <w:r>
        <w:rPr>
          <w:rFonts w:ascii="Arial" w:hAnsi="Arial" w:cs="Arial"/>
          <w:i/>
          <w:iCs/>
          <w:sz w:val="20"/>
          <w:szCs w:val="20"/>
        </w:rPr>
        <w:t>r</w:t>
      </w:r>
    </w:p>
    <w:p w:rsidR="00000000" w:rsidRDefault="00010F15">
      <w:pPr>
        <w:pStyle w:val="a3"/>
        <w:spacing w:before="120" w:beforeAutospacing="0" w:after="0" w:afterAutospacing="0"/>
        <w:ind w:firstLine="539"/>
        <w:divId w:val="1754886306"/>
        <w:rPr>
          <w:sz w:val="20"/>
          <w:szCs w:val="20"/>
        </w:rPr>
      </w:pPr>
      <w:r>
        <w:rPr>
          <w:rFonts w:ascii="Arial" w:hAnsi="Arial" w:cs="Arial"/>
          <w:sz w:val="20"/>
          <w:szCs w:val="20"/>
        </w:rPr>
        <w:t>The Company capitalizes certain costs to obtain contracts with customers, including employee sales commissions, when the commission is tied to new sales and is therefore consider</w:t>
      </w:r>
      <w:r>
        <w:rPr>
          <w:rFonts w:ascii="Arial" w:hAnsi="Arial" w:cs="Arial"/>
          <w:sz w:val="20"/>
          <w:szCs w:val="20"/>
        </w:rPr>
        <w:t>ed an incremental cost of obtaining a customer. A</w:t>
      </w:r>
      <w:r>
        <w:rPr>
          <w:rFonts w:ascii="Arial" w:hAnsi="Arial" w:cs="Arial"/>
          <w:sz w:val="20"/>
          <w:szCs w:val="20"/>
        </w:rPr>
        <w:t>t</w:t>
      </w:r>
      <w:r>
        <w:rPr>
          <w:rFonts w:ascii="Arial" w:hAnsi="Arial" w:cs="Arial"/>
          <w:sz w:val="20"/>
          <w:szCs w:val="20"/>
        </w:rPr>
        <w:t xml:space="preserve"> </w:t>
      </w:r>
    </w:p>
    <w:p w:rsidR="00000000" w:rsidRDefault="00010F15">
      <w:pPr>
        <w:pStyle w:val="a3"/>
        <w:spacing w:before="120" w:beforeAutospacing="0" w:after="0" w:afterAutospacing="0"/>
        <w:jc w:val="center"/>
        <w:divId w:val="1754886306"/>
        <w:rPr>
          <w:sz w:val="20"/>
          <w:szCs w:val="20"/>
        </w:rPr>
      </w:pPr>
      <w:r>
        <w:rPr>
          <w:rFonts w:ascii="Arial" w:hAnsi="Arial" w:cs="Arial"/>
          <w:sz w:val="20"/>
          <w:szCs w:val="20"/>
        </w:rPr>
        <w:t>7</w:t>
      </w:r>
      <w:r>
        <w:rPr>
          <w:rFonts w:ascii="Arial" w:hAnsi="Arial" w:cs="Arial"/>
          <w:sz w:val="20"/>
          <w:szCs w:val="20"/>
        </w:rPr>
        <w:t>9</w:t>
      </w:r>
    </w:p>
    <w:p w:rsidR="00000000" w:rsidRDefault="00010F15">
      <w:pPr>
        <w:divId w:val="1754886306"/>
        <w:rPr>
          <w:rFonts w:ascii="Arial" w:eastAsia="Times New Roman" w:hAnsi="Arial" w:cs="Arial"/>
          <w:sz w:val="20"/>
          <w:szCs w:val="20"/>
        </w:rPr>
      </w:pPr>
      <w:r>
        <w:rPr>
          <w:rFonts w:ascii="Arial" w:eastAsia="Times New Roman" w:hAnsi="Arial" w:cs="Arial"/>
          <w:sz w:val="20"/>
          <w:szCs w:val="20"/>
        </w:rPr>
        <w:pict>
          <v:rect id="_x0000_i1104" style="width:0;height:1.5pt" o:hralign="center" o:hrstd="t" o:hr="t" fillcolor="#a0a0a0" stroked="f"/>
        </w:pict>
      </w:r>
    </w:p>
    <w:p w:rsidR="00000000" w:rsidRDefault="00010F15">
      <w:pPr>
        <w:pStyle w:val="a3"/>
        <w:spacing w:before="0" w:beforeAutospacing="0" w:after="0" w:afterAutospacing="0"/>
        <w:divId w:val="1754886306"/>
        <w:rPr>
          <w:sz w:val="20"/>
          <w:szCs w:val="20"/>
        </w:rPr>
      </w:pPr>
      <w:r>
        <w:rPr>
          <w:sz w:val="20"/>
          <w:szCs w:val="20"/>
        </w:rPr>
        <w:t> </w:t>
      </w:r>
    </w:p>
    <w:p w:rsidR="00000000" w:rsidRDefault="00010F15">
      <w:pPr>
        <w:pStyle w:val="a3"/>
        <w:spacing w:before="120" w:beforeAutospacing="0" w:after="0" w:afterAutospacing="0"/>
        <w:divId w:val="1754886306"/>
        <w:rPr>
          <w:sz w:val="20"/>
          <w:szCs w:val="20"/>
        </w:rPr>
      </w:pPr>
      <w:r>
        <w:rPr>
          <w:rFonts w:ascii="Arial" w:hAnsi="Arial" w:cs="Arial"/>
          <w:sz w:val="20"/>
          <w:szCs w:val="20"/>
        </w:rPr>
        <w:t>contract inception, the Company capitalizes commission costs that the Company expects to recover and that would not have been incurred if the contract had not been obtained. Capitalized costs to obtain contracts of $0.</w:t>
      </w:r>
      <w:r>
        <w:rPr>
          <w:rFonts w:ascii="Arial" w:hAnsi="Arial" w:cs="Arial"/>
          <w:sz w:val="20"/>
          <w:szCs w:val="20"/>
        </w:rPr>
        <w:t>1 million are included in prepaid expenses and other current and long-term assets in the consolidated balance sheets. Some of the Company’s sales compensation paid to the sales force is earned based on the margins earned from the contract over the contract</w:t>
      </w:r>
      <w:r>
        <w:rPr>
          <w:rFonts w:ascii="Arial" w:hAnsi="Arial" w:cs="Arial"/>
          <w:sz w:val="20"/>
          <w:szCs w:val="20"/>
        </w:rPr>
        <w:t xml:space="preserve"> term and is contingent on continued employment with the Company by the salesperson. Sales commissions tied to key operating metrics other than new sales, are not considered incremental costs of obtaining a customer and are expensed in the same period as t</w:t>
      </w:r>
      <w:r>
        <w:rPr>
          <w:rFonts w:ascii="Arial" w:hAnsi="Arial" w:cs="Arial"/>
          <w:sz w:val="20"/>
          <w:szCs w:val="20"/>
        </w:rPr>
        <w:t>hey are earned, rather than being capitalized. The Company records commission expense within sales and marketing expense in the consolidated statements of operations</w:t>
      </w:r>
      <w:r>
        <w:rPr>
          <w:rFonts w:ascii="Arial" w:hAnsi="Arial" w:cs="Arial"/>
          <w:sz w:val="20"/>
          <w:szCs w:val="20"/>
        </w:rPr>
        <w:t>.</w:t>
      </w:r>
    </w:p>
    <w:p w:rsidR="00000000" w:rsidRDefault="00010F15">
      <w:pPr>
        <w:pStyle w:val="a3"/>
        <w:spacing w:before="120" w:beforeAutospacing="0" w:after="0" w:afterAutospacing="0"/>
        <w:ind w:firstLine="539"/>
        <w:divId w:val="1754886306"/>
        <w:rPr>
          <w:sz w:val="20"/>
          <w:szCs w:val="20"/>
        </w:rPr>
      </w:pPr>
      <w:r>
        <w:rPr>
          <w:rFonts w:ascii="Arial" w:hAnsi="Arial" w:cs="Arial"/>
          <w:sz w:val="20"/>
          <w:szCs w:val="20"/>
        </w:rPr>
        <w:t>Amortization of capitalized commissions to obtain customer contracts is included in sales</w:t>
      </w:r>
      <w:r>
        <w:rPr>
          <w:rFonts w:ascii="Arial" w:hAnsi="Arial" w:cs="Arial"/>
          <w:sz w:val="20"/>
          <w:szCs w:val="20"/>
        </w:rPr>
        <w:t xml:space="preserve"> and marketing expense in the consolidated statements of operations. The Company utilizes a straight-line method as it best depicts the pattern of transfer of the goods or services to the customer. The Company amortizes these assets over the expected perio</w:t>
      </w:r>
      <w:r>
        <w:rPr>
          <w:rFonts w:ascii="Arial" w:hAnsi="Arial" w:cs="Arial"/>
          <w:sz w:val="20"/>
          <w:szCs w:val="20"/>
        </w:rPr>
        <w:t>d of benefit, which is typically three to five years. The Company evaluates contract costs for impairment by comparing, on a pooled basis, the expected future net cash flows from underlying customer relationships to the carrying amount of the capitalized c</w:t>
      </w:r>
      <w:r>
        <w:rPr>
          <w:rFonts w:ascii="Arial" w:hAnsi="Arial" w:cs="Arial"/>
          <w:sz w:val="20"/>
          <w:szCs w:val="20"/>
        </w:rPr>
        <w:t>ontract cost</w:t>
      </w:r>
      <w:r>
        <w:rPr>
          <w:rFonts w:ascii="Arial" w:hAnsi="Arial" w:cs="Arial"/>
          <w:sz w:val="20"/>
          <w:szCs w:val="20"/>
        </w:rPr>
        <w:t>s</w:t>
      </w:r>
    </w:p>
    <w:p w:rsidR="00000000" w:rsidRDefault="00010F15">
      <w:pPr>
        <w:pStyle w:val="a3"/>
        <w:spacing w:before="240" w:beforeAutospacing="0" w:after="0" w:afterAutospacing="0"/>
        <w:divId w:val="1254822831"/>
        <w:rPr>
          <w:sz w:val="20"/>
          <w:szCs w:val="20"/>
        </w:rPr>
      </w:pPr>
      <w:r>
        <w:rPr>
          <w:rFonts w:ascii="Arial" w:hAnsi="Arial" w:cs="Arial"/>
          <w:b/>
          <w:bCs/>
          <w:i/>
          <w:iCs/>
          <w:sz w:val="20"/>
          <w:szCs w:val="20"/>
        </w:rPr>
        <w:t>Cost of Revenu</w:t>
      </w:r>
      <w:r>
        <w:rPr>
          <w:rFonts w:ascii="Arial" w:hAnsi="Arial" w:cs="Arial"/>
          <w:b/>
          <w:bCs/>
          <w:i/>
          <w:iCs/>
          <w:sz w:val="20"/>
          <w:szCs w:val="20"/>
        </w:rPr>
        <w:t>e</w:t>
      </w:r>
    </w:p>
    <w:p w:rsidR="00000000" w:rsidRDefault="00010F15">
      <w:pPr>
        <w:pStyle w:val="a3"/>
        <w:spacing w:before="120" w:beforeAutospacing="0" w:after="0" w:afterAutospacing="0"/>
        <w:ind w:firstLine="539"/>
        <w:divId w:val="1254822831"/>
        <w:rPr>
          <w:sz w:val="20"/>
          <w:szCs w:val="20"/>
        </w:rPr>
      </w:pPr>
      <w:r>
        <w:rPr>
          <w:rFonts w:ascii="Arial" w:hAnsi="Arial" w:cs="Arial"/>
          <w:sz w:val="20"/>
          <w:szCs w:val="20"/>
        </w:rPr>
        <w:t>Cost of revenue consists primarily of interchange and assessment fees, processing fees and bank settlement fees paid to third-party payment processors and financial institutions, and personnel-related costs associated with the</w:t>
      </w:r>
      <w:r>
        <w:rPr>
          <w:rFonts w:ascii="Arial" w:hAnsi="Arial" w:cs="Arial"/>
          <w:sz w:val="20"/>
          <w:szCs w:val="20"/>
        </w:rPr>
        <w:t xml:space="preserve"> Company’s customer support teams, including salaries, benefits, and bonuses. Cost of revenue also includes an allocation of hosting and datacenter costs for the Company’s infrastructure and platform environment, telecommunication expenses used by sales an</w:t>
      </w:r>
      <w:r>
        <w:rPr>
          <w:rFonts w:ascii="Arial" w:hAnsi="Arial" w:cs="Arial"/>
          <w:sz w:val="20"/>
          <w:szCs w:val="20"/>
        </w:rPr>
        <w:t>d customer support teams, a portion of amortization of capitalized internal-use software development costs, and a portion of amortization of intangible assets acquired through acquisition</w:t>
      </w:r>
      <w:r>
        <w:rPr>
          <w:rFonts w:ascii="Arial" w:hAnsi="Arial" w:cs="Arial"/>
          <w:sz w:val="20"/>
          <w:szCs w:val="20"/>
        </w:rPr>
        <w:t>.</w:t>
      </w:r>
    </w:p>
    <w:p w:rsidR="00000000" w:rsidRDefault="00010F15">
      <w:pPr>
        <w:pStyle w:val="a3"/>
        <w:spacing w:before="240" w:beforeAutospacing="0" w:after="0" w:afterAutospacing="0"/>
        <w:divId w:val="1093210900"/>
        <w:rPr>
          <w:sz w:val="20"/>
          <w:szCs w:val="20"/>
        </w:rPr>
      </w:pPr>
      <w:r>
        <w:rPr>
          <w:rFonts w:ascii="Arial" w:hAnsi="Arial" w:cs="Arial"/>
          <w:b/>
          <w:bCs/>
          <w:i/>
          <w:iCs/>
          <w:sz w:val="20"/>
          <w:szCs w:val="20"/>
        </w:rPr>
        <w:t>Research and Development Cost</w:t>
      </w:r>
      <w:r>
        <w:rPr>
          <w:rFonts w:ascii="Arial" w:hAnsi="Arial" w:cs="Arial"/>
          <w:b/>
          <w:bCs/>
          <w:i/>
          <w:iCs/>
          <w:sz w:val="20"/>
          <w:szCs w:val="20"/>
        </w:rPr>
        <w:t>s</w:t>
      </w:r>
    </w:p>
    <w:p w:rsidR="00000000" w:rsidRDefault="00010F15">
      <w:pPr>
        <w:pStyle w:val="a3"/>
        <w:spacing w:before="120" w:beforeAutospacing="0" w:after="0" w:afterAutospacing="0"/>
        <w:ind w:firstLine="539"/>
        <w:divId w:val="1093210900"/>
        <w:rPr>
          <w:sz w:val="20"/>
          <w:szCs w:val="20"/>
        </w:rPr>
      </w:pPr>
      <w:r>
        <w:rPr>
          <w:rFonts w:ascii="Arial" w:hAnsi="Arial" w:cs="Arial"/>
          <w:sz w:val="20"/>
          <w:szCs w:val="20"/>
        </w:rPr>
        <w:t>Research and development costs are expensed as incurred, unless they qualify as internal-use software development costs. Research and development expenses consist primarily of employee-related expenses associated with the Company’s research and development</w:t>
      </w:r>
      <w:r>
        <w:rPr>
          <w:rFonts w:ascii="Arial" w:hAnsi="Arial" w:cs="Arial"/>
          <w:sz w:val="20"/>
          <w:szCs w:val="20"/>
        </w:rPr>
        <w:t xml:space="preserve"> staff, including salaries, benefits, stock-based compensation and bonuses</w:t>
      </w:r>
      <w:r>
        <w:rPr>
          <w:rFonts w:ascii="Arial" w:hAnsi="Arial" w:cs="Arial"/>
          <w:sz w:val="20"/>
          <w:szCs w:val="20"/>
        </w:rPr>
        <w:t>.</w:t>
      </w:r>
    </w:p>
    <w:p w:rsidR="00000000" w:rsidRDefault="00010F15">
      <w:pPr>
        <w:pStyle w:val="a3"/>
        <w:spacing w:before="240" w:beforeAutospacing="0" w:after="0" w:afterAutospacing="0"/>
        <w:divId w:val="2051761951"/>
        <w:rPr>
          <w:sz w:val="20"/>
          <w:szCs w:val="20"/>
        </w:rPr>
      </w:pPr>
      <w:r>
        <w:rPr>
          <w:rFonts w:ascii="Arial" w:hAnsi="Arial" w:cs="Arial"/>
          <w:b/>
          <w:bCs/>
          <w:i/>
          <w:iCs/>
          <w:sz w:val="20"/>
          <w:szCs w:val="20"/>
        </w:rPr>
        <w:t>Advertising Cost</w:t>
      </w:r>
      <w:r>
        <w:rPr>
          <w:rFonts w:ascii="Arial" w:hAnsi="Arial" w:cs="Arial"/>
          <w:b/>
          <w:bCs/>
          <w:i/>
          <w:iCs/>
          <w:sz w:val="20"/>
          <w:szCs w:val="20"/>
        </w:rPr>
        <w:t>s</w:t>
      </w:r>
    </w:p>
    <w:p w:rsidR="00000000" w:rsidRDefault="00010F15">
      <w:pPr>
        <w:pStyle w:val="a3"/>
        <w:spacing w:before="120" w:beforeAutospacing="0" w:after="0" w:afterAutospacing="0"/>
        <w:ind w:firstLine="539"/>
        <w:divId w:val="2051761951"/>
        <w:rPr>
          <w:sz w:val="20"/>
          <w:szCs w:val="20"/>
        </w:rPr>
      </w:pPr>
      <w:r>
        <w:rPr>
          <w:rFonts w:ascii="Arial" w:hAnsi="Arial" w:cs="Arial"/>
          <w:sz w:val="20"/>
          <w:szCs w:val="20"/>
        </w:rPr>
        <w:t xml:space="preserve">Advertising costs are expensed as incurred and are included in sales and marketing expenses in the consolidated statement of operations. These costs were </w:t>
      </w:r>
      <w:r>
        <w:rPr>
          <w:rFonts w:ascii="Arial" w:hAnsi="Arial" w:cs="Arial"/>
          <w:sz w:val="20"/>
          <w:szCs w:val="20"/>
        </w:rPr>
        <w:t>$</w:t>
      </w:r>
      <w:r>
        <w:rPr>
          <w:rFonts w:ascii="Arial" w:hAnsi="Arial" w:cs="Arial"/>
          <w:sz w:val="20"/>
          <w:szCs w:val="20"/>
        </w:rPr>
        <w:t>1.</w:t>
      </w:r>
      <w:r>
        <w:rPr>
          <w:rFonts w:ascii="Arial" w:hAnsi="Arial" w:cs="Arial"/>
          <w:sz w:val="20"/>
          <w:szCs w:val="20"/>
        </w:rPr>
        <w:t>5</w:t>
      </w:r>
      <w:r>
        <w:rPr>
          <w:rFonts w:ascii="Arial" w:hAnsi="Arial" w:cs="Arial"/>
          <w:sz w:val="20"/>
          <w:szCs w:val="20"/>
        </w:rPr>
        <w:t xml:space="preserve"> mil</w:t>
      </w:r>
      <w:r>
        <w:rPr>
          <w:rFonts w:ascii="Arial" w:hAnsi="Arial" w:cs="Arial"/>
          <w:sz w:val="20"/>
          <w:szCs w:val="20"/>
        </w:rPr>
        <w:t xml:space="preserve">lion, </w:t>
      </w:r>
      <w:r>
        <w:rPr>
          <w:rFonts w:ascii="Arial" w:hAnsi="Arial" w:cs="Arial"/>
          <w:sz w:val="20"/>
          <w:szCs w:val="20"/>
        </w:rPr>
        <w:t>$</w:t>
      </w:r>
      <w:r>
        <w:rPr>
          <w:rFonts w:ascii="Arial" w:hAnsi="Arial" w:cs="Arial"/>
          <w:sz w:val="20"/>
          <w:szCs w:val="20"/>
        </w:rPr>
        <w:t>0.</w:t>
      </w:r>
      <w:r>
        <w:rPr>
          <w:rFonts w:ascii="Arial" w:hAnsi="Arial" w:cs="Arial"/>
          <w:sz w:val="20"/>
          <w:szCs w:val="20"/>
        </w:rPr>
        <w:t>5</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0.</w:t>
      </w:r>
      <w:r>
        <w:rPr>
          <w:rFonts w:ascii="Arial" w:hAnsi="Arial" w:cs="Arial"/>
          <w:sz w:val="20"/>
          <w:szCs w:val="20"/>
        </w:rPr>
        <w:t>2</w:t>
      </w:r>
      <w:r>
        <w:rPr>
          <w:rFonts w:ascii="Arial" w:hAnsi="Arial" w:cs="Arial"/>
          <w:sz w:val="20"/>
          <w:szCs w:val="20"/>
        </w:rPr>
        <w:t xml:space="preserve"> million for the years ended December 31, 2021, 2020 and 2019, respectively</w:t>
      </w:r>
      <w:r>
        <w:rPr>
          <w:rFonts w:ascii="Arial" w:hAnsi="Arial" w:cs="Arial"/>
          <w:sz w:val="20"/>
          <w:szCs w:val="20"/>
        </w:rPr>
        <w:t>.</w:t>
      </w:r>
    </w:p>
    <w:p w:rsidR="00000000" w:rsidRDefault="00010F15">
      <w:pPr>
        <w:pStyle w:val="a3"/>
        <w:spacing w:before="240" w:beforeAutospacing="0" w:after="0" w:afterAutospacing="0"/>
        <w:divId w:val="946038726"/>
        <w:rPr>
          <w:sz w:val="20"/>
          <w:szCs w:val="20"/>
        </w:rPr>
      </w:pPr>
      <w:r>
        <w:rPr>
          <w:rFonts w:ascii="Arial" w:hAnsi="Arial" w:cs="Arial"/>
          <w:b/>
          <w:bCs/>
          <w:i/>
          <w:iCs/>
          <w:sz w:val="20"/>
          <w:szCs w:val="20"/>
        </w:rPr>
        <w:t>Income Taxe</w:t>
      </w:r>
      <w:r>
        <w:rPr>
          <w:rFonts w:ascii="Arial" w:hAnsi="Arial" w:cs="Arial"/>
          <w:b/>
          <w:bCs/>
          <w:i/>
          <w:iCs/>
          <w:sz w:val="20"/>
          <w:szCs w:val="20"/>
        </w:rPr>
        <w:t>s</w:t>
      </w:r>
    </w:p>
    <w:p w:rsidR="00000000" w:rsidRDefault="00010F15">
      <w:pPr>
        <w:pStyle w:val="a3"/>
        <w:spacing w:before="120" w:beforeAutospacing="0" w:after="0" w:afterAutospacing="0"/>
        <w:ind w:firstLine="539"/>
        <w:divId w:val="946038726"/>
        <w:rPr>
          <w:sz w:val="20"/>
          <w:szCs w:val="20"/>
        </w:rPr>
      </w:pPr>
      <w:r>
        <w:rPr>
          <w:rFonts w:ascii="Arial" w:hAnsi="Arial" w:cs="Arial"/>
          <w:sz w:val="20"/>
          <w:szCs w:val="20"/>
        </w:rPr>
        <w:t>The Company is subject to income taxes in the United States and numerous foreign jurisdictions. Significant judgment is required in determi</w:t>
      </w:r>
      <w:r>
        <w:rPr>
          <w:rFonts w:ascii="Arial" w:hAnsi="Arial" w:cs="Arial"/>
          <w:sz w:val="20"/>
          <w:szCs w:val="20"/>
        </w:rPr>
        <w:t>ning its provision for income taxes and deferred tax assets and liabilities, including evaluating uncertainties in the application of accounting principles and complex tax laws</w:t>
      </w:r>
      <w:r>
        <w:rPr>
          <w:rFonts w:ascii="Arial" w:hAnsi="Arial" w:cs="Arial"/>
          <w:sz w:val="20"/>
          <w:szCs w:val="20"/>
        </w:rPr>
        <w:t>.</w:t>
      </w:r>
    </w:p>
    <w:p w:rsidR="00000000" w:rsidRDefault="00010F15">
      <w:pPr>
        <w:pStyle w:val="a3"/>
        <w:spacing w:before="120" w:beforeAutospacing="0" w:after="0" w:afterAutospacing="0"/>
        <w:ind w:firstLine="539"/>
        <w:divId w:val="946038726"/>
        <w:rPr>
          <w:sz w:val="20"/>
          <w:szCs w:val="20"/>
        </w:rPr>
      </w:pPr>
      <w:r>
        <w:rPr>
          <w:rFonts w:ascii="Arial" w:hAnsi="Arial" w:cs="Arial"/>
          <w:sz w:val="20"/>
          <w:szCs w:val="20"/>
        </w:rPr>
        <w:t>The Company records a provision for income taxes for the anticipated tax conse</w:t>
      </w:r>
      <w:r>
        <w:rPr>
          <w:rFonts w:ascii="Arial" w:hAnsi="Arial" w:cs="Arial"/>
          <w:sz w:val="20"/>
          <w:szCs w:val="20"/>
        </w:rPr>
        <w:t>quences of the reported results of operations using the asset and liability method. Under this method, the Company recognizes deferred tax assets and liabilities for the expected future tax consequences of temporary differences between the carrying amounts</w:t>
      </w:r>
      <w:r>
        <w:rPr>
          <w:rFonts w:ascii="Arial" w:hAnsi="Arial" w:cs="Arial"/>
          <w:sz w:val="20"/>
          <w:szCs w:val="20"/>
        </w:rPr>
        <w:t xml:space="preserve"> for financial reporting purposes and the tax bases of assets and liabilities, as well as for loss and tax credit carryforwards. The deferred assets and liabilities are measured using the statutorily enacted tax rates anticipated to be in effect when those</w:t>
      </w:r>
      <w:r>
        <w:rPr>
          <w:rFonts w:ascii="Arial" w:hAnsi="Arial" w:cs="Arial"/>
          <w:sz w:val="20"/>
          <w:szCs w:val="20"/>
        </w:rPr>
        <w:t xml:space="preserve"> tax assets and liabilities are expected to be realized or settled. The effect on deferred tax assets and liabilities of a change in tax rates is recognized in the period that includes the enactment date</w:t>
      </w:r>
      <w:r>
        <w:rPr>
          <w:rFonts w:ascii="Arial" w:hAnsi="Arial" w:cs="Arial"/>
          <w:sz w:val="20"/>
          <w:szCs w:val="20"/>
        </w:rPr>
        <w:t>.</w:t>
      </w:r>
    </w:p>
    <w:p w:rsidR="00000000" w:rsidRDefault="00010F15">
      <w:pPr>
        <w:pStyle w:val="a3"/>
        <w:spacing w:before="120" w:beforeAutospacing="0" w:after="0" w:afterAutospacing="0"/>
        <w:ind w:firstLine="539"/>
        <w:divId w:val="946038726"/>
        <w:rPr>
          <w:sz w:val="20"/>
          <w:szCs w:val="20"/>
        </w:rPr>
      </w:pPr>
      <w:r>
        <w:rPr>
          <w:rFonts w:ascii="Arial" w:hAnsi="Arial" w:cs="Arial"/>
          <w:sz w:val="20"/>
          <w:szCs w:val="20"/>
        </w:rPr>
        <w:t>A valuation allowance is established if, based upon</w:t>
      </w:r>
      <w:r>
        <w:rPr>
          <w:rFonts w:ascii="Arial" w:hAnsi="Arial" w:cs="Arial"/>
          <w:sz w:val="20"/>
          <w:szCs w:val="20"/>
        </w:rPr>
        <w:t xml:space="preserve"> the available evidence, it is more likely than not that some or all of the deferred tax assets will not be realized. The Company considers all available evidence, both positive and negative, including historical levels of income, expectations and risks as</w:t>
      </w:r>
      <w:r>
        <w:rPr>
          <w:rFonts w:ascii="Arial" w:hAnsi="Arial" w:cs="Arial"/>
          <w:sz w:val="20"/>
          <w:szCs w:val="20"/>
        </w:rPr>
        <w:t>sociated with estimates of future taxable income in assessing the need for a valuation allowance</w:t>
      </w:r>
      <w:r>
        <w:rPr>
          <w:rFonts w:ascii="Arial" w:hAnsi="Arial" w:cs="Arial"/>
          <w:sz w:val="20"/>
          <w:szCs w:val="20"/>
        </w:rPr>
        <w:t>.</w:t>
      </w:r>
    </w:p>
    <w:p w:rsidR="00000000" w:rsidRDefault="00010F15">
      <w:pPr>
        <w:pStyle w:val="a3"/>
        <w:spacing w:before="120" w:beforeAutospacing="0" w:after="0" w:afterAutospacing="0"/>
        <w:ind w:firstLine="539"/>
        <w:divId w:val="946038726"/>
        <w:rPr>
          <w:sz w:val="20"/>
          <w:szCs w:val="20"/>
        </w:rPr>
      </w:pPr>
      <w:r>
        <w:rPr>
          <w:rFonts w:ascii="Arial" w:hAnsi="Arial" w:cs="Arial"/>
          <w:sz w:val="20"/>
          <w:szCs w:val="20"/>
        </w:rPr>
        <w:t>The</w:t>
      </w:r>
      <w:r>
        <w:rPr>
          <w:rFonts w:ascii="Arial" w:hAnsi="Arial" w:cs="Arial"/>
          <w:sz w:val="20"/>
          <w:szCs w:val="20"/>
        </w:rPr>
        <w:t xml:space="preserve"> </w:t>
      </w:r>
      <w:r>
        <w:rPr>
          <w:rFonts w:ascii="Arial" w:hAnsi="Arial" w:cs="Arial"/>
          <w:sz w:val="20"/>
          <w:szCs w:val="20"/>
        </w:rPr>
        <w:t xml:space="preserve">Company’s tax positions are subject to income tax audits by multiple tax jurisdictions throughout the world. The Company recognizes the tax benefit of an </w:t>
      </w:r>
      <w:r>
        <w:rPr>
          <w:rFonts w:ascii="Arial" w:hAnsi="Arial" w:cs="Arial"/>
          <w:sz w:val="20"/>
          <w:szCs w:val="20"/>
        </w:rPr>
        <w:t>uncertain tax position only if it is more likely than not the position will be sustainable upon examination by the taxing authority, including resolution of any related appeals or litigation processes. This evaluation is based on all available evidence and</w:t>
      </w:r>
      <w:r>
        <w:rPr>
          <w:rFonts w:ascii="Arial" w:hAnsi="Arial" w:cs="Arial"/>
          <w:sz w:val="20"/>
          <w:szCs w:val="20"/>
        </w:rPr>
        <w:t xml:space="preserve"> assumes that the tax authorities have full knowledge of all relevant information concerning the tax position. The tax benefit recognized is measured as the largest amount of benefit which is more likely than not (greater than 50% likely) to be realized up</w:t>
      </w:r>
      <w:r>
        <w:rPr>
          <w:rFonts w:ascii="Arial" w:hAnsi="Arial" w:cs="Arial"/>
          <w:sz w:val="20"/>
          <w:szCs w:val="20"/>
        </w:rPr>
        <w:t>on ultimate settlement with the taxing authority. The Company recognizes interest accrued and penalties related to unrecognized tax benefits in income tax expense. Th</w:t>
      </w:r>
      <w:r>
        <w:rPr>
          <w:rFonts w:ascii="Arial" w:hAnsi="Arial" w:cs="Arial"/>
          <w:sz w:val="20"/>
          <w:szCs w:val="20"/>
        </w:rPr>
        <w:t>e</w:t>
      </w:r>
      <w:r>
        <w:rPr>
          <w:rFonts w:ascii="Arial" w:hAnsi="Arial" w:cs="Arial"/>
          <w:sz w:val="20"/>
          <w:szCs w:val="20"/>
        </w:rPr>
        <w:t xml:space="preserve"> </w:t>
      </w:r>
    </w:p>
    <w:p w:rsidR="00000000" w:rsidRDefault="00010F15">
      <w:pPr>
        <w:pStyle w:val="a3"/>
        <w:spacing w:before="120" w:beforeAutospacing="0" w:after="0" w:afterAutospacing="0"/>
        <w:jc w:val="center"/>
        <w:divId w:val="946038726"/>
        <w:rPr>
          <w:sz w:val="20"/>
          <w:szCs w:val="20"/>
        </w:rPr>
      </w:pPr>
      <w:r>
        <w:rPr>
          <w:rFonts w:ascii="Arial" w:hAnsi="Arial" w:cs="Arial"/>
          <w:sz w:val="20"/>
          <w:szCs w:val="20"/>
        </w:rPr>
        <w:t>8</w:t>
      </w:r>
      <w:r>
        <w:rPr>
          <w:rFonts w:ascii="Arial" w:hAnsi="Arial" w:cs="Arial"/>
          <w:sz w:val="20"/>
          <w:szCs w:val="20"/>
        </w:rPr>
        <w:t>0</w:t>
      </w:r>
    </w:p>
    <w:p w:rsidR="00000000" w:rsidRDefault="00010F15">
      <w:pPr>
        <w:divId w:val="946038726"/>
        <w:rPr>
          <w:rFonts w:ascii="Arial" w:eastAsia="Times New Roman" w:hAnsi="Arial" w:cs="Arial"/>
          <w:sz w:val="20"/>
          <w:szCs w:val="20"/>
        </w:rPr>
      </w:pPr>
      <w:r>
        <w:rPr>
          <w:rFonts w:ascii="Arial" w:eastAsia="Times New Roman" w:hAnsi="Arial" w:cs="Arial"/>
          <w:sz w:val="20"/>
          <w:szCs w:val="20"/>
        </w:rPr>
        <w:pict>
          <v:rect id="_x0000_i1105" style="width:0;height:1.5pt" o:hralign="center" o:hrstd="t" o:hr="t" fillcolor="#a0a0a0" stroked="f"/>
        </w:pict>
      </w:r>
    </w:p>
    <w:p w:rsidR="00000000" w:rsidRDefault="00010F15">
      <w:pPr>
        <w:pStyle w:val="a3"/>
        <w:spacing w:before="0" w:beforeAutospacing="0" w:after="0" w:afterAutospacing="0"/>
        <w:divId w:val="946038726"/>
        <w:rPr>
          <w:sz w:val="20"/>
          <w:szCs w:val="20"/>
        </w:rPr>
      </w:pPr>
      <w:r>
        <w:rPr>
          <w:sz w:val="20"/>
          <w:szCs w:val="20"/>
        </w:rPr>
        <w:t> </w:t>
      </w:r>
    </w:p>
    <w:p w:rsidR="00000000" w:rsidRDefault="00010F15">
      <w:pPr>
        <w:pStyle w:val="a3"/>
        <w:spacing w:before="120" w:beforeAutospacing="0" w:after="0" w:afterAutospacing="0"/>
        <w:divId w:val="946038726"/>
        <w:rPr>
          <w:sz w:val="20"/>
          <w:szCs w:val="20"/>
        </w:rPr>
      </w:pPr>
      <w:r>
        <w:rPr>
          <w:rFonts w:ascii="Arial" w:hAnsi="Arial" w:cs="Arial"/>
          <w:sz w:val="20"/>
          <w:szCs w:val="20"/>
        </w:rPr>
        <w:t>Company</w:t>
      </w:r>
      <w:r>
        <w:rPr>
          <w:rFonts w:ascii="Arial" w:hAnsi="Arial" w:cs="Arial"/>
          <w:sz w:val="20"/>
          <w:szCs w:val="20"/>
        </w:rPr>
        <w:t xml:space="preserve"> </w:t>
      </w:r>
      <w:r>
        <w:rPr>
          <w:rFonts w:ascii="Arial" w:hAnsi="Arial" w:cs="Arial"/>
          <w:sz w:val="20"/>
          <w:szCs w:val="20"/>
        </w:rPr>
        <w:t>makes adjustments to these reserves in</w:t>
      </w:r>
      <w:r>
        <w:rPr>
          <w:rFonts w:ascii="Arial" w:hAnsi="Arial" w:cs="Arial"/>
          <w:sz w:val="20"/>
          <w:szCs w:val="20"/>
        </w:rPr>
        <w:t xml:space="preserve"> accordance with the income tax guidance when facts and circumstances change, such as the closing of a tax audit or the refinement of an estimate. To the extent that the final tax outcome of these matters is different from the amounts recorded, such differ</w:t>
      </w:r>
      <w:r>
        <w:rPr>
          <w:rFonts w:ascii="Arial" w:hAnsi="Arial" w:cs="Arial"/>
          <w:sz w:val="20"/>
          <w:szCs w:val="20"/>
        </w:rPr>
        <w:t>ences will affect the provision for income taxes in the period in which such determination is made and could have a material impact on the Company’s financial condition and operating results</w:t>
      </w:r>
      <w:r>
        <w:rPr>
          <w:rFonts w:ascii="Arial" w:hAnsi="Arial" w:cs="Arial"/>
          <w:sz w:val="20"/>
          <w:szCs w:val="20"/>
        </w:rPr>
        <w:t>.</w:t>
      </w:r>
    </w:p>
    <w:p w:rsidR="00000000" w:rsidRDefault="00010F15">
      <w:pPr>
        <w:pStyle w:val="a3"/>
        <w:spacing w:before="240" w:beforeAutospacing="0" w:after="0" w:afterAutospacing="0"/>
        <w:divId w:val="885265155"/>
        <w:rPr>
          <w:sz w:val="20"/>
          <w:szCs w:val="20"/>
        </w:rPr>
      </w:pPr>
      <w:r>
        <w:rPr>
          <w:rFonts w:ascii="Arial" w:hAnsi="Arial" w:cs="Arial"/>
          <w:b/>
          <w:bCs/>
          <w:i/>
          <w:iCs/>
          <w:sz w:val="20"/>
          <w:szCs w:val="20"/>
        </w:rPr>
        <w:t>Stock-based Compensatio</w:t>
      </w:r>
      <w:r>
        <w:rPr>
          <w:rFonts w:ascii="Arial" w:hAnsi="Arial" w:cs="Arial"/>
          <w:b/>
          <w:bCs/>
          <w:i/>
          <w:iCs/>
          <w:sz w:val="20"/>
          <w:szCs w:val="20"/>
        </w:rPr>
        <w:t>n</w:t>
      </w:r>
    </w:p>
    <w:p w:rsidR="00000000" w:rsidRDefault="00010F15">
      <w:pPr>
        <w:pStyle w:val="a3"/>
        <w:spacing w:before="120" w:beforeAutospacing="0" w:after="0" w:afterAutospacing="0"/>
        <w:ind w:firstLine="539"/>
        <w:divId w:val="885265155"/>
        <w:rPr>
          <w:sz w:val="20"/>
          <w:szCs w:val="20"/>
        </w:rPr>
      </w:pPr>
      <w:r>
        <w:rPr>
          <w:rFonts w:ascii="Arial" w:hAnsi="Arial" w:cs="Arial"/>
          <w:sz w:val="20"/>
          <w:szCs w:val="20"/>
        </w:rPr>
        <w:t>The Company measures and recognizes sto</w:t>
      </w:r>
      <w:r>
        <w:rPr>
          <w:rFonts w:ascii="Arial" w:hAnsi="Arial" w:cs="Arial"/>
          <w:sz w:val="20"/>
          <w:szCs w:val="20"/>
        </w:rPr>
        <w:t>ck-based compensation expense for all stock-based awards, including grants of restricted stock units ("RSUs") and options to purchase stocks granted to employees, outside directors and consultants based on the estimated fair value of the awards on the gran</w:t>
      </w:r>
      <w:r>
        <w:rPr>
          <w:rFonts w:ascii="Arial" w:hAnsi="Arial" w:cs="Arial"/>
          <w:sz w:val="20"/>
          <w:szCs w:val="20"/>
        </w:rPr>
        <w:t>t date of the award. The Company estimates the grant date fair value for options using the Black-Scholes option pricing model. The determination of the grant-date fair value using an option-pricing model is affected by the fair value of the Company’s commo</w:t>
      </w:r>
      <w:r>
        <w:rPr>
          <w:rFonts w:ascii="Arial" w:hAnsi="Arial" w:cs="Arial"/>
          <w:sz w:val="20"/>
          <w:szCs w:val="20"/>
        </w:rPr>
        <w:t>n stock as well as assumptions regarding a number of other complex and subjective variables. These variables include expected stock price volatility over the expected term of the award, actual and projected employee stock option exercise behaviors, the ris</w:t>
      </w:r>
      <w:r>
        <w:rPr>
          <w:rFonts w:ascii="Arial" w:hAnsi="Arial" w:cs="Arial"/>
          <w:sz w:val="20"/>
          <w:szCs w:val="20"/>
        </w:rPr>
        <w:t>k-free interest rate for the expected term of the award, and expected dividends. The fair value of an RSU is measured using the market price of the Company's Class A common stock on the date of grant. Compensation cost is recognized on a straight-line basi</w:t>
      </w:r>
      <w:r>
        <w:rPr>
          <w:rFonts w:ascii="Arial" w:hAnsi="Arial" w:cs="Arial"/>
          <w:sz w:val="20"/>
          <w:szCs w:val="20"/>
        </w:rPr>
        <w:t>s over the employee requisite service period, which is the stated vesting period of the award, provided that total compensation cost recognized at least equals the pro rata value of the awards that have vested. Forfeitures are accounted for in the period i</w:t>
      </w:r>
      <w:r>
        <w:rPr>
          <w:rFonts w:ascii="Arial" w:hAnsi="Arial" w:cs="Arial"/>
          <w:sz w:val="20"/>
          <w:szCs w:val="20"/>
        </w:rPr>
        <w:t>n which they occur. All compensation expense is recorded in operating expenses in the consolidated statements of operations based on the recipient grant</w:t>
      </w:r>
      <w:r>
        <w:rPr>
          <w:rFonts w:ascii="Arial" w:hAnsi="Arial" w:cs="Arial"/>
          <w:sz w:val="20"/>
          <w:szCs w:val="20"/>
        </w:rPr>
        <w:t>.</w:t>
      </w:r>
    </w:p>
    <w:p w:rsidR="00000000" w:rsidRDefault="00010F15">
      <w:pPr>
        <w:pStyle w:val="a3"/>
        <w:spacing w:before="240" w:beforeAutospacing="0" w:after="0" w:afterAutospacing="0"/>
        <w:divId w:val="2032562782"/>
        <w:rPr>
          <w:sz w:val="20"/>
          <w:szCs w:val="20"/>
        </w:rPr>
      </w:pPr>
      <w:r>
        <w:rPr>
          <w:rFonts w:ascii="Arial" w:hAnsi="Arial" w:cs="Arial"/>
          <w:b/>
          <w:bCs/>
          <w:i/>
          <w:iCs/>
          <w:sz w:val="20"/>
          <w:szCs w:val="20"/>
        </w:rPr>
        <w:t>Cash and Cash Equivalent</w:t>
      </w:r>
      <w:r>
        <w:rPr>
          <w:rFonts w:ascii="Arial" w:hAnsi="Arial" w:cs="Arial"/>
          <w:b/>
          <w:bCs/>
          <w:i/>
          <w:iCs/>
          <w:sz w:val="20"/>
          <w:szCs w:val="20"/>
        </w:rPr>
        <w:t>s</w:t>
      </w:r>
    </w:p>
    <w:p w:rsidR="00000000" w:rsidRDefault="00010F15">
      <w:pPr>
        <w:pStyle w:val="a3"/>
        <w:spacing w:before="120" w:beforeAutospacing="0" w:after="0" w:afterAutospacing="0"/>
        <w:ind w:firstLine="539"/>
        <w:divId w:val="2032562782"/>
        <w:rPr>
          <w:sz w:val="20"/>
          <w:szCs w:val="20"/>
        </w:rPr>
      </w:pPr>
      <w:r>
        <w:rPr>
          <w:rFonts w:ascii="Arial" w:hAnsi="Arial" w:cs="Arial"/>
          <w:sz w:val="20"/>
          <w:szCs w:val="20"/>
        </w:rPr>
        <w:t>The Company considers all highly liquid investments with original or remaini</w:t>
      </w:r>
      <w:r>
        <w:rPr>
          <w:rFonts w:ascii="Arial" w:hAnsi="Arial" w:cs="Arial"/>
          <w:sz w:val="20"/>
          <w:szCs w:val="20"/>
        </w:rPr>
        <w:t>ng maturities of three months or less when purchased to be cash equivalents, which are composed of primarily bank deposits and government issued securities</w:t>
      </w:r>
      <w:r>
        <w:rPr>
          <w:rFonts w:ascii="Arial" w:hAnsi="Arial" w:cs="Arial"/>
          <w:sz w:val="20"/>
          <w:szCs w:val="20"/>
        </w:rPr>
        <w:t>.</w:t>
      </w:r>
    </w:p>
    <w:p w:rsidR="00000000" w:rsidRDefault="00010F15">
      <w:pPr>
        <w:pStyle w:val="a3"/>
        <w:spacing w:before="240" w:beforeAutospacing="0" w:after="0" w:afterAutospacing="0"/>
        <w:divId w:val="976955687"/>
        <w:rPr>
          <w:sz w:val="20"/>
          <w:szCs w:val="20"/>
        </w:rPr>
      </w:pPr>
      <w:r>
        <w:rPr>
          <w:rFonts w:ascii="Arial" w:hAnsi="Arial" w:cs="Arial"/>
          <w:b/>
          <w:bCs/>
          <w:i/>
          <w:iCs/>
          <w:sz w:val="20"/>
          <w:szCs w:val="20"/>
        </w:rPr>
        <w:t>Custodial Account</w:t>
      </w:r>
      <w:r>
        <w:rPr>
          <w:rFonts w:ascii="Arial" w:hAnsi="Arial" w:cs="Arial"/>
          <w:b/>
          <w:bCs/>
          <w:i/>
          <w:iCs/>
          <w:sz w:val="20"/>
          <w:szCs w:val="20"/>
        </w:rPr>
        <w:t>s</w:t>
      </w:r>
    </w:p>
    <w:p w:rsidR="00000000" w:rsidRDefault="00010F15">
      <w:pPr>
        <w:pStyle w:val="a3"/>
        <w:spacing w:before="120" w:beforeAutospacing="0" w:after="0" w:afterAutospacing="0"/>
        <w:ind w:firstLine="539"/>
        <w:divId w:val="976955687"/>
        <w:rPr>
          <w:sz w:val="20"/>
          <w:szCs w:val="20"/>
        </w:rPr>
      </w:pPr>
      <w:r>
        <w:rPr>
          <w:rFonts w:ascii="Arial" w:hAnsi="Arial" w:cs="Arial"/>
          <w:sz w:val="20"/>
          <w:szCs w:val="20"/>
        </w:rPr>
        <w:t>The Company has established a relationship with its merchant processors to act a</w:t>
      </w:r>
      <w:r>
        <w:rPr>
          <w:rFonts w:ascii="Arial" w:hAnsi="Arial" w:cs="Arial"/>
          <w:sz w:val="20"/>
          <w:szCs w:val="20"/>
        </w:rPr>
        <w:t>s collection and paying agents, whereby a merchant processor receives funds from customers and forwarding such funds to the respective Paymentus client, based on the instructions received from the Company. These merchant processors act as custodians of the</w:t>
      </w:r>
      <w:r>
        <w:rPr>
          <w:rFonts w:ascii="Arial" w:hAnsi="Arial" w:cs="Arial"/>
          <w:sz w:val="20"/>
          <w:szCs w:val="20"/>
        </w:rPr>
        <w:t xml:space="preserve"> cash received and the Company has no legal ownership rights to the funds held in such custodial accounts and does not control the use of these funds. As the Company does not take ownership of the funds, these custodial accounts are not included in the Com</w:t>
      </w:r>
      <w:r>
        <w:rPr>
          <w:rFonts w:ascii="Arial" w:hAnsi="Arial" w:cs="Arial"/>
          <w:sz w:val="20"/>
          <w:szCs w:val="20"/>
        </w:rPr>
        <w:t>pany’s consolidated balance sheets. The balance of cash in the custodial accounts held by these merchant processors was</w:t>
      </w:r>
      <w:r>
        <w:rPr>
          <w:rFonts w:ascii="Arial" w:hAnsi="Arial" w:cs="Arial"/>
          <w:sz w:val="20"/>
          <w:szCs w:val="20"/>
        </w:rPr>
        <w:t xml:space="preserve"> </w:t>
      </w:r>
      <w:r>
        <w:rPr>
          <w:rFonts w:ascii="Arial" w:hAnsi="Arial" w:cs="Arial"/>
          <w:sz w:val="20"/>
          <w:szCs w:val="20"/>
        </w:rPr>
        <w:t>$</w:t>
      </w:r>
      <w:r>
        <w:rPr>
          <w:rFonts w:ascii="Arial" w:hAnsi="Arial" w:cs="Arial"/>
          <w:sz w:val="20"/>
          <w:szCs w:val="20"/>
        </w:rPr>
        <w:t>47.</w:t>
      </w:r>
      <w:r>
        <w:rPr>
          <w:rFonts w:ascii="Arial" w:hAnsi="Arial" w:cs="Arial"/>
          <w:sz w:val="20"/>
          <w:szCs w:val="20"/>
        </w:rPr>
        <w:t>4</w:t>
      </w:r>
      <w:r>
        <w:rPr>
          <w:rFonts w:ascii="Arial" w:hAnsi="Arial" w:cs="Arial"/>
          <w:sz w:val="20"/>
          <w:szCs w:val="20"/>
        </w:rPr>
        <w:t xml:space="preserve"> million</w:t>
      </w:r>
      <w:r>
        <w:rPr>
          <w:rFonts w:ascii="Arial" w:hAnsi="Arial" w:cs="Arial"/>
          <w:sz w:val="20"/>
          <w:szCs w:val="20"/>
        </w:rPr>
        <w:t xml:space="preserve"> </w:t>
      </w:r>
      <w:r>
        <w:rPr>
          <w:rFonts w:ascii="Arial" w:hAnsi="Arial" w:cs="Arial"/>
          <w:sz w:val="20"/>
          <w:szCs w:val="20"/>
        </w:rPr>
        <w:t>and</w:t>
      </w:r>
      <w:r>
        <w:rPr>
          <w:rFonts w:ascii="Arial" w:hAnsi="Arial" w:cs="Arial"/>
          <w:sz w:val="20"/>
          <w:szCs w:val="20"/>
        </w:rPr>
        <w:t xml:space="preserve"> </w:t>
      </w:r>
      <w:r>
        <w:rPr>
          <w:rFonts w:ascii="Arial" w:hAnsi="Arial" w:cs="Arial"/>
          <w:sz w:val="20"/>
          <w:szCs w:val="20"/>
        </w:rPr>
        <w:t>$</w:t>
      </w:r>
      <w:r>
        <w:rPr>
          <w:rFonts w:ascii="Arial" w:hAnsi="Arial" w:cs="Arial"/>
          <w:sz w:val="20"/>
          <w:szCs w:val="20"/>
        </w:rPr>
        <w:t>20.</w:t>
      </w:r>
      <w:r>
        <w:rPr>
          <w:rFonts w:ascii="Arial" w:hAnsi="Arial" w:cs="Arial"/>
          <w:sz w:val="20"/>
          <w:szCs w:val="20"/>
        </w:rPr>
        <w:t>5</w:t>
      </w:r>
      <w:r>
        <w:rPr>
          <w:rFonts w:ascii="Arial" w:hAnsi="Arial" w:cs="Arial"/>
          <w:sz w:val="20"/>
          <w:szCs w:val="20"/>
        </w:rPr>
        <w:t xml:space="preserve"> million as of December 31, 2021 and December 31, 202</w:t>
      </w:r>
      <w:r>
        <w:rPr>
          <w:rFonts w:ascii="Arial" w:hAnsi="Arial" w:cs="Arial"/>
          <w:sz w:val="20"/>
          <w:szCs w:val="20"/>
        </w:rPr>
        <w:t>0</w:t>
      </w:r>
      <w:r>
        <w:rPr>
          <w:rFonts w:ascii="Arial" w:hAnsi="Arial" w:cs="Arial"/>
          <w:sz w:val="20"/>
          <w:szCs w:val="20"/>
        </w:rPr>
        <w:t>, respectively</w:t>
      </w:r>
      <w:r>
        <w:rPr>
          <w:rFonts w:ascii="Arial" w:hAnsi="Arial" w:cs="Arial"/>
          <w:sz w:val="20"/>
          <w:szCs w:val="20"/>
        </w:rPr>
        <w:t>.</w:t>
      </w:r>
    </w:p>
    <w:p w:rsidR="00000000" w:rsidRDefault="00010F15">
      <w:pPr>
        <w:pStyle w:val="a3"/>
        <w:spacing w:before="240" w:beforeAutospacing="0" w:after="0" w:afterAutospacing="0"/>
        <w:divId w:val="1259095197"/>
        <w:rPr>
          <w:sz w:val="20"/>
          <w:szCs w:val="20"/>
        </w:rPr>
      </w:pPr>
      <w:r>
        <w:rPr>
          <w:rFonts w:ascii="Arial" w:hAnsi="Arial" w:cs="Arial"/>
          <w:b/>
          <w:bCs/>
          <w:i/>
          <w:iCs/>
          <w:sz w:val="20"/>
          <w:szCs w:val="20"/>
        </w:rPr>
        <w:t>Restricted Funds Held for Financial Institu</w:t>
      </w:r>
      <w:r>
        <w:rPr>
          <w:rFonts w:ascii="Arial" w:hAnsi="Arial" w:cs="Arial"/>
          <w:b/>
          <w:bCs/>
          <w:i/>
          <w:iCs/>
          <w:sz w:val="20"/>
          <w:szCs w:val="20"/>
        </w:rPr>
        <w:t>tions and Financial Institution Funds In-Transi</w:t>
      </w:r>
      <w:r>
        <w:rPr>
          <w:rFonts w:ascii="Arial" w:hAnsi="Arial" w:cs="Arial"/>
          <w:b/>
          <w:bCs/>
          <w:i/>
          <w:iCs/>
          <w:sz w:val="20"/>
          <w:szCs w:val="20"/>
        </w:rPr>
        <w:t>t</w:t>
      </w:r>
    </w:p>
    <w:p w:rsidR="00000000" w:rsidRDefault="00010F15">
      <w:pPr>
        <w:pStyle w:val="a3"/>
        <w:spacing w:before="120" w:beforeAutospacing="0" w:after="0" w:afterAutospacing="0"/>
        <w:ind w:firstLine="539"/>
        <w:divId w:val="1259095197"/>
        <w:rPr>
          <w:sz w:val="20"/>
          <w:szCs w:val="20"/>
        </w:rPr>
      </w:pPr>
      <w:r>
        <w:rPr>
          <w:rFonts w:ascii="Arial" w:hAnsi="Arial" w:cs="Arial"/>
          <w:sz w:val="20"/>
          <w:szCs w:val="20"/>
        </w:rPr>
        <w:t>Restricted funds held for financial institutions and the corresponding liability of financial institution funds in-transit represent the timing differences arising between the amounts the Company's sponsor b</w:t>
      </w:r>
      <w:r>
        <w:rPr>
          <w:rFonts w:ascii="Arial" w:hAnsi="Arial" w:cs="Arial"/>
          <w:sz w:val="20"/>
          <w:szCs w:val="20"/>
        </w:rPr>
        <w:t>ank receives from the sending financial institutions and the amounts disbursed to the recipient financial institutions. The restricted funds held for financial institutions account is a transaction account maintained at the Company’s sponsor bank for clear</w:t>
      </w:r>
      <w:r>
        <w:rPr>
          <w:rFonts w:ascii="Arial" w:hAnsi="Arial" w:cs="Arial"/>
          <w:sz w:val="20"/>
          <w:szCs w:val="20"/>
        </w:rPr>
        <w:t>ing payments from financial institutions (as defined by the U.S. Treasury’s Financial Crimes Enforcement Network) to other financial institutions. Restricted funds held for financial institutions represent restricted cash that, based upon the Company's int</w:t>
      </w:r>
      <w:r>
        <w:rPr>
          <w:rFonts w:ascii="Arial" w:hAnsi="Arial" w:cs="Arial"/>
          <w:sz w:val="20"/>
          <w:szCs w:val="20"/>
        </w:rPr>
        <w:t>ent, are restricted solely for satisfying the corresponding obligations to send funds to the various financial institutions</w:t>
      </w:r>
      <w:r>
        <w:rPr>
          <w:rFonts w:ascii="Arial" w:hAnsi="Arial" w:cs="Arial"/>
          <w:sz w:val="20"/>
          <w:szCs w:val="20"/>
        </w:rPr>
        <w:t>.</w:t>
      </w:r>
    </w:p>
    <w:p w:rsidR="00000000" w:rsidRDefault="00010F15">
      <w:pPr>
        <w:pStyle w:val="a3"/>
        <w:spacing w:before="240" w:beforeAutospacing="0" w:after="0" w:afterAutospacing="0"/>
        <w:divId w:val="1724258000"/>
        <w:rPr>
          <w:sz w:val="20"/>
          <w:szCs w:val="20"/>
        </w:rPr>
      </w:pPr>
      <w:r>
        <w:rPr>
          <w:rFonts w:ascii="Arial" w:hAnsi="Arial" w:cs="Arial"/>
          <w:b/>
          <w:bCs/>
          <w:i/>
          <w:iCs/>
          <w:sz w:val="20"/>
          <w:szCs w:val="20"/>
        </w:rPr>
        <w:t>Concentration of Credit Ris</w:t>
      </w:r>
      <w:r>
        <w:rPr>
          <w:rFonts w:ascii="Arial" w:hAnsi="Arial" w:cs="Arial"/>
          <w:b/>
          <w:bCs/>
          <w:i/>
          <w:iCs/>
          <w:sz w:val="20"/>
          <w:szCs w:val="20"/>
        </w:rPr>
        <w:t>k</w:t>
      </w:r>
    </w:p>
    <w:p w:rsidR="00000000" w:rsidRDefault="00010F15">
      <w:pPr>
        <w:pStyle w:val="a3"/>
        <w:spacing w:before="120" w:beforeAutospacing="0" w:after="0" w:afterAutospacing="0"/>
        <w:ind w:firstLine="539"/>
        <w:divId w:val="1724258000"/>
        <w:rPr>
          <w:sz w:val="20"/>
          <w:szCs w:val="20"/>
        </w:rPr>
      </w:pPr>
      <w:r>
        <w:rPr>
          <w:rFonts w:ascii="Arial" w:hAnsi="Arial" w:cs="Arial"/>
          <w:sz w:val="20"/>
          <w:szCs w:val="20"/>
        </w:rPr>
        <w:t>Financial instruments that potentially subject the Company to credit risk primarily consist of cash, c</w:t>
      </w:r>
      <w:r>
        <w:rPr>
          <w:rFonts w:ascii="Arial" w:hAnsi="Arial" w:cs="Arial"/>
          <w:sz w:val="20"/>
          <w:szCs w:val="20"/>
        </w:rPr>
        <w:t xml:space="preserve">ash equivalents, and accounts receivable. The Company maintains its cash and cash equivalents with high-quality financial institutions with investment-grade ratings. For accounts receivable, the Company is exposed to credit risk in the event of nonpayment </w:t>
      </w:r>
      <w:r>
        <w:rPr>
          <w:rFonts w:ascii="Arial" w:hAnsi="Arial" w:cs="Arial"/>
          <w:sz w:val="20"/>
          <w:szCs w:val="20"/>
        </w:rPr>
        <w:t>by customers to the extent of the amounts recorded in the consolidated balance sheets. No customer accounted for more than</w:t>
      </w:r>
      <w:r>
        <w:rPr>
          <w:rFonts w:ascii="Arial" w:hAnsi="Arial" w:cs="Arial"/>
          <w:sz w:val="20"/>
          <w:szCs w:val="20"/>
        </w:rPr>
        <w:t xml:space="preserve"> </w:t>
      </w:r>
      <w:r>
        <w:rPr>
          <w:rFonts w:ascii="Arial" w:hAnsi="Arial" w:cs="Arial"/>
          <w:sz w:val="20"/>
          <w:szCs w:val="20"/>
        </w:rPr>
        <w:t>1</w:t>
      </w:r>
      <w:r>
        <w:rPr>
          <w:rFonts w:ascii="Arial" w:hAnsi="Arial" w:cs="Arial"/>
          <w:sz w:val="20"/>
          <w:szCs w:val="20"/>
        </w:rPr>
        <w:t>0</w:t>
      </w:r>
      <w:r>
        <w:rPr>
          <w:rFonts w:ascii="Arial" w:hAnsi="Arial" w:cs="Arial"/>
          <w:sz w:val="20"/>
          <w:szCs w:val="20"/>
        </w:rPr>
        <w:t>% of revenue for either of the years ended December 31, 2021,</w:t>
      </w:r>
      <w:r>
        <w:rPr>
          <w:rFonts w:ascii="Arial" w:hAnsi="Arial" w:cs="Arial"/>
          <w:sz w:val="20"/>
          <w:szCs w:val="20"/>
        </w:rPr>
        <w:t xml:space="preserve"> </w:t>
      </w:r>
      <w:r>
        <w:rPr>
          <w:rFonts w:ascii="Arial" w:hAnsi="Arial" w:cs="Arial"/>
          <w:sz w:val="20"/>
          <w:szCs w:val="20"/>
        </w:rPr>
        <w:t>202</w:t>
      </w:r>
      <w:r>
        <w:rPr>
          <w:rFonts w:ascii="Arial" w:hAnsi="Arial" w:cs="Arial"/>
          <w:sz w:val="20"/>
          <w:szCs w:val="20"/>
        </w:rPr>
        <w:t>0</w:t>
      </w:r>
      <w:r>
        <w:rPr>
          <w:rFonts w:ascii="Arial" w:hAnsi="Arial" w:cs="Arial"/>
          <w:sz w:val="20"/>
          <w:szCs w:val="20"/>
        </w:rPr>
        <w:t xml:space="preserve"> and 2019. One customer accounted for more than</w:t>
      </w:r>
      <w:r>
        <w:rPr>
          <w:rFonts w:ascii="Arial" w:hAnsi="Arial" w:cs="Arial"/>
          <w:sz w:val="20"/>
          <w:szCs w:val="20"/>
        </w:rPr>
        <w:t xml:space="preserve"> </w:t>
      </w:r>
      <w:r>
        <w:rPr>
          <w:rFonts w:ascii="Arial" w:hAnsi="Arial" w:cs="Arial"/>
          <w:sz w:val="20"/>
          <w:szCs w:val="20"/>
        </w:rPr>
        <w:t>1</w:t>
      </w:r>
      <w:r>
        <w:rPr>
          <w:rFonts w:ascii="Arial" w:hAnsi="Arial" w:cs="Arial"/>
          <w:sz w:val="20"/>
          <w:szCs w:val="20"/>
        </w:rPr>
        <w:t>0</w:t>
      </w:r>
      <w:r>
        <w:rPr>
          <w:rFonts w:ascii="Arial" w:hAnsi="Arial" w:cs="Arial"/>
          <w:sz w:val="20"/>
          <w:szCs w:val="20"/>
        </w:rPr>
        <w:t>% of accounts r</w:t>
      </w:r>
      <w:r>
        <w:rPr>
          <w:rFonts w:ascii="Arial" w:hAnsi="Arial" w:cs="Arial"/>
          <w:sz w:val="20"/>
          <w:szCs w:val="20"/>
        </w:rPr>
        <w:t>eceivable as of December 31, 2021, and no customer accounted for more than</w:t>
      </w:r>
      <w:r>
        <w:rPr>
          <w:rFonts w:ascii="Arial" w:hAnsi="Arial" w:cs="Arial"/>
          <w:sz w:val="20"/>
          <w:szCs w:val="20"/>
        </w:rPr>
        <w:t xml:space="preserve"> </w:t>
      </w:r>
      <w:r>
        <w:rPr>
          <w:rFonts w:ascii="Arial" w:hAnsi="Arial" w:cs="Arial"/>
          <w:sz w:val="20"/>
          <w:szCs w:val="20"/>
        </w:rPr>
        <w:t>1</w:t>
      </w:r>
      <w:r>
        <w:rPr>
          <w:rFonts w:ascii="Arial" w:hAnsi="Arial" w:cs="Arial"/>
          <w:sz w:val="20"/>
          <w:szCs w:val="20"/>
        </w:rPr>
        <w:t>0</w:t>
      </w:r>
      <w:r>
        <w:rPr>
          <w:rFonts w:ascii="Arial" w:hAnsi="Arial" w:cs="Arial"/>
          <w:sz w:val="20"/>
          <w:szCs w:val="20"/>
        </w:rPr>
        <w:t>% of accounts receivable as of December 31, 2020</w:t>
      </w:r>
      <w:r>
        <w:rPr>
          <w:rFonts w:ascii="Arial" w:hAnsi="Arial" w:cs="Arial"/>
          <w:sz w:val="20"/>
          <w:szCs w:val="20"/>
        </w:rPr>
        <w:t>.</w:t>
      </w:r>
    </w:p>
    <w:p w:rsidR="00000000" w:rsidRDefault="00010F15">
      <w:pPr>
        <w:pStyle w:val="a3"/>
        <w:spacing w:before="240" w:beforeAutospacing="0" w:after="0" w:afterAutospacing="0"/>
        <w:divId w:val="138965244"/>
        <w:rPr>
          <w:sz w:val="20"/>
          <w:szCs w:val="20"/>
        </w:rPr>
      </w:pPr>
      <w:r>
        <w:rPr>
          <w:rFonts w:ascii="Arial" w:hAnsi="Arial" w:cs="Arial"/>
          <w:b/>
          <w:bCs/>
          <w:i/>
          <w:iCs/>
          <w:sz w:val="20"/>
          <w:szCs w:val="20"/>
        </w:rPr>
        <w:t>Fair Value Measurement</w:t>
      </w:r>
      <w:r>
        <w:rPr>
          <w:rFonts w:ascii="Arial" w:hAnsi="Arial" w:cs="Arial"/>
          <w:b/>
          <w:bCs/>
          <w:i/>
          <w:iCs/>
          <w:sz w:val="20"/>
          <w:szCs w:val="20"/>
        </w:rPr>
        <w:t>s</w:t>
      </w:r>
    </w:p>
    <w:p w:rsidR="00000000" w:rsidRDefault="00010F15">
      <w:pPr>
        <w:pStyle w:val="a3"/>
        <w:spacing w:before="120" w:beforeAutospacing="0" w:after="0" w:afterAutospacing="0"/>
        <w:ind w:firstLine="539"/>
        <w:divId w:val="138965244"/>
        <w:rPr>
          <w:sz w:val="20"/>
          <w:szCs w:val="20"/>
        </w:rPr>
      </w:pPr>
      <w:r>
        <w:rPr>
          <w:rFonts w:ascii="Arial" w:hAnsi="Arial" w:cs="Arial"/>
          <w:sz w:val="20"/>
          <w:szCs w:val="20"/>
        </w:rPr>
        <w:t>The Company utilizes valuation techniques that maximize the use of observable inputs and minimize the use of unobservable inputs to the extent possible. The Company determines fair value based on assumptions that marke</w:t>
      </w:r>
      <w:r>
        <w:rPr>
          <w:rFonts w:ascii="Arial" w:hAnsi="Arial" w:cs="Arial"/>
          <w:sz w:val="20"/>
          <w:szCs w:val="20"/>
        </w:rPr>
        <w:t>t</w:t>
      </w:r>
      <w:r>
        <w:rPr>
          <w:rFonts w:ascii="Arial" w:hAnsi="Arial" w:cs="Arial"/>
          <w:sz w:val="20"/>
          <w:szCs w:val="20"/>
        </w:rPr>
        <w:t xml:space="preserve"> </w:t>
      </w:r>
    </w:p>
    <w:p w:rsidR="00000000" w:rsidRDefault="00010F15">
      <w:pPr>
        <w:pStyle w:val="a3"/>
        <w:spacing w:before="120" w:beforeAutospacing="0" w:after="0" w:afterAutospacing="0"/>
        <w:jc w:val="center"/>
        <w:divId w:val="138965244"/>
        <w:rPr>
          <w:sz w:val="20"/>
          <w:szCs w:val="20"/>
        </w:rPr>
      </w:pPr>
      <w:r>
        <w:rPr>
          <w:rFonts w:ascii="Arial" w:hAnsi="Arial" w:cs="Arial"/>
          <w:sz w:val="20"/>
          <w:szCs w:val="20"/>
        </w:rPr>
        <w:t>8</w:t>
      </w:r>
      <w:r>
        <w:rPr>
          <w:rFonts w:ascii="Arial" w:hAnsi="Arial" w:cs="Arial"/>
          <w:sz w:val="20"/>
          <w:szCs w:val="20"/>
        </w:rPr>
        <w:t>1</w:t>
      </w:r>
    </w:p>
    <w:p w:rsidR="00000000" w:rsidRDefault="00010F15">
      <w:pPr>
        <w:divId w:val="138965244"/>
        <w:rPr>
          <w:rFonts w:ascii="Arial" w:eastAsia="Times New Roman" w:hAnsi="Arial" w:cs="Arial"/>
          <w:sz w:val="20"/>
          <w:szCs w:val="20"/>
        </w:rPr>
      </w:pPr>
      <w:r>
        <w:rPr>
          <w:rFonts w:ascii="Arial" w:eastAsia="Times New Roman" w:hAnsi="Arial" w:cs="Arial"/>
          <w:sz w:val="20"/>
          <w:szCs w:val="20"/>
        </w:rPr>
        <w:pict>
          <v:rect id="_x0000_i1106" style="width:0;height:1.5pt" o:hralign="center" o:hrstd="t" o:hr="t" fillcolor="#a0a0a0" stroked="f"/>
        </w:pict>
      </w:r>
    </w:p>
    <w:p w:rsidR="00000000" w:rsidRDefault="00010F15">
      <w:pPr>
        <w:pStyle w:val="a3"/>
        <w:spacing w:before="0" w:beforeAutospacing="0" w:after="0" w:afterAutospacing="0"/>
        <w:divId w:val="138965244"/>
        <w:rPr>
          <w:sz w:val="20"/>
          <w:szCs w:val="20"/>
        </w:rPr>
      </w:pPr>
      <w:r>
        <w:rPr>
          <w:sz w:val="20"/>
          <w:szCs w:val="20"/>
        </w:rPr>
        <w:t> </w:t>
      </w:r>
    </w:p>
    <w:p w:rsidR="00000000" w:rsidRDefault="00010F15">
      <w:pPr>
        <w:pStyle w:val="a3"/>
        <w:spacing w:before="120" w:beforeAutospacing="0" w:after="0" w:afterAutospacing="0"/>
        <w:divId w:val="138965244"/>
        <w:rPr>
          <w:sz w:val="20"/>
          <w:szCs w:val="20"/>
        </w:rPr>
      </w:pPr>
      <w:r>
        <w:rPr>
          <w:rFonts w:ascii="Arial" w:hAnsi="Arial" w:cs="Arial"/>
          <w:sz w:val="20"/>
          <w:szCs w:val="20"/>
        </w:rPr>
        <w:t>participants would use in pricing an asset or liability in the principal or most advantageous market. When considering market participant assumptions in fair value measurements, the following fair value hierarchy distinguishes between observable and unobse</w:t>
      </w:r>
      <w:r>
        <w:rPr>
          <w:rFonts w:ascii="Arial" w:hAnsi="Arial" w:cs="Arial"/>
          <w:sz w:val="20"/>
          <w:szCs w:val="20"/>
        </w:rPr>
        <w:t>rvable inputs, which are categorized in one of the following levels</w:t>
      </w:r>
      <w:r>
        <w:rPr>
          <w:rFonts w:ascii="Arial" w:hAnsi="Arial" w:cs="Arial"/>
          <w:sz w:val="20"/>
          <w:szCs w:val="20"/>
        </w:rPr>
        <w:t>:</w:t>
      </w:r>
    </w:p>
    <w:p w:rsidR="00000000" w:rsidRDefault="00010F15">
      <w:pPr>
        <w:divId w:val="188295673"/>
        <w:rPr>
          <w:rFonts w:ascii="Arial" w:eastAsia="Times New Roman" w:hAnsi="Arial" w:cs="Arial"/>
          <w:sz w:val="20"/>
          <w:szCs w:val="20"/>
        </w:rPr>
      </w:pPr>
      <w:r>
        <w:rPr>
          <w:rFonts w:eastAsia="Times New Roman"/>
          <w:sz w:val="20"/>
          <w:szCs w:val="20"/>
        </w:rPr>
        <w:t>•</w:t>
      </w:r>
    </w:p>
    <w:p w:rsidR="00000000" w:rsidRDefault="00010F15">
      <w:pPr>
        <w:divId w:val="1198740266"/>
        <w:rPr>
          <w:rFonts w:ascii="Arial" w:eastAsia="Times New Roman" w:hAnsi="Arial" w:cs="Arial"/>
          <w:sz w:val="20"/>
          <w:szCs w:val="20"/>
        </w:rPr>
      </w:pPr>
      <w:r>
        <w:rPr>
          <w:rFonts w:ascii="Arial" w:eastAsia="Times New Roman" w:hAnsi="Arial" w:cs="Arial"/>
          <w:sz w:val="20"/>
          <w:szCs w:val="20"/>
        </w:rPr>
        <w:t>Level 1 inputs - unadjusted quoted prices in active markets for identical assets or liabilities accessible to the reporting entity at the measurement date</w:t>
      </w:r>
      <w:r>
        <w:rPr>
          <w:rFonts w:ascii="Arial" w:eastAsia="Times New Roman" w:hAnsi="Arial" w:cs="Arial"/>
          <w:sz w:val="20"/>
          <w:szCs w:val="20"/>
        </w:rPr>
        <w:t>;</w:t>
      </w:r>
    </w:p>
    <w:p w:rsidR="00000000" w:rsidRDefault="00010F15">
      <w:pPr>
        <w:divId w:val="693964199"/>
        <w:rPr>
          <w:rFonts w:ascii="Arial" w:eastAsia="Times New Roman" w:hAnsi="Arial" w:cs="Arial"/>
          <w:sz w:val="20"/>
          <w:szCs w:val="20"/>
        </w:rPr>
      </w:pPr>
      <w:r>
        <w:rPr>
          <w:rFonts w:eastAsia="Times New Roman"/>
          <w:sz w:val="20"/>
          <w:szCs w:val="20"/>
        </w:rPr>
        <w:t>•</w:t>
      </w:r>
    </w:p>
    <w:p w:rsidR="00000000" w:rsidRDefault="00010F15">
      <w:pPr>
        <w:divId w:val="986934691"/>
        <w:rPr>
          <w:rFonts w:ascii="Arial" w:eastAsia="Times New Roman" w:hAnsi="Arial" w:cs="Arial"/>
          <w:sz w:val="20"/>
          <w:szCs w:val="20"/>
        </w:rPr>
      </w:pPr>
      <w:r>
        <w:rPr>
          <w:rFonts w:ascii="Arial" w:eastAsia="Times New Roman" w:hAnsi="Arial" w:cs="Arial"/>
          <w:sz w:val="20"/>
          <w:szCs w:val="20"/>
        </w:rPr>
        <w:t>Level 2 inputs - other than</w:t>
      </w:r>
      <w:r>
        <w:rPr>
          <w:rFonts w:ascii="Arial" w:eastAsia="Times New Roman" w:hAnsi="Arial" w:cs="Arial"/>
          <w:sz w:val="20"/>
          <w:szCs w:val="20"/>
        </w:rPr>
        <w:t xml:space="preserve"> quoted prices included in Level 1 inputs that are observable for the asset or liability, either directly or indirectly, for substantially the full term of the asset or liability; an</w:t>
      </w:r>
      <w:r>
        <w:rPr>
          <w:rFonts w:ascii="Arial" w:eastAsia="Times New Roman" w:hAnsi="Arial" w:cs="Arial"/>
          <w:sz w:val="20"/>
          <w:szCs w:val="20"/>
        </w:rPr>
        <w:t>d</w:t>
      </w:r>
    </w:p>
    <w:p w:rsidR="00000000" w:rsidRDefault="00010F15">
      <w:pPr>
        <w:divId w:val="36009345"/>
        <w:rPr>
          <w:rFonts w:ascii="Arial" w:eastAsia="Times New Roman" w:hAnsi="Arial" w:cs="Arial"/>
          <w:sz w:val="20"/>
          <w:szCs w:val="20"/>
        </w:rPr>
      </w:pPr>
      <w:r>
        <w:rPr>
          <w:rFonts w:eastAsia="Times New Roman"/>
          <w:sz w:val="20"/>
          <w:szCs w:val="20"/>
        </w:rPr>
        <w:t>•</w:t>
      </w:r>
    </w:p>
    <w:p w:rsidR="00000000" w:rsidRDefault="00010F15">
      <w:pPr>
        <w:divId w:val="980227967"/>
        <w:rPr>
          <w:rFonts w:ascii="Arial" w:eastAsia="Times New Roman" w:hAnsi="Arial" w:cs="Arial"/>
          <w:sz w:val="20"/>
          <w:szCs w:val="20"/>
        </w:rPr>
      </w:pPr>
      <w:r>
        <w:rPr>
          <w:rFonts w:ascii="Arial" w:eastAsia="Times New Roman" w:hAnsi="Arial" w:cs="Arial"/>
          <w:sz w:val="20"/>
          <w:szCs w:val="20"/>
        </w:rPr>
        <w:t>Level 3 inputs - unobservable inputs for the asset or liability used t</w:t>
      </w:r>
      <w:r>
        <w:rPr>
          <w:rFonts w:ascii="Arial" w:eastAsia="Times New Roman" w:hAnsi="Arial" w:cs="Arial"/>
          <w:sz w:val="20"/>
          <w:szCs w:val="20"/>
        </w:rPr>
        <w:t>o measure fair value to the extent that observable inputs are not available, thereby allowing for situations in which there is little, if any, market activity for the asset or liability at the measurement date</w:t>
      </w:r>
      <w:r>
        <w:rPr>
          <w:rFonts w:ascii="Arial" w:eastAsia="Times New Roman" w:hAnsi="Arial" w:cs="Arial"/>
          <w:sz w:val="20"/>
          <w:szCs w:val="20"/>
        </w:rPr>
        <w:t>.</w:t>
      </w:r>
    </w:p>
    <w:p w:rsidR="00000000" w:rsidRDefault="00010F15">
      <w:pPr>
        <w:pStyle w:val="a3"/>
        <w:spacing w:before="120" w:beforeAutospacing="0" w:after="0" w:afterAutospacing="0"/>
        <w:ind w:firstLine="539"/>
        <w:divId w:val="138965244"/>
        <w:rPr>
          <w:sz w:val="20"/>
          <w:szCs w:val="20"/>
        </w:rPr>
      </w:pPr>
      <w:r>
        <w:rPr>
          <w:rFonts w:ascii="Arial" w:hAnsi="Arial" w:cs="Arial"/>
          <w:sz w:val="20"/>
          <w:szCs w:val="20"/>
        </w:rPr>
        <w:t>The carrying amounts reflected in the consoli</w:t>
      </w:r>
      <w:r>
        <w:rPr>
          <w:rFonts w:ascii="Arial" w:hAnsi="Arial" w:cs="Arial"/>
          <w:sz w:val="20"/>
          <w:szCs w:val="20"/>
        </w:rPr>
        <w:t>dated balance sheets for accounts receivable, and accounts payable approximate their respective fair values due to the short maturities of those instruments</w:t>
      </w:r>
      <w:r>
        <w:rPr>
          <w:rFonts w:ascii="Arial" w:hAnsi="Arial" w:cs="Arial"/>
          <w:sz w:val="20"/>
          <w:szCs w:val="20"/>
        </w:rPr>
        <w:t>.</w:t>
      </w:r>
    </w:p>
    <w:p w:rsidR="00000000" w:rsidRDefault="00010F15">
      <w:pPr>
        <w:pStyle w:val="a3"/>
        <w:spacing w:before="240" w:beforeAutospacing="0" w:after="0" w:afterAutospacing="0"/>
        <w:divId w:val="2131317905"/>
        <w:rPr>
          <w:sz w:val="20"/>
          <w:szCs w:val="20"/>
        </w:rPr>
      </w:pPr>
      <w:r>
        <w:rPr>
          <w:rFonts w:ascii="Arial" w:hAnsi="Arial" w:cs="Arial"/>
          <w:b/>
          <w:bCs/>
          <w:i/>
          <w:iCs/>
          <w:sz w:val="20"/>
          <w:szCs w:val="20"/>
        </w:rPr>
        <w:t>Accounts and Other Receivables and Allowance for Credit Losse</w:t>
      </w:r>
      <w:r>
        <w:rPr>
          <w:rFonts w:ascii="Arial" w:hAnsi="Arial" w:cs="Arial"/>
          <w:b/>
          <w:bCs/>
          <w:i/>
          <w:iCs/>
          <w:sz w:val="20"/>
          <w:szCs w:val="20"/>
        </w:rPr>
        <w:t>s</w:t>
      </w:r>
    </w:p>
    <w:p w:rsidR="00000000" w:rsidRDefault="00010F15">
      <w:pPr>
        <w:pStyle w:val="a3"/>
        <w:spacing w:before="120" w:beforeAutospacing="0" w:after="0" w:afterAutospacing="0"/>
        <w:ind w:firstLine="539"/>
        <w:divId w:val="2131317905"/>
        <w:rPr>
          <w:sz w:val="20"/>
          <w:szCs w:val="20"/>
        </w:rPr>
      </w:pPr>
      <w:r>
        <w:rPr>
          <w:rFonts w:ascii="Arial" w:hAnsi="Arial" w:cs="Arial"/>
          <w:sz w:val="20"/>
          <w:szCs w:val="20"/>
        </w:rPr>
        <w:t>Accounts receivable are recorded at</w:t>
      </w:r>
      <w:r>
        <w:rPr>
          <w:rFonts w:ascii="Arial" w:hAnsi="Arial" w:cs="Arial"/>
          <w:sz w:val="20"/>
          <w:szCs w:val="20"/>
        </w:rPr>
        <w:t xml:space="preserve"> invoiced amounts and do not bear interest. The Company will evaluate its accounts receivable portfolio to determine if an allowance for credit losses is necessary. The development of the allowance for credit losses is based on an expected loss model that </w:t>
      </w:r>
      <w:r>
        <w:rPr>
          <w:rFonts w:ascii="Arial" w:hAnsi="Arial" w:cs="Arial"/>
          <w:sz w:val="20"/>
          <w:szCs w:val="20"/>
        </w:rPr>
        <w:t xml:space="preserve">considers reasonable and supportable forecasts of future conditions and a review of past due amounts, historical write-off and recovery experience. Past due balances over 90 days and over a specified amount are reviewed individually for collectability and </w:t>
      </w:r>
      <w:r>
        <w:rPr>
          <w:rFonts w:ascii="Arial" w:hAnsi="Arial" w:cs="Arial"/>
          <w:sz w:val="20"/>
          <w:szCs w:val="20"/>
        </w:rPr>
        <w:t>all other balances are reviewed as a portfolio. Account balances are charged off against the allowance after all means of collection have been exhausted and the potential for recovery is considered remote. The Company does not have any off-balance sheet ex</w:t>
      </w:r>
      <w:r>
        <w:rPr>
          <w:rFonts w:ascii="Arial" w:hAnsi="Arial" w:cs="Arial"/>
          <w:sz w:val="20"/>
          <w:szCs w:val="20"/>
        </w:rPr>
        <w:t xml:space="preserve">posure related to its customers. Other receivables included </w:t>
      </w:r>
      <w:r>
        <w:rPr>
          <w:rFonts w:ascii="Arial" w:hAnsi="Arial" w:cs="Arial"/>
          <w:sz w:val="20"/>
          <w:szCs w:val="20"/>
        </w:rPr>
        <w:t>$</w:t>
      </w:r>
      <w:r>
        <w:rPr>
          <w:rFonts w:ascii="Arial" w:hAnsi="Arial" w:cs="Arial"/>
          <w:sz w:val="20"/>
          <w:szCs w:val="20"/>
        </w:rPr>
        <w:t>2.</w:t>
      </w:r>
      <w:r>
        <w:rPr>
          <w:rFonts w:ascii="Arial" w:hAnsi="Arial" w:cs="Arial"/>
          <w:sz w:val="20"/>
          <w:szCs w:val="20"/>
        </w:rPr>
        <w:t>5</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2.</w:t>
      </w:r>
      <w:r>
        <w:rPr>
          <w:rFonts w:ascii="Arial" w:hAnsi="Arial" w:cs="Arial"/>
          <w:sz w:val="20"/>
          <w:szCs w:val="20"/>
        </w:rPr>
        <w:t>4</w:t>
      </w:r>
      <w:r>
        <w:rPr>
          <w:rFonts w:ascii="Arial" w:hAnsi="Arial" w:cs="Arial"/>
          <w:sz w:val="20"/>
          <w:szCs w:val="20"/>
        </w:rPr>
        <w:t xml:space="preserve"> million in rebates related to interchange fees for the years ended December 31, 2021 and 2020, respectively</w:t>
      </w:r>
      <w:r>
        <w:rPr>
          <w:rFonts w:ascii="Arial" w:hAnsi="Arial" w:cs="Arial"/>
          <w:sz w:val="20"/>
          <w:szCs w:val="20"/>
        </w:rPr>
        <w:t>.</w:t>
      </w:r>
    </w:p>
    <w:p w:rsidR="00000000" w:rsidRDefault="00010F15">
      <w:pPr>
        <w:pStyle w:val="a3"/>
        <w:spacing w:before="120" w:beforeAutospacing="0" w:after="0" w:afterAutospacing="0"/>
        <w:ind w:firstLine="539"/>
        <w:divId w:val="2131317905"/>
        <w:rPr>
          <w:sz w:val="20"/>
          <w:szCs w:val="20"/>
        </w:rPr>
      </w:pPr>
      <w:r>
        <w:rPr>
          <w:rFonts w:ascii="Arial" w:hAnsi="Arial" w:cs="Arial"/>
          <w:sz w:val="20"/>
          <w:szCs w:val="20"/>
        </w:rPr>
        <w:t>The changes in the allowance for credit losses were as follows (i</w:t>
      </w:r>
      <w:r>
        <w:rPr>
          <w:rFonts w:ascii="Arial" w:hAnsi="Arial" w:cs="Arial"/>
          <w:sz w:val="20"/>
          <w:szCs w:val="20"/>
        </w:rPr>
        <w:t>n thousands)</w:t>
      </w:r>
      <w:r>
        <w:rPr>
          <w:rFonts w:ascii="Arial" w:hAnsi="Arial" w:cs="Arial"/>
          <w:sz w:val="20"/>
          <w:szCs w:val="20"/>
        </w:rPr>
        <w:t>:</w:t>
      </w:r>
    </w:p>
    <w:p w:rsidR="00000000" w:rsidRDefault="00010F15">
      <w:pPr>
        <w:pStyle w:val="a3"/>
        <w:spacing w:before="120" w:beforeAutospacing="0" w:after="0" w:afterAutospacing="0"/>
        <w:ind w:firstLine="539"/>
        <w:divId w:val="1031343058"/>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402"/>
        <w:gridCol w:w="159"/>
        <w:gridCol w:w="159"/>
        <w:gridCol w:w="173"/>
        <w:gridCol w:w="1271"/>
        <w:gridCol w:w="142"/>
      </w:tblGrid>
      <w:tr w:rsidR="00000000">
        <w:trPr>
          <w:divId w:val="1031343058"/>
          <w:tblCellSpacing w:w="15" w:type="dxa"/>
        </w:trPr>
        <w:tc>
          <w:tcPr>
            <w:tcW w:w="3934" w:type="pct"/>
            <w:vAlign w:val="center"/>
            <w:hideMark/>
          </w:tcPr>
          <w:p w:rsidR="00000000" w:rsidRDefault="00010F15">
            <w:pPr>
              <w:rPr>
                <w:sz w:val="20"/>
                <w:szCs w:val="20"/>
              </w:rPr>
            </w:pPr>
          </w:p>
        </w:tc>
        <w:tc>
          <w:tcPr>
            <w:tcW w:w="90" w:type="pct"/>
            <w:vAlign w:val="center"/>
            <w:hideMark/>
          </w:tcPr>
          <w:p w:rsidR="00000000" w:rsidRDefault="00010F15">
            <w:pPr>
              <w:rPr>
                <w:rFonts w:eastAsia="Times New Roman"/>
                <w:sz w:val="20"/>
                <w:szCs w:val="20"/>
              </w:rPr>
            </w:pPr>
          </w:p>
        </w:tc>
        <w:tc>
          <w:tcPr>
            <w:tcW w:w="90"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776" w:type="pct"/>
            <w:vAlign w:val="center"/>
            <w:hideMark/>
          </w:tcPr>
          <w:p w:rsidR="00000000" w:rsidRDefault="00010F15">
            <w:pPr>
              <w:rPr>
                <w:rFonts w:eastAsia="Times New Roman"/>
                <w:sz w:val="20"/>
                <w:szCs w:val="20"/>
              </w:rPr>
            </w:pPr>
          </w:p>
        </w:tc>
        <w:tc>
          <w:tcPr>
            <w:tcW w:w="39" w:type="pct"/>
            <w:vAlign w:val="center"/>
            <w:hideMark/>
          </w:tcPr>
          <w:p w:rsidR="00000000" w:rsidRDefault="00010F15">
            <w:pPr>
              <w:rPr>
                <w:rFonts w:eastAsia="Times New Roman"/>
                <w:sz w:val="20"/>
                <w:szCs w:val="20"/>
              </w:rPr>
            </w:pPr>
          </w:p>
        </w:tc>
      </w:tr>
      <w:tr w:rsidR="00000000">
        <w:trPr>
          <w:divId w:val="1031343058"/>
          <w:tblCellSpacing w:w="15" w:type="dxa"/>
        </w:trPr>
        <w:tc>
          <w:tcPr>
            <w:tcW w:w="0" w:type="auto"/>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divId w:val="1031343058"/>
          <w:trHeight w:val="160"/>
          <w:tblCellSpacing w:w="15" w:type="dxa"/>
        </w:trPr>
        <w:tc>
          <w:tcPr>
            <w:tcW w:w="0" w:type="auto"/>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Allowance for Credit Losse</w:t>
            </w:r>
            <w:r>
              <w:rPr>
                <w:rFonts w:ascii="Arial" w:hAnsi="Arial" w:cs="Arial"/>
                <w:b/>
                <w:bCs/>
                <w:sz w:val="16"/>
                <w:szCs w:val="16"/>
              </w:rPr>
              <w:t>s</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divId w:val="1031343058"/>
          <w:trHeight w:val="200"/>
          <w:tblCellSpacing w:w="15" w:type="dxa"/>
        </w:trPr>
        <w:tc>
          <w:tcPr>
            <w:tcW w:w="0" w:type="auto"/>
            <w:vAlign w:val="bottom"/>
            <w:hideMark/>
          </w:tcPr>
          <w:p w:rsidR="00000000" w:rsidRDefault="00010F15">
            <w:pPr>
              <w:pStyle w:val="a3"/>
              <w:spacing w:before="0" w:beforeAutospacing="0" w:after="0" w:afterAutospacing="0"/>
              <w:rPr>
                <w:sz w:val="18"/>
                <w:szCs w:val="18"/>
              </w:rPr>
            </w:pPr>
            <w:r>
              <w:rPr>
                <w:rFonts w:ascii="Arial" w:hAnsi="Arial" w:cs="Arial"/>
                <w:b/>
                <w:bCs/>
                <w:sz w:val="18"/>
                <w:szCs w:val="18"/>
              </w:rPr>
              <w:t>Balance as of December 31, 201</w:t>
            </w:r>
            <w:r>
              <w:rPr>
                <w:rFonts w:ascii="Arial" w:hAnsi="Arial" w:cs="Arial"/>
                <w:b/>
                <w:bCs/>
                <w:sz w:val="18"/>
                <w:szCs w:val="18"/>
              </w:rPr>
              <w:t>9</w:t>
            </w:r>
          </w:p>
        </w:tc>
        <w:tc>
          <w:tcPr>
            <w:tcW w:w="0" w:type="auto"/>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031343058"/>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Charge-off</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031343058"/>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Recoverie</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031343058"/>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Provision for credit losse</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031343058"/>
          <w:trHeight w:val="200"/>
          <w:tblCellSpacing w:w="15" w:type="dxa"/>
        </w:trPr>
        <w:tc>
          <w:tcPr>
            <w:tcW w:w="0" w:type="auto"/>
            <w:vAlign w:val="bottom"/>
            <w:hideMark/>
          </w:tcPr>
          <w:p w:rsidR="00000000" w:rsidRDefault="00010F15">
            <w:pPr>
              <w:pStyle w:val="a3"/>
              <w:spacing w:before="0" w:beforeAutospacing="0" w:after="0" w:afterAutospacing="0"/>
              <w:rPr>
                <w:sz w:val="18"/>
                <w:szCs w:val="18"/>
              </w:rPr>
            </w:pPr>
            <w:r>
              <w:rPr>
                <w:rFonts w:ascii="Arial" w:hAnsi="Arial" w:cs="Arial"/>
                <w:b/>
                <w:bCs/>
                <w:sz w:val="18"/>
                <w:szCs w:val="18"/>
              </w:rPr>
              <w:t>Balance as of December 31, 202</w:t>
            </w:r>
            <w:r>
              <w:rPr>
                <w:rFonts w:ascii="Arial" w:hAnsi="Arial" w:cs="Arial"/>
                <w:b/>
                <w:bCs/>
                <w:sz w:val="18"/>
                <w:szCs w:val="18"/>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031343058"/>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Charge-off</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10</w:t>
            </w:r>
            <w:r>
              <w:rPr>
                <w:rFonts w:ascii="Arial" w:hAnsi="Arial" w:cs="Arial"/>
                <w:sz w:val="20"/>
                <w:szCs w:val="20"/>
              </w:rPr>
              <w:t>4</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r>
      <w:tr w:rsidR="00000000">
        <w:trPr>
          <w:divId w:val="1031343058"/>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Recoverie</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031343058"/>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Provision for credit losse</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031343058"/>
          <w:trHeight w:val="200"/>
          <w:tblCellSpacing w:w="15" w:type="dxa"/>
        </w:trPr>
        <w:tc>
          <w:tcPr>
            <w:tcW w:w="0" w:type="auto"/>
            <w:vAlign w:val="bottom"/>
            <w:hideMark/>
          </w:tcPr>
          <w:p w:rsidR="00000000" w:rsidRDefault="00010F15">
            <w:pPr>
              <w:pStyle w:val="a3"/>
              <w:spacing w:before="0" w:beforeAutospacing="0" w:after="0" w:afterAutospacing="0"/>
              <w:rPr>
                <w:sz w:val="18"/>
                <w:szCs w:val="18"/>
              </w:rPr>
            </w:pPr>
            <w:r>
              <w:rPr>
                <w:rFonts w:ascii="Arial" w:hAnsi="Arial" w:cs="Arial"/>
                <w:b/>
                <w:bCs/>
                <w:sz w:val="18"/>
                <w:szCs w:val="18"/>
              </w:rPr>
              <w:t>Balance as of December 31, 202</w:t>
            </w:r>
            <w:r>
              <w:rPr>
                <w:rFonts w:ascii="Arial" w:hAnsi="Arial" w:cs="Arial"/>
                <w:b/>
                <w:bCs/>
                <w:sz w:val="18"/>
                <w:szCs w:val="18"/>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bl>
    <w:p w:rsidR="00000000" w:rsidRDefault="00010F15">
      <w:pPr>
        <w:pStyle w:val="a3"/>
        <w:spacing w:before="240" w:beforeAutospacing="0" w:after="0" w:afterAutospacing="0"/>
        <w:divId w:val="1570457330"/>
        <w:rPr>
          <w:sz w:val="20"/>
          <w:szCs w:val="20"/>
        </w:rPr>
      </w:pPr>
      <w:r>
        <w:rPr>
          <w:rFonts w:ascii="Arial" w:hAnsi="Arial" w:cs="Arial"/>
          <w:b/>
          <w:bCs/>
          <w:i/>
          <w:iCs/>
          <w:sz w:val="20"/>
          <w:szCs w:val="20"/>
        </w:rPr>
        <w:t>Deferred Offering Cost</w:t>
      </w:r>
      <w:r>
        <w:rPr>
          <w:rFonts w:ascii="Arial" w:hAnsi="Arial" w:cs="Arial"/>
          <w:b/>
          <w:bCs/>
          <w:i/>
          <w:iCs/>
          <w:sz w:val="20"/>
          <w:szCs w:val="20"/>
        </w:rPr>
        <w:t>s</w:t>
      </w:r>
    </w:p>
    <w:p w:rsidR="00000000" w:rsidRDefault="00010F15">
      <w:pPr>
        <w:pStyle w:val="a3"/>
        <w:spacing w:before="120" w:beforeAutospacing="0" w:after="0" w:afterAutospacing="0"/>
        <w:ind w:firstLine="539"/>
        <w:divId w:val="1570457330"/>
        <w:rPr>
          <w:sz w:val="20"/>
          <w:szCs w:val="20"/>
        </w:rPr>
      </w:pPr>
      <w:r>
        <w:rPr>
          <w:rFonts w:ascii="Arial" w:hAnsi="Arial" w:cs="Arial"/>
          <w:sz w:val="20"/>
          <w:szCs w:val="20"/>
        </w:rPr>
        <w:t>Deferred offering costs, which consist of direct incremental legal and accounting fees, relating to the Company’s IPO, were initially capitalized and included in prepaid expenses and other current assets on the consolidated balance sheets. Upon consummatio</w:t>
      </w:r>
      <w:r>
        <w:rPr>
          <w:rFonts w:ascii="Arial" w:hAnsi="Arial" w:cs="Arial"/>
          <w:sz w:val="20"/>
          <w:szCs w:val="20"/>
        </w:rPr>
        <w:t>n of the IPO in May 2021, the Company reclassified</w:t>
      </w:r>
      <w:r>
        <w:rPr>
          <w:rFonts w:ascii="Arial" w:hAnsi="Arial" w:cs="Arial"/>
          <w:sz w:val="20"/>
          <w:szCs w:val="20"/>
        </w:rPr>
        <w:t xml:space="preserve"> </w:t>
      </w:r>
      <w:r>
        <w:rPr>
          <w:rFonts w:ascii="Arial" w:hAnsi="Arial" w:cs="Arial"/>
          <w:sz w:val="20"/>
          <w:szCs w:val="20"/>
        </w:rPr>
        <w:t>$</w:t>
      </w:r>
      <w:r>
        <w:rPr>
          <w:rFonts w:ascii="Arial" w:hAnsi="Arial" w:cs="Arial"/>
          <w:sz w:val="20"/>
          <w:szCs w:val="20"/>
        </w:rPr>
        <w:t>2.</w:t>
      </w:r>
      <w:r>
        <w:rPr>
          <w:rFonts w:ascii="Arial" w:hAnsi="Arial" w:cs="Arial"/>
          <w:sz w:val="20"/>
          <w:szCs w:val="20"/>
        </w:rPr>
        <w:t>0</w:t>
      </w:r>
      <w:r>
        <w:rPr>
          <w:rFonts w:ascii="Arial" w:hAnsi="Arial" w:cs="Arial"/>
          <w:sz w:val="20"/>
          <w:szCs w:val="20"/>
        </w:rPr>
        <w:t xml:space="preserve"> million of deferred offering costs to additional paid-in capital offsetting the IPO proceeds. There were no material deferred offering costs recorded as of December 31, 2020</w:t>
      </w:r>
      <w:r>
        <w:rPr>
          <w:rFonts w:ascii="Arial" w:hAnsi="Arial" w:cs="Arial"/>
          <w:sz w:val="20"/>
          <w:szCs w:val="20"/>
        </w:rPr>
        <w:t>.</w:t>
      </w:r>
    </w:p>
    <w:p w:rsidR="00000000" w:rsidRDefault="00010F15">
      <w:pPr>
        <w:pStyle w:val="a3"/>
        <w:spacing w:before="240" w:beforeAutospacing="0" w:after="0" w:afterAutospacing="0"/>
        <w:divId w:val="1209805205"/>
        <w:rPr>
          <w:sz w:val="20"/>
          <w:szCs w:val="20"/>
        </w:rPr>
      </w:pPr>
      <w:r>
        <w:rPr>
          <w:rFonts w:ascii="Arial" w:hAnsi="Arial" w:cs="Arial"/>
          <w:b/>
          <w:bCs/>
          <w:i/>
          <w:iCs/>
          <w:sz w:val="20"/>
          <w:szCs w:val="20"/>
        </w:rPr>
        <w:t>Internal-use Software Dev</w:t>
      </w:r>
      <w:r>
        <w:rPr>
          <w:rFonts w:ascii="Arial" w:hAnsi="Arial" w:cs="Arial"/>
          <w:b/>
          <w:bCs/>
          <w:i/>
          <w:iCs/>
          <w:sz w:val="20"/>
          <w:szCs w:val="20"/>
        </w:rPr>
        <w:t>elopment Cost</w:t>
      </w:r>
      <w:r>
        <w:rPr>
          <w:rFonts w:ascii="Arial" w:hAnsi="Arial" w:cs="Arial"/>
          <w:b/>
          <w:bCs/>
          <w:i/>
          <w:iCs/>
          <w:sz w:val="20"/>
          <w:szCs w:val="20"/>
        </w:rPr>
        <w:t>s</w:t>
      </w:r>
    </w:p>
    <w:p w:rsidR="00000000" w:rsidRDefault="00010F15">
      <w:pPr>
        <w:pStyle w:val="a3"/>
        <w:spacing w:before="120" w:beforeAutospacing="0" w:after="0" w:afterAutospacing="0"/>
        <w:ind w:firstLine="539"/>
        <w:divId w:val="1209805205"/>
        <w:rPr>
          <w:sz w:val="20"/>
          <w:szCs w:val="20"/>
        </w:rPr>
      </w:pPr>
      <w:r>
        <w:rPr>
          <w:rFonts w:ascii="Arial" w:hAnsi="Arial" w:cs="Arial"/>
          <w:sz w:val="20"/>
          <w:szCs w:val="20"/>
        </w:rPr>
        <w:t>The Company capitalizes qualifying internal-use software development costs related to its platfor</w:t>
      </w:r>
      <w:r>
        <w:rPr>
          <w:rFonts w:ascii="Arial" w:hAnsi="Arial" w:cs="Arial"/>
          <w:sz w:val="20"/>
          <w:szCs w:val="20"/>
        </w:rPr>
        <w:t>m</w:t>
      </w:r>
      <w:r>
        <w:rPr>
          <w:rFonts w:ascii="Arial" w:hAnsi="Arial" w:cs="Arial"/>
          <w:b/>
          <w:bCs/>
          <w:sz w:val="20"/>
          <w:szCs w:val="20"/>
        </w:rPr>
        <w:t>.</w:t>
      </w:r>
      <w:r>
        <w:rPr>
          <w:rFonts w:ascii="Arial" w:hAnsi="Arial" w:cs="Arial"/>
          <w:b/>
          <w:bCs/>
          <w:sz w:val="20"/>
          <w:szCs w:val="20"/>
        </w:rPr>
        <w:t xml:space="preserve"> </w:t>
      </w:r>
      <w:r>
        <w:rPr>
          <w:rFonts w:ascii="Arial" w:hAnsi="Arial" w:cs="Arial"/>
          <w:sz w:val="20"/>
          <w:szCs w:val="20"/>
        </w:rPr>
        <w:t>The</w:t>
      </w:r>
      <w:r>
        <w:rPr>
          <w:rFonts w:ascii="Arial" w:hAnsi="Arial" w:cs="Arial"/>
          <w:sz w:val="20"/>
          <w:szCs w:val="20"/>
        </w:rPr>
        <w:t xml:space="preserve"> </w:t>
      </w:r>
      <w:r>
        <w:rPr>
          <w:rFonts w:ascii="Arial" w:hAnsi="Arial" w:cs="Arial"/>
          <w:sz w:val="20"/>
          <w:szCs w:val="20"/>
        </w:rPr>
        <w:t>costs consist of personnel costs (including related benefits) that are incurred during the application development stage, as well as impl</w:t>
      </w:r>
      <w:r>
        <w:rPr>
          <w:rFonts w:ascii="Arial" w:hAnsi="Arial" w:cs="Arial"/>
          <w:sz w:val="20"/>
          <w:szCs w:val="20"/>
        </w:rPr>
        <w:t>ementation costs incurred to fulfill our contracts with customers as they (1) relate directly to the contract, (2) are expected to generate resources that will be used to satisfy the performance obligation under the contract, and (3) are expected to be rec</w:t>
      </w:r>
      <w:r>
        <w:rPr>
          <w:rFonts w:ascii="Arial" w:hAnsi="Arial" w:cs="Arial"/>
          <w:sz w:val="20"/>
          <w:szCs w:val="20"/>
        </w:rPr>
        <w:t>overed through revenues generated under the contract. Capitalization of costs begins when two criteria are met: (1) the preliminary project stage is completed, and (2) it is probable that the software will be completed and used for its intended function. C</w:t>
      </w:r>
      <w:r>
        <w:rPr>
          <w:rFonts w:ascii="Arial" w:hAnsi="Arial" w:cs="Arial"/>
          <w:sz w:val="20"/>
          <w:szCs w:val="20"/>
        </w:rPr>
        <w:t>apitalization ceases when the software is substantially complete and ready for its intended use, including the completion of all significant testing. Costs related to preliminary project activities and post implementatio</w:t>
      </w:r>
      <w:r>
        <w:rPr>
          <w:rFonts w:ascii="Arial" w:hAnsi="Arial" w:cs="Arial"/>
          <w:sz w:val="20"/>
          <w:szCs w:val="20"/>
        </w:rPr>
        <w:t>n</w:t>
      </w:r>
      <w:r>
        <w:rPr>
          <w:rFonts w:ascii="Arial" w:hAnsi="Arial" w:cs="Arial"/>
          <w:sz w:val="20"/>
          <w:szCs w:val="20"/>
        </w:rPr>
        <w:t xml:space="preserve"> </w:t>
      </w:r>
    </w:p>
    <w:p w:rsidR="00000000" w:rsidRDefault="00010F15">
      <w:pPr>
        <w:pStyle w:val="a3"/>
        <w:spacing w:before="120" w:beforeAutospacing="0" w:after="0" w:afterAutospacing="0"/>
        <w:jc w:val="center"/>
        <w:divId w:val="1209805205"/>
        <w:rPr>
          <w:sz w:val="20"/>
          <w:szCs w:val="20"/>
        </w:rPr>
      </w:pPr>
      <w:r>
        <w:rPr>
          <w:rFonts w:ascii="Arial" w:hAnsi="Arial" w:cs="Arial"/>
          <w:sz w:val="20"/>
          <w:szCs w:val="20"/>
        </w:rPr>
        <w:t>8</w:t>
      </w:r>
      <w:r>
        <w:rPr>
          <w:rFonts w:ascii="Arial" w:hAnsi="Arial" w:cs="Arial"/>
          <w:sz w:val="20"/>
          <w:szCs w:val="20"/>
        </w:rPr>
        <w:t>2</w:t>
      </w:r>
    </w:p>
    <w:p w:rsidR="00000000" w:rsidRDefault="00010F15">
      <w:pPr>
        <w:divId w:val="1209805205"/>
        <w:rPr>
          <w:rFonts w:ascii="Arial" w:eastAsia="Times New Roman" w:hAnsi="Arial" w:cs="Arial"/>
          <w:sz w:val="20"/>
          <w:szCs w:val="20"/>
        </w:rPr>
      </w:pPr>
      <w:r>
        <w:rPr>
          <w:rFonts w:ascii="Arial" w:eastAsia="Times New Roman" w:hAnsi="Arial" w:cs="Arial"/>
          <w:sz w:val="20"/>
          <w:szCs w:val="20"/>
        </w:rPr>
        <w:pict>
          <v:rect id="_x0000_i1107" style="width:0;height:1.5pt" o:hralign="center" o:hrstd="t" o:hr="t" fillcolor="#a0a0a0" stroked="f"/>
        </w:pict>
      </w:r>
    </w:p>
    <w:p w:rsidR="00000000" w:rsidRDefault="00010F15">
      <w:pPr>
        <w:pStyle w:val="a3"/>
        <w:spacing w:before="0" w:beforeAutospacing="0" w:after="0" w:afterAutospacing="0"/>
        <w:divId w:val="1209805205"/>
        <w:rPr>
          <w:sz w:val="20"/>
          <w:szCs w:val="20"/>
        </w:rPr>
      </w:pPr>
      <w:r>
        <w:rPr>
          <w:sz w:val="20"/>
          <w:szCs w:val="20"/>
        </w:rPr>
        <w:t> </w:t>
      </w:r>
    </w:p>
    <w:p w:rsidR="00000000" w:rsidRDefault="00010F15">
      <w:pPr>
        <w:pStyle w:val="a3"/>
        <w:spacing w:before="120" w:beforeAutospacing="0" w:after="0" w:afterAutospacing="0"/>
        <w:divId w:val="1209805205"/>
        <w:rPr>
          <w:sz w:val="20"/>
          <w:szCs w:val="20"/>
        </w:rPr>
      </w:pPr>
      <w:r>
        <w:rPr>
          <w:rFonts w:ascii="Arial" w:hAnsi="Arial" w:cs="Arial"/>
          <w:sz w:val="20"/>
          <w:szCs w:val="20"/>
        </w:rPr>
        <w:t>operating</w:t>
      </w:r>
      <w:r>
        <w:rPr>
          <w:rFonts w:ascii="Arial" w:hAnsi="Arial" w:cs="Arial"/>
          <w:sz w:val="20"/>
          <w:szCs w:val="20"/>
        </w:rPr>
        <w:t xml:space="preserve"> </w:t>
      </w:r>
      <w:r>
        <w:rPr>
          <w:rFonts w:ascii="Arial" w:hAnsi="Arial" w:cs="Arial"/>
          <w:sz w:val="20"/>
          <w:szCs w:val="20"/>
        </w:rPr>
        <w:t xml:space="preserve">activities are expensed as incurred. During the years ended December 31, 2021, 2020 and 2019 the Company capitalized </w:t>
      </w:r>
      <w:r>
        <w:rPr>
          <w:rFonts w:ascii="Arial" w:hAnsi="Arial" w:cs="Arial"/>
          <w:sz w:val="20"/>
          <w:szCs w:val="20"/>
        </w:rPr>
        <w:t>$</w:t>
      </w:r>
      <w:r>
        <w:rPr>
          <w:rFonts w:ascii="Arial" w:hAnsi="Arial" w:cs="Arial"/>
          <w:sz w:val="20"/>
          <w:szCs w:val="20"/>
        </w:rPr>
        <w:t>19.</w:t>
      </w:r>
      <w:r>
        <w:rPr>
          <w:rFonts w:ascii="Arial" w:hAnsi="Arial" w:cs="Arial"/>
          <w:sz w:val="20"/>
          <w:szCs w:val="20"/>
        </w:rPr>
        <w:t>3</w:t>
      </w:r>
      <w:r>
        <w:rPr>
          <w:rFonts w:ascii="Arial" w:hAnsi="Arial" w:cs="Arial"/>
          <w:sz w:val="20"/>
          <w:szCs w:val="20"/>
        </w:rPr>
        <w:t xml:space="preserve"> million, </w:t>
      </w:r>
      <w:r>
        <w:rPr>
          <w:rFonts w:ascii="Arial" w:hAnsi="Arial" w:cs="Arial"/>
          <w:sz w:val="20"/>
          <w:szCs w:val="20"/>
        </w:rPr>
        <w:t>$</w:t>
      </w:r>
      <w:r>
        <w:rPr>
          <w:rFonts w:ascii="Arial" w:hAnsi="Arial" w:cs="Arial"/>
          <w:sz w:val="20"/>
          <w:szCs w:val="20"/>
        </w:rPr>
        <w:t>14.</w:t>
      </w:r>
      <w:r>
        <w:rPr>
          <w:rFonts w:ascii="Arial" w:hAnsi="Arial" w:cs="Arial"/>
          <w:sz w:val="20"/>
          <w:szCs w:val="20"/>
        </w:rPr>
        <w:t>4</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10.</w:t>
      </w:r>
      <w:r>
        <w:rPr>
          <w:rFonts w:ascii="Arial" w:hAnsi="Arial" w:cs="Arial"/>
          <w:sz w:val="20"/>
          <w:szCs w:val="20"/>
        </w:rPr>
        <w:t>2</w:t>
      </w:r>
      <w:r>
        <w:rPr>
          <w:rFonts w:ascii="Arial" w:hAnsi="Arial" w:cs="Arial"/>
          <w:sz w:val="20"/>
          <w:szCs w:val="20"/>
        </w:rPr>
        <w:t xml:space="preserve"> million in software development costs, respectively</w:t>
      </w:r>
      <w:r>
        <w:rPr>
          <w:rFonts w:ascii="Arial" w:hAnsi="Arial" w:cs="Arial"/>
          <w:sz w:val="20"/>
          <w:szCs w:val="20"/>
        </w:rPr>
        <w:t>.</w:t>
      </w:r>
    </w:p>
    <w:p w:rsidR="00000000" w:rsidRDefault="00010F15">
      <w:pPr>
        <w:pStyle w:val="a3"/>
        <w:spacing w:before="120" w:beforeAutospacing="0" w:after="0" w:afterAutospacing="0"/>
        <w:ind w:firstLine="539"/>
        <w:divId w:val="1209805205"/>
        <w:rPr>
          <w:sz w:val="20"/>
          <w:szCs w:val="20"/>
        </w:rPr>
      </w:pPr>
      <w:r>
        <w:rPr>
          <w:rFonts w:ascii="Arial" w:hAnsi="Arial" w:cs="Arial"/>
          <w:sz w:val="20"/>
          <w:szCs w:val="20"/>
        </w:rPr>
        <w:t>Capitalized costs are amortiz</w:t>
      </w:r>
      <w:r>
        <w:rPr>
          <w:rFonts w:ascii="Arial" w:hAnsi="Arial" w:cs="Arial"/>
          <w:sz w:val="20"/>
          <w:szCs w:val="20"/>
        </w:rPr>
        <w:t>ed over the estimated useful life of the software, which management estimated to be a range of</w:t>
      </w:r>
      <w:r>
        <w:rPr>
          <w:rFonts w:ascii="Arial" w:hAnsi="Arial" w:cs="Arial"/>
          <w:sz w:val="20"/>
          <w:szCs w:val="20"/>
        </w:rPr>
        <w:t xml:space="preserve"> </w:t>
      </w:r>
      <w:r>
        <w:rPr>
          <w:rFonts w:ascii="Arial" w:hAnsi="Arial" w:cs="Arial"/>
          <w:sz w:val="20"/>
          <w:szCs w:val="20"/>
        </w:rPr>
        <w:t>thre</w:t>
      </w:r>
      <w:r>
        <w:rPr>
          <w:rFonts w:ascii="Arial" w:hAnsi="Arial" w:cs="Arial"/>
          <w:sz w:val="20"/>
          <w:szCs w:val="20"/>
        </w:rPr>
        <w:t>e</w:t>
      </w:r>
      <w:r>
        <w:rPr>
          <w:rFonts w:ascii="Arial" w:hAnsi="Arial" w:cs="Arial"/>
          <w:sz w:val="20"/>
          <w:szCs w:val="20"/>
        </w:rPr>
        <w:t xml:space="preserve"> to</w:t>
      </w:r>
      <w:r>
        <w:rPr>
          <w:rFonts w:ascii="Arial" w:hAnsi="Arial" w:cs="Arial"/>
          <w:sz w:val="20"/>
          <w:szCs w:val="20"/>
        </w:rPr>
        <w:t xml:space="preserve"> </w:t>
      </w:r>
      <w:r>
        <w:rPr>
          <w:rFonts w:ascii="Arial" w:hAnsi="Arial" w:cs="Arial"/>
          <w:sz w:val="20"/>
          <w:szCs w:val="20"/>
        </w:rPr>
        <w:t>five year</w:t>
      </w:r>
      <w:r>
        <w:rPr>
          <w:rFonts w:ascii="Arial" w:hAnsi="Arial" w:cs="Arial"/>
          <w:sz w:val="20"/>
          <w:szCs w:val="20"/>
        </w:rPr>
        <w:t>s</w:t>
      </w:r>
      <w:r>
        <w:rPr>
          <w:rFonts w:ascii="Arial" w:hAnsi="Arial" w:cs="Arial"/>
          <w:sz w:val="20"/>
          <w:szCs w:val="20"/>
        </w:rPr>
        <w:t>, and are recorded on a straight-line basis, which represents the manner in which the expected benefit will be derived. Amortization expense i</w:t>
      </w:r>
      <w:r>
        <w:rPr>
          <w:rFonts w:ascii="Arial" w:hAnsi="Arial" w:cs="Arial"/>
          <w:sz w:val="20"/>
          <w:szCs w:val="20"/>
        </w:rPr>
        <w:t>s recorded in cost of revenue and operating expenses in the consolidated statement of operations aligned with the internal organizations that are the primary beneficiaries of such assets. During the years ended December 31, 2021, 2020 and 2019, the Company</w:t>
      </w:r>
      <w:r>
        <w:rPr>
          <w:rFonts w:ascii="Arial" w:hAnsi="Arial" w:cs="Arial"/>
          <w:sz w:val="20"/>
          <w:szCs w:val="20"/>
        </w:rPr>
        <w:t xml:space="preserve"> recorded </w:t>
      </w:r>
      <w:r>
        <w:rPr>
          <w:rFonts w:ascii="Arial" w:hAnsi="Arial" w:cs="Arial"/>
          <w:sz w:val="20"/>
          <w:szCs w:val="20"/>
        </w:rPr>
        <w:t>$</w:t>
      </w:r>
      <w:r>
        <w:rPr>
          <w:rFonts w:ascii="Arial" w:hAnsi="Arial" w:cs="Arial"/>
          <w:sz w:val="20"/>
          <w:szCs w:val="20"/>
        </w:rPr>
        <w:t>4.</w:t>
      </w:r>
      <w:r>
        <w:rPr>
          <w:rFonts w:ascii="Arial" w:hAnsi="Arial" w:cs="Arial"/>
          <w:sz w:val="20"/>
          <w:szCs w:val="20"/>
        </w:rPr>
        <w:t>9</w:t>
      </w:r>
      <w:r>
        <w:rPr>
          <w:rFonts w:ascii="Arial" w:hAnsi="Arial" w:cs="Arial"/>
          <w:sz w:val="20"/>
          <w:szCs w:val="20"/>
        </w:rPr>
        <w:t xml:space="preserve"> million, </w:t>
      </w:r>
      <w:r>
        <w:rPr>
          <w:rFonts w:ascii="Arial" w:hAnsi="Arial" w:cs="Arial"/>
          <w:sz w:val="20"/>
          <w:szCs w:val="20"/>
        </w:rPr>
        <w:t>$</w:t>
      </w:r>
      <w:r>
        <w:rPr>
          <w:rFonts w:ascii="Arial" w:hAnsi="Arial" w:cs="Arial"/>
          <w:sz w:val="20"/>
          <w:szCs w:val="20"/>
        </w:rPr>
        <w:t>3.</w:t>
      </w:r>
      <w:r>
        <w:rPr>
          <w:rFonts w:ascii="Arial" w:hAnsi="Arial" w:cs="Arial"/>
          <w:sz w:val="20"/>
          <w:szCs w:val="20"/>
        </w:rPr>
        <w:t>5</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2.</w:t>
      </w:r>
      <w:r>
        <w:rPr>
          <w:rFonts w:ascii="Arial" w:hAnsi="Arial" w:cs="Arial"/>
          <w:sz w:val="20"/>
          <w:szCs w:val="20"/>
        </w:rPr>
        <w:t>0</w:t>
      </w:r>
      <w:r>
        <w:rPr>
          <w:rFonts w:ascii="Arial" w:hAnsi="Arial" w:cs="Arial"/>
          <w:sz w:val="20"/>
          <w:szCs w:val="20"/>
        </w:rPr>
        <w:t xml:space="preserve"> million of amortization expense in cost of revenue, and </w:t>
      </w:r>
      <w:r>
        <w:rPr>
          <w:rFonts w:ascii="Arial" w:hAnsi="Arial" w:cs="Arial"/>
          <w:sz w:val="20"/>
          <w:szCs w:val="20"/>
        </w:rPr>
        <w:t>$</w:t>
      </w:r>
      <w:r>
        <w:rPr>
          <w:rFonts w:ascii="Arial" w:hAnsi="Arial" w:cs="Arial"/>
          <w:sz w:val="20"/>
          <w:szCs w:val="20"/>
        </w:rPr>
        <w:t>4.</w:t>
      </w:r>
      <w:r>
        <w:rPr>
          <w:rFonts w:ascii="Arial" w:hAnsi="Arial" w:cs="Arial"/>
          <w:sz w:val="20"/>
          <w:szCs w:val="20"/>
        </w:rPr>
        <w:t>5</w:t>
      </w:r>
      <w:r>
        <w:rPr>
          <w:rFonts w:ascii="Arial" w:hAnsi="Arial" w:cs="Arial"/>
          <w:sz w:val="20"/>
          <w:szCs w:val="20"/>
        </w:rPr>
        <w:t xml:space="preserve"> million, </w:t>
      </w:r>
      <w:r>
        <w:rPr>
          <w:rFonts w:ascii="Arial" w:hAnsi="Arial" w:cs="Arial"/>
          <w:sz w:val="20"/>
          <w:szCs w:val="20"/>
        </w:rPr>
        <w:t>$</w:t>
      </w:r>
      <w:r>
        <w:rPr>
          <w:rFonts w:ascii="Arial" w:hAnsi="Arial" w:cs="Arial"/>
          <w:sz w:val="20"/>
          <w:szCs w:val="20"/>
        </w:rPr>
        <w:t>3.</w:t>
      </w:r>
      <w:r>
        <w:rPr>
          <w:rFonts w:ascii="Arial" w:hAnsi="Arial" w:cs="Arial"/>
          <w:sz w:val="20"/>
          <w:szCs w:val="20"/>
        </w:rPr>
        <w:t>0</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2.</w:t>
      </w:r>
      <w:r>
        <w:rPr>
          <w:rFonts w:ascii="Arial" w:hAnsi="Arial" w:cs="Arial"/>
          <w:sz w:val="20"/>
          <w:szCs w:val="20"/>
        </w:rPr>
        <w:t>0</w:t>
      </w:r>
      <w:r>
        <w:rPr>
          <w:rFonts w:ascii="Arial" w:hAnsi="Arial" w:cs="Arial"/>
          <w:sz w:val="20"/>
          <w:szCs w:val="20"/>
        </w:rPr>
        <w:t xml:space="preserve"> million of amortization expense in operating expenses, respectively</w:t>
      </w:r>
      <w:r>
        <w:rPr>
          <w:rFonts w:ascii="Arial" w:hAnsi="Arial" w:cs="Arial"/>
          <w:sz w:val="20"/>
          <w:szCs w:val="20"/>
        </w:rPr>
        <w:t>.</w:t>
      </w:r>
    </w:p>
    <w:p w:rsidR="00000000" w:rsidRDefault="00010F15">
      <w:pPr>
        <w:pStyle w:val="a3"/>
        <w:spacing w:before="240" w:beforeAutospacing="0" w:after="0" w:afterAutospacing="0"/>
        <w:divId w:val="1038624014"/>
        <w:rPr>
          <w:sz w:val="20"/>
          <w:szCs w:val="20"/>
        </w:rPr>
      </w:pPr>
      <w:r>
        <w:rPr>
          <w:rFonts w:ascii="Arial" w:hAnsi="Arial" w:cs="Arial"/>
          <w:b/>
          <w:bCs/>
          <w:i/>
          <w:iCs/>
          <w:sz w:val="20"/>
          <w:szCs w:val="20"/>
        </w:rPr>
        <w:t>Property and Equipment, Ne</w:t>
      </w:r>
      <w:r>
        <w:rPr>
          <w:rFonts w:ascii="Arial" w:hAnsi="Arial" w:cs="Arial"/>
          <w:b/>
          <w:bCs/>
          <w:i/>
          <w:iCs/>
          <w:sz w:val="20"/>
          <w:szCs w:val="20"/>
        </w:rPr>
        <w:t>t</w:t>
      </w:r>
    </w:p>
    <w:p w:rsidR="00000000" w:rsidRDefault="00010F15">
      <w:pPr>
        <w:pStyle w:val="a3"/>
        <w:spacing w:before="120" w:beforeAutospacing="0" w:after="0" w:afterAutospacing="0"/>
        <w:ind w:firstLine="539"/>
        <w:divId w:val="1038624014"/>
        <w:rPr>
          <w:sz w:val="20"/>
          <w:szCs w:val="20"/>
        </w:rPr>
      </w:pPr>
      <w:r>
        <w:rPr>
          <w:rFonts w:ascii="Arial" w:hAnsi="Arial" w:cs="Arial"/>
          <w:sz w:val="20"/>
          <w:szCs w:val="20"/>
        </w:rPr>
        <w:t>Property and equipmen</w:t>
      </w:r>
      <w:r>
        <w:rPr>
          <w:rFonts w:ascii="Arial" w:hAnsi="Arial" w:cs="Arial"/>
          <w:sz w:val="20"/>
          <w:szCs w:val="20"/>
        </w:rPr>
        <w:t>t, net is stated at cost less accumulated depreciation and amortization. Depreciation is computed using the straight-line method over the estimated useful life of the related asset as follows</w:t>
      </w:r>
      <w:r>
        <w:rPr>
          <w:rFonts w:ascii="Arial" w:hAnsi="Arial" w:cs="Arial"/>
          <w:sz w:val="20"/>
          <w:szCs w:val="20"/>
        </w:rPr>
        <w:t>:</w:t>
      </w:r>
    </w:p>
    <w:p w:rsidR="00000000" w:rsidRDefault="00010F15">
      <w:pPr>
        <w:pStyle w:val="a3"/>
        <w:spacing w:before="120" w:beforeAutospacing="0" w:after="0" w:afterAutospacing="0"/>
        <w:ind w:firstLine="539"/>
        <w:jc w:val="center"/>
        <w:divId w:val="1038624014"/>
        <w:rPr>
          <w:sz w:val="20"/>
          <w:szCs w:val="20"/>
        </w:rPr>
      </w:pPr>
      <w:r>
        <w:rPr>
          <w:rFonts w:ascii="Arial" w:hAnsi="Arial" w:cs="Arial"/>
          <w:sz w:val="20"/>
          <w:szCs w:val="20"/>
        </w:rPr>
        <w:t>Computer equipment.............................................</w:t>
      </w:r>
      <w:r>
        <w:rPr>
          <w:rFonts w:ascii="Arial" w:hAnsi="Arial" w:cs="Arial"/>
          <w:sz w:val="20"/>
          <w:szCs w:val="20"/>
        </w:rPr>
        <w:t>.....................</w:t>
      </w:r>
      <w:r>
        <w:rPr>
          <w:rFonts w:ascii="Arial" w:hAnsi="Arial" w:cs="Arial"/>
          <w:sz w:val="20"/>
          <w:szCs w:val="20"/>
        </w:rPr>
        <w:t xml:space="preserve"> </w:t>
      </w:r>
      <w:r>
        <w:rPr>
          <w:rFonts w:ascii="Arial" w:hAnsi="Arial" w:cs="Arial"/>
          <w:sz w:val="20"/>
          <w:szCs w:val="20"/>
        </w:rPr>
        <w:t>3 year</w:t>
      </w:r>
      <w:r>
        <w:rPr>
          <w:rFonts w:ascii="Arial" w:hAnsi="Arial" w:cs="Arial"/>
          <w:sz w:val="20"/>
          <w:szCs w:val="20"/>
        </w:rPr>
        <w:t>s</w:t>
      </w:r>
    </w:p>
    <w:p w:rsidR="00000000" w:rsidRDefault="00010F15">
      <w:pPr>
        <w:pStyle w:val="a3"/>
        <w:spacing w:before="120" w:beforeAutospacing="0" w:after="0" w:afterAutospacing="0"/>
        <w:ind w:firstLine="539"/>
        <w:jc w:val="center"/>
        <w:divId w:val="1038624014"/>
        <w:rPr>
          <w:sz w:val="20"/>
          <w:szCs w:val="20"/>
        </w:rPr>
      </w:pPr>
      <w:r>
        <w:rPr>
          <w:rFonts w:ascii="Arial" w:hAnsi="Arial" w:cs="Arial"/>
          <w:sz w:val="20"/>
          <w:szCs w:val="20"/>
        </w:rPr>
        <w:t>Furniture and fixtures .................................................................</w:t>
      </w:r>
      <w:r>
        <w:rPr>
          <w:rFonts w:ascii="Arial" w:hAnsi="Arial" w:cs="Arial"/>
          <w:sz w:val="20"/>
          <w:szCs w:val="20"/>
        </w:rPr>
        <w:t xml:space="preserve"> </w:t>
      </w:r>
      <w:r>
        <w:rPr>
          <w:rFonts w:ascii="Arial" w:hAnsi="Arial" w:cs="Arial"/>
          <w:sz w:val="20"/>
          <w:szCs w:val="20"/>
        </w:rPr>
        <w:t>5 year</w:t>
      </w:r>
      <w:r>
        <w:rPr>
          <w:rFonts w:ascii="Arial" w:hAnsi="Arial" w:cs="Arial"/>
          <w:sz w:val="20"/>
          <w:szCs w:val="20"/>
        </w:rPr>
        <w:t>s</w:t>
      </w:r>
    </w:p>
    <w:p w:rsidR="00000000" w:rsidRDefault="00010F15">
      <w:pPr>
        <w:pStyle w:val="a3"/>
        <w:spacing w:before="120" w:beforeAutospacing="0" w:after="0" w:afterAutospacing="0"/>
        <w:ind w:firstLine="539"/>
        <w:jc w:val="center"/>
        <w:divId w:val="1038624014"/>
        <w:rPr>
          <w:sz w:val="20"/>
          <w:szCs w:val="20"/>
        </w:rPr>
      </w:pPr>
      <w:r>
        <w:rPr>
          <w:rFonts w:ascii="Arial" w:hAnsi="Arial" w:cs="Arial"/>
          <w:sz w:val="20"/>
          <w:szCs w:val="20"/>
        </w:rPr>
        <w:t>Automobile .................................................................................</w:t>
      </w:r>
      <w:r>
        <w:rPr>
          <w:rFonts w:ascii="Arial" w:hAnsi="Arial" w:cs="Arial"/>
          <w:sz w:val="20"/>
          <w:szCs w:val="20"/>
        </w:rPr>
        <w:t xml:space="preserve"> </w:t>
      </w:r>
      <w:r>
        <w:rPr>
          <w:rFonts w:ascii="Arial" w:hAnsi="Arial" w:cs="Arial"/>
          <w:sz w:val="20"/>
          <w:szCs w:val="20"/>
        </w:rPr>
        <w:t>5 year</w:t>
      </w:r>
      <w:r>
        <w:rPr>
          <w:rFonts w:ascii="Arial" w:hAnsi="Arial" w:cs="Arial"/>
          <w:sz w:val="20"/>
          <w:szCs w:val="20"/>
        </w:rPr>
        <w:t>s</w:t>
      </w:r>
    </w:p>
    <w:p w:rsidR="00000000" w:rsidRDefault="00010F15">
      <w:pPr>
        <w:pStyle w:val="a3"/>
        <w:spacing w:before="120" w:beforeAutospacing="0" w:after="0" w:afterAutospacing="0"/>
        <w:ind w:firstLine="539"/>
        <w:divId w:val="1038624014"/>
        <w:rPr>
          <w:sz w:val="20"/>
          <w:szCs w:val="20"/>
        </w:rPr>
      </w:pPr>
      <w:r>
        <w:rPr>
          <w:rFonts w:ascii="Arial" w:hAnsi="Arial" w:cs="Arial"/>
          <w:sz w:val="20"/>
          <w:szCs w:val="20"/>
        </w:rPr>
        <w:t>Leasehold improvements are amortized over the shorter of estimated useful life or the remaining lease term. Expenses that improve an asset or extend its remaining useful life are capitalized. Upon retirement or sale, the cost of assets disposed of, and the</w:t>
      </w:r>
      <w:r>
        <w:rPr>
          <w:rFonts w:ascii="Arial" w:hAnsi="Arial" w:cs="Arial"/>
          <w:sz w:val="20"/>
          <w:szCs w:val="20"/>
        </w:rPr>
        <w:t xml:space="preserve"> related accumulated depreciation, is removed from the accounts and any resulting gain or loss is reflected in other income (loss) in the consolidated statements of operations. Costs of maintenance or repairs that do not extend the lives of the respective </w:t>
      </w:r>
      <w:r>
        <w:rPr>
          <w:rFonts w:ascii="Arial" w:hAnsi="Arial" w:cs="Arial"/>
          <w:sz w:val="20"/>
          <w:szCs w:val="20"/>
        </w:rPr>
        <w:t>assets are expensed as incurred</w:t>
      </w:r>
      <w:r>
        <w:rPr>
          <w:rFonts w:ascii="Arial" w:hAnsi="Arial" w:cs="Arial"/>
          <w:sz w:val="20"/>
          <w:szCs w:val="20"/>
        </w:rPr>
        <w:t>.</w:t>
      </w:r>
    </w:p>
    <w:p w:rsidR="00000000" w:rsidRDefault="00010F15">
      <w:pPr>
        <w:pStyle w:val="a3"/>
        <w:spacing w:before="240" w:beforeAutospacing="0" w:after="0" w:afterAutospacing="0"/>
        <w:divId w:val="266501487"/>
        <w:rPr>
          <w:sz w:val="20"/>
          <w:szCs w:val="20"/>
        </w:rPr>
      </w:pPr>
      <w:r>
        <w:rPr>
          <w:rFonts w:ascii="Arial" w:hAnsi="Arial" w:cs="Arial"/>
          <w:b/>
          <w:bCs/>
          <w:i/>
          <w:iCs/>
          <w:sz w:val="20"/>
          <w:szCs w:val="20"/>
        </w:rPr>
        <w:t>Business Combinatio</w:t>
      </w:r>
      <w:r>
        <w:rPr>
          <w:rFonts w:ascii="Arial" w:hAnsi="Arial" w:cs="Arial"/>
          <w:b/>
          <w:bCs/>
          <w:i/>
          <w:iCs/>
          <w:sz w:val="20"/>
          <w:szCs w:val="20"/>
        </w:rPr>
        <w:t>n</w:t>
      </w:r>
    </w:p>
    <w:p w:rsidR="00000000" w:rsidRDefault="00010F15">
      <w:pPr>
        <w:pStyle w:val="a3"/>
        <w:spacing w:before="120" w:beforeAutospacing="0" w:after="0" w:afterAutospacing="0"/>
        <w:ind w:firstLine="539"/>
        <w:divId w:val="266501487"/>
        <w:rPr>
          <w:sz w:val="20"/>
          <w:szCs w:val="20"/>
        </w:rPr>
      </w:pPr>
      <w:r>
        <w:rPr>
          <w:rFonts w:ascii="Arial" w:hAnsi="Arial" w:cs="Arial"/>
          <w:sz w:val="20"/>
          <w:szCs w:val="20"/>
        </w:rPr>
        <w:t>The purchase price of an acquisition is allocated to the tangible and intangible assets and liabilities assumed based on their estimated fair values at the acquisition dates. The excess of total conside</w:t>
      </w:r>
      <w:r>
        <w:rPr>
          <w:rFonts w:ascii="Arial" w:hAnsi="Arial" w:cs="Arial"/>
          <w:sz w:val="20"/>
          <w:szCs w:val="20"/>
        </w:rPr>
        <w:t>ration over the fair values of the assets acquired and the liabilities assumed is recorded as goodwill. During the measurement period, which may be up to one year from the acquisition date, the Company may record adjustments to the assets acquired and liab</w:t>
      </w:r>
      <w:r>
        <w:rPr>
          <w:rFonts w:ascii="Arial" w:hAnsi="Arial" w:cs="Arial"/>
          <w:sz w:val="20"/>
          <w:szCs w:val="20"/>
        </w:rPr>
        <w:t xml:space="preserve">ilities assumed with the corresponding offset to goodwill. Upon the conclusion of the measurement period or final determination of the values of assets acquired or liabilities assumed, whichever comes first, any subsequent adjustments would be recorded in </w:t>
      </w:r>
      <w:r>
        <w:rPr>
          <w:rFonts w:ascii="Arial" w:hAnsi="Arial" w:cs="Arial"/>
          <w:sz w:val="20"/>
          <w:szCs w:val="20"/>
        </w:rPr>
        <w:t>the consolidated statements of operations</w:t>
      </w:r>
      <w:r>
        <w:rPr>
          <w:rFonts w:ascii="Arial" w:hAnsi="Arial" w:cs="Arial"/>
          <w:sz w:val="20"/>
          <w:szCs w:val="20"/>
        </w:rPr>
        <w:t>.</w:t>
      </w:r>
    </w:p>
    <w:p w:rsidR="00000000" w:rsidRDefault="00010F15">
      <w:pPr>
        <w:pStyle w:val="a3"/>
        <w:spacing w:before="240" w:beforeAutospacing="0" w:after="0" w:afterAutospacing="0"/>
        <w:divId w:val="1573929427"/>
        <w:rPr>
          <w:sz w:val="20"/>
          <w:szCs w:val="20"/>
        </w:rPr>
      </w:pPr>
      <w:r>
        <w:rPr>
          <w:rFonts w:ascii="Arial" w:hAnsi="Arial" w:cs="Arial"/>
          <w:b/>
          <w:bCs/>
          <w:i/>
          <w:iCs/>
          <w:sz w:val="20"/>
          <w:szCs w:val="20"/>
        </w:rPr>
        <w:t>Impairment of Long-lived Assets (Including Goodwill and Intangible Assets</w:t>
      </w:r>
      <w:r>
        <w:rPr>
          <w:rFonts w:ascii="Arial" w:hAnsi="Arial" w:cs="Arial"/>
          <w:b/>
          <w:bCs/>
          <w:i/>
          <w:iCs/>
          <w:sz w:val="20"/>
          <w:szCs w:val="20"/>
        </w:rPr>
        <w:t>)</w:t>
      </w:r>
    </w:p>
    <w:p w:rsidR="00000000" w:rsidRDefault="00010F15">
      <w:pPr>
        <w:pStyle w:val="a3"/>
        <w:spacing w:before="120" w:beforeAutospacing="0" w:after="0" w:afterAutospacing="0"/>
        <w:ind w:firstLine="539"/>
        <w:divId w:val="1573929427"/>
        <w:rPr>
          <w:sz w:val="20"/>
          <w:szCs w:val="20"/>
        </w:rPr>
      </w:pPr>
      <w:r>
        <w:rPr>
          <w:rFonts w:ascii="Arial" w:hAnsi="Arial" w:cs="Arial"/>
          <w:sz w:val="20"/>
          <w:szCs w:val="20"/>
        </w:rPr>
        <w:t>Long-lived assets with finite lives include property and equipment, capitalized internal-use software development costs, and acquired intangible assets. The Company evaluates long-lived assets, including intangible assets and capitalized internal-use softw</w:t>
      </w:r>
      <w:r>
        <w:rPr>
          <w:rFonts w:ascii="Arial" w:hAnsi="Arial" w:cs="Arial"/>
          <w:sz w:val="20"/>
          <w:szCs w:val="20"/>
        </w:rPr>
        <w:t>are development costs, for impairment whenever events or changes in circumstances indicate that the carrying amount of an asset may not be recoverable. Recoverability of assets held and used is measured by comparison of the carrying amount of an asset or a</w:t>
      </w:r>
      <w:r>
        <w:rPr>
          <w:rFonts w:ascii="Arial" w:hAnsi="Arial" w:cs="Arial"/>
          <w:sz w:val="20"/>
          <w:szCs w:val="20"/>
        </w:rPr>
        <w:t xml:space="preserve">n asset group to estimated undiscounted future net cash flows expected to be generated by the asset or asset group. If the carrying amount of an asset exceeds these estimated future cash flows, an impairment charge is recognized in the amount by which the </w:t>
      </w:r>
      <w:r>
        <w:rPr>
          <w:rFonts w:ascii="Arial" w:hAnsi="Arial" w:cs="Arial"/>
          <w:sz w:val="20"/>
          <w:szCs w:val="20"/>
        </w:rPr>
        <w:t>carrying amount of the assets exceeds the fair value of the asset or asset group</w:t>
      </w:r>
      <w:r>
        <w:rPr>
          <w:rFonts w:ascii="Arial" w:hAnsi="Arial" w:cs="Arial"/>
          <w:sz w:val="20"/>
          <w:szCs w:val="20"/>
        </w:rPr>
        <w:t>.</w:t>
      </w:r>
    </w:p>
    <w:p w:rsidR="00000000" w:rsidRDefault="00010F15">
      <w:pPr>
        <w:pStyle w:val="a3"/>
        <w:spacing w:before="120" w:beforeAutospacing="0" w:after="0" w:afterAutospacing="0"/>
        <w:ind w:firstLine="539"/>
        <w:divId w:val="1573929427"/>
        <w:rPr>
          <w:sz w:val="20"/>
          <w:szCs w:val="20"/>
        </w:rPr>
      </w:pPr>
      <w:r>
        <w:rPr>
          <w:rFonts w:ascii="Arial" w:hAnsi="Arial" w:cs="Arial"/>
          <w:sz w:val="20"/>
          <w:szCs w:val="20"/>
        </w:rPr>
        <w:t>Goodwill is not amortized but rather tested at the reporting unit level for impairment at least annually in the fourth quarter, or more frequently if events or changes in cir</w:t>
      </w:r>
      <w:r>
        <w:rPr>
          <w:rFonts w:ascii="Arial" w:hAnsi="Arial" w:cs="Arial"/>
          <w:sz w:val="20"/>
          <w:szCs w:val="20"/>
        </w:rPr>
        <w:t>cumstances indicate that goodwill may be impaired. The Company has three reporting units. Goodwill impairment is recognized when the quantitative assessment results in the carrying value of the reporting unit exceeding its fair value, in which case an impa</w:t>
      </w:r>
      <w:r>
        <w:rPr>
          <w:rFonts w:ascii="Arial" w:hAnsi="Arial" w:cs="Arial"/>
          <w:sz w:val="20"/>
          <w:szCs w:val="20"/>
        </w:rPr>
        <w:t>irment charge is recorded to goodwill to the extent the carrying value exceeds the fair value, limited to the amount of goodwill. See Note 6 for more information regarding the carrying value of goodwill by reporting unit</w:t>
      </w:r>
      <w:r>
        <w:rPr>
          <w:rFonts w:ascii="Arial" w:hAnsi="Arial" w:cs="Arial"/>
          <w:sz w:val="20"/>
          <w:szCs w:val="20"/>
        </w:rPr>
        <w:t>.</w:t>
      </w:r>
    </w:p>
    <w:p w:rsidR="00000000" w:rsidRDefault="00010F15">
      <w:pPr>
        <w:pStyle w:val="a3"/>
        <w:spacing w:before="120" w:beforeAutospacing="0" w:after="0" w:afterAutospacing="0"/>
        <w:ind w:firstLine="539"/>
        <w:divId w:val="1573929427"/>
        <w:rPr>
          <w:sz w:val="20"/>
          <w:szCs w:val="20"/>
        </w:rPr>
      </w:pPr>
      <w:r>
        <w:rPr>
          <w:rFonts w:ascii="Arial" w:hAnsi="Arial" w:cs="Arial"/>
          <w:sz w:val="20"/>
          <w:szCs w:val="20"/>
        </w:rPr>
        <w:t>In performing this qualitative ass</w:t>
      </w:r>
      <w:r>
        <w:rPr>
          <w:rFonts w:ascii="Arial" w:hAnsi="Arial" w:cs="Arial"/>
          <w:sz w:val="20"/>
          <w:szCs w:val="20"/>
        </w:rPr>
        <w:t>essment, the Company considers the following circumstances as well as others</w:t>
      </w:r>
      <w:r>
        <w:rPr>
          <w:rFonts w:ascii="Arial" w:hAnsi="Arial" w:cs="Arial"/>
          <w:sz w:val="20"/>
          <w:szCs w:val="20"/>
        </w:rPr>
        <w:t>:</w:t>
      </w:r>
    </w:p>
    <w:p w:rsidR="00000000" w:rsidRDefault="00010F15">
      <w:pPr>
        <w:divId w:val="2104570184"/>
        <w:rPr>
          <w:rFonts w:ascii="Arial" w:eastAsia="Times New Roman" w:hAnsi="Arial" w:cs="Arial"/>
          <w:sz w:val="20"/>
          <w:szCs w:val="20"/>
        </w:rPr>
      </w:pPr>
      <w:r>
        <w:rPr>
          <w:rFonts w:eastAsia="Times New Roman"/>
          <w:sz w:val="20"/>
          <w:szCs w:val="20"/>
        </w:rPr>
        <w:t>•</w:t>
      </w:r>
    </w:p>
    <w:p w:rsidR="00000000" w:rsidRDefault="00010F15">
      <w:pPr>
        <w:divId w:val="789133566"/>
        <w:rPr>
          <w:rFonts w:ascii="Arial" w:eastAsia="Times New Roman" w:hAnsi="Arial" w:cs="Arial"/>
          <w:sz w:val="20"/>
          <w:szCs w:val="20"/>
        </w:rPr>
      </w:pPr>
      <w:r>
        <w:rPr>
          <w:rFonts w:ascii="Arial" w:eastAsia="Times New Roman" w:hAnsi="Arial" w:cs="Arial"/>
          <w:sz w:val="20"/>
          <w:szCs w:val="20"/>
        </w:rPr>
        <w:t>Changes in general macroeconomic conditions such as a deterioration in general economic conditions; limitations on accessing capital; or other developments in equity and credit</w:t>
      </w:r>
      <w:r>
        <w:rPr>
          <w:rFonts w:ascii="Arial" w:eastAsia="Times New Roman" w:hAnsi="Arial" w:cs="Arial"/>
          <w:sz w:val="20"/>
          <w:szCs w:val="20"/>
        </w:rPr>
        <w:t xml:space="preserve"> markets</w:t>
      </w:r>
      <w:r>
        <w:rPr>
          <w:rFonts w:ascii="Arial" w:eastAsia="Times New Roman" w:hAnsi="Arial" w:cs="Arial"/>
          <w:sz w:val="20"/>
          <w:szCs w:val="20"/>
        </w:rPr>
        <w:t>;</w:t>
      </w:r>
    </w:p>
    <w:p w:rsidR="00000000" w:rsidRDefault="00010F15">
      <w:pPr>
        <w:divId w:val="441847215"/>
        <w:rPr>
          <w:rFonts w:ascii="Arial" w:eastAsia="Times New Roman" w:hAnsi="Arial" w:cs="Arial"/>
          <w:sz w:val="20"/>
          <w:szCs w:val="20"/>
        </w:rPr>
      </w:pPr>
      <w:r>
        <w:rPr>
          <w:rFonts w:eastAsia="Times New Roman"/>
          <w:sz w:val="20"/>
          <w:szCs w:val="20"/>
        </w:rPr>
        <w:t>•</w:t>
      </w:r>
    </w:p>
    <w:p w:rsidR="00000000" w:rsidRDefault="00010F15">
      <w:pPr>
        <w:divId w:val="1028485952"/>
        <w:rPr>
          <w:rFonts w:ascii="Arial" w:eastAsia="Times New Roman" w:hAnsi="Arial" w:cs="Arial"/>
          <w:sz w:val="20"/>
          <w:szCs w:val="20"/>
        </w:rPr>
      </w:pPr>
      <w:r>
        <w:rPr>
          <w:rFonts w:ascii="Arial" w:eastAsia="Times New Roman" w:hAnsi="Arial" w:cs="Arial"/>
          <w:sz w:val="20"/>
          <w:szCs w:val="20"/>
        </w:rPr>
        <w:t>Changes in industry and market conditions such as a deterioration in the environment in which th</w:t>
      </w:r>
      <w:r>
        <w:rPr>
          <w:rFonts w:ascii="Arial" w:eastAsia="Times New Roman" w:hAnsi="Arial" w:cs="Arial"/>
          <w:sz w:val="20"/>
          <w:szCs w:val="20"/>
        </w:rPr>
        <w:t>e</w:t>
      </w:r>
    </w:p>
    <w:p w:rsidR="00000000" w:rsidRDefault="00010F15">
      <w:pPr>
        <w:pStyle w:val="a3"/>
        <w:spacing w:before="0" w:beforeAutospacing="0" w:after="0" w:afterAutospacing="0"/>
        <w:ind w:left="1071"/>
        <w:divId w:val="1573929427"/>
        <w:rPr>
          <w:sz w:val="20"/>
          <w:szCs w:val="20"/>
        </w:rPr>
      </w:pPr>
      <w:r>
        <w:rPr>
          <w:rFonts w:ascii="Arial" w:hAnsi="Arial" w:cs="Arial"/>
          <w:sz w:val="20"/>
          <w:szCs w:val="20"/>
        </w:rPr>
        <w:t>Company operates; an increased competitive environment; a decline in market-dependent multiples or metrics (in both absolute terms and relative to</w:t>
      </w:r>
      <w:r>
        <w:rPr>
          <w:rFonts w:ascii="Arial" w:hAnsi="Arial" w:cs="Arial"/>
          <w:sz w:val="20"/>
          <w:szCs w:val="20"/>
        </w:rPr>
        <w:t xml:space="preserve"> peers); a change in the market for an entity’s products or services; or a regulatory or political development</w:t>
      </w:r>
      <w:r>
        <w:rPr>
          <w:rFonts w:ascii="Arial" w:hAnsi="Arial" w:cs="Arial"/>
          <w:sz w:val="20"/>
          <w:szCs w:val="20"/>
        </w:rPr>
        <w:t>;</w:t>
      </w:r>
    </w:p>
    <w:p w:rsidR="00000000" w:rsidRDefault="00010F15">
      <w:pPr>
        <w:pStyle w:val="a3"/>
        <w:spacing w:before="120" w:beforeAutospacing="0" w:after="0" w:afterAutospacing="0"/>
        <w:jc w:val="center"/>
        <w:divId w:val="1573929427"/>
        <w:rPr>
          <w:sz w:val="20"/>
          <w:szCs w:val="20"/>
        </w:rPr>
      </w:pPr>
      <w:r>
        <w:rPr>
          <w:rFonts w:ascii="Arial" w:hAnsi="Arial" w:cs="Arial"/>
          <w:sz w:val="20"/>
          <w:szCs w:val="20"/>
        </w:rPr>
        <w:t>8</w:t>
      </w:r>
      <w:r>
        <w:rPr>
          <w:rFonts w:ascii="Arial" w:hAnsi="Arial" w:cs="Arial"/>
          <w:sz w:val="20"/>
          <w:szCs w:val="20"/>
        </w:rPr>
        <w:t>3</w:t>
      </w:r>
    </w:p>
    <w:p w:rsidR="00000000" w:rsidRDefault="00010F15">
      <w:pPr>
        <w:divId w:val="1573929427"/>
        <w:rPr>
          <w:rFonts w:ascii="Arial" w:eastAsia="Times New Roman" w:hAnsi="Arial" w:cs="Arial"/>
          <w:sz w:val="20"/>
          <w:szCs w:val="20"/>
        </w:rPr>
      </w:pPr>
      <w:r>
        <w:rPr>
          <w:rFonts w:ascii="Arial" w:eastAsia="Times New Roman" w:hAnsi="Arial" w:cs="Arial"/>
          <w:sz w:val="20"/>
          <w:szCs w:val="20"/>
        </w:rPr>
        <w:pict>
          <v:rect id="_x0000_i1108" style="width:0;height:1.5pt" o:hralign="center" o:hrstd="t" o:hr="t" fillcolor="#a0a0a0" stroked="f"/>
        </w:pict>
      </w:r>
    </w:p>
    <w:p w:rsidR="00000000" w:rsidRDefault="00010F15">
      <w:pPr>
        <w:pStyle w:val="a3"/>
        <w:spacing w:before="0" w:beforeAutospacing="0" w:after="0" w:afterAutospacing="0"/>
        <w:divId w:val="1573929427"/>
        <w:rPr>
          <w:sz w:val="20"/>
          <w:szCs w:val="20"/>
        </w:rPr>
      </w:pPr>
      <w:r>
        <w:rPr>
          <w:sz w:val="20"/>
          <w:szCs w:val="20"/>
        </w:rPr>
        <w:t> </w:t>
      </w:r>
    </w:p>
    <w:p w:rsidR="00000000" w:rsidRDefault="00010F15">
      <w:pPr>
        <w:divId w:val="1212502831"/>
        <w:rPr>
          <w:rFonts w:ascii="Arial" w:eastAsia="Times New Roman" w:hAnsi="Arial" w:cs="Arial"/>
          <w:sz w:val="20"/>
          <w:szCs w:val="20"/>
        </w:rPr>
      </w:pPr>
      <w:r>
        <w:rPr>
          <w:rFonts w:eastAsia="Times New Roman"/>
          <w:sz w:val="20"/>
          <w:szCs w:val="20"/>
        </w:rPr>
        <w:t>•</w:t>
      </w:r>
    </w:p>
    <w:p w:rsidR="00000000" w:rsidRDefault="00010F15">
      <w:pPr>
        <w:divId w:val="259795069"/>
        <w:rPr>
          <w:rFonts w:ascii="Arial" w:eastAsia="Times New Roman" w:hAnsi="Arial" w:cs="Arial"/>
          <w:sz w:val="20"/>
          <w:szCs w:val="20"/>
        </w:rPr>
      </w:pPr>
      <w:r>
        <w:rPr>
          <w:rFonts w:ascii="Arial" w:eastAsia="Times New Roman" w:hAnsi="Arial" w:cs="Arial"/>
          <w:sz w:val="20"/>
          <w:szCs w:val="20"/>
        </w:rPr>
        <w:t>Changes in cost factors that have a negative effect on earnings and cash flows; an</w:t>
      </w:r>
      <w:r>
        <w:rPr>
          <w:rFonts w:ascii="Arial" w:eastAsia="Times New Roman" w:hAnsi="Arial" w:cs="Arial"/>
          <w:sz w:val="20"/>
          <w:szCs w:val="20"/>
        </w:rPr>
        <w:t>d</w:t>
      </w:r>
    </w:p>
    <w:p w:rsidR="00000000" w:rsidRDefault="00010F15">
      <w:pPr>
        <w:divId w:val="445008543"/>
        <w:rPr>
          <w:rFonts w:ascii="Arial" w:eastAsia="Times New Roman" w:hAnsi="Arial" w:cs="Arial"/>
          <w:sz w:val="20"/>
          <w:szCs w:val="20"/>
        </w:rPr>
      </w:pPr>
      <w:r>
        <w:rPr>
          <w:rFonts w:eastAsia="Times New Roman"/>
          <w:sz w:val="20"/>
          <w:szCs w:val="20"/>
        </w:rPr>
        <w:t>•</w:t>
      </w:r>
    </w:p>
    <w:p w:rsidR="00000000" w:rsidRDefault="00010F15">
      <w:pPr>
        <w:divId w:val="1165054088"/>
        <w:rPr>
          <w:rFonts w:ascii="Arial" w:eastAsia="Times New Roman" w:hAnsi="Arial" w:cs="Arial"/>
          <w:sz w:val="20"/>
          <w:szCs w:val="20"/>
        </w:rPr>
      </w:pPr>
      <w:r>
        <w:rPr>
          <w:rFonts w:ascii="Arial" w:eastAsia="Times New Roman" w:hAnsi="Arial" w:cs="Arial"/>
          <w:sz w:val="20"/>
          <w:szCs w:val="20"/>
        </w:rPr>
        <w:t>Decline in ove</w:t>
      </w:r>
      <w:r>
        <w:rPr>
          <w:rFonts w:ascii="Arial" w:eastAsia="Times New Roman" w:hAnsi="Arial" w:cs="Arial"/>
          <w:sz w:val="20"/>
          <w:szCs w:val="20"/>
        </w:rPr>
        <w:t>rall financial performance (for both actual and expected performance)</w:t>
      </w:r>
      <w:r>
        <w:rPr>
          <w:rFonts w:ascii="Arial" w:eastAsia="Times New Roman" w:hAnsi="Arial" w:cs="Arial"/>
          <w:sz w:val="20"/>
          <w:szCs w:val="20"/>
        </w:rPr>
        <w:t>.</w:t>
      </w:r>
    </w:p>
    <w:p w:rsidR="00000000" w:rsidRDefault="00010F15">
      <w:pPr>
        <w:pStyle w:val="a3"/>
        <w:spacing w:before="120" w:beforeAutospacing="0" w:after="0" w:afterAutospacing="0"/>
        <w:ind w:firstLine="539"/>
        <w:divId w:val="1573929427"/>
        <w:rPr>
          <w:sz w:val="20"/>
          <w:szCs w:val="20"/>
        </w:rPr>
      </w:pPr>
      <w:r>
        <w:rPr>
          <w:rFonts w:ascii="Arial" w:hAnsi="Arial" w:cs="Arial"/>
          <w:sz w:val="20"/>
          <w:szCs w:val="20"/>
        </w:rPr>
        <w:t>The Company completed its annual goodwill impairment test as of November 30, 2021 using a qualitative assessment. The Company did</w:t>
      </w:r>
      <w:r>
        <w:rPr>
          <w:rFonts w:ascii="Arial" w:hAnsi="Arial" w:cs="Arial"/>
          <w:sz w:val="20"/>
          <w:szCs w:val="20"/>
        </w:rPr>
        <w:t xml:space="preserve"> </w:t>
      </w:r>
      <w:r>
        <w:rPr>
          <w:rFonts w:ascii="Arial" w:hAnsi="Arial" w:cs="Arial"/>
          <w:sz w:val="20"/>
          <w:szCs w:val="20"/>
        </w:rPr>
        <w:t>n</w:t>
      </w:r>
      <w:r>
        <w:rPr>
          <w:rFonts w:ascii="Arial" w:hAnsi="Arial" w:cs="Arial"/>
          <w:sz w:val="20"/>
          <w:szCs w:val="20"/>
        </w:rPr>
        <w:t>o</w:t>
      </w:r>
      <w:r>
        <w:rPr>
          <w:rFonts w:ascii="Arial" w:hAnsi="Arial" w:cs="Arial"/>
          <w:sz w:val="20"/>
          <w:szCs w:val="20"/>
        </w:rPr>
        <w:t>t recognize any impairment of goodwill during the yea</w:t>
      </w:r>
      <w:r>
        <w:rPr>
          <w:rFonts w:ascii="Arial" w:hAnsi="Arial" w:cs="Arial"/>
          <w:sz w:val="20"/>
          <w:szCs w:val="20"/>
        </w:rPr>
        <w:t>rs ended December 31, 2021 or 2020</w:t>
      </w:r>
      <w:r>
        <w:rPr>
          <w:rFonts w:ascii="Arial" w:hAnsi="Arial" w:cs="Arial"/>
          <w:sz w:val="20"/>
          <w:szCs w:val="20"/>
        </w:rPr>
        <w:t>.</w:t>
      </w:r>
    </w:p>
    <w:p w:rsidR="00000000" w:rsidRDefault="00010F15">
      <w:pPr>
        <w:pStyle w:val="a3"/>
        <w:spacing w:before="240" w:beforeAutospacing="0" w:after="0" w:afterAutospacing="0"/>
        <w:divId w:val="1368673980"/>
        <w:rPr>
          <w:sz w:val="20"/>
          <w:szCs w:val="20"/>
        </w:rPr>
      </w:pPr>
      <w:r>
        <w:rPr>
          <w:rFonts w:ascii="Arial" w:hAnsi="Arial" w:cs="Arial"/>
          <w:b/>
          <w:bCs/>
          <w:i/>
          <w:iCs/>
          <w:sz w:val="20"/>
          <w:szCs w:val="20"/>
        </w:rPr>
        <w:t>Lease</w:t>
      </w:r>
      <w:r>
        <w:rPr>
          <w:rFonts w:ascii="Arial" w:hAnsi="Arial" w:cs="Arial"/>
          <w:b/>
          <w:bCs/>
          <w:i/>
          <w:iCs/>
          <w:sz w:val="20"/>
          <w:szCs w:val="20"/>
        </w:rPr>
        <w:t>s</w:t>
      </w:r>
    </w:p>
    <w:p w:rsidR="00000000" w:rsidRDefault="00010F15">
      <w:pPr>
        <w:pStyle w:val="a3"/>
        <w:spacing w:before="120" w:beforeAutospacing="0" w:after="0" w:afterAutospacing="0"/>
        <w:ind w:firstLine="539"/>
        <w:divId w:val="1368673980"/>
        <w:rPr>
          <w:sz w:val="20"/>
          <w:szCs w:val="20"/>
        </w:rPr>
      </w:pPr>
      <w:r>
        <w:rPr>
          <w:rFonts w:ascii="Arial" w:hAnsi="Arial" w:cs="Arial"/>
          <w:sz w:val="20"/>
          <w:szCs w:val="20"/>
        </w:rPr>
        <w:t>The Company classifies leases as either operating or financing at inception and as necessary at modification. Leased assets represent the Company’s right to use an underlying asset for the lease term and lease liabilities represent its obligation to make l</w:t>
      </w:r>
      <w:r>
        <w:rPr>
          <w:rFonts w:ascii="Arial" w:hAnsi="Arial" w:cs="Arial"/>
          <w:sz w:val="20"/>
          <w:szCs w:val="20"/>
        </w:rPr>
        <w:t>ease payments arising from the lease. The Company does not obtain and control its right to use the identified asset until the lease commencement date</w:t>
      </w:r>
      <w:r>
        <w:rPr>
          <w:rFonts w:ascii="Arial" w:hAnsi="Arial" w:cs="Arial"/>
          <w:sz w:val="20"/>
          <w:szCs w:val="20"/>
        </w:rPr>
        <w:t>.</w:t>
      </w:r>
    </w:p>
    <w:p w:rsidR="00000000" w:rsidRDefault="00010F15">
      <w:pPr>
        <w:pStyle w:val="a3"/>
        <w:spacing w:before="120" w:beforeAutospacing="0" w:after="0" w:afterAutospacing="0"/>
        <w:ind w:firstLine="539"/>
        <w:divId w:val="1368673980"/>
        <w:rPr>
          <w:sz w:val="20"/>
          <w:szCs w:val="20"/>
        </w:rPr>
      </w:pPr>
      <w:r>
        <w:rPr>
          <w:rFonts w:ascii="Arial" w:hAnsi="Arial" w:cs="Arial"/>
          <w:sz w:val="20"/>
          <w:szCs w:val="20"/>
        </w:rPr>
        <w:t>Although it may have a right and an obligation to exchange lease payments for a leased asset from the dat</w:t>
      </w:r>
      <w:r>
        <w:rPr>
          <w:rFonts w:ascii="Arial" w:hAnsi="Arial" w:cs="Arial"/>
          <w:sz w:val="20"/>
          <w:szCs w:val="20"/>
        </w:rPr>
        <w:t>e of inception, the Company is unlikely to have an obligation to make lease payments before the asset is made available for use; therefore, lease classification, recognition, and measurement are determined at the lease commencement date</w:t>
      </w:r>
      <w:r>
        <w:rPr>
          <w:rFonts w:ascii="Arial" w:hAnsi="Arial" w:cs="Arial"/>
          <w:sz w:val="20"/>
          <w:szCs w:val="20"/>
        </w:rPr>
        <w:t>.</w:t>
      </w:r>
    </w:p>
    <w:p w:rsidR="00000000" w:rsidRDefault="00010F15">
      <w:pPr>
        <w:pStyle w:val="a3"/>
        <w:spacing w:before="120" w:beforeAutospacing="0" w:after="0" w:afterAutospacing="0"/>
        <w:ind w:firstLine="539"/>
        <w:divId w:val="1368673980"/>
        <w:rPr>
          <w:sz w:val="20"/>
          <w:szCs w:val="20"/>
        </w:rPr>
      </w:pPr>
      <w:r>
        <w:rPr>
          <w:rFonts w:ascii="Arial" w:hAnsi="Arial" w:cs="Arial"/>
          <w:sz w:val="20"/>
          <w:szCs w:val="20"/>
        </w:rPr>
        <w:t>The Company made a</w:t>
      </w:r>
      <w:r>
        <w:rPr>
          <w:rFonts w:ascii="Arial" w:hAnsi="Arial" w:cs="Arial"/>
          <w:sz w:val="20"/>
          <w:szCs w:val="20"/>
        </w:rPr>
        <w:t>ccounting policy elections, including a short-term lease exception policy, permitting the Company to not apply the recognition requirements of this standard to short-term leases (i.e., leases with expected terms of 12 months or less), and an accounting pol</w:t>
      </w:r>
      <w:r>
        <w:rPr>
          <w:rFonts w:ascii="Arial" w:hAnsi="Arial" w:cs="Arial"/>
          <w:sz w:val="20"/>
          <w:szCs w:val="20"/>
        </w:rPr>
        <w:t>icy to account for lease and certain non-lease components as a single component for certain classes of assets other than computer equipment leases. For computer equipment leases, the Company has agreements with lease and non-lease components, which are acc</w:t>
      </w:r>
      <w:r>
        <w:rPr>
          <w:rFonts w:ascii="Arial" w:hAnsi="Arial" w:cs="Arial"/>
          <w:sz w:val="20"/>
          <w:szCs w:val="20"/>
        </w:rPr>
        <w:t>ounted for separately. For these agreements, lease payments are allocated between the lease and non-lease components based on the relative stand-alone price of these components</w:t>
      </w:r>
      <w:r>
        <w:rPr>
          <w:rFonts w:ascii="Arial" w:hAnsi="Arial" w:cs="Arial"/>
          <w:sz w:val="20"/>
          <w:szCs w:val="20"/>
        </w:rPr>
        <w:t>.</w:t>
      </w:r>
    </w:p>
    <w:p w:rsidR="00000000" w:rsidRDefault="00010F15">
      <w:pPr>
        <w:pStyle w:val="a3"/>
        <w:spacing w:before="120" w:beforeAutospacing="0" w:after="0" w:afterAutospacing="0"/>
        <w:ind w:firstLine="539"/>
        <w:divId w:val="1368673980"/>
        <w:rPr>
          <w:sz w:val="20"/>
          <w:szCs w:val="20"/>
        </w:rPr>
      </w:pPr>
      <w:r>
        <w:rPr>
          <w:rFonts w:ascii="Arial" w:hAnsi="Arial" w:cs="Arial"/>
          <w:sz w:val="20"/>
          <w:szCs w:val="20"/>
        </w:rPr>
        <w:t>The Company has leases for office facilities, computer equipment, and data cen</w:t>
      </w:r>
      <w:r>
        <w:rPr>
          <w:rFonts w:ascii="Arial" w:hAnsi="Arial" w:cs="Arial"/>
          <w:sz w:val="20"/>
          <w:szCs w:val="20"/>
        </w:rPr>
        <w:t>ters.</w:t>
      </w:r>
      <w:r>
        <w:rPr>
          <w:rFonts w:ascii="Arial" w:hAnsi="Arial" w:cs="Arial"/>
          <w:sz w:val="20"/>
          <w:szCs w:val="20"/>
        </w:rPr>
        <w:t xml:space="preserve"> </w:t>
      </w:r>
      <w:r>
        <w:rPr>
          <w:rFonts w:ascii="Arial" w:hAnsi="Arial" w:cs="Arial"/>
          <w:sz w:val="20"/>
          <w:szCs w:val="20"/>
        </w:rPr>
        <w:t>The Company’s leases have remaining initial lease terms of less than one year to approximately ten year</w:t>
      </w:r>
      <w:r>
        <w:rPr>
          <w:rFonts w:ascii="Arial" w:hAnsi="Arial" w:cs="Arial"/>
          <w:sz w:val="20"/>
          <w:szCs w:val="20"/>
        </w:rPr>
        <w:t>s</w:t>
      </w:r>
      <w:r>
        <w:rPr>
          <w:rFonts w:ascii="Arial" w:hAnsi="Arial" w:cs="Arial"/>
          <w:sz w:val="20"/>
          <w:szCs w:val="20"/>
        </w:rPr>
        <w:t>, some of which include</w:t>
      </w:r>
      <w:r>
        <w:rPr>
          <w:rFonts w:ascii="Arial" w:hAnsi="Arial" w:cs="Arial"/>
          <w:sz w:val="20"/>
          <w:szCs w:val="20"/>
        </w:rPr>
        <w:t xml:space="preserve"> </w:t>
      </w:r>
      <w:r>
        <w:rPr>
          <w:rFonts w:ascii="Arial" w:hAnsi="Arial" w:cs="Arial"/>
          <w:sz w:val="20"/>
          <w:szCs w:val="20"/>
        </w:rPr>
        <w:t>options to extend the leases for up to 4 years, and some of which include options to terminate the leases</w:t>
      </w:r>
      <w:r>
        <w:rPr>
          <w:rFonts w:ascii="Arial" w:hAnsi="Arial" w:cs="Arial"/>
          <w:sz w:val="20"/>
          <w:szCs w:val="20"/>
        </w:rPr>
        <w:t>.</w:t>
      </w:r>
    </w:p>
    <w:p w:rsidR="00000000" w:rsidRDefault="00010F15">
      <w:pPr>
        <w:pStyle w:val="a3"/>
        <w:spacing w:before="120" w:beforeAutospacing="0" w:after="0" w:afterAutospacing="0"/>
        <w:ind w:firstLine="539"/>
        <w:divId w:val="1368673980"/>
        <w:rPr>
          <w:sz w:val="20"/>
          <w:szCs w:val="20"/>
        </w:rPr>
      </w:pPr>
      <w:r>
        <w:rPr>
          <w:rFonts w:ascii="Arial" w:hAnsi="Arial" w:cs="Arial"/>
          <w:sz w:val="20"/>
          <w:szCs w:val="20"/>
        </w:rPr>
        <w:t>Operating lease</w:t>
      </w:r>
      <w:r>
        <w:rPr>
          <w:rFonts w:ascii="Arial" w:hAnsi="Arial" w:cs="Arial"/>
          <w:sz w:val="20"/>
          <w:szCs w:val="20"/>
        </w:rPr>
        <w:t>s are included in operating lease ROU assets, and operating lease liabilities on the Company’s consolidated balance sheets. Operating lease ROU assets and liabilities are recognized at the lease commencement date based on the present value of lease payment</w:t>
      </w:r>
      <w:r>
        <w:rPr>
          <w:rFonts w:ascii="Arial" w:hAnsi="Arial" w:cs="Arial"/>
          <w:sz w:val="20"/>
          <w:szCs w:val="20"/>
        </w:rPr>
        <w:t xml:space="preserve">s over the lease term. As the Company’s leases do not provide an implicit rate, the Company uses the incremental borrowing rate based on the information available at the commencement date in determining the present value of lease payments. The incremental </w:t>
      </w:r>
      <w:r>
        <w:rPr>
          <w:rFonts w:ascii="Arial" w:hAnsi="Arial" w:cs="Arial"/>
          <w:sz w:val="20"/>
          <w:szCs w:val="20"/>
        </w:rPr>
        <w:t>borrowing rate is the rate of interest that the Company would have to pay to borrow an amount equal to the lease payments on a collateralized basis over a similar term and in a similar economic environment. The operating lease ROU asset also includes any i</w:t>
      </w:r>
      <w:r>
        <w:rPr>
          <w:rFonts w:ascii="Arial" w:hAnsi="Arial" w:cs="Arial"/>
          <w:sz w:val="20"/>
          <w:szCs w:val="20"/>
        </w:rPr>
        <w:t>nitial direct costs, lease payments made prior to lease commencement, and lease incentives received. The Company’s lease terms are the noncancelable period including any rent-free periods provided by the lessor and may include options to extend or terminat</w:t>
      </w:r>
      <w:r>
        <w:rPr>
          <w:rFonts w:ascii="Arial" w:hAnsi="Arial" w:cs="Arial"/>
          <w:sz w:val="20"/>
          <w:szCs w:val="20"/>
        </w:rPr>
        <w:t>e the lease when it is reasonably certain that it will exercise that option. At lease inception, and upon modification or remeasurement, the Company estimates the lease term based on its assessment of extension and termination options that are reasonably c</w:t>
      </w:r>
      <w:r>
        <w:rPr>
          <w:rFonts w:ascii="Arial" w:hAnsi="Arial" w:cs="Arial"/>
          <w:sz w:val="20"/>
          <w:szCs w:val="20"/>
        </w:rPr>
        <w:t>ertain to be exercised. Lease cost for lease payments is recognized on a straight-line basis over the lease term</w:t>
      </w:r>
      <w:r>
        <w:rPr>
          <w:rFonts w:ascii="Arial" w:hAnsi="Arial" w:cs="Arial"/>
          <w:sz w:val="20"/>
          <w:szCs w:val="20"/>
        </w:rPr>
        <w:t>.</w:t>
      </w:r>
    </w:p>
    <w:p w:rsidR="00000000" w:rsidRDefault="00010F15">
      <w:pPr>
        <w:pStyle w:val="a3"/>
        <w:spacing w:before="120" w:beforeAutospacing="0" w:after="0" w:afterAutospacing="0"/>
        <w:ind w:firstLine="539"/>
        <w:divId w:val="1368673980"/>
        <w:rPr>
          <w:sz w:val="20"/>
          <w:szCs w:val="20"/>
        </w:rPr>
      </w:pPr>
      <w:r>
        <w:rPr>
          <w:rFonts w:ascii="Arial" w:hAnsi="Arial" w:cs="Arial"/>
          <w:sz w:val="20"/>
          <w:szCs w:val="20"/>
        </w:rPr>
        <w:t>Leased property under finance leases are included in property and equipment, net. Finance lease liabilities are included within accrued liabil</w:t>
      </w:r>
      <w:r>
        <w:rPr>
          <w:rFonts w:ascii="Arial" w:hAnsi="Arial" w:cs="Arial"/>
          <w:sz w:val="20"/>
          <w:szCs w:val="20"/>
        </w:rPr>
        <w:t>ities, and finance lease and other finance obligations, net of current portion on the Company’s consolidated balance sheets. Property and equipment under finance leases is generally amortized over the lease term and is included in general and administrativ</w:t>
      </w:r>
      <w:r>
        <w:rPr>
          <w:rFonts w:ascii="Arial" w:hAnsi="Arial" w:cs="Arial"/>
          <w:sz w:val="20"/>
          <w:szCs w:val="20"/>
        </w:rPr>
        <w:t>e expenses. The interest on the finance lease liabilities is included in interest income, net</w:t>
      </w:r>
      <w:r>
        <w:rPr>
          <w:rFonts w:ascii="Arial" w:hAnsi="Arial" w:cs="Arial"/>
          <w:sz w:val="20"/>
          <w:szCs w:val="20"/>
        </w:rPr>
        <w:t>.</w:t>
      </w:r>
    </w:p>
    <w:p w:rsidR="00000000" w:rsidRDefault="00010F15">
      <w:pPr>
        <w:pStyle w:val="a3"/>
        <w:spacing w:before="120" w:beforeAutospacing="0" w:after="0" w:afterAutospacing="0"/>
        <w:ind w:firstLine="539"/>
        <w:divId w:val="1368673980"/>
        <w:rPr>
          <w:sz w:val="20"/>
          <w:szCs w:val="20"/>
        </w:rPr>
      </w:pPr>
      <w:r>
        <w:rPr>
          <w:rFonts w:ascii="Arial" w:hAnsi="Arial" w:cs="Arial"/>
          <w:sz w:val="20"/>
          <w:szCs w:val="20"/>
        </w:rPr>
        <w:t xml:space="preserve">Judgment is required when determining whether any of the Company’s data center contracts contain a lease. The Company concluded a lease exists when the asset is </w:t>
      </w:r>
      <w:r>
        <w:rPr>
          <w:rFonts w:ascii="Arial" w:hAnsi="Arial" w:cs="Arial"/>
          <w:sz w:val="20"/>
          <w:szCs w:val="20"/>
        </w:rPr>
        <w:t>specifically identifiable, substantially all the economic benefit of the asset is obtained, and the right to direct the use of the asset exists during the term of the lease</w:t>
      </w:r>
      <w:r>
        <w:rPr>
          <w:rFonts w:ascii="Arial" w:hAnsi="Arial" w:cs="Arial"/>
          <w:sz w:val="20"/>
          <w:szCs w:val="20"/>
        </w:rPr>
        <w:t>.</w:t>
      </w:r>
    </w:p>
    <w:p w:rsidR="00000000" w:rsidRDefault="00010F15">
      <w:pPr>
        <w:pStyle w:val="a3"/>
        <w:spacing w:before="240" w:beforeAutospacing="0" w:after="0" w:afterAutospacing="0"/>
        <w:divId w:val="732191460"/>
        <w:rPr>
          <w:sz w:val="20"/>
          <w:szCs w:val="20"/>
        </w:rPr>
      </w:pPr>
      <w:r>
        <w:rPr>
          <w:rFonts w:ascii="Arial" w:hAnsi="Arial" w:cs="Arial"/>
          <w:b/>
          <w:bCs/>
          <w:i/>
          <w:iCs/>
          <w:sz w:val="20"/>
          <w:szCs w:val="20"/>
        </w:rPr>
        <w:t>Treasury Stoc</w:t>
      </w:r>
      <w:r>
        <w:rPr>
          <w:rFonts w:ascii="Arial" w:hAnsi="Arial" w:cs="Arial"/>
          <w:b/>
          <w:bCs/>
          <w:i/>
          <w:iCs/>
          <w:sz w:val="20"/>
          <w:szCs w:val="20"/>
        </w:rPr>
        <w:t>k</w:t>
      </w:r>
    </w:p>
    <w:p w:rsidR="00000000" w:rsidRDefault="00010F15">
      <w:pPr>
        <w:pStyle w:val="a3"/>
        <w:spacing w:before="120" w:beforeAutospacing="0" w:after="0" w:afterAutospacing="0"/>
        <w:ind w:firstLine="539"/>
        <w:divId w:val="732191460"/>
        <w:rPr>
          <w:sz w:val="20"/>
          <w:szCs w:val="20"/>
        </w:rPr>
      </w:pPr>
      <w:r>
        <w:rPr>
          <w:rFonts w:ascii="Arial" w:hAnsi="Arial" w:cs="Arial"/>
          <w:sz w:val="20"/>
          <w:szCs w:val="20"/>
        </w:rPr>
        <w:t>The Company accounts for treasury stock acquisitions using the cost</w:t>
      </w:r>
      <w:r>
        <w:rPr>
          <w:rFonts w:ascii="Arial" w:hAnsi="Arial" w:cs="Arial"/>
          <w:sz w:val="20"/>
          <w:szCs w:val="20"/>
        </w:rPr>
        <w:t xml:space="preserve"> method. The Company accounts for the retirement of treasury stock by deducting its par value from common stock or Series A preferred stock and reflecting any excess of cost over par value as a deduction from additional paid-in capital in the consolidated </w:t>
      </w:r>
      <w:r>
        <w:rPr>
          <w:rFonts w:ascii="Arial" w:hAnsi="Arial" w:cs="Arial"/>
          <w:sz w:val="20"/>
          <w:szCs w:val="20"/>
        </w:rPr>
        <w:t>balance sheets</w:t>
      </w:r>
      <w:r>
        <w:rPr>
          <w:rFonts w:ascii="Arial" w:hAnsi="Arial" w:cs="Arial"/>
          <w:sz w:val="20"/>
          <w:szCs w:val="20"/>
        </w:rPr>
        <w:t>.</w:t>
      </w:r>
    </w:p>
    <w:p w:rsidR="00000000" w:rsidRDefault="00010F15">
      <w:pPr>
        <w:pStyle w:val="a3"/>
        <w:spacing w:before="240" w:beforeAutospacing="0" w:after="0" w:afterAutospacing="0"/>
        <w:divId w:val="1833794254"/>
        <w:rPr>
          <w:sz w:val="20"/>
          <w:szCs w:val="20"/>
        </w:rPr>
      </w:pPr>
      <w:r>
        <w:rPr>
          <w:rFonts w:ascii="Arial" w:hAnsi="Arial" w:cs="Arial"/>
          <w:b/>
          <w:bCs/>
          <w:i/>
          <w:iCs/>
          <w:sz w:val="20"/>
          <w:szCs w:val="20"/>
        </w:rPr>
        <w:t>Accounting Pronouncement</w:t>
      </w:r>
      <w:r>
        <w:rPr>
          <w:rFonts w:ascii="Arial" w:hAnsi="Arial" w:cs="Arial"/>
          <w:b/>
          <w:bCs/>
          <w:i/>
          <w:iCs/>
          <w:sz w:val="20"/>
          <w:szCs w:val="20"/>
        </w:rPr>
        <w:t>s</w:t>
      </w:r>
    </w:p>
    <w:p w:rsidR="00000000" w:rsidRDefault="00010F15">
      <w:pPr>
        <w:pStyle w:val="a3"/>
        <w:spacing w:before="120" w:beforeAutospacing="0" w:after="0" w:afterAutospacing="0"/>
        <w:ind w:firstLine="555"/>
        <w:divId w:val="1833794254"/>
        <w:rPr>
          <w:sz w:val="20"/>
          <w:szCs w:val="20"/>
        </w:rPr>
      </w:pPr>
      <w:r>
        <w:rPr>
          <w:rFonts w:ascii="Arial" w:hAnsi="Arial" w:cs="Arial"/>
          <w:sz w:val="20"/>
          <w:szCs w:val="20"/>
        </w:rPr>
        <w:t>The Company is provided the option to adopt new or revised accounting guidance as an “emerging growth company” under the Jumpstart Our Business Startups Act of 2012 either (1) within the same periods as those other</w:t>
      </w:r>
      <w:r>
        <w:rPr>
          <w:rFonts w:ascii="Arial" w:hAnsi="Arial" w:cs="Arial"/>
          <w:sz w:val="20"/>
          <w:szCs w:val="20"/>
        </w:rPr>
        <w:t>wise applicable to public business entities, or (2) within the same time periods as non-public business entities, including earl</w:t>
      </w:r>
      <w:r>
        <w:rPr>
          <w:rFonts w:ascii="Arial" w:hAnsi="Arial" w:cs="Arial"/>
          <w:sz w:val="20"/>
          <w:szCs w:val="20"/>
        </w:rPr>
        <w:t>y</w:t>
      </w:r>
      <w:r>
        <w:rPr>
          <w:rFonts w:ascii="Arial" w:hAnsi="Arial" w:cs="Arial"/>
          <w:sz w:val="20"/>
          <w:szCs w:val="20"/>
        </w:rPr>
        <w:t xml:space="preserve"> </w:t>
      </w:r>
    </w:p>
    <w:p w:rsidR="00000000" w:rsidRDefault="00010F15">
      <w:pPr>
        <w:pStyle w:val="a3"/>
        <w:spacing w:before="120" w:beforeAutospacing="0" w:after="0" w:afterAutospacing="0"/>
        <w:jc w:val="center"/>
        <w:divId w:val="1833794254"/>
        <w:rPr>
          <w:sz w:val="20"/>
          <w:szCs w:val="20"/>
        </w:rPr>
      </w:pPr>
      <w:r>
        <w:rPr>
          <w:rFonts w:ascii="Arial" w:hAnsi="Arial" w:cs="Arial"/>
          <w:sz w:val="20"/>
          <w:szCs w:val="20"/>
        </w:rPr>
        <w:t>8</w:t>
      </w:r>
      <w:r>
        <w:rPr>
          <w:rFonts w:ascii="Arial" w:hAnsi="Arial" w:cs="Arial"/>
          <w:sz w:val="20"/>
          <w:szCs w:val="20"/>
        </w:rPr>
        <w:t>4</w:t>
      </w:r>
    </w:p>
    <w:p w:rsidR="00000000" w:rsidRDefault="00010F15">
      <w:pPr>
        <w:divId w:val="1833794254"/>
        <w:rPr>
          <w:rFonts w:ascii="Arial" w:eastAsia="Times New Roman" w:hAnsi="Arial" w:cs="Arial"/>
          <w:sz w:val="20"/>
          <w:szCs w:val="20"/>
        </w:rPr>
      </w:pPr>
      <w:r>
        <w:rPr>
          <w:rFonts w:ascii="Arial" w:eastAsia="Times New Roman" w:hAnsi="Arial" w:cs="Arial"/>
          <w:sz w:val="20"/>
          <w:szCs w:val="20"/>
        </w:rPr>
        <w:pict>
          <v:rect id="_x0000_i1109" style="width:0;height:1.5pt" o:hralign="center" o:hrstd="t" o:hr="t" fillcolor="#a0a0a0" stroked="f"/>
        </w:pict>
      </w:r>
    </w:p>
    <w:p w:rsidR="00000000" w:rsidRDefault="00010F15">
      <w:pPr>
        <w:pStyle w:val="a3"/>
        <w:spacing w:before="0" w:beforeAutospacing="0" w:after="0" w:afterAutospacing="0"/>
        <w:divId w:val="1833794254"/>
        <w:rPr>
          <w:sz w:val="20"/>
          <w:szCs w:val="20"/>
        </w:rPr>
      </w:pPr>
      <w:r>
        <w:rPr>
          <w:sz w:val="20"/>
          <w:szCs w:val="20"/>
        </w:rPr>
        <w:t> </w:t>
      </w:r>
    </w:p>
    <w:p w:rsidR="00000000" w:rsidRDefault="00010F15">
      <w:pPr>
        <w:pStyle w:val="a3"/>
        <w:spacing w:before="120" w:beforeAutospacing="0" w:after="0" w:afterAutospacing="0"/>
        <w:divId w:val="1833794254"/>
        <w:rPr>
          <w:sz w:val="20"/>
          <w:szCs w:val="20"/>
        </w:rPr>
      </w:pPr>
      <w:r>
        <w:rPr>
          <w:rFonts w:ascii="Arial" w:hAnsi="Arial" w:cs="Arial"/>
          <w:sz w:val="20"/>
          <w:szCs w:val="20"/>
        </w:rPr>
        <w:t>adoption when permissible. With the exception of standards the Company elected to ea</w:t>
      </w:r>
      <w:r>
        <w:rPr>
          <w:rFonts w:ascii="Arial" w:hAnsi="Arial" w:cs="Arial"/>
          <w:sz w:val="20"/>
          <w:szCs w:val="20"/>
        </w:rPr>
        <w:t>rly adopt, when permissible, the Company has elected to adopt new or revised accounting guidance within the same time period as non-public business entities, as indicated below</w:t>
      </w:r>
      <w:r>
        <w:rPr>
          <w:rFonts w:ascii="Arial" w:hAnsi="Arial" w:cs="Arial"/>
          <w:sz w:val="20"/>
          <w:szCs w:val="20"/>
        </w:rPr>
        <w:t>.</w:t>
      </w:r>
    </w:p>
    <w:p w:rsidR="00000000" w:rsidRDefault="00010F15">
      <w:pPr>
        <w:pStyle w:val="a3"/>
        <w:spacing w:before="240" w:beforeAutospacing="0" w:after="0" w:afterAutospacing="0"/>
        <w:divId w:val="1833794254"/>
        <w:rPr>
          <w:sz w:val="20"/>
          <w:szCs w:val="20"/>
        </w:rPr>
      </w:pPr>
      <w:r>
        <w:rPr>
          <w:rFonts w:ascii="Arial" w:hAnsi="Arial" w:cs="Arial"/>
          <w:b/>
          <w:bCs/>
          <w:i/>
          <w:iCs/>
          <w:sz w:val="20"/>
          <w:szCs w:val="20"/>
        </w:rPr>
        <w:t>Accounting Pronouncements Recently Adopte</w:t>
      </w:r>
      <w:r>
        <w:rPr>
          <w:rFonts w:ascii="Arial" w:hAnsi="Arial" w:cs="Arial"/>
          <w:b/>
          <w:bCs/>
          <w:i/>
          <w:iCs/>
          <w:sz w:val="20"/>
          <w:szCs w:val="20"/>
        </w:rPr>
        <w:t>d</w:t>
      </w:r>
    </w:p>
    <w:p w:rsidR="00000000" w:rsidRDefault="00010F15">
      <w:pPr>
        <w:pStyle w:val="a3"/>
        <w:spacing w:before="120" w:beforeAutospacing="0" w:after="0" w:afterAutospacing="0"/>
        <w:ind w:firstLine="539"/>
        <w:divId w:val="1833794254"/>
        <w:rPr>
          <w:sz w:val="20"/>
          <w:szCs w:val="20"/>
        </w:rPr>
      </w:pPr>
      <w:r>
        <w:rPr>
          <w:rFonts w:ascii="Arial" w:hAnsi="Arial" w:cs="Arial"/>
          <w:sz w:val="20"/>
          <w:szCs w:val="20"/>
        </w:rPr>
        <w:t>In December 2019, the Financial Acc</w:t>
      </w:r>
      <w:r>
        <w:rPr>
          <w:rFonts w:ascii="Arial" w:hAnsi="Arial" w:cs="Arial"/>
          <w:sz w:val="20"/>
          <w:szCs w:val="20"/>
        </w:rPr>
        <w:t>ounting Standards Board, ("FASB") issued Accounting Standards Update ("ASU") 2019-12,</w:t>
      </w:r>
      <w:r>
        <w:rPr>
          <w:rFonts w:ascii="Arial" w:hAnsi="Arial" w:cs="Arial"/>
          <w:sz w:val="20"/>
          <w:szCs w:val="20"/>
        </w:rPr>
        <w:t xml:space="preserve"> </w:t>
      </w:r>
      <w:r>
        <w:rPr>
          <w:rFonts w:ascii="Arial" w:hAnsi="Arial" w:cs="Arial"/>
          <w:i/>
          <w:iCs/>
          <w:sz w:val="20"/>
          <w:szCs w:val="20"/>
        </w:rPr>
        <w:t>Income Taxes (“Topic 740”): Simplifying the Accounting for Income Taxe</w:t>
      </w:r>
      <w:r>
        <w:rPr>
          <w:rFonts w:ascii="Arial" w:hAnsi="Arial" w:cs="Arial"/>
          <w:i/>
          <w:iCs/>
          <w:sz w:val="20"/>
          <w:szCs w:val="20"/>
        </w:rPr>
        <w:t>s</w:t>
      </w:r>
      <w:r>
        <w:rPr>
          <w:rFonts w:ascii="Arial" w:hAnsi="Arial" w:cs="Arial"/>
          <w:sz w:val="20"/>
          <w:szCs w:val="20"/>
        </w:rPr>
        <w:t>, which simplifies the accounting for income taxes by eliminating some exceptions to the general ap</w:t>
      </w:r>
      <w:r>
        <w:rPr>
          <w:rFonts w:ascii="Arial" w:hAnsi="Arial" w:cs="Arial"/>
          <w:sz w:val="20"/>
          <w:szCs w:val="20"/>
        </w:rPr>
        <w:t>proach in ASC 740, Income Taxes in order to reduce cost and complexity of its application. The guidance is effective for financial statements issued for fiscal years beginning after December 15, 2020, and interim periods within those fiscal years, with ear</w:t>
      </w:r>
      <w:r>
        <w:rPr>
          <w:rFonts w:ascii="Arial" w:hAnsi="Arial" w:cs="Arial"/>
          <w:sz w:val="20"/>
          <w:szCs w:val="20"/>
        </w:rPr>
        <w:t>ly adoption permitted. The Company elected to early adopt this standard on January 1, 2021. Adoption of this standard did not have a material impact on its consolidated financial statements</w:t>
      </w:r>
      <w:r>
        <w:rPr>
          <w:rFonts w:ascii="Arial" w:hAnsi="Arial" w:cs="Arial"/>
          <w:sz w:val="20"/>
          <w:szCs w:val="20"/>
        </w:rPr>
        <w:t>.</w:t>
      </w:r>
    </w:p>
    <w:p w:rsidR="00000000" w:rsidRDefault="00010F15">
      <w:pPr>
        <w:pStyle w:val="a3"/>
        <w:spacing w:before="120" w:beforeAutospacing="0" w:after="0" w:afterAutospacing="0"/>
        <w:ind w:firstLine="539"/>
        <w:divId w:val="1833794254"/>
        <w:rPr>
          <w:sz w:val="20"/>
          <w:szCs w:val="20"/>
        </w:rPr>
      </w:pPr>
      <w:r>
        <w:rPr>
          <w:rFonts w:ascii="Arial" w:hAnsi="Arial" w:cs="Arial"/>
          <w:sz w:val="20"/>
          <w:szCs w:val="20"/>
        </w:rPr>
        <w:t>In August 2018, the FASB issued ASU No. 2018-15,</w:t>
      </w:r>
      <w:r>
        <w:rPr>
          <w:rFonts w:ascii="Arial" w:hAnsi="Arial" w:cs="Arial"/>
          <w:sz w:val="20"/>
          <w:szCs w:val="20"/>
        </w:rPr>
        <w:t xml:space="preserve"> </w:t>
      </w:r>
      <w:r>
        <w:rPr>
          <w:rFonts w:ascii="Arial" w:hAnsi="Arial" w:cs="Arial"/>
          <w:i/>
          <w:iCs/>
          <w:sz w:val="20"/>
          <w:szCs w:val="20"/>
        </w:rPr>
        <w:t>Intangibles—Goodwill and Other—Internal-Use Softwar</w:t>
      </w:r>
      <w:r>
        <w:rPr>
          <w:rFonts w:ascii="Arial" w:hAnsi="Arial" w:cs="Arial"/>
          <w:i/>
          <w:iCs/>
          <w:sz w:val="20"/>
          <w:szCs w:val="20"/>
        </w:rPr>
        <w:t>e</w:t>
      </w:r>
      <w:r>
        <w:rPr>
          <w:rFonts w:ascii="Arial" w:hAnsi="Arial" w:cs="Arial"/>
          <w:sz w:val="20"/>
          <w:szCs w:val="20"/>
        </w:rPr>
        <w:t>, which aligns the requirements for capitalizing implementation costs incurred in a hosting arrangement that is a service contract with the requirements fo</w:t>
      </w:r>
      <w:r>
        <w:rPr>
          <w:rFonts w:ascii="Arial" w:hAnsi="Arial" w:cs="Arial"/>
          <w:sz w:val="20"/>
          <w:szCs w:val="20"/>
        </w:rPr>
        <w:t>r capitalizing implementation costs incurred to develop or obtain internal-use software (and hosting arrangements that include an internal-use software license). This guidance is effective for fiscal years beginning after December 15, 2019, and interim per</w:t>
      </w:r>
      <w:r>
        <w:rPr>
          <w:rFonts w:ascii="Arial" w:hAnsi="Arial" w:cs="Arial"/>
          <w:sz w:val="20"/>
          <w:szCs w:val="20"/>
        </w:rPr>
        <w:t>iods within those fiscal years. Early adoption is permitted. The Company adopted this guidance on January 1, 2020. The adoption of this guidance did not have a material impact on the consolidated financial statements and related disclosures</w:t>
      </w:r>
      <w:r>
        <w:rPr>
          <w:rFonts w:ascii="Arial" w:hAnsi="Arial" w:cs="Arial"/>
          <w:sz w:val="20"/>
          <w:szCs w:val="20"/>
        </w:rPr>
        <w:t>.</w:t>
      </w:r>
    </w:p>
    <w:p w:rsidR="00000000" w:rsidRDefault="00010F15">
      <w:pPr>
        <w:pStyle w:val="a3"/>
        <w:spacing w:before="120" w:beforeAutospacing="0" w:after="0" w:afterAutospacing="0"/>
        <w:ind w:firstLine="539"/>
        <w:divId w:val="1833794254"/>
        <w:rPr>
          <w:sz w:val="20"/>
          <w:szCs w:val="20"/>
        </w:rPr>
      </w:pPr>
      <w:r>
        <w:rPr>
          <w:rFonts w:ascii="Arial" w:hAnsi="Arial" w:cs="Arial"/>
          <w:sz w:val="20"/>
          <w:szCs w:val="20"/>
        </w:rPr>
        <w:t xml:space="preserve">In June 2016, </w:t>
      </w:r>
      <w:r>
        <w:rPr>
          <w:rFonts w:ascii="Arial" w:hAnsi="Arial" w:cs="Arial"/>
          <w:sz w:val="20"/>
          <w:szCs w:val="20"/>
        </w:rPr>
        <w:t>the FASB issued ASU 2016-13,</w:t>
      </w:r>
      <w:r>
        <w:rPr>
          <w:rFonts w:ascii="Arial" w:hAnsi="Arial" w:cs="Arial"/>
          <w:sz w:val="20"/>
          <w:szCs w:val="20"/>
        </w:rPr>
        <w:t xml:space="preserve"> </w:t>
      </w:r>
      <w:r>
        <w:rPr>
          <w:rFonts w:ascii="Arial" w:hAnsi="Arial" w:cs="Arial"/>
          <w:i/>
          <w:iCs/>
          <w:sz w:val="20"/>
          <w:szCs w:val="20"/>
        </w:rPr>
        <w:t>Financial Instruments—Credit Losses (“Topic 326”): Measurement of Credit Losses on Financial Instrument</w:t>
      </w:r>
      <w:r>
        <w:rPr>
          <w:rFonts w:ascii="Arial" w:hAnsi="Arial" w:cs="Arial"/>
          <w:i/>
          <w:iCs/>
          <w:sz w:val="20"/>
          <w:szCs w:val="20"/>
        </w:rPr>
        <w:t>s</w:t>
      </w:r>
      <w:r>
        <w:rPr>
          <w:rFonts w:ascii="Arial" w:hAnsi="Arial" w:cs="Arial"/>
          <w:sz w:val="20"/>
          <w:szCs w:val="20"/>
        </w:rPr>
        <w:t>, which requires a financial asset measured at amortized cost basis to be presented at the net amount expected to be collec</w:t>
      </w:r>
      <w:r>
        <w:rPr>
          <w:rFonts w:ascii="Arial" w:hAnsi="Arial" w:cs="Arial"/>
          <w:sz w:val="20"/>
          <w:szCs w:val="20"/>
        </w:rPr>
        <w:t xml:space="preserve">ted, with further clarifications made more recently. For trade receivables, loans, and other financial instruments, the Company will be required to use a forward-looking expected loss model rather than the incurred loss model for recognizing credit losses </w:t>
      </w:r>
      <w:r>
        <w:rPr>
          <w:rFonts w:ascii="Arial" w:hAnsi="Arial" w:cs="Arial"/>
          <w:sz w:val="20"/>
          <w:szCs w:val="20"/>
        </w:rPr>
        <w:t>which reflects losses that are probable. This guidance is effective for financial statements issued for fiscal years beginning after December 15, 2019, and interim periods within those fiscal years. Early adoption is permitted for fiscal years beginning af</w:t>
      </w:r>
      <w:r>
        <w:rPr>
          <w:rFonts w:ascii="Arial" w:hAnsi="Arial" w:cs="Arial"/>
          <w:sz w:val="20"/>
          <w:szCs w:val="20"/>
        </w:rPr>
        <w:t>ter December 15, 2018, and interim periods within those fiscal years. The Company adopted this guidance on January 1, 2020. The adoption of this guidance did not have a material impact on the consolidated financial statements and related disclosures</w:t>
      </w:r>
      <w:r>
        <w:rPr>
          <w:rFonts w:ascii="Arial" w:hAnsi="Arial" w:cs="Arial"/>
          <w:sz w:val="20"/>
          <w:szCs w:val="20"/>
        </w:rPr>
        <w:t>.</w:t>
      </w:r>
    </w:p>
    <w:p w:rsidR="00000000" w:rsidRDefault="00010F15">
      <w:pPr>
        <w:pStyle w:val="a3"/>
        <w:spacing w:before="120" w:beforeAutospacing="0" w:after="0" w:afterAutospacing="0"/>
        <w:ind w:firstLine="539"/>
        <w:divId w:val="1833794254"/>
        <w:rPr>
          <w:sz w:val="20"/>
          <w:szCs w:val="20"/>
        </w:rPr>
      </w:pPr>
      <w:r>
        <w:rPr>
          <w:rFonts w:ascii="Arial" w:hAnsi="Arial" w:cs="Arial"/>
          <w:sz w:val="20"/>
          <w:szCs w:val="20"/>
        </w:rPr>
        <w:t>In Fe</w:t>
      </w:r>
      <w:r>
        <w:rPr>
          <w:rFonts w:ascii="Arial" w:hAnsi="Arial" w:cs="Arial"/>
          <w:sz w:val="20"/>
          <w:szCs w:val="20"/>
        </w:rPr>
        <w:t>bruary 2016, the FASB issued ASU 2016-02,</w:t>
      </w:r>
      <w:r>
        <w:rPr>
          <w:rFonts w:ascii="Arial" w:hAnsi="Arial" w:cs="Arial"/>
          <w:sz w:val="20"/>
          <w:szCs w:val="20"/>
        </w:rPr>
        <w:t xml:space="preserve"> </w:t>
      </w:r>
      <w:r>
        <w:rPr>
          <w:rFonts w:ascii="Arial" w:hAnsi="Arial" w:cs="Arial"/>
          <w:i/>
          <w:iCs/>
          <w:sz w:val="20"/>
          <w:szCs w:val="20"/>
        </w:rPr>
        <w:t>Leases (“Topic 842”) (“ASU 2016-02”)</w:t>
      </w:r>
      <w:r>
        <w:rPr>
          <w:rFonts w:ascii="Arial" w:hAnsi="Arial" w:cs="Arial"/>
          <w:i/>
          <w:iCs/>
          <w:sz w:val="20"/>
          <w:szCs w:val="20"/>
        </w:rPr>
        <w:t>.</w:t>
      </w:r>
      <w:r>
        <w:rPr>
          <w:rFonts w:ascii="Arial" w:hAnsi="Arial" w:cs="Arial"/>
          <w:sz w:val="20"/>
          <w:szCs w:val="20"/>
        </w:rPr>
        <w:t>The standard requires lessees to recognize the assets and liabilities that arise from leases on the balance sheet. ASU 2016-02 requires the recognition on the balance sheet of a</w:t>
      </w:r>
      <w:r>
        <w:rPr>
          <w:rFonts w:ascii="Arial" w:hAnsi="Arial" w:cs="Arial"/>
          <w:sz w:val="20"/>
          <w:szCs w:val="20"/>
        </w:rPr>
        <w:t xml:space="preserve"> lease liability to make lease payments by lessees and a right-of-use asset representing its right to use the underlying asset for the lease term. The new guidance will also require significant additional disclosure about the amount, timing and uncertainty</w:t>
      </w:r>
      <w:r>
        <w:rPr>
          <w:rFonts w:ascii="Arial" w:hAnsi="Arial" w:cs="Arial"/>
          <w:sz w:val="20"/>
          <w:szCs w:val="20"/>
        </w:rPr>
        <w:t xml:space="preserve"> of cash flows from leases. The new lease guidance is effective for periods beginning after December 15, 2018 for public entities and January 1, 2021 for non-public companies. The Company early adopted this standard beginning January 1, 2020, using the mod</w:t>
      </w:r>
      <w:r>
        <w:rPr>
          <w:rFonts w:ascii="Arial" w:hAnsi="Arial" w:cs="Arial"/>
          <w:sz w:val="20"/>
          <w:szCs w:val="20"/>
        </w:rPr>
        <w:t>ified retrospective approach as discussed above. For additional information, see Note 7 – Leases</w:t>
      </w:r>
      <w:r>
        <w:rPr>
          <w:rFonts w:ascii="Arial" w:hAnsi="Arial" w:cs="Arial"/>
          <w:sz w:val="20"/>
          <w:szCs w:val="20"/>
        </w:rPr>
        <w:t>.</w:t>
      </w:r>
    </w:p>
    <w:p w:rsidR="00000000" w:rsidRDefault="00010F15">
      <w:pPr>
        <w:pStyle w:val="a3"/>
        <w:spacing w:before="240" w:beforeAutospacing="0" w:after="0" w:afterAutospacing="0"/>
        <w:divId w:val="1833794254"/>
        <w:rPr>
          <w:sz w:val="20"/>
          <w:szCs w:val="20"/>
        </w:rPr>
      </w:pPr>
      <w:r>
        <w:rPr>
          <w:rFonts w:ascii="Arial" w:hAnsi="Arial" w:cs="Arial"/>
          <w:b/>
          <w:bCs/>
          <w:i/>
          <w:iCs/>
          <w:sz w:val="20"/>
          <w:szCs w:val="20"/>
        </w:rPr>
        <w:t>Accounting Pronouncements Not Yet Adopte</w:t>
      </w:r>
      <w:r>
        <w:rPr>
          <w:rFonts w:ascii="Arial" w:hAnsi="Arial" w:cs="Arial"/>
          <w:b/>
          <w:bCs/>
          <w:i/>
          <w:iCs/>
          <w:sz w:val="20"/>
          <w:szCs w:val="20"/>
        </w:rPr>
        <w:t>d</w:t>
      </w:r>
    </w:p>
    <w:p w:rsidR="00000000" w:rsidRDefault="00010F15">
      <w:pPr>
        <w:pStyle w:val="a3"/>
        <w:spacing w:before="120" w:beforeAutospacing="0" w:after="0" w:afterAutospacing="0"/>
        <w:ind w:firstLine="539"/>
        <w:divId w:val="1833794254"/>
        <w:rPr>
          <w:sz w:val="20"/>
          <w:szCs w:val="20"/>
        </w:rPr>
      </w:pPr>
      <w:r>
        <w:rPr>
          <w:rFonts w:ascii="Arial" w:hAnsi="Arial" w:cs="Arial"/>
          <w:sz w:val="20"/>
          <w:szCs w:val="20"/>
        </w:rPr>
        <w:t>In October 2021, the FASB issued ASU 2021-08,</w:t>
      </w:r>
      <w:r>
        <w:rPr>
          <w:rFonts w:ascii="Arial" w:hAnsi="Arial" w:cs="Arial"/>
          <w:sz w:val="20"/>
          <w:szCs w:val="20"/>
        </w:rPr>
        <w:t xml:space="preserve"> </w:t>
      </w:r>
      <w:r>
        <w:rPr>
          <w:rFonts w:ascii="Arial" w:hAnsi="Arial" w:cs="Arial"/>
          <w:i/>
          <w:iCs/>
          <w:sz w:val="20"/>
          <w:szCs w:val="20"/>
        </w:rPr>
        <w:t>"</w:t>
      </w:r>
      <w:r>
        <w:rPr>
          <w:rFonts w:ascii="Arial" w:hAnsi="Arial" w:cs="Arial"/>
          <w:i/>
          <w:iCs/>
          <w:sz w:val="20"/>
          <w:szCs w:val="20"/>
        </w:rPr>
        <w:t>Business Combinations (Topic 805): Accounting for Contract Assets and Contract Liabilities from Contracts with Customers" ("ASU 2021-08"</w:t>
      </w:r>
      <w:r>
        <w:rPr>
          <w:rFonts w:ascii="Arial" w:hAnsi="Arial" w:cs="Arial"/>
          <w:i/>
          <w:iCs/>
          <w:sz w:val="20"/>
          <w:szCs w:val="20"/>
        </w:rPr>
        <w:t>)</w:t>
      </w:r>
      <w:r>
        <w:rPr>
          <w:rFonts w:ascii="Arial" w:hAnsi="Arial" w:cs="Arial"/>
          <w:sz w:val="20"/>
          <w:szCs w:val="20"/>
        </w:rPr>
        <w:t>. ASU 2021-08 will require companies to apply the definition of a performance obligation under ASU 2014-0</w:t>
      </w:r>
      <w:r>
        <w:rPr>
          <w:rFonts w:ascii="Arial" w:hAnsi="Arial" w:cs="Arial"/>
          <w:sz w:val="20"/>
          <w:szCs w:val="20"/>
        </w:rPr>
        <w:t>9</w:t>
      </w:r>
      <w:r>
        <w:rPr>
          <w:rFonts w:ascii="Arial" w:hAnsi="Arial" w:cs="Arial"/>
          <w:i/>
          <w:iCs/>
          <w:sz w:val="20"/>
          <w:szCs w:val="20"/>
        </w:rPr>
        <w:t>, Revenue fro</w:t>
      </w:r>
      <w:r>
        <w:rPr>
          <w:rFonts w:ascii="Arial" w:hAnsi="Arial" w:cs="Arial"/>
          <w:i/>
          <w:iCs/>
          <w:sz w:val="20"/>
          <w:szCs w:val="20"/>
        </w:rPr>
        <w:t>m contracts with customers (“Topic 606”</w:t>
      </w:r>
      <w:r>
        <w:rPr>
          <w:rFonts w:ascii="Arial" w:hAnsi="Arial" w:cs="Arial"/>
          <w:i/>
          <w:iCs/>
          <w:sz w:val="20"/>
          <w:szCs w:val="20"/>
        </w:rPr>
        <w:t>)</w:t>
      </w:r>
      <w:r>
        <w:rPr>
          <w:rFonts w:ascii="Arial" w:hAnsi="Arial" w:cs="Arial"/>
          <w:sz w:val="20"/>
          <w:szCs w:val="20"/>
        </w:rPr>
        <w:t xml:space="preserve"> to recognize and measure contract assets and contract liabilities relating to contracts with customers that are acquired in a business combination. Under current U.S. GAAP, an acquirer generally recognizes assets ac</w:t>
      </w:r>
      <w:r>
        <w:rPr>
          <w:rFonts w:ascii="Arial" w:hAnsi="Arial" w:cs="Arial"/>
          <w:sz w:val="20"/>
          <w:szCs w:val="20"/>
        </w:rPr>
        <w:t>quired and liabilities assumed in a business combination, including contract assets and contract liabilities arising from revenue contracts with customers, at fair value on the acquisition date. ASU 2021-08 will result in the acquirer recording acquired co</w:t>
      </w:r>
      <w:r>
        <w:rPr>
          <w:rFonts w:ascii="Arial" w:hAnsi="Arial" w:cs="Arial"/>
          <w:sz w:val="20"/>
          <w:szCs w:val="20"/>
        </w:rPr>
        <w:t>ntract assets and liabilities on the same basis that would have been recorded by the acquiree before the acquisition under ASU Topic 606. ASU 2021-08 is effective for fiscal years beginning after December 15, 2022, with early adoption permitted. The Compan</w:t>
      </w:r>
      <w:r>
        <w:rPr>
          <w:rFonts w:ascii="Arial" w:hAnsi="Arial" w:cs="Arial"/>
          <w:sz w:val="20"/>
          <w:szCs w:val="20"/>
        </w:rPr>
        <w:t>y is currently evaluating the impact of this ASU on its consolidated financial statements</w:t>
      </w:r>
      <w:r>
        <w:rPr>
          <w:rFonts w:ascii="Arial" w:hAnsi="Arial" w:cs="Arial"/>
          <w:sz w:val="20"/>
          <w:szCs w:val="20"/>
        </w:rPr>
        <w:t>.</w:t>
      </w:r>
      <w:r>
        <w:rPr>
          <w:rFonts w:ascii="Arial" w:hAnsi="Arial" w:cs="Arial"/>
          <w:sz w:val="20"/>
          <w:szCs w:val="20"/>
        </w:rPr>
        <w:t> </w:t>
      </w:r>
    </w:p>
    <w:p w:rsidR="00000000" w:rsidRDefault="00010F15">
      <w:pPr>
        <w:pStyle w:val="a3"/>
        <w:spacing w:before="240" w:beforeAutospacing="0" w:after="0" w:afterAutospacing="0"/>
        <w:ind w:hanging="422"/>
        <w:divId w:val="134640396"/>
        <w:rPr>
          <w:sz w:val="20"/>
          <w:szCs w:val="20"/>
        </w:rPr>
      </w:pPr>
      <w:r>
        <w:rPr>
          <w:rFonts w:ascii="Arial" w:hAnsi="Arial" w:cs="Arial"/>
          <w:b/>
          <w:bCs/>
          <w:sz w:val="20"/>
          <w:szCs w:val="20"/>
        </w:rPr>
        <w:t>3. Revenue, Performance Obligations and Contract Balance</w:t>
      </w:r>
      <w:r>
        <w:rPr>
          <w:rFonts w:ascii="Arial" w:hAnsi="Arial" w:cs="Arial"/>
          <w:b/>
          <w:bCs/>
          <w:sz w:val="20"/>
          <w:szCs w:val="20"/>
        </w:rPr>
        <w:t>s</w:t>
      </w:r>
    </w:p>
    <w:p w:rsidR="00000000" w:rsidRDefault="00010F15">
      <w:pPr>
        <w:pStyle w:val="a3"/>
        <w:spacing w:before="240" w:beforeAutospacing="0" w:after="0" w:afterAutospacing="0"/>
        <w:ind w:firstLine="539"/>
        <w:divId w:val="134640396"/>
        <w:rPr>
          <w:sz w:val="20"/>
          <w:szCs w:val="20"/>
        </w:rPr>
      </w:pPr>
      <w:r>
        <w:rPr>
          <w:rFonts w:ascii="Arial" w:hAnsi="Arial" w:cs="Arial"/>
          <w:sz w:val="20"/>
          <w:szCs w:val="20"/>
        </w:rPr>
        <w:t>Pursuant to ASC 606, the Company evaluates the services promised in contracts with customers at contract i</w:t>
      </w:r>
      <w:r>
        <w:rPr>
          <w:rFonts w:ascii="Arial" w:hAnsi="Arial" w:cs="Arial"/>
          <w:sz w:val="20"/>
          <w:szCs w:val="20"/>
        </w:rPr>
        <w:t>nception, and identifies a performance obligation for each promise to transfer a service that is distinct. For the payment transaction services, the promise to the customer is that the Company stands ready to process payment transactions the customer reque</w:t>
      </w:r>
      <w:r>
        <w:rPr>
          <w:rFonts w:ascii="Arial" w:hAnsi="Arial" w:cs="Arial"/>
          <w:sz w:val="20"/>
          <w:szCs w:val="20"/>
        </w:rPr>
        <w:t xml:space="preserve">sts on a daily basis over the contract term. Since the timing and quantity of transactions to be processed by Paymentus is not determinable, the Company views payment services to comprise an obligation to stand ready to process as many transactions as the </w:t>
      </w:r>
      <w:r>
        <w:rPr>
          <w:rFonts w:ascii="Arial" w:hAnsi="Arial" w:cs="Arial"/>
          <w:sz w:val="20"/>
          <w:szCs w:val="20"/>
        </w:rPr>
        <w:t xml:space="preserve">customer requests. Under a stand-ready obligation, the evaluation of the nature of </w:t>
      </w:r>
      <w:r>
        <w:rPr>
          <w:rFonts w:ascii="Arial" w:hAnsi="Arial" w:cs="Arial"/>
          <w:sz w:val="20"/>
          <w:szCs w:val="20"/>
        </w:rPr>
        <w:t>a</w:t>
      </w:r>
      <w:r>
        <w:rPr>
          <w:rFonts w:ascii="Arial" w:hAnsi="Arial" w:cs="Arial"/>
          <w:sz w:val="20"/>
          <w:szCs w:val="20"/>
        </w:rPr>
        <w:t xml:space="preserve"> </w:t>
      </w:r>
    </w:p>
    <w:p w:rsidR="00000000" w:rsidRDefault="00010F15">
      <w:pPr>
        <w:pStyle w:val="a3"/>
        <w:spacing w:before="120" w:beforeAutospacing="0" w:after="0" w:afterAutospacing="0"/>
        <w:jc w:val="center"/>
        <w:divId w:val="134640396"/>
        <w:rPr>
          <w:sz w:val="20"/>
          <w:szCs w:val="20"/>
        </w:rPr>
      </w:pPr>
      <w:r>
        <w:rPr>
          <w:rFonts w:ascii="Arial" w:hAnsi="Arial" w:cs="Arial"/>
          <w:sz w:val="20"/>
          <w:szCs w:val="20"/>
        </w:rPr>
        <w:t>8</w:t>
      </w:r>
      <w:r>
        <w:rPr>
          <w:rFonts w:ascii="Arial" w:hAnsi="Arial" w:cs="Arial"/>
          <w:sz w:val="20"/>
          <w:szCs w:val="20"/>
        </w:rPr>
        <w:t>5</w:t>
      </w:r>
    </w:p>
    <w:p w:rsidR="00000000" w:rsidRDefault="00010F15">
      <w:pPr>
        <w:divId w:val="134640396"/>
        <w:rPr>
          <w:rFonts w:ascii="Arial" w:eastAsia="Times New Roman" w:hAnsi="Arial" w:cs="Arial"/>
          <w:sz w:val="20"/>
          <w:szCs w:val="20"/>
        </w:rPr>
      </w:pPr>
      <w:r>
        <w:rPr>
          <w:rFonts w:ascii="Arial" w:eastAsia="Times New Roman" w:hAnsi="Arial" w:cs="Arial"/>
          <w:sz w:val="20"/>
          <w:szCs w:val="20"/>
        </w:rPr>
        <w:pict>
          <v:rect id="_x0000_i1110" style="width:0;height:1.5pt" o:hralign="center" o:hrstd="t" o:hr="t" fillcolor="#a0a0a0" stroked="f"/>
        </w:pict>
      </w:r>
    </w:p>
    <w:p w:rsidR="00000000" w:rsidRDefault="00010F15">
      <w:pPr>
        <w:pStyle w:val="a3"/>
        <w:spacing w:before="0" w:beforeAutospacing="0" w:after="0" w:afterAutospacing="0"/>
        <w:divId w:val="134640396"/>
        <w:rPr>
          <w:sz w:val="20"/>
          <w:szCs w:val="20"/>
        </w:rPr>
      </w:pPr>
      <w:r>
        <w:rPr>
          <w:sz w:val="20"/>
          <w:szCs w:val="20"/>
        </w:rPr>
        <w:t> </w:t>
      </w:r>
    </w:p>
    <w:p w:rsidR="00000000" w:rsidRDefault="00010F15">
      <w:pPr>
        <w:pStyle w:val="a3"/>
        <w:spacing w:before="240" w:beforeAutospacing="0" w:after="0" w:afterAutospacing="0"/>
        <w:divId w:val="134640396"/>
        <w:rPr>
          <w:sz w:val="20"/>
          <w:szCs w:val="20"/>
        </w:rPr>
      </w:pPr>
      <w:r>
        <w:rPr>
          <w:rFonts w:ascii="Arial" w:hAnsi="Arial" w:cs="Arial"/>
          <w:sz w:val="20"/>
          <w:szCs w:val="20"/>
        </w:rPr>
        <w:t>performance obligation is focused on each time increment rather than the underlying activities. Therefore, the Company views pay</w:t>
      </w:r>
      <w:r>
        <w:rPr>
          <w:rFonts w:ascii="Arial" w:hAnsi="Arial" w:cs="Arial"/>
          <w:sz w:val="20"/>
          <w:szCs w:val="20"/>
        </w:rPr>
        <w:t>ment services to comprise a series of distinct days of service that are substantially the same and have the same pattern of transfer to the customer. Accordingly, the promise to stand ready is accounted for as a single-series performance obligation</w:t>
      </w:r>
      <w:r>
        <w:rPr>
          <w:rFonts w:ascii="Arial" w:hAnsi="Arial" w:cs="Arial"/>
          <w:sz w:val="20"/>
          <w:szCs w:val="20"/>
        </w:rPr>
        <w:t>.</w:t>
      </w:r>
    </w:p>
    <w:p w:rsidR="00000000" w:rsidRDefault="00010F15">
      <w:pPr>
        <w:pStyle w:val="a3"/>
        <w:spacing w:before="120" w:beforeAutospacing="0" w:after="0" w:afterAutospacing="0"/>
        <w:ind w:firstLine="539"/>
        <w:divId w:val="134640396"/>
        <w:rPr>
          <w:sz w:val="20"/>
          <w:szCs w:val="20"/>
        </w:rPr>
      </w:pPr>
      <w:r>
        <w:rPr>
          <w:rFonts w:ascii="Arial" w:hAnsi="Arial" w:cs="Arial"/>
          <w:sz w:val="20"/>
          <w:szCs w:val="20"/>
        </w:rPr>
        <w:t>ASC 60</w:t>
      </w:r>
      <w:r>
        <w:rPr>
          <w:rFonts w:ascii="Arial" w:hAnsi="Arial" w:cs="Arial"/>
          <w:sz w:val="20"/>
          <w:szCs w:val="20"/>
        </w:rPr>
        <w:t>6 requires that the Company determines for each customer arrangement whether revenue should be recognized at a point in time or over time. Substantially all of the Company’s revenues are recognized over time. The majority of the payment transaction service</w:t>
      </w:r>
      <w:r>
        <w:rPr>
          <w:rFonts w:ascii="Arial" w:hAnsi="Arial" w:cs="Arial"/>
          <w:sz w:val="20"/>
          <w:szCs w:val="20"/>
        </w:rPr>
        <w:t>s are priced as a percentage of transaction value or a specified fee per transaction. Given the nature of the promise based on unknown quantities or outcomes of services to be performed over the contract term, the total consideration is determined to be va</w:t>
      </w:r>
      <w:r>
        <w:rPr>
          <w:rFonts w:ascii="Arial" w:hAnsi="Arial" w:cs="Arial"/>
          <w:sz w:val="20"/>
          <w:szCs w:val="20"/>
        </w:rPr>
        <w:t>riable consideration. The variable consideration for the Company’s payment service is usage-based and, therefore, it specifically relates to the Company’s efforts to satisfy its payment services obligation. The variability is satisfied each day the service</w:t>
      </w:r>
      <w:r>
        <w:rPr>
          <w:rFonts w:ascii="Arial" w:hAnsi="Arial" w:cs="Arial"/>
          <w:sz w:val="20"/>
          <w:szCs w:val="20"/>
        </w:rPr>
        <w:t xml:space="preserve"> is provided to the customer. The Company directly assigns variable fees to the distinct day of service to which it relates, by considering the services performed each day. Therefore, Paymentus measures revenue for its payment service on a daily basis base</w:t>
      </w:r>
      <w:r>
        <w:rPr>
          <w:rFonts w:ascii="Arial" w:hAnsi="Arial" w:cs="Arial"/>
          <w:sz w:val="20"/>
          <w:szCs w:val="20"/>
        </w:rPr>
        <w:t>d on the services that are performed on that day and recognizes revenue once the transaction is complete</w:t>
      </w:r>
      <w:r>
        <w:rPr>
          <w:rFonts w:ascii="Arial" w:hAnsi="Arial" w:cs="Arial"/>
          <w:sz w:val="20"/>
          <w:szCs w:val="20"/>
        </w:rPr>
        <w:t>.</w:t>
      </w:r>
    </w:p>
    <w:p w:rsidR="00000000" w:rsidRDefault="00010F15">
      <w:pPr>
        <w:pStyle w:val="a3"/>
        <w:spacing w:before="120" w:beforeAutospacing="0" w:after="0" w:afterAutospacing="0"/>
        <w:ind w:firstLine="539"/>
        <w:divId w:val="134640396"/>
        <w:rPr>
          <w:sz w:val="20"/>
          <w:szCs w:val="20"/>
        </w:rPr>
      </w:pPr>
      <w:r>
        <w:rPr>
          <w:rFonts w:ascii="Arial" w:hAnsi="Arial" w:cs="Arial"/>
          <w:sz w:val="20"/>
          <w:szCs w:val="20"/>
        </w:rPr>
        <w:t>The initial term of customer contracts is typically between three to five years. Termination provisions vary by customer, however the majority of cust</w:t>
      </w:r>
      <w:r>
        <w:rPr>
          <w:rFonts w:ascii="Arial" w:hAnsi="Arial" w:cs="Arial"/>
          <w:sz w:val="20"/>
          <w:szCs w:val="20"/>
        </w:rPr>
        <w:t>omers may not terminate their contract early without penalty. Some of the contracts include tiered pricing, based primarily on volume. The fee charged per transaction is adjusted up or down if the volume processed for a specified period is different from p</w:t>
      </w:r>
      <w:r>
        <w:rPr>
          <w:rFonts w:ascii="Arial" w:hAnsi="Arial" w:cs="Arial"/>
          <w:sz w:val="20"/>
          <w:szCs w:val="20"/>
        </w:rPr>
        <w:t>rior period defined volumes. The Company has concluded that this volume-based pricing approach does not constitute a future material right since the discount is within a range typically offered to a class of customers with similar volume. In addition, some</w:t>
      </w:r>
      <w:r>
        <w:rPr>
          <w:rFonts w:ascii="Arial" w:hAnsi="Arial" w:cs="Arial"/>
          <w:sz w:val="20"/>
          <w:szCs w:val="20"/>
        </w:rPr>
        <w:t xml:space="preserve"> contracts include prescribed annual or monthly minimums, penalties for early termination, and service level agreements that may affect contractual fees if specific service levels are not achieved. The Company has determined that these processing services </w:t>
      </w:r>
      <w:r>
        <w:rPr>
          <w:rFonts w:ascii="Arial" w:hAnsi="Arial" w:cs="Arial"/>
          <w:sz w:val="20"/>
          <w:szCs w:val="20"/>
        </w:rPr>
        <w:t>represent a stand-ready obligation comprising a series of distinct days of services that are substantially the same and have the same pattern of transfer to the customer</w:t>
      </w:r>
      <w:r>
        <w:rPr>
          <w:rFonts w:ascii="Arial" w:hAnsi="Arial" w:cs="Arial"/>
          <w:sz w:val="20"/>
          <w:szCs w:val="20"/>
        </w:rPr>
        <w:t>.</w:t>
      </w:r>
    </w:p>
    <w:p w:rsidR="00000000" w:rsidRDefault="00010F15">
      <w:pPr>
        <w:pStyle w:val="a3"/>
        <w:spacing w:before="120" w:beforeAutospacing="0" w:after="0" w:afterAutospacing="0"/>
        <w:ind w:firstLine="539"/>
        <w:divId w:val="134640396"/>
        <w:rPr>
          <w:sz w:val="20"/>
          <w:szCs w:val="20"/>
        </w:rPr>
      </w:pPr>
      <w:r>
        <w:rPr>
          <w:rFonts w:ascii="Arial" w:hAnsi="Arial" w:cs="Arial"/>
          <w:sz w:val="20"/>
          <w:szCs w:val="20"/>
        </w:rPr>
        <w:t xml:space="preserve">The Company also has partner agreements, some of which contain guaranteed revenue or </w:t>
      </w:r>
      <w:r>
        <w:rPr>
          <w:rFonts w:ascii="Arial" w:hAnsi="Arial" w:cs="Arial"/>
          <w:sz w:val="20"/>
          <w:szCs w:val="20"/>
        </w:rPr>
        <w:t>transaction minimum commitments and revenue sharing arrangements. Because of these minimum commitments, the Company has to evaluate the agreements to determine the fixed and variable consideration and the amount of revenue to be recognized. For the minimum</w:t>
      </w:r>
      <w:r>
        <w:rPr>
          <w:rFonts w:ascii="Arial" w:hAnsi="Arial" w:cs="Arial"/>
          <w:sz w:val="20"/>
          <w:szCs w:val="20"/>
        </w:rPr>
        <w:t xml:space="preserve"> commitments, the Company records the fixed consideration ratably over the commitment period and the variable consideration to the extent that the Company believes that the variable consideration is not constrained. The revenue recorded for these arrangeme</w:t>
      </w:r>
      <w:r>
        <w:rPr>
          <w:rFonts w:ascii="Arial" w:hAnsi="Arial" w:cs="Arial"/>
          <w:sz w:val="20"/>
          <w:szCs w:val="20"/>
        </w:rPr>
        <w:t>nts is net of any revenue sharing with the customer, which is typically determined based on a calculation of revenue less certain fees incurred by the Company, as defined in the agreement</w:t>
      </w:r>
      <w:r>
        <w:rPr>
          <w:rFonts w:ascii="Arial" w:hAnsi="Arial" w:cs="Arial"/>
          <w:sz w:val="20"/>
          <w:szCs w:val="20"/>
        </w:rPr>
        <w:t>.</w:t>
      </w:r>
    </w:p>
    <w:p w:rsidR="00000000" w:rsidRDefault="00010F15">
      <w:pPr>
        <w:pStyle w:val="a3"/>
        <w:spacing w:before="120" w:beforeAutospacing="0" w:after="0" w:afterAutospacing="0"/>
        <w:ind w:firstLine="539"/>
        <w:divId w:val="134640396"/>
        <w:rPr>
          <w:sz w:val="20"/>
          <w:szCs w:val="20"/>
        </w:rPr>
      </w:pPr>
      <w:r>
        <w:rPr>
          <w:rFonts w:ascii="Arial" w:hAnsi="Arial" w:cs="Arial"/>
          <w:sz w:val="20"/>
          <w:szCs w:val="20"/>
        </w:rPr>
        <w:t>The Company recognizes fees charged to customers primarily on a gro</w:t>
      </w:r>
      <w:r>
        <w:rPr>
          <w:rFonts w:ascii="Arial" w:hAnsi="Arial" w:cs="Arial"/>
          <w:sz w:val="20"/>
          <w:szCs w:val="20"/>
        </w:rPr>
        <w:t>ss basis as transaction revenue when the Company is the principal in respect of completing a payment transaction. In order to provide payment services, the Company routes and clears each transaction through the applicable payment network. The Company obtai</w:t>
      </w:r>
      <w:r>
        <w:rPr>
          <w:rFonts w:ascii="Arial" w:hAnsi="Arial" w:cs="Arial"/>
          <w:sz w:val="20"/>
          <w:szCs w:val="20"/>
        </w:rPr>
        <w:t xml:space="preserve">ns authorization for the transaction and requests funds settlement from the card issuing financial institution through the payment network. When third parties are involved in the transfer of goods or services to customers, the Company considers the nature </w:t>
      </w:r>
      <w:r>
        <w:rPr>
          <w:rFonts w:ascii="Arial" w:hAnsi="Arial" w:cs="Arial"/>
          <w:sz w:val="20"/>
          <w:szCs w:val="20"/>
        </w:rPr>
        <w:t>of each specific promised good or service and applies judgment to determine whether the Company controls the good or service before it is transferred to the customer or whether the Company is acting as an agent of the third party. To determine whether or n</w:t>
      </w:r>
      <w:r>
        <w:rPr>
          <w:rFonts w:ascii="Arial" w:hAnsi="Arial" w:cs="Arial"/>
          <w:sz w:val="20"/>
          <w:szCs w:val="20"/>
        </w:rPr>
        <w:t>ot the Company controls the good or service before it is transferred to the customer, the Company assesses indicators including whether the Company or the third party is primarily responsible for fulfillment and which party has discretion in determining pr</w:t>
      </w:r>
      <w:r>
        <w:rPr>
          <w:rFonts w:ascii="Arial" w:hAnsi="Arial" w:cs="Arial"/>
          <w:sz w:val="20"/>
          <w:szCs w:val="20"/>
        </w:rPr>
        <w:t>icing for the good or service, as well as other considerations. Based on an assessment of these indicators, the Company has concluded that the Company bears primary responsibility for the fulfillment of the payment service with the majority of the customer</w:t>
      </w:r>
      <w:r>
        <w:rPr>
          <w:rFonts w:ascii="Arial" w:hAnsi="Arial" w:cs="Arial"/>
          <w:sz w:val="20"/>
          <w:szCs w:val="20"/>
        </w:rPr>
        <w:t>s, contracts directly with customers, controls the product specifications, and defines the value proposal from the Company’s services. The Company therefore bears full margin risk when completing a payment transaction, and on that basis, controls those ser</w:t>
      </w:r>
      <w:r>
        <w:rPr>
          <w:rFonts w:ascii="Arial" w:hAnsi="Arial" w:cs="Arial"/>
          <w:sz w:val="20"/>
          <w:szCs w:val="20"/>
        </w:rPr>
        <w:t>vices prior to being transferred to the customer. The interchange fees charged by the card issuing financial institutions and the fees charged by the payment networks are recognized as transaction expense within cost of revenue in the consolidated statemen</w:t>
      </w:r>
      <w:r>
        <w:rPr>
          <w:rFonts w:ascii="Arial" w:hAnsi="Arial" w:cs="Arial"/>
          <w:sz w:val="20"/>
          <w:szCs w:val="20"/>
        </w:rPr>
        <w:t>ts of operations</w:t>
      </w:r>
      <w:r>
        <w:rPr>
          <w:rFonts w:ascii="Arial" w:hAnsi="Arial" w:cs="Arial"/>
          <w:sz w:val="20"/>
          <w:szCs w:val="20"/>
        </w:rPr>
        <w:t>.</w:t>
      </w:r>
    </w:p>
    <w:p w:rsidR="00000000" w:rsidRDefault="00010F15">
      <w:pPr>
        <w:pStyle w:val="a3"/>
        <w:spacing w:before="120" w:beforeAutospacing="0" w:after="0" w:afterAutospacing="0"/>
        <w:ind w:firstLine="539"/>
        <w:divId w:val="134640396"/>
        <w:rPr>
          <w:sz w:val="20"/>
          <w:szCs w:val="20"/>
        </w:rPr>
      </w:pPr>
      <w:r>
        <w:rPr>
          <w:rFonts w:ascii="Arial" w:hAnsi="Arial" w:cs="Arial"/>
          <w:sz w:val="20"/>
          <w:szCs w:val="20"/>
        </w:rPr>
        <w:t>ASC 606 requires disclosure of the aggregate amount of the transaction price allocated to unsatisfied performance obligations. As permitted by ASC 606, the Company has elected to exclude from this disclosure any contracts with an original</w:t>
      </w:r>
      <w:r>
        <w:rPr>
          <w:rFonts w:ascii="Arial" w:hAnsi="Arial" w:cs="Arial"/>
          <w:sz w:val="20"/>
          <w:szCs w:val="20"/>
        </w:rPr>
        <w:t xml:space="preserve"> duration of one year or less and any variable consideration that meets specified criteria. As described above, most significant performance obligations consist of variable consideration under a stand-ready series of distinct days of service. Such variable</w:t>
      </w:r>
      <w:r>
        <w:rPr>
          <w:rFonts w:ascii="Arial" w:hAnsi="Arial" w:cs="Arial"/>
          <w:sz w:val="20"/>
          <w:szCs w:val="20"/>
        </w:rPr>
        <w:t xml:space="preserve"> consideration meets the specified criteria for the disclosure exclusion; therefore, the majority of the aggregate amount of transaction price that is allocated to performance obligations that have not yet been satisfied is variable consideration that is n</w:t>
      </w:r>
      <w:r>
        <w:rPr>
          <w:rFonts w:ascii="Arial" w:hAnsi="Arial" w:cs="Arial"/>
          <w:sz w:val="20"/>
          <w:szCs w:val="20"/>
        </w:rPr>
        <w:t>ot required for this disclosure</w:t>
      </w:r>
      <w:r>
        <w:rPr>
          <w:rFonts w:ascii="Arial" w:hAnsi="Arial" w:cs="Arial"/>
          <w:sz w:val="20"/>
          <w:szCs w:val="20"/>
        </w:rPr>
        <w:t>.</w:t>
      </w:r>
    </w:p>
    <w:p w:rsidR="00000000" w:rsidRDefault="00010F15">
      <w:pPr>
        <w:pStyle w:val="a3"/>
        <w:spacing w:before="120" w:beforeAutospacing="0" w:after="0" w:afterAutospacing="0"/>
        <w:jc w:val="center"/>
        <w:divId w:val="134640396"/>
        <w:rPr>
          <w:sz w:val="20"/>
          <w:szCs w:val="20"/>
        </w:rPr>
      </w:pPr>
      <w:r>
        <w:rPr>
          <w:rFonts w:ascii="Arial" w:hAnsi="Arial" w:cs="Arial"/>
          <w:sz w:val="20"/>
          <w:szCs w:val="20"/>
        </w:rPr>
        <w:t>8</w:t>
      </w:r>
      <w:r>
        <w:rPr>
          <w:rFonts w:ascii="Arial" w:hAnsi="Arial" w:cs="Arial"/>
          <w:sz w:val="20"/>
          <w:szCs w:val="20"/>
        </w:rPr>
        <w:t>6</w:t>
      </w:r>
    </w:p>
    <w:p w:rsidR="00000000" w:rsidRDefault="00010F15">
      <w:pPr>
        <w:divId w:val="134640396"/>
        <w:rPr>
          <w:rFonts w:ascii="Arial" w:eastAsia="Times New Roman" w:hAnsi="Arial" w:cs="Arial"/>
          <w:sz w:val="20"/>
          <w:szCs w:val="20"/>
        </w:rPr>
      </w:pPr>
      <w:r>
        <w:rPr>
          <w:rFonts w:ascii="Arial" w:eastAsia="Times New Roman" w:hAnsi="Arial" w:cs="Arial"/>
          <w:sz w:val="20"/>
          <w:szCs w:val="20"/>
        </w:rPr>
        <w:pict>
          <v:rect id="_x0000_i1111" style="width:0;height:1.5pt" o:hralign="center" o:hrstd="t" o:hr="t" fillcolor="#a0a0a0" stroked="f"/>
        </w:pict>
      </w:r>
    </w:p>
    <w:p w:rsidR="00000000" w:rsidRDefault="00010F15">
      <w:pPr>
        <w:pStyle w:val="a3"/>
        <w:spacing w:before="0" w:beforeAutospacing="0" w:after="0" w:afterAutospacing="0"/>
        <w:divId w:val="134640396"/>
        <w:rPr>
          <w:sz w:val="20"/>
          <w:szCs w:val="20"/>
        </w:rPr>
      </w:pPr>
      <w:r>
        <w:rPr>
          <w:sz w:val="20"/>
          <w:szCs w:val="20"/>
        </w:rPr>
        <w:t> </w:t>
      </w:r>
    </w:p>
    <w:p w:rsidR="00000000" w:rsidRDefault="00010F15">
      <w:pPr>
        <w:pStyle w:val="a3"/>
        <w:spacing w:before="240" w:beforeAutospacing="0" w:after="0" w:afterAutospacing="0"/>
        <w:divId w:val="134640396"/>
        <w:rPr>
          <w:sz w:val="20"/>
          <w:szCs w:val="20"/>
        </w:rPr>
      </w:pPr>
      <w:r>
        <w:rPr>
          <w:rFonts w:ascii="Arial" w:hAnsi="Arial" w:cs="Arial"/>
          <w:b/>
          <w:bCs/>
          <w:i/>
          <w:iCs/>
          <w:sz w:val="20"/>
          <w:szCs w:val="20"/>
        </w:rPr>
        <w:t>Disaggregation of Revenu</w:t>
      </w:r>
      <w:r>
        <w:rPr>
          <w:rFonts w:ascii="Arial" w:hAnsi="Arial" w:cs="Arial"/>
          <w:b/>
          <w:bCs/>
          <w:i/>
          <w:iCs/>
          <w:sz w:val="20"/>
          <w:szCs w:val="20"/>
        </w:rPr>
        <w:t>e</w:t>
      </w:r>
    </w:p>
    <w:p w:rsidR="00000000" w:rsidRDefault="00010F15">
      <w:pPr>
        <w:pStyle w:val="a3"/>
        <w:spacing w:before="120" w:beforeAutospacing="0" w:after="120" w:afterAutospacing="0"/>
        <w:ind w:firstLine="539"/>
        <w:divId w:val="442503039"/>
        <w:rPr>
          <w:sz w:val="20"/>
          <w:szCs w:val="20"/>
        </w:rPr>
      </w:pPr>
      <w:r>
        <w:rPr>
          <w:rFonts w:ascii="Arial" w:hAnsi="Arial" w:cs="Arial"/>
          <w:sz w:val="20"/>
          <w:szCs w:val="20"/>
        </w:rPr>
        <w:t>The following table presents a disaggregation of revenue from contracts with customers (in 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7"/>
        <w:gridCol w:w="116"/>
        <w:gridCol w:w="172"/>
        <w:gridCol w:w="888"/>
        <w:gridCol w:w="116"/>
        <w:gridCol w:w="116"/>
        <w:gridCol w:w="172"/>
        <w:gridCol w:w="882"/>
        <w:gridCol w:w="116"/>
        <w:gridCol w:w="120"/>
        <w:gridCol w:w="172"/>
        <w:gridCol w:w="878"/>
        <w:gridCol w:w="131"/>
      </w:tblGrid>
      <w:tr w:rsidR="00000000">
        <w:trPr>
          <w:divId w:val="442503039"/>
          <w:tblCellSpacing w:w="15" w:type="dxa"/>
        </w:trPr>
        <w:tc>
          <w:tcPr>
            <w:tcW w:w="2796" w:type="pct"/>
            <w:vAlign w:val="center"/>
            <w:hideMark/>
          </w:tcPr>
          <w:p w:rsidR="00000000" w:rsidRDefault="00010F15">
            <w:pPr>
              <w:rPr>
                <w:sz w:val="20"/>
                <w:szCs w:val="20"/>
              </w:rPr>
            </w:pPr>
          </w:p>
        </w:tc>
        <w:tc>
          <w:tcPr>
            <w:tcW w:w="64"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574"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64"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569"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64"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569"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r>
      <w:tr w:rsidR="00000000">
        <w:trPr>
          <w:divId w:val="442503039"/>
          <w:trHeight w:val="160"/>
          <w:tblCellSpacing w:w="15" w:type="dxa"/>
        </w:trPr>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10"/>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Year Ended December 31</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divId w:val="442503039"/>
          <w:trHeight w:val="160"/>
          <w:tblCellSpacing w:w="15" w:type="dxa"/>
        </w:trPr>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pPr>
            <w: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201</w:t>
            </w:r>
            <w:r>
              <w:rPr>
                <w:rFonts w:ascii="Arial" w:hAnsi="Arial" w:cs="Arial"/>
                <w:b/>
                <w:bCs/>
                <w:sz w:val="16"/>
                <w:szCs w:val="16"/>
              </w:rPr>
              <w:t>9</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divId w:val="442503039"/>
          <w:trHeight w:val="200"/>
          <w:tblCellSpacing w:w="15" w:type="dxa"/>
        </w:trPr>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Payment transaction processing revenu</w:t>
            </w:r>
            <w:r>
              <w:rPr>
                <w:rFonts w:ascii="Arial" w:hAnsi="Arial" w:cs="Arial"/>
                <w:sz w:val="20"/>
                <w:szCs w:val="20"/>
              </w:rPr>
              <w:t>e</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390,70</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297,49</w:t>
            </w:r>
            <w:r>
              <w:rPr>
                <w:rFonts w:ascii="Arial" w:hAnsi="Arial" w:cs="Arial"/>
                <w:sz w:val="20"/>
                <w:szCs w:val="20"/>
              </w:rPr>
              <w:t>4</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232,37</w:t>
            </w:r>
            <w:r>
              <w:rPr>
                <w:rFonts w:ascii="Arial" w:hAnsi="Arial" w:cs="Arial"/>
                <w:sz w:val="20"/>
                <w:szCs w:val="20"/>
              </w:rPr>
              <w:t>9</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442503039"/>
          <w:trHeight w:val="200"/>
          <w:tblCellSpacing w:w="15" w:type="dxa"/>
        </w:trPr>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Othe</w:t>
            </w:r>
            <w:r>
              <w:rPr>
                <w:rFonts w:ascii="Arial" w:hAnsi="Arial" w:cs="Arial"/>
                <w:sz w:val="20"/>
                <w:szCs w:val="20"/>
              </w:rPr>
              <w:t>r</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4,82</w:t>
            </w: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4,27</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3,39</w:t>
            </w:r>
            <w:r>
              <w:rPr>
                <w:rFonts w:ascii="Arial" w:hAnsi="Arial" w:cs="Arial"/>
                <w:sz w:val="20"/>
                <w:szCs w:val="20"/>
              </w:rPr>
              <w:t>9</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442503039"/>
          <w:trHeight w:val="200"/>
          <w:tblCellSpacing w:w="15" w:type="dxa"/>
        </w:trPr>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Total revenu</w:t>
            </w:r>
            <w:r>
              <w:rPr>
                <w:rFonts w:ascii="Arial" w:hAnsi="Arial" w:cs="Arial"/>
                <w:sz w:val="20"/>
                <w:szCs w:val="20"/>
              </w:rPr>
              <w:t>e</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395,52</w:t>
            </w:r>
            <w:r>
              <w:rPr>
                <w:rFonts w:ascii="Arial" w:hAnsi="Arial" w:cs="Arial"/>
                <w:sz w:val="20"/>
                <w:szCs w:val="20"/>
              </w:rPr>
              <w:t>4</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301,76</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235,77</w:t>
            </w:r>
            <w:r>
              <w:rPr>
                <w:rFonts w:ascii="Arial" w:hAnsi="Arial" w:cs="Arial"/>
                <w:sz w:val="20"/>
                <w:szCs w:val="20"/>
              </w:rPr>
              <w:t>8</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bl>
    <w:p w:rsidR="00000000" w:rsidRDefault="00010F15">
      <w:pPr>
        <w:pStyle w:val="a3"/>
        <w:spacing w:before="240" w:beforeAutospacing="0" w:after="0" w:afterAutospacing="0"/>
        <w:divId w:val="134640396"/>
        <w:rPr>
          <w:sz w:val="20"/>
          <w:szCs w:val="20"/>
        </w:rPr>
      </w:pPr>
      <w:r>
        <w:rPr>
          <w:rFonts w:ascii="Arial" w:hAnsi="Arial" w:cs="Arial"/>
          <w:b/>
          <w:bCs/>
          <w:i/>
          <w:iCs/>
          <w:sz w:val="20"/>
          <w:szCs w:val="20"/>
        </w:rPr>
        <w:t>Remaining Performance Obligation</w:t>
      </w:r>
      <w:r>
        <w:rPr>
          <w:rFonts w:ascii="Arial" w:hAnsi="Arial" w:cs="Arial"/>
          <w:b/>
          <w:bCs/>
          <w:i/>
          <w:iCs/>
          <w:sz w:val="20"/>
          <w:szCs w:val="20"/>
        </w:rPr>
        <w:t>s</w:t>
      </w:r>
    </w:p>
    <w:p w:rsidR="00000000" w:rsidRDefault="00010F15">
      <w:pPr>
        <w:pStyle w:val="a3"/>
        <w:spacing w:before="120" w:beforeAutospacing="0" w:after="0" w:afterAutospacing="0"/>
        <w:ind w:firstLine="539"/>
        <w:divId w:val="134640396"/>
        <w:rPr>
          <w:sz w:val="20"/>
          <w:szCs w:val="20"/>
        </w:rPr>
      </w:pPr>
      <w:r>
        <w:rPr>
          <w:rFonts w:ascii="Arial" w:hAnsi="Arial" w:cs="Arial"/>
          <w:sz w:val="20"/>
          <w:szCs w:val="20"/>
        </w:rPr>
        <w:t>ASU Topic 606 requires disclosure of the aggregate amount of the transaction price allocated to unsatisfied</w:t>
      </w:r>
      <w:r>
        <w:rPr>
          <w:rFonts w:ascii="Arial" w:hAnsi="Arial" w:cs="Arial"/>
          <w:sz w:val="20"/>
          <w:szCs w:val="20"/>
        </w:rPr>
        <w:br/>
        <w:t>performance obligations. The purpose of this disclosure is to provide additional information about the amounts</w:t>
      </w:r>
      <w:r>
        <w:rPr>
          <w:rFonts w:ascii="Arial" w:hAnsi="Arial" w:cs="Arial"/>
          <w:sz w:val="20"/>
          <w:szCs w:val="20"/>
        </w:rPr>
        <w:br/>
        <w:t>and</w:t>
      </w:r>
      <w:r>
        <w:rPr>
          <w:rFonts w:ascii="Arial" w:hAnsi="Arial" w:cs="Arial"/>
          <w:sz w:val="20"/>
          <w:szCs w:val="20"/>
        </w:rPr>
        <w:t xml:space="preserve"> expected timing of revenue to be recognized from the remaining performance obligations in our existing</w:t>
      </w:r>
      <w:r>
        <w:rPr>
          <w:rFonts w:ascii="Arial" w:hAnsi="Arial" w:cs="Arial"/>
          <w:sz w:val="20"/>
          <w:szCs w:val="20"/>
        </w:rPr>
        <w:br/>
        <w:t>contracts</w:t>
      </w:r>
      <w:r>
        <w:rPr>
          <w:rFonts w:ascii="Arial" w:hAnsi="Arial" w:cs="Arial"/>
          <w:sz w:val="20"/>
          <w:szCs w:val="20"/>
        </w:rPr>
        <w:t>.</w:t>
      </w:r>
    </w:p>
    <w:p w:rsidR="00000000" w:rsidRDefault="00010F15">
      <w:pPr>
        <w:pStyle w:val="a3"/>
        <w:spacing w:before="120" w:beforeAutospacing="0" w:after="0" w:afterAutospacing="0"/>
        <w:ind w:firstLine="539"/>
        <w:divId w:val="134640396"/>
        <w:rPr>
          <w:sz w:val="20"/>
          <w:szCs w:val="20"/>
        </w:rPr>
      </w:pPr>
      <w:r>
        <w:rPr>
          <w:rFonts w:ascii="Arial" w:hAnsi="Arial" w:cs="Arial"/>
          <w:sz w:val="20"/>
          <w:szCs w:val="20"/>
        </w:rPr>
        <w:t>As of December 31, 2021, the aggregate amount of transaction price allocated to performance obligations that are unsatisfied or partially uns</w:t>
      </w:r>
      <w:r>
        <w:rPr>
          <w:rFonts w:ascii="Arial" w:hAnsi="Arial" w:cs="Arial"/>
          <w:sz w:val="20"/>
          <w:szCs w:val="20"/>
        </w:rPr>
        <w:t xml:space="preserve">atisfied was </w:t>
      </w:r>
      <w:r>
        <w:rPr>
          <w:rFonts w:ascii="Arial" w:hAnsi="Arial" w:cs="Arial"/>
          <w:sz w:val="20"/>
          <w:szCs w:val="20"/>
        </w:rPr>
        <w:t>$</w:t>
      </w:r>
      <w:r>
        <w:rPr>
          <w:rFonts w:ascii="Arial" w:hAnsi="Arial" w:cs="Arial"/>
          <w:sz w:val="20"/>
          <w:szCs w:val="20"/>
        </w:rPr>
        <w:t>3.</w:t>
      </w:r>
      <w:r>
        <w:rPr>
          <w:rFonts w:ascii="Arial" w:hAnsi="Arial" w:cs="Arial"/>
          <w:sz w:val="20"/>
          <w:szCs w:val="20"/>
        </w:rPr>
        <w:t>9</w:t>
      </w:r>
      <w:r>
        <w:rPr>
          <w:rFonts w:ascii="Arial" w:hAnsi="Arial" w:cs="Arial"/>
          <w:sz w:val="20"/>
          <w:szCs w:val="20"/>
        </w:rPr>
        <w:t xml:space="preserve"> million, which the Company expects to recognize over</w:t>
      </w:r>
      <w:r>
        <w:rPr>
          <w:rFonts w:ascii="Arial" w:hAnsi="Arial" w:cs="Arial"/>
          <w:sz w:val="20"/>
          <w:szCs w:val="20"/>
        </w:rPr>
        <w:t xml:space="preserve"> </w:t>
      </w:r>
      <w:r>
        <w:rPr>
          <w:rFonts w:ascii="Arial" w:hAnsi="Arial" w:cs="Arial"/>
          <w:sz w:val="20"/>
          <w:szCs w:val="20"/>
        </w:rPr>
        <w:t>9</w:t>
      </w:r>
      <w:r>
        <w:rPr>
          <w:rFonts w:ascii="Arial" w:hAnsi="Arial" w:cs="Arial"/>
          <w:sz w:val="20"/>
          <w:szCs w:val="20"/>
        </w:rPr>
        <w:t>0</w:t>
      </w:r>
      <w:r>
        <w:rPr>
          <w:rFonts w:ascii="Arial" w:hAnsi="Arial" w:cs="Arial"/>
          <w:sz w:val="20"/>
          <w:szCs w:val="20"/>
        </w:rPr>
        <w:t>% within the next</w:t>
      </w:r>
      <w:r>
        <w:rPr>
          <w:rFonts w:ascii="Arial" w:hAnsi="Arial" w:cs="Arial"/>
          <w:sz w:val="20"/>
          <w:szCs w:val="20"/>
        </w:rPr>
        <w:t xml:space="preserve"> </w:t>
      </w:r>
      <w:r>
        <w:rPr>
          <w:rFonts w:ascii="Arial" w:hAnsi="Arial" w:cs="Arial"/>
          <w:sz w:val="20"/>
          <w:szCs w:val="20"/>
        </w:rPr>
        <w:t>two year</w:t>
      </w:r>
      <w:r>
        <w:rPr>
          <w:rFonts w:ascii="Arial" w:hAnsi="Arial" w:cs="Arial"/>
          <w:sz w:val="20"/>
          <w:szCs w:val="20"/>
        </w:rPr>
        <w:t>s</w:t>
      </w:r>
      <w:r>
        <w:rPr>
          <w:rFonts w:ascii="Arial" w:hAnsi="Arial" w:cs="Arial"/>
          <w:sz w:val="20"/>
          <w:szCs w:val="20"/>
        </w:rPr>
        <w:t>. The timing of revenue recognition within the next year is largely dependent upon the go-live dates of the Company's contracts</w:t>
      </w:r>
      <w:r>
        <w:rPr>
          <w:rFonts w:ascii="Arial" w:hAnsi="Arial" w:cs="Arial"/>
          <w:sz w:val="20"/>
          <w:szCs w:val="20"/>
        </w:rPr>
        <w:t>.</w:t>
      </w:r>
    </w:p>
    <w:p w:rsidR="00000000" w:rsidRDefault="00010F15">
      <w:pPr>
        <w:pStyle w:val="a3"/>
        <w:spacing w:before="120" w:beforeAutospacing="0" w:after="0" w:afterAutospacing="0"/>
        <w:ind w:firstLine="539"/>
        <w:divId w:val="134640396"/>
        <w:rPr>
          <w:sz w:val="20"/>
          <w:szCs w:val="20"/>
        </w:rPr>
      </w:pPr>
      <w:r>
        <w:rPr>
          <w:rFonts w:ascii="Arial" w:hAnsi="Arial" w:cs="Arial"/>
          <w:sz w:val="20"/>
          <w:szCs w:val="20"/>
        </w:rPr>
        <w:t>As of December 31, 2021, th</w:t>
      </w:r>
      <w:r>
        <w:rPr>
          <w:rFonts w:ascii="Arial" w:hAnsi="Arial" w:cs="Arial"/>
          <w:sz w:val="20"/>
          <w:szCs w:val="20"/>
        </w:rPr>
        <w:t xml:space="preserve">e Company has contractual rights under its commercial agreements to receive </w:t>
      </w:r>
      <w:r>
        <w:rPr>
          <w:rFonts w:ascii="Arial" w:hAnsi="Arial" w:cs="Arial"/>
          <w:sz w:val="20"/>
          <w:szCs w:val="20"/>
        </w:rPr>
        <w:t>$</w:t>
      </w:r>
      <w:r>
        <w:rPr>
          <w:rFonts w:ascii="Arial" w:hAnsi="Arial" w:cs="Arial"/>
          <w:sz w:val="20"/>
          <w:szCs w:val="20"/>
        </w:rPr>
        <w:t>33.</w:t>
      </w:r>
      <w:r>
        <w:rPr>
          <w:rFonts w:ascii="Arial" w:hAnsi="Arial" w:cs="Arial"/>
          <w:sz w:val="20"/>
          <w:szCs w:val="20"/>
        </w:rPr>
        <w:t>4</w:t>
      </w:r>
      <w:r>
        <w:rPr>
          <w:rFonts w:ascii="Arial" w:hAnsi="Arial" w:cs="Arial"/>
          <w:sz w:val="20"/>
          <w:szCs w:val="20"/>
        </w:rPr>
        <w:t xml:space="preserve"> million of fixed consideration related to the future minimum revenue or transaction guarantees through March 2026. As</w:t>
      </w:r>
      <w:r>
        <w:rPr>
          <w:rFonts w:ascii="Arial" w:hAnsi="Arial" w:cs="Arial"/>
          <w:sz w:val="20"/>
          <w:szCs w:val="20"/>
        </w:rPr>
        <w:br/>
        <w:t xml:space="preserve">permitted, the Company has elected to exclude from this </w:t>
      </w:r>
      <w:r>
        <w:rPr>
          <w:rFonts w:ascii="Arial" w:hAnsi="Arial" w:cs="Arial"/>
          <w:sz w:val="20"/>
          <w:szCs w:val="20"/>
        </w:rPr>
        <w:t>disclosure any variable consideration that meets specified criteria. Accordingly, the total unsatisfied or partially</w:t>
      </w:r>
      <w:r>
        <w:rPr>
          <w:rFonts w:ascii="Arial" w:hAnsi="Arial" w:cs="Arial"/>
          <w:sz w:val="20"/>
          <w:szCs w:val="20"/>
        </w:rPr>
        <w:br/>
        <w:t>unsatisfied performance obligations related to processing services is significantly higher than the amount</w:t>
      </w:r>
      <w:r>
        <w:rPr>
          <w:rFonts w:ascii="Arial" w:hAnsi="Arial" w:cs="Arial"/>
          <w:sz w:val="20"/>
          <w:szCs w:val="20"/>
        </w:rPr>
        <w:br/>
        <w:t>disclosed</w:t>
      </w:r>
      <w:r>
        <w:rPr>
          <w:rFonts w:ascii="Arial" w:hAnsi="Arial" w:cs="Arial"/>
          <w:sz w:val="20"/>
          <w:szCs w:val="20"/>
        </w:rPr>
        <w:t>.</w:t>
      </w:r>
    </w:p>
    <w:p w:rsidR="00000000" w:rsidRDefault="00010F15">
      <w:pPr>
        <w:pStyle w:val="a3"/>
        <w:spacing w:before="240" w:beforeAutospacing="0" w:after="0" w:afterAutospacing="0"/>
        <w:divId w:val="134640396"/>
        <w:rPr>
          <w:sz w:val="20"/>
          <w:szCs w:val="20"/>
        </w:rPr>
      </w:pPr>
      <w:r>
        <w:rPr>
          <w:rFonts w:ascii="Arial" w:hAnsi="Arial" w:cs="Arial"/>
          <w:b/>
          <w:bCs/>
          <w:i/>
          <w:iCs/>
          <w:sz w:val="20"/>
          <w:szCs w:val="20"/>
        </w:rPr>
        <w:t>Contract Balance</w:t>
      </w:r>
      <w:r>
        <w:rPr>
          <w:rFonts w:ascii="Arial" w:hAnsi="Arial" w:cs="Arial"/>
          <w:b/>
          <w:bCs/>
          <w:i/>
          <w:iCs/>
          <w:sz w:val="20"/>
          <w:szCs w:val="20"/>
        </w:rPr>
        <w:t>s</w:t>
      </w:r>
      <w:r>
        <w:rPr>
          <w:rFonts w:ascii="Arial" w:hAnsi="Arial" w:cs="Arial"/>
          <w:sz w:val="20"/>
          <w:szCs w:val="20"/>
        </w:rPr>
        <w:br/>
      </w:r>
      <w:r>
        <w:rPr>
          <w:rFonts w:ascii="Arial" w:hAnsi="Arial" w:cs="Arial"/>
          <w:sz w:val="20"/>
          <w:szCs w:val="20"/>
        </w:rPr>
        <w:br/>
      </w:r>
      <w:r>
        <w:rPr>
          <w:rFonts w:ascii="Arial" w:hAnsi="Arial" w:cs="Arial"/>
          <w:sz w:val="20"/>
          <w:szCs w:val="20"/>
        </w:rPr>
        <w:t> </w:t>
      </w:r>
    </w:p>
    <w:p w:rsidR="00000000" w:rsidRDefault="00010F15">
      <w:pPr>
        <w:pStyle w:val="a3"/>
        <w:spacing w:before="120" w:beforeAutospacing="0" w:after="0" w:afterAutospacing="0"/>
        <w:ind w:firstLine="539"/>
        <w:divId w:val="134640396"/>
        <w:rPr>
          <w:sz w:val="20"/>
          <w:szCs w:val="20"/>
        </w:rPr>
      </w:pPr>
      <w:r>
        <w:rPr>
          <w:rFonts w:ascii="Arial" w:hAnsi="Arial" w:cs="Arial"/>
          <w:sz w:val="20"/>
          <w:szCs w:val="20"/>
        </w:rPr>
        <w:t xml:space="preserve">The contract asset balance at December 31, 2021 was </w:t>
      </w:r>
      <w:r>
        <w:rPr>
          <w:rFonts w:ascii="Arial" w:hAnsi="Arial" w:cs="Arial"/>
          <w:sz w:val="20"/>
          <w:szCs w:val="20"/>
        </w:rPr>
        <w:t>$</w:t>
      </w:r>
      <w:r>
        <w:rPr>
          <w:rFonts w:ascii="Arial" w:hAnsi="Arial" w:cs="Arial"/>
          <w:sz w:val="20"/>
          <w:szCs w:val="20"/>
        </w:rPr>
        <w:t>5.</w:t>
      </w:r>
      <w:r>
        <w:rPr>
          <w:rFonts w:ascii="Arial" w:hAnsi="Arial" w:cs="Arial"/>
          <w:sz w:val="20"/>
          <w:szCs w:val="20"/>
        </w:rPr>
        <w:t>6</w:t>
      </w:r>
      <w:r>
        <w:rPr>
          <w:rFonts w:ascii="Arial" w:hAnsi="Arial" w:cs="Arial"/>
          <w:sz w:val="20"/>
          <w:szCs w:val="20"/>
        </w:rPr>
        <w:t xml:space="preserve"> million of which </w:t>
      </w:r>
      <w:r>
        <w:rPr>
          <w:rFonts w:ascii="Arial" w:hAnsi="Arial" w:cs="Arial"/>
          <w:sz w:val="20"/>
          <w:szCs w:val="20"/>
        </w:rPr>
        <w:t>$</w:t>
      </w:r>
      <w:r>
        <w:rPr>
          <w:rFonts w:ascii="Arial" w:hAnsi="Arial" w:cs="Arial"/>
          <w:sz w:val="20"/>
          <w:szCs w:val="20"/>
        </w:rPr>
        <w:t>1.</w:t>
      </w:r>
      <w:r>
        <w:rPr>
          <w:rFonts w:ascii="Arial" w:hAnsi="Arial" w:cs="Arial"/>
          <w:sz w:val="20"/>
          <w:szCs w:val="20"/>
        </w:rPr>
        <w:t>7</w:t>
      </w:r>
      <w:r>
        <w:rPr>
          <w:rFonts w:ascii="Arial" w:hAnsi="Arial" w:cs="Arial"/>
          <w:sz w:val="20"/>
          <w:szCs w:val="20"/>
        </w:rPr>
        <w:t xml:space="preserve"> million was included in prepaid expenses and other current assets and </w:t>
      </w:r>
      <w:r>
        <w:rPr>
          <w:rFonts w:ascii="Arial" w:hAnsi="Arial" w:cs="Arial"/>
          <w:sz w:val="20"/>
          <w:szCs w:val="20"/>
        </w:rPr>
        <w:t>$</w:t>
      </w:r>
      <w:r>
        <w:rPr>
          <w:rFonts w:ascii="Arial" w:hAnsi="Arial" w:cs="Arial"/>
          <w:sz w:val="20"/>
          <w:szCs w:val="20"/>
        </w:rPr>
        <w:t>3.</w:t>
      </w:r>
      <w:r>
        <w:rPr>
          <w:rFonts w:ascii="Arial" w:hAnsi="Arial" w:cs="Arial"/>
          <w:sz w:val="20"/>
          <w:szCs w:val="20"/>
        </w:rPr>
        <w:t>9</w:t>
      </w:r>
      <w:r>
        <w:rPr>
          <w:rFonts w:ascii="Arial" w:hAnsi="Arial" w:cs="Arial"/>
          <w:sz w:val="20"/>
          <w:szCs w:val="20"/>
        </w:rPr>
        <w:t xml:space="preserve"> million was included in other long-term assets in the consolidated balance sheets. There were</w:t>
      </w:r>
      <w:r>
        <w:rPr>
          <w:rFonts w:ascii="Arial" w:hAnsi="Arial" w:cs="Arial"/>
          <w:sz w:val="20"/>
          <w:szCs w:val="20"/>
        </w:rPr>
        <w:t xml:space="preserve"> </w:t>
      </w:r>
      <w:r>
        <w:rPr>
          <w:rFonts w:ascii="Arial" w:hAnsi="Arial" w:cs="Arial"/>
          <w:sz w:val="20"/>
          <w:szCs w:val="20"/>
        </w:rPr>
        <w:t>n</w:t>
      </w:r>
      <w:r>
        <w:rPr>
          <w:rFonts w:ascii="Arial" w:hAnsi="Arial" w:cs="Arial"/>
          <w:sz w:val="20"/>
          <w:szCs w:val="20"/>
        </w:rPr>
        <w:t>o</w:t>
      </w:r>
      <w:r>
        <w:rPr>
          <w:rFonts w:ascii="Arial" w:hAnsi="Arial" w:cs="Arial"/>
          <w:sz w:val="20"/>
          <w:szCs w:val="20"/>
        </w:rPr>
        <w:t xml:space="preserve"> contr</w:t>
      </w:r>
      <w:r>
        <w:rPr>
          <w:rFonts w:ascii="Arial" w:hAnsi="Arial" w:cs="Arial"/>
          <w:sz w:val="20"/>
          <w:szCs w:val="20"/>
        </w:rPr>
        <w:t xml:space="preserve">act assets recorded as of December 31, 2020. During the year ended December 31, 2021, the Company reduced revenue and the related contract assets by </w:t>
      </w:r>
      <w:r>
        <w:rPr>
          <w:rFonts w:ascii="Arial" w:hAnsi="Arial" w:cs="Arial"/>
          <w:sz w:val="20"/>
          <w:szCs w:val="20"/>
        </w:rPr>
        <w:t>$</w:t>
      </w:r>
      <w:r>
        <w:rPr>
          <w:rFonts w:ascii="Arial" w:hAnsi="Arial" w:cs="Arial"/>
          <w:sz w:val="20"/>
          <w:szCs w:val="20"/>
        </w:rPr>
        <w:t>0.</w:t>
      </w:r>
      <w:r>
        <w:rPr>
          <w:rFonts w:ascii="Arial" w:hAnsi="Arial" w:cs="Arial"/>
          <w:sz w:val="20"/>
          <w:szCs w:val="20"/>
        </w:rPr>
        <w:t>9</w:t>
      </w:r>
      <w:r>
        <w:rPr>
          <w:rFonts w:ascii="Arial" w:hAnsi="Arial" w:cs="Arial"/>
          <w:sz w:val="20"/>
          <w:szCs w:val="20"/>
        </w:rPr>
        <w:t xml:space="preserve"> million</w:t>
      </w:r>
      <w:r>
        <w:rPr>
          <w:rFonts w:ascii="Arial" w:hAnsi="Arial" w:cs="Arial"/>
          <w:sz w:val="20"/>
          <w:szCs w:val="20"/>
        </w:rPr>
        <w:t>.</w:t>
      </w:r>
    </w:p>
    <w:p w:rsidR="00000000" w:rsidRDefault="00010F15">
      <w:pPr>
        <w:pStyle w:val="a3"/>
        <w:spacing w:before="120" w:beforeAutospacing="0" w:after="0" w:afterAutospacing="0"/>
        <w:ind w:firstLine="539"/>
        <w:divId w:val="134640396"/>
        <w:rPr>
          <w:sz w:val="20"/>
          <w:szCs w:val="20"/>
        </w:rPr>
      </w:pPr>
      <w:r>
        <w:rPr>
          <w:rFonts w:ascii="Arial" w:hAnsi="Arial" w:cs="Arial"/>
          <w:sz w:val="20"/>
          <w:szCs w:val="20"/>
        </w:rPr>
        <w:t xml:space="preserve">The Company recorded </w:t>
      </w:r>
      <w:r>
        <w:rPr>
          <w:rFonts w:ascii="Arial" w:hAnsi="Arial" w:cs="Arial"/>
          <w:sz w:val="20"/>
          <w:szCs w:val="20"/>
        </w:rPr>
        <w:t>$</w:t>
      </w:r>
      <w:r>
        <w:rPr>
          <w:rFonts w:ascii="Arial" w:hAnsi="Arial" w:cs="Arial"/>
          <w:sz w:val="20"/>
          <w:szCs w:val="20"/>
        </w:rPr>
        <w:t>3.</w:t>
      </w:r>
      <w:r>
        <w:rPr>
          <w:rFonts w:ascii="Arial" w:hAnsi="Arial" w:cs="Arial"/>
          <w:sz w:val="20"/>
          <w:szCs w:val="20"/>
        </w:rPr>
        <w:t>9</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0.</w:t>
      </w:r>
      <w:r>
        <w:rPr>
          <w:rFonts w:ascii="Arial" w:hAnsi="Arial" w:cs="Arial"/>
          <w:sz w:val="20"/>
          <w:szCs w:val="20"/>
        </w:rPr>
        <w:t>6</w:t>
      </w:r>
      <w:r>
        <w:rPr>
          <w:rFonts w:ascii="Arial" w:hAnsi="Arial" w:cs="Arial"/>
          <w:sz w:val="20"/>
          <w:szCs w:val="20"/>
        </w:rPr>
        <w:t xml:space="preserve"> million of contract liabilities in the consolidate</w:t>
      </w:r>
      <w:r>
        <w:rPr>
          <w:rFonts w:ascii="Arial" w:hAnsi="Arial" w:cs="Arial"/>
          <w:sz w:val="20"/>
          <w:szCs w:val="20"/>
        </w:rPr>
        <w:t>d balance sheets as of</w:t>
      </w:r>
      <w:r>
        <w:rPr>
          <w:rFonts w:ascii="Arial" w:hAnsi="Arial" w:cs="Arial"/>
          <w:sz w:val="20"/>
          <w:szCs w:val="20"/>
        </w:rPr>
        <w:t xml:space="preserve"> </w:t>
      </w:r>
      <w:r>
        <w:rPr>
          <w:rFonts w:ascii="Arial" w:hAnsi="Arial" w:cs="Arial"/>
          <w:sz w:val="20"/>
          <w:szCs w:val="20"/>
        </w:rPr>
        <w:t>December 31, 2021 and December 31, 202</w:t>
      </w:r>
      <w:r>
        <w:rPr>
          <w:rFonts w:ascii="Arial" w:hAnsi="Arial" w:cs="Arial"/>
          <w:sz w:val="20"/>
          <w:szCs w:val="20"/>
        </w:rPr>
        <w:t>0</w:t>
      </w:r>
      <w:r>
        <w:rPr>
          <w:rFonts w:ascii="Arial" w:hAnsi="Arial" w:cs="Arial"/>
          <w:sz w:val="20"/>
          <w:szCs w:val="20"/>
        </w:rPr>
        <w:t xml:space="preserve">, respectively, of which </w:t>
      </w:r>
      <w:r>
        <w:rPr>
          <w:rFonts w:ascii="Arial" w:hAnsi="Arial" w:cs="Arial"/>
          <w:sz w:val="20"/>
          <w:szCs w:val="20"/>
        </w:rPr>
        <w:t>$</w:t>
      </w:r>
      <w:r>
        <w:rPr>
          <w:rFonts w:ascii="Arial" w:hAnsi="Arial" w:cs="Arial"/>
          <w:sz w:val="20"/>
          <w:szCs w:val="20"/>
        </w:rPr>
        <w:t>2.</w:t>
      </w:r>
      <w:r>
        <w:rPr>
          <w:rFonts w:ascii="Arial" w:hAnsi="Arial" w:cs="Arial"/>
          <w:sz w:val="20"/>
          <w:szCs w:val="20"/>
        </w:rPr>
        <w:t>8</w:t>
      </w:r>
      <w:r>
        <w:rPr>
          <w:rFonts w:ascii="Arial" w:hAnsi="Arial" w:cs="Arial"/>
          <w:sz w:val="20"/>
          <w:szCs w:val="20"/>
        </w:rPr>
        <w:t xml:space="preserve"> million is related to acquisitions during the year ended December 31, 2021 and the remaining related to legacy contracts obtained from prior acquisitions associated</w:t>
      </w:r>
      <w:r>
        <w:rPr>
          <w:rFonts w:ascii="Arial" w:hAnsi="Arial" w:cs="Arial"/>
          <w:sz w:val="20"/>
          <w:szCs w:val="20"/>
        </w:rPr>
        <w:t xml:space="preserve"> with the Company’s insignificant other revenue stream and other payments the Company received in advance for services. The change in the contract liabilities is primarily the result of the Payveris acquisition and timing differences between payment from t</w:t>
      </w:r>
      <w:r>
        <w:rPr>
          <w:rFonts w:ascii="Arial" w:hAnsi="Arial" w:cs="Arial"/>
          <w:sz w:val="20"/>
          <w:szCs w:val="20"/>
        </w:rPr>
        <w:t xml:space="preserve">he customer and the Company’s satisfaction of each performance obligation. The revenue recognized that was included in the contract liabilities balance at the beginning of each of the years ended December 31, 2021 and 2020 was </w:t>
      </w:r>
      <w:r>
        <w:rPr>
          <w:rFonts w:ascii="Arial" w:hAnsi="Arial" w:cs="Arial"/>
          <w:sz w:val="20"/>
          <w:szCs w:val="20"/>
        </w:rPr>
        <w:t>$</w:t>
      </w:r>
      <w:r>
        <w:rPr>
          <w:rFonts w:ascii="Arial" w:hAnsi="Arial" w:cs="Arial"/>
          <w:sz w:val="20"/>
          <w:szCs w:val="20"/>
        </w:rPr>
        <w:t>0.</w:t>
      </w:r>
      <w:r>
        <w:rPr>
          <w:rFonts w:ascii="Arial" w:hAnsi="Arial" w:cs="Arial"/>
          <w:sz w:val="20"/>
          <w:szCs w:val="20"/>
        </w:rPr>
        <w:t>6</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0.</w:t>
      </w:r>
      <w:r>
        <w:rPr>
          <w:rFonts w:ascii="Arial" w:hAnsi="Arial" w:cs="Arial"/>
          <w:sz w:val="20"/>
          <w:szCs w:val="20"/>
        </w:rPr>
        <w:t>5</w:t>
      </w:r>
      <w:r>
        <w:rPr>
          <w:rFonts w:ascii="Arial" w:hAnsi="Arial" w:cs="Arial"/>
          <w:sz w:val="20"/>
          <w:szCs w:val="20"/>
        </w:rPr>
        <w:t xml:space="preserve"> million</w:t>
      </w:r>
      <w:r>
        <w:rPr>
          <w:rFonts w:ascii="Arial" w:hAnsi="Arial" w:cs="Arial"/>
          <w:sz w:val="20"/>
          <w:szCs w:val="20"/>
        </w:rPr>
        <w:t>, respectively</w:t>
      </w:r>
      <w:r>
        <w:rPr>
          <w:rFonts w:ascii="Arial" w:hAnsi="Arial" w:cs="Arial"/>
          <w:sz w:val="20"/>
          <w:szCs w:val="20"/>
        </w:rPr>
        <w:t>.</w:t>
      </w:r>
    </w:p>
    <w:p w:rsidR="00000000" w:rsidRDefault="00010F15">
      <w:pPr>
        <w:pStyle w:val="a3"/>
        <w:spacing w:before="240" w:beforeAutospacing="0" w:after="0" w:afterAutospacing="0"/>
        <w:ind w:hanging="422"/>
        <w:divId w:val="2096587053"/>
        <w:rPr>
          <w:sz w:val="20"/>
          <w:szCs w:val="20"/>
        </w:rPr>
      </w:pPr>
      <w:r>
        <w:rPr>
          <w:rFonts w:ascii="Arial" w:hAnsi="Arial" w:cs="Arial"/>
          <w:b/>
          <w:bCs/>
          <w:sz w:val="20"/>
          <w:szCs w:val="20"/>
        </w:rPr>
        <w:t>4. Business Combination</w:t>
      </w:r>
      <w:r>
        <w:rPr>
          <w:rFonts w:ascii="Arial" w:hAnsi="Arial" w:cs="Arial"/>
          <w:b/>
          <w:bCs/>
          <w:sz w:val="20"/>
          <w:szCs w:val="20"/>
        </w:rPr>
        <w:t>s</w:t>
      </w:r>
    </w:p>
    <w:p w:rsidR="00000000" w:rsidRDefault="00010F15">
      <w:pPr>
        <w:pStyle w:val="a3"/>
        <w:spacing w:before="240" w:beforeAutospacing="0" w:after="0" w:afterAutospacing="0"/>
        <w:divId w:val="2096587053"/>
        <w:rPr>
          <w:sz w:val="20"/>
          <w:szCs w:val="20"/>
        </w:rPr>
      </w:pPr>
      <w:r>
        <w:rPr>
          <w:rFonts w:ascii="Arial" w:hAnsi="Arial" w:cs="Arial"/>
          <w:b/>
          <w:bCs/>
          <w:i/>
          <w:iCs/>
          <w:sz w:val="20"/>
          <w:szCs w:val="20"/>
        </w:rPr>
        <w:t>Payveris, LL</w:t>
      </w:r>
      <w:r>
        <w:rPr>
          <w:rFonts w:ascii="Arial" w:hAnsi="Arial" w:cs="Arial"/>
          <w:b/>
          <w:bCs/>
          <w:i/>
          <w:iCs/>
          <w:sz w:val="20"/>
          <w:szCs w:val="20"/>
        </w:rPr>
        <w:t>C</w:t>
      </w:r>
    </w:p>
    <w:p w:rsidR="00000000" w:rsidRDefault="00010F15">
      <w:pPr>
        <w:pStyle w:val="a3"/>
        <w:spacing w:before="120" w:beforeAutospacing="0" w:after="0" w:afterAutospacing="0"/>
        <w:ind w:firstLine="539"/>
        <w:divId w:val="2096587053"/>
        <w:rPr>
          <w:sz w:val="20"/>
          <w:szCs w:val="20"/>
        </w:rPr>
      </w:pPr>
      <w:r>
        <w:rPr>
          <w:rFonts w:ascii="Arial" w:hAnsi="Arial" w:cs="Arial"/>
          <w:sz w:val="20"/>
          <w:szCs w:val="20"/>
        </w:rPr>
        <w:t>On September 1, 2021, the Company completed its acquisition of Payveris, LLC ("Payveris"</w:t>
      </w:r>
      <w:r>
        <w:rPr>
          <w:rFonts w:ascii="Arial" w:hAnsi="Arial" w:cs="Arial"/>
          <w:sz w:val="20"/>
          <w:szCs w:val="20"/>
        </w:rPr>
        <w:t xml:space="preserve">) by acquiring all outstanding equity interests for a total purchase price of approximately </w:t>
      </w:r>
      <w:r>
        <w:rPr>
          <w:rFonts w:ascii="Arial" w:hAnsi="Arial" w:cs="Arial"/>
          <w:sz w:val="20"/>
          <w:szCs w:val="20"/>
        </w:rPr>
        <w:t>$</w:t>
      </w:r>
      <w:r>
        <w:rPr>
          <w:rFonts w:ascii="Arial" w:hAnsi="Arial" w:cs="Arial"/>
          <w:sz w:val="20"/>
          <w:szCs w:val="20"/>
        </w:rPr>
        <w:t>145.</w:t>
      </w:r>
      <w:r>
        <w:rPr>
          <w:rFonts w:ascii="Arial" w:hAnsi="Arial" w:cs="Arial"/>
          <w:sz w:val="20"/>
          <w:szCs w:val="20"/>
        </w:rPr>
        <w:t>5</w:t>
      </w:r>
      <w:r>
        <w:rPr>
          <w:rFonts w:ascii="Arial" w:hAnsi="Arial" w:cs="Arial"/>
          <w:sz w:val="20"/>
          <w:szCs w:val="20"/>
        </w:rPr>
        <w:t xml:space="preserve"> million, comprised of </w:t>
      </w:r>
      <w:r>
        <w:rPr>
          <w:rFonts w:ascii="Arial" w:hAnsi="Arial" w:cs="Arial"/>
          <w:sz w:val="20"/>
          <w:szCs w:val="20"/>
        </w:rPr>
        <w:t>$</w:t>
      </w:r>
      <w:r>
        <w:rPr>
          <w:rFonts w:ascii="Arial" w:hAnsi="Arial" w:cs="Arial"/>
          <w:sz w:val="20"/>
          <w:szCs w:val="20"/>
        </w:rPr>
        <w:t>85.</w:t>
      </w:r>
      <w:r>
        <w:rPr>
          <w:rFonts w:ascii="Arial" w:hAnsi="Arial" w:cs="Arial"/>
          <w:sz w:val="20"/>
          <w:szCs w:val="20"/>
        </w:rPr>
        <w:t>1</w:t>
      </w:r>
      <w:r>
        <w:rPr>
          <w:rFonts w:ascii="Arial" w:hAnsi="Arial" w:cs="Arial"/>
          <w:sz w:val="20"/>
          <w:szCs w:val="20"/>
        </w:rPr>
        <w:t xml:space="preserve"> million in cash and</w:t>
      </w:r>
      <w:r>
        <w:rPr>
          <w:rFonts w:ascii="Arial" w:hAnsi="Arial" w:cs="Arial"/>
          <w:sz w:val="20"/>
          <w:szCs w:val="20"/>
        </w:rPr>
        <w:t xml:space="preserve"> </w:t>
      </w:r>
      <w:r>
        <w:rPr>
          <w:rFonts w:ascii="Arial" w:hAnsi="Arial" w:cs="Arial"/>
          <w:sz w:val="20"/>
          <w:szCs w:val="20"/>
        </w:rPr>
        <w:t>2,364,27</w:t>
      </w:r>
      <w:r>
        <w:rPr>
          <w:rFonts w:ascii="Arial" w:hAnsi="Arial" w:cs="Arial"/>
          <w:sz w:val="20"/>
          <w:szCs w:val="20"/>
        </w:rPr>
        <w:t>0</w:t>
      </w:r>
      <w:r>
        <w:rPr>
          <w:rFonts w:ascii="Arial" w:hAnsi="Arial" w:cs="Arial"/>
          <w:sz w:val="20"/>
          <w:szCs w:val="20"/>
        </w:rPr>
        <w:t xml:space="preserve"> shares of the Company's Class A common stock with a fair value of approximately </w:t>
      </w:r>
      <w:r>
        <w:rPr>
          <w:rFonts w:ascii="Arial" w:hAnsi="Arial" w:cs="Arial"/>
          <w:sz w:val="20"/>
          <w:szCs w:val="20"/>
        </w:rPr>
        <w:t>$</w:t>
      </w:r>
      <w:r>
        <w:rPr>
          <w:rFonts w:ascii="Arial" w:hAnsi="Arial" w:cs="Arial"/>
          <w:sz w:val="20"/>
          <w:szCs w:val="20"/>
        </w:rPr>
        <w:t>60.</w:t>
      </w:r>
      <w:r>
        <w:rPr>
          <w:rFonts w:ascii="Arial" w:hAnsi="Arial" w:cs="Arial"/>
          <w:sz w:val="20"/>
          <w:szCs w:val="20"/>
        </w:rPr>
        <w:t>4</w:t>
      </w:r>
      <w:r>
        <w:rPr>
          <w:rFonts w:ascii="Arial" w:hAnsi="Arial" w:cs="Arial"/>
          <w:sz w:val="20"/>
          <w:szCs w:val="20"/>
        </w:rPr>
        <w:t xml:space="preserve"> million, of w</w:t>
      </w:r>
      <w:r>
        <w:rPr>
          <w:rFonts w:ascii="Arial" w:hAnsi="Arial" w:cs="Arial"/>
          <w:sz w:val="20"/>
          <w:szCs w:val="20"/>
        </w:rPr>
        <w:t>hich</w:t>
      </w:r>
      <w:r>
        <w:rPr>
          <w:rFonts w:ascii="Arial" w:hAnsi="Arial" w:cs="Arial"/>
          <w:sz w:val="20"/>
          <w:szCs w:val="20"/>
        </w:rPr>
        <w:t xml:space="preserve"> </w:t>
      </w:r>
      <w:r>
        <w:rPr>
          <w:rFonts w:ascii="Arial" w:hAnsi="Arial" w:cs="Arial"/>
          <w:sz w:val="20"/>
          <w:szCs w:val="20"/>
        </w:rPr>
        <w:t>2,49</w:t>
      </w:r>
      <w:r>
        <w:rPr>
          <w:rFonts w:ascii="Arial" w:hAnsi="Arial" w:cs="Arial"/>
          <w:sz w:val="20"/>
          <w:szCs w:val="20"/>
        </w:rPr>
        <w:t>4</w:t>
      </w:r>
      <w:r>
        <w:rPr>
          <w:rFonts w:ascii="Arial" w:hAnsi="Arial" w:cs="Arial"/>
          <w:sz w:val="20"/>
          <w:szCs w:val="20"/>
        </w:rPr>
        <w:t xml:space="preserve"> shares of the Company's Class A common stock with an approximate value of </w:t>
      </w:r>
      <w:r>
        <w:rPr>
          <w:rFonts w:ascii="Arial" w:hAnsi="Arial" w:cs="Arial"/>
          <w:sz w:val="20"/>
          <w:szCs w:val="20"/>
        </w:rPr>
        <w:t>$</w:t>
      </w:r>
      <w:r>
        <w:rPr>
          <w:rFonts w:ascii="Arial" w:hAnsi="Arial" w:cs="Arial"/>
          <w:sz w:val="20"/>
          <w:szCs w:val="20"/>
        </w:rPr>
        <w:t>0.0</w:t>
      </w:r>
      <w:r>
        <w:rPr>
          <w:rFonts w:ascii="Arial" w:hAnsi="Arial" w:cs="Arial"/>
          <w:sz w:val="20"/>
          <w:szCs w:val="20"/>
        </w:rPr>
        <w:t>6</w:t>
      </w:r>
      <w:r>
        <w:rPr>
          <w:rFonts w:ascii="Arial" w:hAnsi="Arial" w:cs="Arial"/>
          <w:sz w:val="20"/>
          <w:szCs w:val="20"/>
        </w:rPr>
        <w:t xml:space="preserve"> million are subject to final issuance and is currently recorded in accrued liabilities in the consolidated balance sheets. Payveris is a payments processing company </w:t>
      </w:r>
      <w:r>
        <w:rPr>
          <w:rFonts w:ascii="Arial" w:hAnsi="Arial" w:cs="Arial"/>
          <w:sz w:val="20"/>
          <w:szCs w:val="20"/>
        </w:rPr>
        <w:t>for financial institutions. The acquisition is expected to increase the addressable market opportunity for the Company's existing solutions while also enhancing Payveris’ platform with real-time capabilities, enhanced electronic bill presentment and additi</w:t>
      </w:r>
      <w:r>
        <w:rPr>
          <w:rFonts w:ascii="Arial" w:hAnsi="Arial" w:cs="Arial"/>
          <w:sz w:val="20"/>
          <w:szCs w:val="20"/>
        </w:rPr>
        <w:t>onal payment options for banks, credit unions and financial institutions of all sizes</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jc w:val="center"/>
        <w:divId w:val="2096587053"/>
        <w:rPr>
          <w:sz w:val="20"/>
          <w:szCs w:val="20"/>
        </w:rPr>
      </w:pPr>
      <w:r>
        <w:rPr>
          <w:rFonts w:ascii="Arial" w:hAnsi="Arial" w:cs="Arial"/>
          <w:sz w:val="20"/>
          <w:szCs w:val="20"/>
        </w:rPr>
        <w:t>8</w:t>
      </w:r>
      <w:r>
        <w:rPr>
          <w:rFonts w:ascii="Arial" w:hAnsi="Arial" w:cs="Arial"/>
          <w:sz w:val="20"/>
          <w:szCs w:val="20"/>
        </w:rPr>
        <w:t>7</w:t>
      </w:r>
    </w:p>
    <w:p w:rsidR="00000000" w:rsidRDefault="00010F15">
      <w:pPr>
        <w:divId w:val="2096587053"/>
        <w:rPr>
          <w:rFonts w:eastAsia="Times New Roman"/>
        </w:rPr>
      </w:pPr>
      <w:r>
        <w:rPr>
          <w:rFonts w:eastAsia="Times New Roman"/>
        </w:rPr>
        <w:pict>
          <v:rect id="_x0000_i1112" style="width:0;height:1.5pt" o:hralign="center" o:hrstd="t" o:hr="t" fillcolor="#a0a0a0" stroked="f"/>
        </w:pict>
      </w:r>
    </w:p>
    <w:p w:rsidR="00000000" w:rsidRDefault="00010F15">
      <w:pPr>
        <w:pStyle w:val="a3"/>
        <w:spacing w:before="0" w:beforeAutospacing="0" w:after="0" w:afterAutospacing="0"/>
        <w:divId w:val="2096587053"/>
        <w:rPr>
          <w:sz w:val="20"/>
          <w:szCs w:val="20"/>
        </w:rPr>
      </w:pPr>
      <w:r>
        <w:rPr>
          <w:sz w:val="20"/>
          <w:szCs w:val="20"/>
        </w:rPr>
        <w:t> </w:t>
      </w:r>
    </w:p>
    <w:p w:rsidR="00000000" w:rsidRDefault="00010F15">
      <w:pPr>
        <w:pStyle w:val="a3"/>
        <w:spacing w:before="120" w:beforeAutospacing="0" w:after="120" w:afterAutospacing="0"/>
        <w:ind w:firstLine="539"/>
        <w:divId w:val="2096587053"/>
        <w:rPr>
          <w:sz w:val="20"/>
          <w:szCs w:val="20"/>
        </w:rPr>
      </w:pPr>
      <w:r>
        <w:rPr>
          <w:rFonts w:ascii="Arial" w:hAnsi="Arial" w:cs="Arial"/>
          <w:sz w:val="20"/>
          <w:szCs w:val="20"/>
        </w:rPr>
        <w:t>The acquisition was accounted for as a business combination and, accordingly, the total fair value of purchase consideration w</w:t>
      </w:r>
      <w:r>
        <w:rPr>
          <w:rFonts w:ascii="Arial" w:hAnsi="Arial" w:cs="Arial"/>
          <w:sz w:val="20"/>
          <w:szCs w:val="20"/>
        </w:rPr>
        <w:t>as allocated to the tangible and intangible assets acquired and liabilities assumed based on their fair values on the acquisition date.</w:t>
      </w:r>
      <w:r>
        <w:rPr>
          <w:rFonts w:ascii="Arial" w:hAnsi="Arial" w:cs="Arial"/>
          <w:sz w:val="20"/>
          <w:szCs w:val="20"/>
        </w:rPr>
        <w:t xml:space="preserve"> </w:t>
      </w:r>
      <w:r>
        <w:rPr>
          <w:rFonts w:ascii="Arial" w:hAnsi="Arial" w:cs="Arial"/>
          <w:sz w:val="20"/>
          <w:szCs w:val="20"/>
        </w:rPr>
        <w:t xml:space="preserve">The major classes of assets and liabilities to which the Company has allocated the fair value of purchase consideration </w:t>
      </w:r>
      <w:r>
        <w:rPr>
          <w:rFonts w:ascii="Arial" w:hAnsi="Arial" w:cs="Arial"/>
          <w:sz w:val="20"/>
          <w:szCs w:val="20"/>
        </w:rPr>
        <w:t>were as follows (in 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76"/>
        <w:gridCol w:w="172"/>
        <w:gridCol w:w="1316"/>
        <w:gridCol w:w="142"/>
      </w:tblGrid>
      <w:tr w:rsidR="00000000">
        <w:trPr>
          <w:divId w:val="772701927"/>
          <w:tblCellSpacing w:w="15" w:type="dxa"/>
        </w:trPr>
        <w:tc>
          <w:tcPr>
            <w:tcW w:w="4084" w:type="pct"/>
            <w:vAlign w:val="center"/>
            <w:hideMark/>
          </w:tcPr>
          <w:p w:rsidR="00000000" w:rsidRDefault="00010F15">
            <w:pPr>
              <w:rPr>
                <w:sz w:val="20"/>
                <w:szCs w:val="20"/>
              </w:rPr>
            </w:pPr>
          </w:p>
        </w:tc>
        <w:tc>
          <w:tcPr>
            <w:tcW w:w="66" w:type="pct"/>
            <w:vAlign w:val="center"/>
            <w:hideMark/>
          </w:tcPr>
          <w:p w:rsidR="00000000" w:rsidRDefault="00010F15">
            <w:pPr>
              <w:rPr>
                <w:rFonts w:eastAsia="Times New Roman"/>
                <w:sz w:val="20"/>
                <w:szCs w:val="20"/>
              </w:rPr>
            </w:pPr>
          </w:p>
        </w:tc>
        <w:tc>
          <w:tcPr>
            <w:tcW w:w="809" w:type="pct"/>
            <w:vAlign w:val="center"/>
            <w:hideMark/>
          </w:tcPr>
          <w:p w:rsidR="00000000" w:rsidRDefault="00010F15">
            <w:pPr>
              <w:rPr>
                <w:rFonts w:eastAsia="Times New Roman"/>
                <w:sz w:val="20"/>
                <w:szCs w:val="20"/>
              </w:rPr>
            </w:pPr>
          </w:p>
        </w:tc>
        <w:tc>
          <w:tcPr>
            <w:tcW w:w="39" w:type="pct"/>
            <w:vAlign w:val="center"/>
            <w:hideMark/>
          </w:tcPr>
          <w:p w:rsidR="00000000" w:rsidRDefault="00010F15">
            <w:pPr>
              <w:rPr>
                <w:rFonts w:eastAsia="Times New Roman"/>
                <w:sz w:val="20"/>
                <w:szCs w:val="20"/>
              </w:rPr>
            </w:pPr>
          </w:p>
        </w:tc>
      </w:tr>
      <w:tr w:rsidR="00000000">
        <w:trPr>
          <w:divId w:val="772701927"/>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Accounts receivabl</w:t>
            </w:r>
            <w:r>
              <w:rPr>
                <w:rFonts w:ascii="Arial" w:hAnsi="Arial" w:cs="Arial"/>
                <w:sz w:val="20"/>
                <w:szCs w:val="20"/>
              </w:rPr>
              <w:t>e</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1,02</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772701927"/>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Prepaid expenses and other current asset</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23</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772701927"/>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Intangible assets, includes software acquire</w:t>
            </w:r>
            <w:r>
              <w:rPr>
                <w:rFonts w:ascii="Arial" w:hAnsi="Arial" w:cs="Arial"/>
                <w:sz w:val="20"/>
                <w:szCs w:val="20"/>
              </w:rPr>
              <w:t>d</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38,49</w:t>
            </w:r>
            <w:r>
              <w:rPr>
                <w:rFonts w:ascii="Arial" w:hAnsi="Arial" w:cs="Arial"/>
                <w:sz w:val="20"/>
                <w:szCs w:val="20"/>
              </w:rPr>
              <w:t>8</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772701927"/>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Property and equipmen</w:t>
            </w:r>
            <w:r>
              <w:rPr>
                <w:rFonts w:ascii="Arial" w:hAnsi="Arial" w:cs="Arial"/>
                <w:sz w:val="20"/>
                <w:szCs w:val="20"/>
              </w:rPr>
              <w:t>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772701927"/>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Goodwil</w:t>
            </w:r>
            <w:r>
              <w:rPr>
                <w:rFonts w:ascii="Arial" w:hAnsi="Arial" w:cs="Arial"/>
                <w:sz w:val="20"/>
                <w:szCs w:val="20"/>
              </w:rPr>
              <w:t>l</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108,95</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772701927"/>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Restricted funds held for financial institution</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31,45</w:t>
            </w:r>
            <w:r>
              <w:rPr>
                <w:rFonts w:ascii="Arial" w:hAnsi="Arial" w:cs="Arial"/>
                <w:sz w:val="20"/>
                <w:szCs w:val="20"/>
              </w:rPr>
              <w:t>9</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772701927"/>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Financial institution funds in-transi</w:t>
            </w:r>
            <w:r>
              <w:rPr>
                <w:rFonts w:ascii="Arial" w:hAnsi="Arial" w:cs="Arial"/>
                <w:sz w:val="20"/>
                <w:szCs w:val="20"/>
              </w:rPr>
              <w:t>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31,45</w:t>
            </w:r>
            <w:r>
              <w:rPr>
                <w:rFonts w:ascii="Arial" w:hAnsi="Arial" w:cs="Arial"/>
                <w:sz w:val="20"/>
                <w:szCs w:val="20"/>
              </w:rPr>
              <w:t>9</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r>
      <w:tr w:rsidR="00000000">
        <w:trPr>
          <w:divId w:val="772701927"/>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Accounts payabl</w:t>
            </w:r>
            <w:r>
              <w:rPr>
                <w:rFonts w:ascii="Arial" w:hAnsi="Arial" w:cs="Arial"/>
                <w:sz w:val="20"/>
                <w:szCs w:val="20"/>
              </w:rPr>
              <w:t>e</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19</w:t>
            </w:r>
            <w:r>
              <w:rPr>
                <w:rFonts w:ascii="Arial" w:hAnsi="Arial" w:cs="Arial"/>
                <w:sz w:val="20"/>
                <w:szCs w:val="20"/>
              </w:rPr>
              <w:t>4</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r>
      <w:tr w:rsidR="00000000">
        <w:trPr>
          <w:divId w:val="772701927"/>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Accrued liabilitie</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26</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r>
      <w:tr w:rsidR="00000000">
        <w:trPr>
          <w:divId w:val="772701927"/>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Deferred revenu</w:t>
            </w:r>
            <w:r>
              <w:rPr>
                <w:rFonts w:ascii="Arial" w:hAnsi="Arial" w:cs="Arial"/>
                <w:sz w:val="20"/>
                <w:szCs w:val="20"/>
              </w:rPr>
              <w:t>e</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2,80</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r>
      <w:tr w:rsidR="00000000">
        <w:trPr>
          <w:divId w:val="772701927"/>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145,52</w:t>
            </w:r>
            <w:r>
              <w:rPr>
                <w:rFonts w:ascii="Arial" w:hAnsi="Arial" w:cs="Arial"/>
                <w:sz w:val="20"/>
                <w:szCs w:val="20"/>
              </w:rPr>
              <w:t>4</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bl>
    <w:p w:rsidR="00000000" w:rsidRDefault="00010F15">
      <w:pPr>
        <w:pStyle w:val="a3"/>
        <w:spacing w:before="120" w:beforeAutospacing="0" w:after="120" w:afterAutospacing="0"/>
        <w:ind w:firstLine="539"/>
        <w:divId w:val="2096587053"/>
        <w:rPr>
          <w:sz w:val="20"/>
          <w:szCs w:val="20"/>
        </w:rPr>
      </w:pPr>
      <w:r>
        <w:rPr>
          <w:rFonts w:ascii="Arial" w:hAnsi="Arial" w:cs="Arial"/>
          <w:sz w:val="20"/>
          <w:szCs w:val="20"/>
        </w:rPr>
        <w:t>The purchase price allocation is preliminary. The Company continues to collect information with regard to its estimates and assumptions, including potential liabilities and contingencies. The Company will record adjustments to the fair value of the net ass</w:t>
      </w:r>
      <w:r>
        <w:rPr>
          <w:rFonts w:ascii="Arial" w:hAnsi="Arial" w:cs="Arial"/>
          <w:sz w:val="20"/>
          <w:szCs w:val="20"/>
        </w:rPr>
        <w:t xml:space="preserve">ets acquired and goodwill within the twelve months measurement period, if necessary. The Company recorded a measurement period adjustment of </w:t>
      </w:r>
      <w:r>
        <w:rPr>
          <w:rFonts w:ascii="Arial" w:hAnsi="Arial" w:cs="Arial"/>
          <w:sz w:val="20"/>
          <w:szCs w:val="20"/>
        </w:rPr>
        <w:t>$</w:t>
      </w:r>
      <w:r>
        <w:rPr>
          <w:rFonts w:ascii="Arial" w:hAnsi="Arial" w:cs="Arial"/>
          <w:sz w:val="20"/>
          <w:szCs w:val="20"/>
        </w:rPr>
        <w:t>8.</w:t>
      </w:r>
      <w:r>
        <w:rPr>
          <w:rFonts w:ascii="Arial" w:hAnsi="Arial" w:cs="Arial"/>
          <w:sz w:val="20"/>
          <w:szCs w:val="20"/>
        </w:rPr>
        <w:t>5</w:t>
      </w:r>
      <w:r>
        <w:rPr>
          <w:rFonts w:ascii="Arial" w:hAnsi="Arial" w:cs="Arial"/>
          <w:sz w:val="20"/>
          <w:szCs w:val="20"/>
        </w:rPr>
        <w:t xml:space="preserve"> million during the fourth quarter of 2021 to decrease trademarks and increase goodwill related to the refineme</w:t>
      </w:r>
      <w:r>
        <w:rPr>
          <w:rFonts w:ascii="Arial" w:hAnsi="Arial" w:cs="Arial"/>
          <w:sz w:val="20"/>
          <w:szCs w:val="20"/>
        </w:rPr>
        <w:t>nt of inputs of the acquisition valuation</w:t>
      </w:r>
      <w:r>
        <w:rPr>
          <w:rFonts w:ascii="Arial" w:hAnsi="Arial" w:cs="Arial"/>
          <w:sz w:val="20"/>
          <w:szCs w:val="20"/>
        </w:rPr>
        <w:t>.</w:t>
      </w:r>
    </w:p>
    <w:p w:rsidR="00000000" w:rsidRDefault="00010F15">
      <w:pPr>
        <w:pStyle w:val="a3"/>
        <w:spacing w:before="120" w:beforeAutospacing="0" w:after="0" w:afterAutospacing="0"/>
        <w:ind w:firstLine="539"/>
        <w:divId w:val="2096587053"/>
        <w:rPr>
          <w:sz w:val="20"/>
          <w:szCs w:val="20"/>
        </w:rPr>
      </w:pPr>
      <w:r>
        <w:rPr>
          <w:rFonts w:ascii="Arial" w:hAnsi="Arial" w:cs="Arial"/>
          <w:sz w:val="20"/>
          <w:szCs w:val="20"/>
        </w:rPr>
        <w:t>The goodwill recognized was primarily attributed to increased synergies that are expected to be achieved from the integration of Payveris and the assembled workforce. The goodwill is deductible for income tax purp</w:t>
      </w:r>
      <w:r>
        <w:rPr>
          <w:rFonts w:ascii="Arial" w:hAnsi="Arial" w:cs="Arial"/>
          <w:sz w:val="20"/>
          <w:szCs w:val="20"/>
        </w:rPr>
        <w:t>oses</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120" w:afterAutospacing="0"/>
        <w:ind w:firstLine="539"/>
        <w:divId w:val="786587234"/>
        <w:rPr>
          <w:sz w:val="20"/>
          <w:szCs w:val="20"/>
        </w:rPr>
      </w:pPr>
      <w:r>
        <w:rPr>
          <w:rFonts w:ascii="Arial" w:hAnsi="Arial" w:cs="Arial"/>
          <w:sz w:val="20"/>
          <w:szCs w:val="20"/>
        </w:rPr>
        <w:t>The fair values and estimated useful lives of the acquired intangible assets by category were as follows (in thousands, except years)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17"/>
        <w:gridCol w:w="172"/>
        <w:gridCol w:w="1118"/>
        <w:gridCol w:w="116"/>
        <w:gridCol w:w="125"/>
        <w:gridCol w:w="117"/>
        <w:gridCol w:w="810"/>
        <w:gridCol w:w="131"/>
      </w:tblGrid>
      <w:tr w:rsidR="00000000">
        <w:trPr>
          <w:divId w:val="786587234"/>
          <w:tblCellSpacing w:w="15" w:type="dxa"/>
        </w:trPr>
        <w:tc>
          <w:tcPr>
            <w:tcW w:w="3547" w:type="pct"/>
            <w:vAlign w:val="center"/>
            <w:hideMark/>
          </w:tcPr>
          <w:p w:rsidR="00000000" w:rsidRDefault="00010F15">
            <w:pPr>
              <w:rPr>
                <w:sz w:val="20"/>
                <w:szCs w:val="20"/>
              </w:rPr>
            </w:pPr>
          </w:p>
        </w:tc>
        <w:tc>
          <w:tcPr>
            <w:tcW w:w="67" w:type="pct"/>
            <w:vAlign w:val="center"/>
            <w:hideMark/>
          </w:tcPr>
          <w:p w:rsidR="00000000" w:rsidRDefault="00010F15">
            <w:pPr>
              <w:rPr>
                <w:rFonts w:eastAsia="Times New Roman"/>
                <w:sz w:val="20"/>
                <w:szCs w:val="20"/>
              </w:rPr>
            </w:pPr>
          </w:p>
        </w:tc>
        <w:tc>
          <w:tcPr>
            <w:tcW w:w="698"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81"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506"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r>
      <w:tr w:rsidR="00000000">
        <w:trPr>
          <w:divId w:val="786587234"/>
          <w:trHeight w:val="16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Fair Valu</w:t>
            </w:r>
            <w:r>
              <w:rPr>
                <w:rFonts w:ascii="Arial" w:hAnsi="Arial" w:cs="Arial"/>
                <w:b/>
                <w:bCs/>
                <w:sz w:val="16"/>
                <w:szCs w:val="16"/>
              </w:rPr>
              <w:t>e</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Useful Life</w:t>
            </w:r>
            <w:r>
              <w:rPr>
                <w:rFonts w:ascii="Arial" w:hAnsi="Arial" w:cs="Arial"/>
                <w:b/>
                <w:bCs/>
                <w:sz w:val="16"/>
                <w:szCs w:val="16"/>
              </w:rPr>
              <w:br/>
              <w:t>(Years</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divId w:val="786587234"/>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Customer Relationship</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26,15</w:t>
            </w:r>
            <w:r>
              <w:rPr>
                <w:rFonts w:ascii="Arial" w:hAnsi="Arial" w:cs="Arial"/>
                <w:sz w:val="20"/>
                <w:szCs w:val="20"/>
              </w:rPr>
              <w:t>4</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786587234"/>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Trademark</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3,99</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786587234"/>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Developed Technolog</w:t>
            </w:r>
            <w:r>
              <w:rPr>
                <w:rFonts w:ascii="Arial" w:hAnsi="Arial" w:cs="Arial"/>
                <w:sz w:val="20"/>
                <w:szCs w:val="20"/>
              </w:rPr>
              <w:t>y</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8,10</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786587234"/>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38,24</w:t>
            </w:r>
            <w:r>
              <w:rPr>
                <w:rFonts w:ascii="Arial" w:hAnsi="Arial" w:cs="Arial"/>
                <w:sz w:val="20"/>
                <w:szCs w:val="20"/>
              </w:rPr>
              <w:t>9</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bl>
    <w:p w:rsidR="00000000" w:rsidRDefault="00010F15">
      <w:pPr>
        <w:pStyle w:val="a3"/>
        <w:spacing w:before="240" w:beforeAutospacing="0" w:after="0" w:afterAutospacing="0"/>
        <w:divId w:val="2096587053"/>
        <w:rPr>
          <w:sz w:val="20"/>
          <w:szCs w:val="20"/>
        </w:rPr>
      </w:pPr>
      <w:r>
        <w:rPr>
          <w:rFonts w:ascii="Arial" w:hAnsi="Arial" w:cs="Arial"/>
          <w:b/>
          <w:bCs/>
          <w:i/>
          <w:iCs/>
          <w:sz w:val="20"/>
          <w:szCs w:val="20"/>
        </w:rPr>
        <w:t>Finovera, Inc</w:t>
      </w:r>
      <w:r>
        <w:rPr>
          <w:rFonts w:ascii="Arial" w:hAnsi="Arial" w:cs="Arial"/>
          <w:b/>
          <w:bCs/>
          <w:i/>
          <w:iCs/>
          <w:sz w:val="20"/>
          <w:szCs w:val="20"/>
        </w:rPr>
        <w:t>.</w:t>
      </w:r>
    </w:p>
    <w:p w:rsidR="00000000" w:rsidRDefault="00010F15">
      <w:pPr>
        <w:pStyle w:val="a3"/>
        <w:spacing w:before="120" w:beforeAutospacing="0" w:after="0" w:afterAutospacing="0"/>
        <w:ind w:firstLine="539"/>
        <w:divId w:val="2096587053"/>
        <w:rPr>
          <w:sz w:val="20"/>
          <w:szCs w:val="20"/>
        </w:rPr>
      </w:pPr>
      <w:r>
        <w:rPr>
          <w:rFonts w:ascii="Arial" w:hAnsi="Arial" w:cs="Arial"/>
          <w:sz w:val="20"/>
          <w:szCs w:val="20"/>
        </w:rPr>
        <w:t xml:space="preserve">On September 2, 2021, the Company completed its acquisition of Finovera by acquiring all outstanding shares for a total purchase price of approximately </w:t>
      </w:r>
      <w:r>
        <w:rPr>
          <w:rFonts w:ascii="Arial" w:hAnsi="Arial" w:cs="Arial"/>
          <w:sz w:val="20"/>
          <w:szCs w:val="20"/>
        </w:rPr>
        <w:t>$</w:t>
      </w:r>
      <w:r>
        <w:rPr>
          <w:rFonts w:ascii="Arial" w:hAnsi="Arial" w:cs="Arial"/>
          <w:sz w:val="20"/>
          <w:szCs w:val="20"/>
        </w:rPr>
        <w:t>12.</w:t>
      </w:r>
      <w:r>
        <w:rPr>
          <w:rFonts w:ascii="Arial" w:hAnsi="Arial" w:cs="Arial"/>
          <w:sz w:val="20"/>
          <w:szCs w:val="20"/>
        </w:rPr>
        <w:t>9</w:t>
      </w:r>
      <w:r>
        <w:rPr>
          <w:rFonts w:ascii="Arial" w:hAnsi="Arial" w:cs="Arial"/>
          <w:sz w:val="20"/>
          <w:szCs w:val="20"/>
        </w:rPr>
        <w:t xml:space="preserve"> million, net of cash acquired, comprised of </w:t>
      </w:r>
      <w:r>
        <w:rPr>
          <w:rFonts w:ascii="Arial" w:hAnsi="Arial" w:cs="Arial"/>
          <w:sz w:val="20"/>
          <w:szCs w:val="20"/>
        </w:rPr>
        <w:t>$</w:t>
      </w:r>
      <w:r>
        <w:rPr>
          <w:rFonts w:ascii="Arial" w:hAnsi="Arial" w:cs="Arial"/>
          <w:sz w:val="20"/>
          <w:szCs w:val="20"/>
        </w:rPr>
        <w:t>5.</w:t>
      </w:r>
      <w:r>
        <w:rPr>
          <w:rFonts w:ascii="Arial" w:hAnsi="Arial" w:cs="Arial"/>
          <w:sz w:val="20"/>
          <w:szCs w:val="20"/>
        </w:rPr>
        <w:t>0</w:t>
      </w:r>
      <w:r>
        <w:rPr>
          <w:rFonts w:ascii="Arial" w:hAnsi="Arial" w:cs="Arial"/>
          <w:sz w:val="20"/>
          <w:szCs w:val="20"/>
        </w:rPr>
        <w:t xml:space="preserve"> million in cash of which </w:t>
      </w:r>
      <w:r>
        <w:rPr>
          <w:rFonts w:ascii="Arial" w:hAnsi="Arial" w:cs="Arial"/>
          <w:sz w:val="20"/>
          <w:szCs w:val="20"/>
        </w:rPr>
        <w:t>$</w:t>
      </w:r>
      <w:r>
        <w:rPr>
          <w:rFonts w:ascii="Arial" w:hAnsi="Arial" w:cs="Arial"/>
          <w:sz w:val="20"/>
          <w:szCs w:val="20"/>
        </w:rPr>
        <w:t>0.</w:t>
      </w:r>
      <w:r>
        <w:rPr>
          <w:rFonts w:ascii="Arial" w:hAnsi="Arial" w:cs="Arial"/>
          <w:sz w:val="20"/>
          <w:szCs w:val="20"/>
        </w:rPr>
        <w:t>8</w:t>
      </w:r>
      <w:r>
        <w:rPr>
          <w:rFonts w:ascii="Arial" w:hAnsi="Arial" w:cs="Arial"/>
          <w:sz w:val="20"/>
          <w:szCs w:val="20"/>
        </w:rPr>
        <w:t xml:space="preserve"> million is being he</w:t>
      </w:r>
      <w:r>
        <w:rPr>
          <w:rFonts w:ascii="Arial" w:hAnsi="Arial" w:cs="Arial"/>
          <w:sz w:val="20"/>
          <w:szCs w:val="20"/>
        </w:rPr>
        <w:t>ld back by the Company for a period of twenty-four months following the transaction closing date and is recorded in finance leases and other finance obligations, net of current portion in the consolidated balance sheets, and</w:t>
      </w:r>
      <w:r>
        <w:rPr>
          <w:rFonts w:ascii="Arial" w:hAnsi="Arial" w:cs="Arial"/>
          <w:sz w:val="20"/>
          <w:szCs w:val="20"/>
        </w:rPr>
        <w:t xml:space="preserve"> </w:t>
      </w:r>
      <w:r>
        <w:rPr>
          <w:rFonts w:ascii="Arial" w:hAnsi="Arial" w:cs="Arial"/>
          <w:sz w:val="20"/>
          <w:szCs w:val="20"/>
        </w:rPr>
        <w:t>293,50</w:t>
      </w:r>
      <w:r>
        <w:rPr>
          <w:rFonts w:ascii="Arial" w:hAnsi="Arial" w:cs="Arial"/>
          <w:sz w:val="20"/>
          <w:szCs w:val="20"/>
        </w:rPr>
        <w:t>6</w:t>
      </w:r>
      <w:r>
        <w:rPr>
          <w:rFonts w:ascii="Arial" w:hAnsi="Arial" w:cs="Arial"/>
          <w:sz w:val="20"/>
          <w:szCs w:val="20"/>
        </w:rPr>
        <w:t xml:space="preserve"> shares of the Company's</w:t>
      </w:r>
      <w:r>
        <w:rPr>
          <w:rFonts w:ascii="Arial" w:hAnsi="Arial" w:cs="Arial"/>
          <w:sz w:val="20"/>
          <w:szCs w:val="20"/>
        </w:rPr>
        <w:t xml:space="preserve"> Class A common stock with a fair value of approximately </w:t>
      </w:r>
      <w:r>
        <w:rPr>
          <w:rFonts w:ascii="Arial" w:hAnsi="Arial" w:cs="Arial"/>
          <w:sz w:val="20"/>
          <w:szCs w:val="20"/>
        </w:rPr>
        <w:t>$</w:t>
      </w:r>
      <w:r>
        <w:rPr>
          <w:rFonts w:ascii="Arial" w:hAnsi="Arial" w:cs="Arial"/>
          <w:sz w:val="20"/>
          <w:szCs w:val="20"/>
        </w:rPr>
        <w:t>7.</w:t>
      </w:r>
      <w:r>
        <w:rPr>
          <w:rFonts w:ascii="Arial" w:hAnsi="Arial" w:cs="Arial"/>
          <w:sz w:val="20"/>
          <w:szCs w:val="20"/>
        </w:rPr>
        <w:t>9</w:t>
      </w:r>
      <w:r>
        <w:rPr>
          <w:rFonts w:ascii="Arial" w:hAnsi="Arial" w:cs="Arial"/>
          <w:sz w:val="20"/>
          <w:szCs w:val="20"/>
        </w:rPr>
        <w:t xml:space="preserve"> million. Finovera is a bill aggregation technology provider for financial institutions. The acquisition of Finovera is expected to increase the addressable market opportunity for the Company's b</w:t>
      </w:r>
      <w:r>
        <w:rPr>
          <w:rFonts w:ascii="Arial" w:hAnsi="Arial" w:cs="Arial"/>
          <w:sz w:val="20"/>
          <w:szCs w:val="20"/>
        </w:rPr>
        <w:t>iller and financial institution solutions by, among other things, increasing the availability of certain bill data</w:t>
      </w:r>
      <w:r>
        <w:rPr>
          <w:rFonts w:ascii="Arial" w:hAnsi="Arial" w:cs="Arial"/>
          <w:sz w:val="20"/>
          <w:szCs w:val="20"/>
        </w:rPr>
        <w:t>.</w:t>
      </w:r>
    </w:p>
    <w:p w:rsidR="00000000" w:rsidRDefault="00010F15">
      <w:pPr>
        <w:pStyle w:val="a3"/>
        <w:spacing w:before="120" w:beforeAutospacing="0" w:after="120" w:afterAutospacing="0"/>
        <w:ind w:firstLine="539"/>
        <w:divId w:val="2096587053"/>
        <w:rPr>
          <w:sz w:val="20"/>
          <w:szCs w:val="20"/>
        </w:rPr>
      </w:pPr>
      <w:r>
        <w:rPr>
          <w:rFonts w:ascii="Arial" w:hAnsi="Arial" w:cs="Arial"/>
          <w:sz w:val="20"/>
          <w:szCs w:val="20"/>
        </w:rPr>
        <w:t>The acquisition was accounted for as a business combination and, accordingly, the total fair value of purchase consideration was allocated t</w:t>
      </w:r>
      <w:r>
        <w:rPr>
          <w:rFonts w:ascii="Arial" w:hAnsi="Arial" w:cs="Arial"/>
          <w:sz w:val="20"/>
          <w:szCs w:val="20"/>
        </w:rPr>
        <w:t>o the tangible and intangible assets acquired and liabilities assumed based on their fair values on the acquisition date.</w:t>
      </w:r>
      <w:r>
        <w:rPr>
          <w:rFonts w:ascii="Arial" w:hAnsi="Arial" w:cs="Arial"/>
          <w:sz w:val="20"/>
          <w:szCs w:val="20"/>
        </w:rPr>
        <w:t xml:space="preserve"> </w:t>
      </w:r>
      <w:r>
        <w:rPr>
          <w:rFonts w:ascii="Arial" w:hAnsi="Arial" w:cs="Arial"/>
          <w:sz w:val="20"/>
          <w:szCs w:val="20"/>
        </w:rPr>
        <w:t>The major classes of assets and liabilities to which the Company has allocated the fair value of purchase consideration were as follow</w:t>
      </w:r>
      <w:r>
        <w:rPr>
          <w:rFonts w:ascii="Arial" w:hAnsi="Arial" w:cs="Arial"/>
          <w:sz w:val="20"/>
          <w:szCs w:val="20"/>
        </w:rPr>
        <w:t>s (in 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76"/>
        <w:gridCol w:w="172"/>
        <w:gridCol w:w="1316"/>
        <w:gridCol w:w="142"/>
      </w:tblGrid>
      <w:tr w:rsidR="00000000">
        <w:trPr>
          <w:divId w:val="1020357610"/>
          <w:tblCellSpacing w:w="15" w:type="dxa"/>
        </w:trPr>
        <w:tc>
          <w:tcPr>
            <w:tcW w:w="4084" w:type="pct"/>
            <w:vAlign w:val="center"/>
            <w:hideMark/>
          </w:tcPr>
          <w:p w:rsidR="00000000" w:rsidRDefault="00010F15">
            <w:pPr>
              <w:rPr>
                <w:sz w:val="20"/>
                <w:szCs w:val="20"/>
              </w:rPr>
            </w:pPr>
          </w:p>
        </w:tc>
        <w:tc>
          <w:tcPr>
            <w:tcW w:w="66" w:type="pct"/>
            <w:vAlign w:val="center"/>
            <w:hideMark/>
          </w:tcPr>
          <w:p w:rsidR="00000000" w:rsidRDefault="00010F15">
            <w:pPr>
              <w:rPr>
                <w:rFonts w:eastAsia="Times New Roman"/>
                <w:sz w:val="20"/>
                <w:szCs w:val="20"/>
              </w:rPr>
            </w:pPr>
          </w:p>
        </w:tc>
        <w:tc>
          <w:tcPr>
            <w:tcW w:w="809" w:type="pct"/>
            <w:vAlign w:val="center"/>
            <w:hideMark/>
          </w:tcPr>
          <w:p w:rsidR="00000000" w:rsidRDefault="00010F15">
            <w:pPr>
              <w:rPr>
                <w:rFonts w:eastAsia="Times New Roman"/>
                <w:sz w:val="20"/>
                <w:szCs w:val="20"/>
              </w:rPr>
            </w:pPr>
          </w:p>
        </w:tc>
        <w:tc>
          <w:tcPr>
            <w:tcW w:w="39" w:type="pct"/>
            <w:vAlign w:val="center"/>
            <w:hideMark/>
          </w:tcPr>
          <w:p w:rsidR="00000000" w:rsidRDefault="00010F15">
            <w:pPr>
              <w:rPr>
                <w:rFonts w:eastAsia="Times New Roman"/>
                <w:sz w:val="20"/>
                <w:szCs w:val="20"/>
              </w:rPr>
            </w:pPr>
          </w:p>
        </w:tc>
      </w:tr>
      <w:tr w:rsidR="00000000">
        <w:trPr>
          <w:divId w:val="1020357610"/>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Cas</w:t>
            </w:r>
            <w:r>
              <w:rPr>
                <w:rFonts w:ascii="Arial" w:hAnsi="Arial" w:cs="Arial"/>
                <w:sz w:val="20"/>
                <w:szCs w:val="20"/>
              </w:rPr>
              <w:t>h</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6</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020357610"/>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Accounts receivabl</w:t>
            </w:r>
            <w:r>
              <w:rPr>
                <w:rFonts w:ascii="Arial" w:hAnsi="Arial" w:cs="Arial"/>
                <w:sz w:val="20"/>
                <w:szCs w:val="20"/>
              </w:rPr>
              <w:t>e</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26</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020357610"/>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Intangible asset</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6,04</w:t>
            </w:r>
            <w:r>
              <w:rPr>
                <w:rFonts w:ascii="Arial" w:hAnsi="Arial" w:cs="Arial"/>
                <w:sz w:val="20"/>
                <w:szCs w:val="20"/>
              </w:rPr>
              <w:t>8</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020357610"/>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Prepaid expenses and othe</w:t>
            </w:r>
            <w:r>
              <w:rPr>
                <w:rFonts w:ascii="Arial" w:hAnsi="Arial" w:cs="Arial"/>
                <w:sz w:val="20"/>
                <w:szCs w:val="20"/>
              </w:rPr>
              <w:t>r</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9</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020357610"/>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Goodwil</w:t>
            </w:r>
            <w:r>
              <w:rPr>
                <w:rFonts w:ascii="Arial" w:hAnsi="Arial" w:cs="Arial"/>
                <w:sz w:val="20"/>
                <w:szCs w:val="20"/>
              </w:rPr>
              <w:t>l</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7,26</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020357610"/>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Accounts payabl</w:t>
            </w:r>
            <w:r>
              <w:rPr>
                <w:rFonts w:ascii="Arial" w:hAnsi="Arial" w:cs="Arial"/>
                <w:sz w:val="20"/>
                <w:szCs w:val="20"/>
              </w:rPr>
              <w:t>e</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8</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r>
      <w:tr w:rsidR="00000000">
        <w:trPr>
          <w:divId w:val="1020357610"/>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Accrued liabilitie</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7</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r>
      <w:tr w:rsidR="00000000">
        <w:trPr>
          <w:divId w:val="1020357610"/>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Deferred taxe</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58</w:t>
            </w:r>
            <w:r>
              <w:rPr>
                <w:rFonts w:ascii="Arial" w:hAnsi="Arial" w:cs="Arial"/>
                <w:sz w:val="20"/>
                <w:szCs w:val="20"/>
              </w:rPr>
              <w:t>8</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r>
      <w:tr w:rsidR="00000000">
        <w:trPr>
          <w:divId w:val="1020357610"/>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12,94</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bl>
    <w:p w:rsidR="00000000" w:rsidRDefault="00010F15">
      <w:pPr>
        <w:pStyle w:val="a3"/>
        <w:spacing w:before="0" w:beforeAutospacing="0" w:after="0" w:afterAutospacing="0"/>
        <w:divId w:val="1020357610"/>
        <w:rPr>
          <w:sz w:val="20"/>
          <w:szCs w:val="20"/>
        </w:rPr>
      </w:pPr>
      <w:r>
        <w:rPr>
          <w:sz w:val="20"/>
          <w:szCs w:val="20"/>
        </w:rPr>
        <w:t> </w:t>
      </w:r>
    </w:p>
    <w:p w:rsidR="00000000" w:rsidRDefault="00010F15">
      <w:pPr>
        <w:pStyle w:val="a3"/>
        <w:spacing w:before="120" w:beforeAutospacing="0" w:after="0" w:afterAutospacing="0"/>
        <w:jc w:val="center"/>
        <w:divId w:val="1020357610"/>
        <w:rPr>
          <w:sz w:val="20"/>
          <w:szCs w:val="20"/>
        </w:rPr>
      </w:pPr>
      <w:r>
        <w:rPr>
          <w:rFonts w:ascii="Arial" w:hAnsi="Arial" w:cs="Arial"/>
          <w:sz w:val="20"/>
          <w:szCs w:val="20"/>
        </w:rPr>
        <w:t>8</w:t>
      </w:r>
      <w:r>
        <w:rPr>
          <w:rFonts w:ascii="Arial" w:hAnsi="Arial" w:cs="Arial"/>
          <w:sz w:val="20"/>
          <w:szCs w:val="20"/>
        </w:rPr>
        <w:t>8</w:t>
      </w:r>
    </w:p>
    <w:p w:rsidR="00000000" w:rsidRDefault="00010F15">
      <w:pPr>
        <w:divId w:val="1020357610"/>
        <w:rPr>
          <w:rFonts w:ascii="Arial" w:eastAsia="Times New Roman" w:hAnsi="Arial" w:cs="Arial"/>
          <w:sz w:val="20"/>
          <w:szCs w:val="20"/>
        </w:rPr>
      </w:pPr>
      <w:r>
        <w:rPr>
          <w:rFonts w:ascii="Arial" w:eastAsia="Times New Roman" w:hAnsi="Arial" w:cs="Arial"/>
          <w:sz w:val="20"/>
          <w:szCs w:val="20"/>
        </w:rPr>
        <w:pict>
          <v:rect id="_x0000_i1113" style="width:0;height:1.5pt" o:hralign="center" o:hrstd="t" o:hr="t" fillcolor="#a0a0a0" stroked="f"/>
        </w:pict>
      </w:r>
    </w:p>
    <w:p w:rsidR="00000000" w:rsidRDefault="00010F15">
      <w:pPr>
        <w:pStyle w:val="a3"/>
        <w:spacing w:before="0" w:beforeAutospacing="0" w:after="0" w:afterAutospacing="0"/>
        <w:divId w:val="1020357610"/>
        <w:rPr>
          <w:sz w:val="20"/>
          <w:szCs w:val="20"/>
        </w:rPr>
      </w:pPr>
      <w:r>
        <w:rPr>
          <w:sz w:val="20"/>
          <w:szCs w:val="20"/>
        </w:rPr>
        <w:t> </w:t>
      </w:r>
    </w:p>
    <w:p w:rsidR="00000000" w:rsidRDefault="00010F15">
      <w:pPr>
        <w:pStyle w:val="a3"/>
        <w:spacing w:before="120" w:beforeAutospacing="0" w:after="0" w:afterAutospacing="0"/>
        <w:ind w:firstLine="539"/>
        <w:divId w:val="2096587053"/>
        <w:rPr>
          <w:sz w:val="20"/>
          <w:szCs w:val="20"/>
        </w:rPr>
      </w:pPr>
      <w:r>
        <w:rPr>
          <w:rFonts w:ascii="Arial" w:hAnsi="Arial" w:cs="Arial"/>
          <w:sz w:val="20"/>
          <w:szCs w:val="20"/>
        </w:rPr>
        <w:t>The purchase price allocation is preliminary. The Company continues to collect information with regard to its estimates and assumptions, including potential liabilities and contingencies. The Company will record adjust</w:t>
      </w:r>
      <w:r>
        <w:rPr>
          <w:rFonts w:ascii="Arial" w:hAnsi="Arial" w:cs="Arial"/>
          <w:sz w:val="20"/>
          <w:szCs w:val="20"/>
        </w:rPr>
        <w:t>ments to the fair value of the net assets acquired and goodwill within the twelve months measurement period, if necessary</w:t>
      </w:r>
      <w:r>
        <w:rPr>
          <w:rFonts w:ascii="Arial" w:hAnsi="Arial" w:cs="Arial"/>
          <w:sz w:val="20"/>
          <w:szCs w:val="20"/>
        </w:rPr>
        <w:t>.</w:t>
      </w:r>
    </w:p>
    <w:p w:rsidR="00000000" w:rsidRDefault="00010F15">
      <w:pPr>
        <w:pStyle w:val="a3"/>
        <w:spacing w:before="120" w:beforeAutospacing="0" w:after="0" w:afterAutospacing="0"/>
        <w:ind w:firstLine="539"/>
        <w:divId w:val="2096587053"/>
        <w:rPr>
          <w:sz w:val="20"/>
          <w:szCs w:val="20"/>
        </w:rPr>
      </w:pPr>
      <w:r>
        <w:rPr>
          <w:rFonts w:ascii="Arial" w:hAnsi="Arial" w:cs="Arial"/>
          <w:sz w:val="20"/>
          <w:szCs w:val="20"/>
        </w:rPr>
        <w:t>The goodwill recognized was primarily attributed to increased synergies that are expected to be achieved from the integration of Finovera and the assembled workforce. The goodwill is not deductible for income tax purposes</w:t>
      </w:r>
      <w:r>
        <w:rPr>
          <w:rFonts w:ascii="Arial" w:hAnsi="Arial" w:cs="Arial"/>
          <w:sz w:val="20"/>
          <w:szCs w:val="20"/>
        </w:rPr>
        <w:t>.</w:t>
      </w:r>
    </w:p>
    <w:p w:rsidR="00000000" w:rsidRDefault="00010F15">
      <w:pPr>
        <w:pStyle w:val="a3"/>
        <w:spacing w:before="120" w:beforeAutospacing="0" w:after="120" w:afterAutospacing="0"/>
        <w:ind w:firstLine="539"/>
        <w:divId w:val="100692009"/>
        <w:rPr>
          <w:sz w:val="20"/>
          <w:szCs w:val="20"/>
        </w:rPr>
      </w:pPr>
      <w:r>
        <w:rPr>
          <w:rFonts w:ascii="Arial" w:hAnsi="Arial" w:cs="Arial"/>
          <w:sz w:val="20"/>
          <w:szCs w:val="20"/>
        </w:rPr>
        <w:t>The fair values and estimated use</w:t>
      </w:r>
      <w:r>
        <w:rPr>
          <w:rFonts w:ascii="Arial" w:hAnsi="Arial" w:cs="Arial"/>
          <w:sz w:val="20"/>
          <w:szCs w:val="20"/>
        </w:rPr>
        <w:t>ful lives of the acquired intangible assets by category were as follows (in thousands, except years)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17"/>
        <w:gridCol w:w="172"/>
        <w:gridCol w:w="1118"/>
        <w:gridCol w:w="116"/>
        <w:gridCol w:w="125"/>
        <w:gridCol w:w="117"/>
        <w:gridCol w:w="810"/>
        <w:gridCol w:w="131"/>
      </w:tblGrid>
      <w:tr w:rsidR="00000000">
        <w:trPr>
          <w:divId w:val="100692009"/>
          <w:tblCellSpacing w:w="15" w:type="dxa"/>
        </w:trPr>
        <w:tc>
          <w:tcPr>
            <w:tcW w:w="3547" w:type="pct"/>
            <w:vAlign w:val="center"/>
            <w:hideMark/>
          </w:tcPr>
          <w:p w:rsidR="00000000" w:rsidRDefault="00010F15">
            <w:pPr>
              <w:rPr>
                <w:sz w:val="20"/>
                <w:szCs w:val="20"/>
              </w:rPr>
            </w:pPr>
          </w:p>
        </w:tc>
        <w:tc>
          <w:tcPr>
            <w:tcW w:w="67" w:type="pct"/>
            <w:vAlign w:val="center"/>
            <w:hideMark/>
          </w:tcPr>
          <w:p w:rsidR="00000000" w:rsidRDefault="00010F15">
            <w:pPr>
              <w:rPr>
                <w:rFonts w:eastAsia="Times New Roman"/>
                <w:sz w:val="20"/>
                <w:szCs w:val="20"/>
              </w:rPr>
            </w:pPr>
          </w:p>
        </w:tc>
        <w:tc>
          <w:tcPr>
            <w:tcW w:w="698"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81"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506"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r>
      <w:tr w:rsidR="00000000">
        <w:trPr>
          <w:divId w:val="100692009"/>
          <w:trHeight w:val="16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Fair Valu</w:t>
            </w:r>
            <w:r>
              <w:rPr>
                <w:rFonts w:ascii="Arial" w:hAnsi="Arial" w:cs="Arial"/>
                <w:b/>
                <w:bCs/>
                <w:sz w:val="16"/>
                <w:szCs w:val="16"/>
              </w:rPr>
              <w:t>e</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Useful Life</w:t>
            </w:r>
            <w:r>
              <w:rPr>
                <w:rFonts w:ascii="Arial" w:hAnsi="Arial" w:cs="Arial"/>
                <w:b/>
                <w:bCs/>
                <w:sz w:val="16"/>
                <w:szCs w:val="16"/>
              </w:rPr>
              <w:br/>
              <w:t>(Years</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divId w:val="100692009"/>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Developed Technolog</w:t>
            </w:r>
            <w:r>
              <w:rPr>
                <w:rFonts w:ascii="Arial" w:hAnsi="Arial" w:cs="Arial"/>
                <w:sz w:val="20"/>
                <w:szCs w:val="20"/>
              </w:rPr>
              <w:t>y</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5,15</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00692009"/>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Customer Relationship</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89</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00692009"/>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6,04</w:t>
            </w:r>
            <w:r>
              <w:rPr>
                <w:rFonts w:ascii="Arial" w:hAnsi="Arial" w:cs="Arial"/>
                <w:sz w:val="20"/>
                <w:szCs w:val="20"/>
              </w:rPr>
              <w:t>8</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bl>
    <w:p w:rsidR="00000000" w:rsidRDefault="00010F15">
      <w:pPr>
        <w:pStyle w:val="a3"/>
        <w:spacing w:before="120" w:beforeAutospacing="0" w:after="0" w:afterAutospacing="0"/>
        <w:ind w:firstLine="539"/>
        <w:divId w:val="2096587053"/>
        <w:rPr>
          <w:sz w:val="20"/>
          <w:szCs w:val="20"/>
        </w:rPr>
      </w:pPr>
      <w:r>
        <w:rPr>
          <w:rFonts w:ascii="Arial" w:hAnsi="Arial" w:cs="Arial"/>
          <w:sz w:val="20"/>
          <w:szCs w:val="20"/>
        </w:rPr>
        <w:t>The revenue and expenses of the acquired businesses have been included in the Company's consolidated financial results since the acquisition date. Revenues and expenses related to these acquisitions and pro forma results of operations have not been present</w:t>
      </w:r>
      <w:r>
        <w:rPr>
          <w:rFonts w:ascii="Arial" w:hAnsi="Arial" w:cs="Arial"/>
          <w:sz w:val="20"/>
          <w:szCs w:val="20"/>
        </w:rPr>
        <w:t>ed for the years ended December 31, 2021 and 2020 because the effects of these acquisitions was not material to the Company's overall operations</w:t>
      </w:r>
      <w:r>
        <w:rPr>
          <w:rFonts w:ascii="Arial" w:hAnsi="Arial" w:cs="Arial"/>
          <w:sz w:val="20"/>
          <w:szCs w:val="20"/>
        </w:rPr>
        <w:t>.</w:t>
      </w:r>
    </w:p>
    <w:p w:rsidR="00000000" w:rsidRDefault="00010F15">
      <w:pPr>
        <w:pStyle w:val="a3"/>
        <w:spacing w:before="120" w:beforeAutospacing="0" w:after="0" w:afterAutospacing="0"/>
        <w:ind w:firstLine="539"/>
        <w:divId w:val="2096587053"/>
        <w:rPr>
          <w:sz w:val="20"/>
          <w:szCs w:val="20"/>
        </w:rPr>
      </w:pPr>
      <w:r>
        <w:rPr>
          <w:rFonts w:ascii="Arial" w:hAnsi="Arial" w:cs="Arial"/>
          <w:sz w:val="20"/>
          <w:szCs w:val="20"/>
        </w:rPr>
        <w:t xml:space="preserve">The Company incurred costs related to these acquisitions of approximately </w:t>
      </w:r>
      <w:r>
        <w:rPr>
          <w:rFonts w:ascii="Arial" w:hAnsi="Arial" w:cs="Arial"/>
          <w:sz w:val="20"/>
          <w:szCs w:val="20"/>
        </w:rPr>
        <w:t>$</w:t>
      </w:r>
      <w:r>
        <w:rPr>
          <w:rFonts w:ascii="Arial" w:hAnsi="Arial" w:cs="Arial"/>
          <w:sz w:val="20"/>
          <w:szCs w:val="20"/>
        </w:rPr>
        <w:t>1.</w:t>
      </w:r>
      <w:r>
        <w:rPr>
          <w:rFonts w:ascii="Arial" w:hAnsi="Arial" w:cs="Arial"/>
          <w:sz w:val="20"/>
          <w:szCs w:val="20"/>
        </w:rPr>
        <w:t>7</w:t>
      </w:r>
      <w:r>
        <w:rPr>
          <w:rFonts w:ascii="Arial" w:hAnsi="Arial" w:cs="Arial"/>
          <w:sz w:val="20"/>
          <w:szCs w:val="20"/>
        </w:rPr>
        <w:t xml:space="preserve"> million for the year ended Dece</w:t>
      </w:r>
      <w:r>
        <w:rPr>
          <w:rFonts w:ascii="Arial" w:hAnsi="Arial" w:cs="Arial"/>
          <w:sz w:val="20"/>
          <w:szCs w:val="20"/>
        </w:rPr>
        <w:t>mber 31, 2021. All acquisition related costs were expensed as incurred and have been recorded in general and administrative expenses in the consolidated statements of operations</w:t>
      </w:r>
      <w:r>
        <w:rPr>
          <w:rFonts w:ascii="Arial" w:hAnsi="Arial" w:cs="Arial"/>
          <w:sz w:val="20"/>
          <w:szCs w:val="20"/>
        </w:rPr>
        <w:t>.</w:t>
      </w:r>
    </w:p>
    <w:p w:rsidR="00000000" w:rsidRDefault="00010F15">
      <w:pPr>
        <w:pStyle w:val="a3"/>
        <w:spacing w:before="240" w:beforeAutospacing="0" w:after="0" w:afterAutospacing="0"/>
        <w:ind w:hanging="422"/>
        <w:divId w:val="415439829"/>
        <w:rPr>
          <w:sz w:val="20"/>
          <w:szCs w:val="20"/>
        </w:rPr>
      </w:pPr>
      <w:r>
        <w:rPr>
          <w:rFonts w:ascii="Arial" w:hAnsi="Arial" w:cs="Arial"/>
          <w:b/>
          <w:bCs/>
          <w:sz w:val="20"/>
          <w:szCs w:val="20"/>
        </w:rPr>
        <w:t>5. Property and Equipment, Ne</w:t>
      </w:r>
      <w:r>
        <w:rPr>
          <w:rFonts w:ascii="Arial" w:hAnsi="Arial" w:cs="Arial"/>
          <w:b/>
          <w:bCs/>
          <w:sz w:val="20"/>
          <w:szCs w:val="20"/>
        </w:rPr>
        <w:t>t</w:t>
      </w:r>
    </w:p>
    <w:p w:rsidR="00000000" w:rsidRDefault="00010F15">
      <w:pPr>
        <w:pStyle w:val="a3"/>
        <w:spacing w:before="240" w:beforeAutospacing="0" w:after="0" w:afterAutospacing="0"/>
        <w:ind w:firstLine="539"/>
        <w:divId w:val="739907663"/>
        <w:rPr>
          <w:sz w:val="20"/>
          <w:szCs w:val="20"/>
        </w:rPr>
      </w:pPr>
      <w:r>
        <w:rPr>
          <w:rFonts w:ascii="Arial" w:hAnsi="Arial" w:cs="Arial"/>
          <w:sz w:val="20"/>
          <w:szCs w:val="20"/>
        </w:rPr>
        <w:t>Property and equipment, net consisted of the f</w:t>
      </w:r>
      <w:r>
        <w:rPr>
          <w:rFonts w:ascii="Arial" w:hAnsi="Arial" w:cs="Arial"/>
          <w:sz w:val="20"/>
          <w:szCs w:val="20"/>
        </w:rPr>
        <w:t>ollowing (in thousands)</w:t>
      </w:r>
      <w:r>
        <w:rPr>
          <w:rFonts w:ascii="Arial" w:hAnsi="Arial" w:cs="Arial"/>
          <w:sz w:val="20"/>
          <w:szCs w:val="20"/>
        </w:rPr>
        <w:t>:</w:t>
      </w:r>
    </w:p>
    <w:p w:rsidR="00000000" w:rsidRDefault="00010F15">
      <w:pPr>
        <w:pStyle w:val="a3"/>
        <w:spacing w:before="0" w:beforeAutospacing="0" w:after="0" w:afterAutospacing="0"/>
        <w:divId w:val="739907663"/>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27"/>
        <w:gridCol w:w="116"/>
        <w:gridCol w:w="116"/>
        <w:gridCol w:w="172"/>
        <w:gridCol w:w="1009"/>
        <w:gridCol w:w="127"/>
        <w:gridCol w:w="116"/>
        <w:gridCol w:w="172"/>
        <w:gridCol w:w="1009"/>
        <w:gridCol w:w="142"/>
      </w:tblGrid>
      <w:tr w:rsidR="00000000">
        <w:trPr>
          <w:divId w:val="739907663"/>
          <w:tblCellSpacing w:w="15" w:type="dxa"/>
        </w:trPr>
        <w:tc>
          <w:tcPr>
            <w:tcW w:w="3334" w:type="pct"/>
            <w:vAlign w:val="center"/>
            <w:hideMark/>
          </w:tcPr>
          <w:p w:rsidR="00000000" w:rsidRDefault="00010F15">
            <w:pPr>
              <w:rPr>
                <w:sz w:val="20"/>
                <w:szCs w:val="20"/>
              </w:rPr>
            </w:pPr>
          </w:p>
        </w:tc>
        <w:tc>
          <w:tcPr>
            <w:tcW w:w="6" w:type="pct"/>
            <w:vAlign w:val="center"/>
            <w:hideMark/>
          </w:tcPr>
          <w:p w:rsidR="00000000" w:rsidRDefault="00010F15">
            <w:pPr>
              <w:rPr>
                <w:rFonts w:eastAsia="Times New Roman"/>
                <w:sz w:val="20"/>
                <w:szCs w:val="20"/>
              </w:rPr>
            </w:pPr>
          </w:p>
        </w:tc>
        <w:tc>
          <w:tcPr>
            <w:tcW w:w="76"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645" w:type="pct"/>
            <w:vAlign w:val="center"/>
            <w:hideMark/>
          </w:tcPr>
          <w:p w:rsidR="00000000" w:rsidRDefault="00010F15">
            <w:pPr>
              <w:rPr>
                <w:rFonts w:eastAsia="Times New Roman"/>
                <w:sz w:val="20"/>
                <w:szCs w:val="20"/>
              </w:rPr>
            </w:pPr>
          </w:p>
        </w:tc>
        <w:tc>
          <w:tcPr>
            <w:tcW w:w="39" w:type="pct"/>
            <w:vAlign w:val="center"/>
            <w:hideMark/>
          </w:tcPr>
          <w:p w:rsidR="00000000" w:rsidRDefault="00010F15">
            <w:pPr>
              <w:rPr>
                <w:rFonts w:eastAsia="Times New Roman"/>
                <w:sz w:val="20"/>
                <w:szCs w:val="20"/>
              </w:rPr>
            </w:pPr>
          </w:p>
        </w:tc>
        <w:tc>
          <w:tcPr>
            <w:tcW w:w="76"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645" w:type="pct"/>
            <w:vAlign w:val="center"/>
            <w:hideMark/>
          </w:tcPr>
          <w:p w:rsidR="00000000" w:rsidRDefault="00010F15">
            <w:pPr>
              <w:rPr>
                <w:rFonts w:eastAsia="Times New Roman"/>
                <w:sz w:val="20"/>
                <w:szCs w:val="20"/>
              </w:rPr>
            </w:pPr>
          </w:p>
        </w:tc>
        <w:tc>
          <w:tcPr>
            <w:tcW w:w="39" w:type="pct"/>
            <w:vAlign w:val="center"/>
            <w:hideMark/>
          </w:tcPr>
          <w:p w:rsidR="00000000" w:rsidRDefault="00010F15">
            <w:pPr>
              <w:rPr>
                <w:rFonts w:eastAsia="Times New Roman"/>
                <w:sz w:val="20"/>
                <w:szCs w:val="20"/>
              </w:rPr>
            </w:pPr>
          </w:p>
        </w:tc>
      </w:tr>
      <w:tr w:rsidR="00000000">
        <w:trPr>
          <w:divId w:val="739907663"/>
          <w:trHeight w:val="160"/>
          <w:tblCellSpacing w:w="15" w:type="dxa"/>
        </w:trPr>
        <w:tc>
          <w:tcPr>
            <w:tcW w:w="0" w:type="auto"/>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gridSpan w:val="6"/>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December 31</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divId w:val="739907663"/>
          <w:trHeight w:val="160"/>
          <w:tblCellSpacing w:w="15" w:type="dxa"/>
        </w:trPr>
        <w:tc>
          <w:tcPr>
            <w:tcW w:w="0" w:type="auto"/>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divId w:val="739907663"/>
          <w:trHeight w:val="200"/>
          <w:tblCellSpacing w:w="15" w:type="dxa"/>
        </w:trPr>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Computer equipmen</w:t>
            </w:r>
            <w:r>
              <w:rPr>
                <w:rFonts w:ascii="Arial" w:hAnsi="Arial" w:cs="Arial"/>
                <w:sz w:val="20"/>
                <w:szCs w:val="20"/>
              </w:rPr>
              <w:t>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4,93</w:t>
            </w:r>
            <w:r>
              <w:rPr>
                <w:rFonts w:ascii="Arial" w:hAnsi="Arial" w:cs="Arial"/>
                <w:sz w:val="20"/>
                <w:szCs w:val="20"/>
              </w:rPr>
              <w:t>4</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4,36</w:t>
            </w:r>
            <w:r>
              <w:rPr>
                <w:rFonts w:ascii="Arial" w:hAnsi="Arial" w:cs="Arial"/>
                <w:sz w:val="20"/>
                <w:szCs w:val="20"/>
              </w:rPr>
              <w:t>8</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739907663"/>
          <w:trHeight w:val="200"/>
          <w:tblCellSpacing w:w="15" w:type="dxa"/>
        </w:trPr>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Furniture and fixture</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1,45</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97</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739907663"/>
          <w:trHeight w:val="200"/>
          <w:tblCellSpacing w:w="15" w:type="dxa"/>
        </w:trPr>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Leasehold improvement</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44</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18</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739907663"/>
          <w:trHeight w:val="200"/>
          <w:tblCellSpacing w:w="15" w:type="dxa"/>
        </w:trPr>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Automobil</w:t>
            </w:r>
            <w:r>
              <w:rPr>
                <w:rFonts w:ascii="Arial" w:hAnsi="Arial" w:cs="Arial"/>
                <w:sz w:val="20"/>
                <w:szCs w:val="20"/>
              </w:rPr>
              <w:t>e</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739907663"/>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Total property and equipmen</w:t>
            </w:r>
            <w:r>
              <w:rPr>
                <w:rFonts w:ascii="Arial" w:hAnsi="Arial" w:cs="Arial"/>
                <w:sz w:val="20"/>
                <w:szCs w:val="20"/>
              </w:rPr>
              <w:t>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6,83</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5,53</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739907663"/>
          <w:trHeight w:val="200"/>
          <w:tblCellSpacing w:w="15" w:type="dxa"/>
        </w:trPr>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Less: Accumulated depreciation and amortizatio</w:t>
            </w:r>
            <w:r>
              <w:rPr>
                <w:rFonts w:ascii="Arial" w:hAnsi="Arial" w:cs="Arial"/>
                <w:sz w:val="20"/>
                <w:szCs w:val="20"/>
              </w:rPr>
              <w:t>n</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4,79</w:t>
            </w: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3,76</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r>
      <w:tr w:rsidR="00000000">
        <w:trPr>
          <w:divId w:val="739907663"/>
          <w:trHeight w:val="200"/>
          <w:tblCellSpacing w:w="15" w:type="dxa"/>
        </w:trPr>
        <w:tc>
          <w:tcPr>
            <w:tcW w:w="0" w:type="auto"/>
            <w:hideMark/>
          </w:tcPr>
          <w:p w:rsidR="00000000" w:rsidRDefault="00010F15">
            <w:pPr>
              <w:pStyle w:val="a3"/>
              <w:spacing w:before="0" w:beforeAutospacing="0" w:after="0" w:afterAutospacing="0"/>
              <w:ind w:left="280"/>
              <w:rPr>
                <w:sz w:val="20"/>
                <w:szCs w:val="20"/>
              </w:rPr>
            </w:pPr>
            <w:r>
              <w:rPr>
                <w:rFonts w:ascii="Arial" w:hAnsi="Arial" w:cs="Arial"/>
                <w:sz w:val="20"/>
                <w:szCs w:val="20"/>
              </w:rPr>
              <w:t>Property and equipment, ne</w:t>
            </w:r>
            <w:r>
              <w:rPr>
                <w:rFonts w:ascii="Arial" w:hAnsi="Arial" w:cs="Arial"/>
                <w:sz w:val="20"/>
                <w:szCs w:val="20"/>
              </w:rPr>
              <w:t>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2,04</w:t>
            </w:r>
            <w:r>
              <w:rPr>
                <w:rFonts w:ascii="Arial" w:hAnsi="Arial" w:cs="Arial"/>
                <w:sz w:val="20"/>
                <w:szCs w:val="20"/>
              </w:rPr>
              <w:t>4</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1,77</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bl>
    <w:p w:rsidR="00000000" w:rsidRDefault="00010F15">
      <w:pPr>
        <w:pStyle w:val="a3"/>
        <w:spacing w:before="240" w:beforeAutospacing="0" w:after="0" w:afterAutospacing="0"/>
        <w:ind w:firstLine="539"/>
        <w:divId w:val="415439829"/>
        <w:rPr>
          <w:sz w:val="20"/>
          <w:szCs w:val="20"/>
        </w:rPr>
      </w:pPr>
      <w:r>
        <w:rPr>
          <w:rFonts w:ascii="Arial" w:hAnsi="Arial" w:cs="Arial"/>
          <w:sz w:val="20"/>
          <w:szCs w:val="20"/>
        </w:rPr>
        <w:t xml:space="preserve">Depreciation and amortization expense recorded for property and equipment was </w:t>
      </w:r>
      <w:r>
        <w:rPr>
          <w:rFonts w:ascii="Arial" w:hAnsi="Arial" w:cs="Arial"/>
          <w:sz w:val="20"/>
          <w:szCs w:val="20"/>
        </w:rPr>
        <w:t>$</w:t>
      </w:r>
      <w:r>
        <w:rPr>
          <w:rFonts w:ascii="Arial" w:hAnsi="Arial" w:cs="Arial"/>
          <w:sz w:val="20"/>
          <w:szCs w:val="20"/>
        </w:rPr>
        <w:t>1.</w:t>
      </w:r>
      <w:r>
        <w:rPr>
          <w:rFonts w:ascii="Arial" w:hAnsi="Arial" w:cs="Arial"/>
          <w:sz w:val="20"/>
          <w:szCs w:val="20"/>
        </w:rPr>
        <w:t>1</w:t>
      </w:r>
      <w:r>
        <w:rPr>
          <w:rFonts w:ascii="Arial" w:hAnsi="Arial" w:cs="Arial"/>
          <w:sz w:val="20"/>
          <w:szCs w:val="20"/>
        </w:rPr>
        <w:t xml:space="preserve"> million, </w:t>
      </w:r>
      <w:r>
        <w:rPr>
          <w:rFonts w:ascii="Arial" w:hAnsi="Arial" w:cs="Arial"/>
          <w:sz w:val="20"/>
          <w:szCs w:val="20"/>
        </w:rPr>
        <w:t>$</w:t>
      </w:r>
      <w:r>
        <w:rPr>
          <w:rFonts w:ascii="Arial" w:hAnsi="Arial" w:cs="Arial"/>
          <w:sz w:val="20"/>
          <w:szCs w:val="20"/>
        </w:rPr>
        <w:t>1.</w:t>
      </w:r>
      <w:r>
        <w:rPr>
          <w:rFonts w:ascii="Arial" w:hAnsi="Arial" w:cs="Arial"/>
          <w:sz w:val="20"/>
          <w:szCs w:val="20"/>
        </w:rPr>
        <w:t>0</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0.</w:t>
      </w:r>
      <w:r>
        <w:rPr>
          <w:rFonts w:ascii="Arial" w:hAnsi="Arial" w:cs="Arial"/>
          <w:sz w:val="20"/>
          <w:szCs w:val="20"/>
        </w:rPr>
        <w:t>6</w:t>
      </w:r>
      <w:r>
        <w:rPr>
          <w:rFonts w:ascii="Arial" w:hAnsi="Arial" w:cs="Arial"/>
          <w:sz w:val="20"/>
          <w:szCs w:val="20"/>
        </w:rPr>
        <w:t xml:space="preserve"> million for the years ended December 31, 2021, 2020 and 2019, respectively</w:t>
      </w:r>
      <w:r>
        <w:rPr>
          <w:rFonts w:ascii="Arial" w:hAnsi="Arial" w:cs="Arial"/>
          <w:sz w:val="20"/>
          <w:szCs w:val="20"/>
        </w:rPr>
        <w:t>.</w:t>
      </w:r>
    </w:p>
    <w:p w:rsidR="00000000" w:rsidRDefault="00010F15">
      <w:pPr>
        <w:pStyle w:val="a3"/>
        <w:spacing w:before="240" w:beforeAutospacing="0" w:after="0" w:afterAutospacing="0"/>
        <w:ind w:hanging="422"/>
        <w:divId w:val="1989243863"/>
        <w:rPr>
          <w:sz w:val="20"/>
          <w:szCs w:val="20"/>
        </w:rPr>
      </w:pPr>
      <w:r>
        <w:rPr>
          <w:rFonts w:ascii="Arial" w:hAnsi="Arial" w:cs="Arial"/>
          <w:b/>
          <w:bCs/>
          <w:sz w:val="20"/>
          <w:szCs w:val="20"/>
        </w:rPr>
        <w:t>6. Goodwill and Intangible Asset</w:t>
      </w:r>
      <w:r>
        <w:rPr>
          <w:rFonts w:ascii="Arial" w:hAnsi="Arial" w:cs="Arial"/>
          <w:b/>
          <w:bCs/>
          <w:sz w:val="20"/>
          <w:szCs w:val="20"/>
        </w:rPr>
        <w:t>s</w:t>
      </w:r>
    </w:p>
    <w:p w:rsidR="00000000" w:rsidRDefault="00010F15">
      <w:pPr>
        <w:pStyle w:val="a3"/>
        <w:spacing w:before="240" w:beforeAutospacing="0" w:after="0" w:afterAutospacing="0"/>
        <w:divId w:val="1989243863"/>
        <w:rPr>
          <w:sz w:val="20"/>
          <w:szCs w:val="20"/>
        </w:rPr>
      </w:pPr>
      <w:r>
        <w:rPr>
          <w:rFonts w:ascii="Arial" w:hAnsi="Arial" w:cs="Arial"/>
          <w:b/>
          <w:bCs/>
          <w:i/>
          <w:iCs/>
          <w:sz w:val="20"/>
          <w:szCs w:val="20"/>
        </w:rPr>
        <w:t>Goodwil</w:t>
      </w:r>
      <w:r>
        <w:rPr>
          <w:rFonts w:ascii="Arial" w:hAnsi="Arial" w:cs="Arial"/>
          <w:b/>
          <w:bCs/>
          <w:i/>
          <w:iCs/>
          <w:sz w:val="20"/>
          <w:szCs w:val="20"/>
        </w:rPr>
        <w:t>l</w:t>
      </w:r>
    </w:p>
    <w:p w:rsidR="00000000" w:rsidRDefault="00010F15">
      <w:pPr>
        <w:pStyle w:val="a3"/>
        <w:spacing w:before="120" w:beforeAutospacing="0" w:after="120" w:afterAutospacing="0"/>
        <w:ind w:firstLine="539"/>
        <w:divId w:val="1279995533"/>
        <w:rPr>
          <w:sz w:val="20"/>
          <w:szCs w:val="20"/>
        </w:rPr>
      </w:pPr>
      <w:r>
        <w:rPr>
          <w:rFonts w:ascii="Arial" w:hAnsi="Arial" w:cs="Arial"/>
          <w:sz w:val="20"/>
          <w:szCs w:val="20"/>
        </w:rPr>
        <w:t>The changes in the carr</w:t>
      </w:r>
      <w:r>
        <w:rPr>
          <w:rFonts w:ascii="Arial" w:hAnsi="Arial" w:cs="Arial"/>
          <w:sz w:val="20"/>
          <w:szCs w:val="20"/>
        </w:rPr>
        <w:t>ying amount of goodwill by reporting unit were as follows (in 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8"/>
        <w:gridCol w:w="116"/>
        <w:gridCol w:w="172"/>
        <w:gridCol w:w="851"/>
        <w:gridCol w:w="116"/>
        <w:gridCol w:w="116"/>
        <w:gridCol w:w="172"/>
        <w:gridCol w:w="837"/>
        <w:gridCol w:w="127"/>
        <w:gridCol w:w="116"/>
        <w:gridCol w:w="172"/>
        <w:gridCol w:w="841"/>
        <w:gridCol w:w="142"/>
      </w:tblGrid>
      <w:tr w:rsidR="00000000">
        <w:trPr>
          <w:divId w:val="1279995533"/>
          <w:tblCellSpacing w:w="15" w:type="dxa"/>
        </w:trPr>
        <w:tc>
          <w:tcPr>
            <w:tcW w:w="2859" w:type="pct"/>
            <w:vAlign w:val="center"/>
            <w:hideMark/>
          </w:tcPr>
          <w:p w:rsidR="00000000" w:rsidRDefault="00010F15">
            <w:pPr>
              <w:rPr>
                <w:sz w:val="20"/>
                <w:szCs w:val="20"/>
              </w:rPr>
            </w:pPr>
          </w:p>
        </w:tc>
        <w:tc>
          <w:tcPr>
            <w:tcW w:w="65"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548"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65"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539" w:type="pct"/>
            <w:vAlign w:val="center"/>
            <w:hideMark/>
          </w:tcPr>
          <w:p w:rsidR="00000000" w:rsidRDefault="00010F15">
            <w:pPr>
              <w:rPr>
                <w:rFonts w:eastAsia="Times New Roman"/>
                <w:sz w:val="20"/>
                <w:szCs w:val="20"/>
              </w:rPr>
            </w:pPr>
          </w:p>
        </w:tc>
        <w:tc>
          <w:tcPr>
            <w:tcW w:w="39" w:type="pct"/>
            <w:vAlign w:val="center"/>
            <w:hideMark/>
          </w:tcPr>
          <w:p w:rsidR="00000000" w:rsidRDefault="00010F15">
            <w:pPr>
              <w:rPr>
                <w:rFonts w:eastAsia="Times New Roman"/>
                <w:sz w:val="20"/>
                <w:szCs w:val="20"/>
              </w:rPr>
            </w:pPr>
          </w:p>
        </w:tc>
        <w:tc>
          <w:tcPr>
            <w:tcW w:w="65"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542" w:type="pct"/>
            <w:vAlign w:val="center"/>
            <w:hideMark/>
          </w:tcPr>
          <w:p w:rsidR="00000000" w:rsidRDefault="00010F15">
            <w:pPr>
              <w:rPr>
                <w:rFonts w:eastAsia="Times New Roman"/>
                <w:sz w:val="20"/>
                <w:szCs w:val="20"/>
              </w:rPr>
            </w:pPr>
          </w:p>
        </w:tc>
        <w:tc>
          <w:tcPr>
            <w:tcW w:w="39" w:type="pct"/>
            <w:vAlign w:val="center"/>
            <w:hideMark/>
          </w:tcPr>
          <w:p w:rsidR="00000000" w:rsidRDefault="00010F15">
            <w:pPr>
              <w:rPr>
                <w:rFonts w:eastAsia="Times New Roman"/>
                <w:sz w:val="20"/>
                <w:szCs w:val="20"/>
              </w:rPr>
            </w:pPr>
          </w:p>
        </w:tc>
      </w:tr>
      <w:tr w:rsidR="00000000">
        <w:trPr>
          <w:divId w:val="1279995533"/>
          <w:trHeight w:val="16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United</w:t>
            </w:r>
            <w:r>
              <w:rPr>
                <w:rFonts w:ascii="Arial" w:hAnsi="Arial" w:cs="Arial"/>
                <w:b/>
                <w:bCs/>
                <w:sz w:val="16"/>
                <w:szCs w:val="16"/>
              </w:rPr>
              <w:br/>
              <w:t>State</w:t>
            </w:r>
            <w:r>
              <w:rPr>
                <w:rFonts w:ascii="Arial" w:hAnsi="Arial" w:cs="Arial"/>
                <w:b/>
                <w:bCs/>
                <w:sz w:val="16"/>
                <w:szCs w:val="16"/>
              </w:rPr>
              <w:t>s</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Othe</w:t>
            </w:r>
            <w:r>
              <w:rPr>
                <w:rFonts w:ascii="Arial" w:hAnsi="Arial" w:cs="Arial"/>
                <w:b/>
                <w:bCs/>
                <w:sz w:val="16"/>
                <w:szCs w:val="16"/>
              </w:rPr>
              <w:t>r</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Tota</w:t>
            </w:r>
            <w:r>
              <w:rPr>
                <w:rFonts w:ascii="Arial" w:hAnsi="Arial" w:cs="Arial"/>
                <w:b/>
                <w:bCs/>
                <w:sz w:val="16"/>
                <w:szCs w:val="16"/>
              </w:rPr>
              <w:t>l</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divId w:val="1279995533"/>
          <w:trHeight w:val="200"/>
          <w:tblCellSpacing w:w="15" w:type="dxa"/>
        </w:trPr>
        <w:tc>
          <w:tcPr>
            <w:tcW w:w="0" w:type="auto"/>
            <w:vAlign w:val="bottom"/>
            <w:hideMark/>
          </w:tcPr>
          <w:p w:rsidR="00000000" w:rsidRDefault="00010F15">
            <w:pPr>
              <w:pStyle w:val="a3"/>
              <w:spacing w:before="0" w:beforeAutospacing="0" w:after="0" w:afterAutospacing="0"/>
              <w:rPr>
                <w:sz w:val="18"/>
                <w:szCs w:val="18"/>
              </w:rPr>
            </w:pPr>
            <w:r>
              <w:rPr>
                <w:rFonts w:ascii="Arial" w:hAnsi="Arial" w:cs="Arial"/>
                <w:b/>
                <w:bCs/>
                <w:sz w:val="18"/>
                <w:szCs w:val="18"/>
              </w:rPr>
              <w:t>Balance as of December 31, 201</w:t>
            </w:r>
            <w:r>
              <w:rPr>
                <w:rFonts w:ascii="Arial" w:hAnsi="Arial" w:cs="Arial"/>
                <w:b/>
                <w:bCs/>
                <w:sz w:val="18"/>
                <w:szCs w:val="18"/>
              </w:rPr>
              <w:t>9</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12,30</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91</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13,22</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279995533"/>
          <w:trHeight w:val="200"/>
          <w:tblCellSpacing w:w="15" w:type="dxa"/>
        </w:trPr>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Foreign currency translation adjustment</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r>
      <w:tr w:rsidR="00000000">
        <w:trPr>
          <w:divId w:val="1279995533"/>
          <w:trHeight w:val="200"/>
          <w:tblCellSpacing w:w="15" w:type="dxa"/>
        </w:trPr>
        <w:tc>
          <w:tcPr>
            <w:tcW w:w="0" w:type="auto"/>
            <w:vAlign w:val="bottom"/>
            <w:hideMark/>
          </w:tcPr>
          <w:p w:rsidR="00000000" w:rsidRDefault="00010F15">
            <w:pPr>
              <w:pStyle w:val="a3"/>
              <w:spacing w:before="0" w:beforeAutospacing="0" w:after="0" w:afterAutospacing="0"/>
              <w:rPr>
                <w:sz w:val="18"/>
                <w:szCs w:val="18"/>
              </w:rPr>
            </w:pPr>
            <w:r>
              <w:rPr>
                <w:rFonts w:ascii="Arial" w:hAnsi="Arial" w:cs="Arial"/>
                <w:b/>
                <w:bCs/>
                <w:sz w:val="18"/>
                <w:szCs w:val="18"/>
              </w:rPr>
              <w:t>Balance as of December 31, 202</w:t>
            </w:r>
            <w:r>
              <w:rPr>
                <w:rFonts w:ascii="Arial" w:hAnsi="Arial" w:cs="Arial"/>
                <w:b/>
                <w:bCs/>
                <w:sz w:val="18"/>
                <w:szCs w:val="18"/>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12,30</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90</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13,20</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279995533"/>
          <w:trHeight w:val="200"/>
          <w:tblCellSpacing w:w="15" w:type="dxa"/>
        </w:trPr>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Goodwill acquire</w:t>
            </w:r>
            <w:r>
              <w:rPr>
                <w:rFonts w:ascii="Arial" w:hAnsi="Arial" w:cs="Arial"/>
                <w:sz w:val="20"/>
                <w:szCs w:val="20"/>
              </w:rPr>
              <w:t>d</w:t>
            </w:r>
            <w:r>
              <w:rPr>
                <w:rFonts w:ascii="Arial" w:hAnsi="Arial" w:cs="Arial"/>
                <w:sz w:val="13"/>
                <w:szCs w:val="13"/>
              </w:rPr>
              <w:t>(1</w:t>
            </w:r>
            <w:r>
              <w:rPr>
                <w:rFonts w:ascii="Arial" w:hAnsi="Arial" w:cs="Arial"/>
                <w:sz w:val="13"/>
                <w:szCs w:val="13"/>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116,21</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116,21</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279995533"/>
          <w:trHeight w:val="200"/>
          <w:tblCellSpacing w:w="15" w:type="dxa"/>
        </w:trPr>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Foreign currency translation adjustment</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8</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8</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r>
      <w:tr w:rsidR="00000000">
        <w:trPr>
          <w:divId w:val="1279995533"/>
          <w:trHeight w:val="200"/>
          <w:tblCellSpacing w:w="15" w:type="dxa"/>
        </w:trPr>
        <w:tc>
          <w:tcPr>
            <w:tcW w:w="0" w:type="auto"/>
            <w:vAlign w:val="bottom"/>
            <w:hideMark/>
          </w:tcPr>
          <w:p w:rsidR="00000000" w:rsidRDefault="00010F15">
            <w:pPr>
              <w:pStyle w:val="a3"/>
              <w:spacing w:before="0" w:beforeAutospacing="0" w:after="0" w:afterAutospacing="0"/>
              <w:rPr>
                <w:sz w:val="18"/>
                <w:szCs w:val="18"/>
              </w:rPr>
            </w:pPr>
            <w:r>
              <w:rPr>
                <w:rFonts w:ascii="Arial" w:hAnsi="Arial" w:cs="Arial"/>
                <w:b/>
                <w:bCs/>
                <w:sz w:val="18"/>
                <w:szCs w:val="18"/>
              </w:rPr>
              <w:t>Balance as of December 31, 202</w:t>
            </w:r>
            <w:r>
              <w:rPr>
                <w:rFonts w:ascii="Arial" w:hAnsi="Arial" w:cs="Arial"/>
                <w:b/>
                <w:bCs/>
                <w:sz w:val="18"/>
                <w:szCs w:val="18"/>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128,51</w:t>
            </w:r>
            <w:r>
              <w:rPr>
                <w:rFonts w:ascii="Arial" w:hAnsi="Arial" w:cs="Arial"/>
                <w:sz w:val="20"/>
                <w:szCs w:val="20"/>
              </w:rPr>
              <w:t>9</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89</w:t>
            </w:r>
            <w:r>
              <w:rPr>
                <w:rFonts w:ascii="Arial" w:hAnsi="Arial" w:cs="Arial"/>
                <w:sz w:val="20"/>
                <w:szCs w:val="20"/>
              </w:rPr>
              <w:t>4</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129,41</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bl>
    <w:p w:rsidR="00000000" w:rsidRDefault="00010F15">
      <w:pPr>
        <w:pStyle w:val="a3"/>
        <w:spacing w:before="0" w:beforeAutospacing="0" w:after="0" w:afterAutospacing="0"/>
        <w:divId w:val="1279995533"/>
        <w:rPr>
          <w:sz w:val="20"/>
          <w:szCs w:val="20"/>
        </w:rPr>
      </w:pPr>
      <w:r>
        <w:rPr>
          <w:rFonts w:ascii="Arial" w:hAnsi="Arial" w:cs="Arial"/>
          <w:sz w:val="16"/>
          <w:szCs w:val="16"/>
        </w:rPr>
        <w:t>(1) The goodwill acquired in the year ended December 31, 2021 is related to the Payveris and Finovera acquisitions. See Note 4</w:t>
      </w:r>
      <w:r>
        <w:rPr>
          <w:rFonts w:ascii="Arial" w:hAnsi="Arial" w:cs="Arial"/>
          <w:sz w:val="16"/>
          <w:szCs w:val="16"/>
        </w:rPr>
        <w:t>.</w:t>
      </w:r>
    </w:p>
    <w:p w:rsidR="00000000" w:rsidRDefault="00010F15">
      <w:pPr>
        <w:pStyle w:val="a3"/>
        <w:spacing w:before="0" w:beforeAutospacing="0" w:after="0" w:afterAutospacing="0"/>
        <w:divId w:val="1989243863"/>
        <w:rPr>
          <w:sz w:val="20"/>
          <w:szCs w:val="20"/>
        </w:rPr>
      </w:pPr>
      <w:r>
        <w:rPr>
          <w:sz w:val="20"/>
          <w:szCs w:val="20"/>
        </w:rPr>
        <w:t> </w:t>
      </w:r>
    </w:p>
    <w:p w:rsidR="00000000" w:rsidRDefault="00010F15">
      <w:pPr>
        <w:pStyle w:val="a3"/>
        <w:spacing w:before="120" w:beforeAutospacing="0" w:after="0" w:afterAutospacing="0"/>
        <w:jc w:val="center"/>
        <w:divId w:val="1989243863"/>
        <w:rPr>
          <w:sz w:val="20"/>
          <w:szCs w:val="20"/>
        </w:rPr>
      </w:pPr>
      <w:r>
        <w:rPr>
          <w:rFonts w:ascii="Arial" w:hAnsi="Arial" w:cs="Arial"/>
          <w:sz w:val="20"/>
          <w:szCs w:val="20"/>
        </w:rPr>
        <w:t>8</w:t>
      </w:r>
      <w:r>
        <w:rPr>
          <w:rFonts w:ascii="Arial" w:hAnsi="Arial" w:cs="Arial"/>
          <w:sz w:val="20"/>
          <w:szCs w:val="20"/>
        </w:rPr>
        <w:t>9</w:t>
      </w:r>
    </w:p>
    <w:p w:rsidR="00000000" w:rsidRDefault="00010F15">
      <w:pPr>
        <w:divId w:val="1989243863"/>
        <w:rPr>
          <w:rFonts w:ascii="Arial" w:eastAsia="Times New Roman" w:hAnsi="Arial" w:cs="Arial"/>
          <w:sz w:val="20"/>
          <w:szCs w:val="20"/>
        </w:rPr>
      </w:pPr>
      <w:r>
        <w:rPr>
          <w:rFonts w:ascii="Arial" w:eastAsia="Times New Roman" w:hAnsi="Arial" w:cs="Arial"/>
          <w:sz w:val="20"/>
          <w:szCs w:val="20"/>
        </w:rPr>
        <w:pict>
          <v:rect id="_x0000_i1114" style="width:0;height:1.5pt" o:hralign="center" o:hrstd="t" o:hr="t" fillcolor="#a0a0a0" stroked="f"/>
        </w:pict>
      </w:r>
    </w:p>
    <w:p w:rsidR="00000000" w:rsidRDefault="00010F15">
      <w:pPr>
        <w:pStyle w:val="a3"/>
        <w:spacing w:before="0" w:beforeAutospacing="0" w:after="0" w:afterAutospacing="0"/>
        <w:divId w:val="1989243863"/>
        <w:rPr>
          <w:sz w:val="20"/>
          <w:szCs w:val="20"/>
        </w:rPr>
      </w:pPr>
      <w:r>
        <w:rPr>
          <w:sz w:val="20"/>
          <w:szCs w:val="20"/>
        </w:rPr>
        <w:t> </w:t>
      </w:r>
    </w:p>
    <w:p w:rsidR="00000000" w:rsidRDefault="00010F15">
      <w:pPr>
        <w:pStyle w:val="a3"/>
        <w:spacing w:before="240" w:beforeAutospacing="0" w:after="0" w:afterAutospacing="0"/>
        <w:divId w:val="1989243863"/>
        <w:rPr>
          <w:sz w:val="20"/>
          <w:szCs w:val="20"/>
        </w:rPr>
      </w:pPr>
      <w:r>
        <w:rPr>
          <w:rFonts w:ascii="Arial" w:hAnsi="Arial" w:cs="Arial"/>
          <w:b/>
          <w:bCs/>
          <w:i/>
          <w:iCs/>
          <w:sz w:val="20"/>
          <w:szCs w:val="20"/>
        </w:rPr>
        <w:t>Intangible Asset</w:t>
      </w:r>
      <w:r>
        <w:rPr>
          <w:rFonts w:ascii="Arial" w:hAnsi="Arial" w:cs="Arial"/>
          <w:b/>
          <w:bCs/>
          <w:i/>
          <w:iCs/>
          <w:sz w:val="20"/>
          <w:szCs w:val="20"/>
        </w:rPr>
        <w:t>s</w:t>
      </w:r>
    </w:p>
    <w:p w:rsidR="00000000" w:rsidRDefault="00010F15">
      <w:pPr>
        <w:pStyle w:val="a3"/>
        <w:spacing w:before="120" w:beforeAutospacing="0" w:after="0" w:afterAutospacing="0"/>
        <w:ind w:firstLine="539"/>
        <w:divId w:val="2132553839"/>
        <w:rPr>
          <w:sz w:val="20"/>
          <w:szCs w:val="20"/>
        </w:rPr>
      </w:pPr>
      <w:r>
        <w:rPr>
          <w:rFonts w:ascii="Arial" w:hAnsi="Arial" w:cs="Arial"/>
          <w:sz w:val="20"/>
          <w:szCs w:val="20"/>
        </w:rPr>
        <w:t>Intangible assets, net consisted of the following (in thousands)</w:t>
      </w:r>
      <w:r>
        <w:rPr>
          <w:rFonts w:ascii="Arial" w:hAnsi="Arial" w:cs="Arial"/>
          <w:sz w:val="20"/>
          <w:szCs w:val="20"/>
        </w:rPr>
        <w:t>:</w:t>
      </w:r>
    </w:p>
    <w:p w:rsidR="00000000" w:rsidRDefault="00010F15">
      <w:pPr>
        <w:pStyle w:val="a3"/>
        <w:spacing w:before="0" w:beforeAutospacing="0" w:after="0" w:afterAutospacing="0"/>
        <w:divId w:val="2132553839"/>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12"/>
        <w:gridCol w:w="116"/>
        <w:gridCol w:w="172"/>
        <w:gridCol w:w="672"/>
        <w:gridCol w:w="116"/>
        <w:gridCol w:w="116"/>
        <w:gridCol w:w="173"/>
        <w:gridCol w:w="908"/>
        <w:gridCol w:w="127"/>
        <w:gridCol w:w="116"/>
        <w:gridCol w:w="172"/>
        <w:gridCol w:w="672"/>
        <w:gridCol w:w="116"/>
        <w:gridCol w:w="116"/>
        <w:gridCol w:w="117"/>
        <w:gridCol w:w="754"/>
        <w:gridCol w:w="131"/>
      </w:tblGrid>
      <w:tr w:rsidR="00000000">
        <w:trPr>
          <w:divId w:val="2132553839"/>
          <w:tblCellSpacing w:w="15" w:type="dxa"/>
        </w:trPr>
        <w:tc>
          <w:tcPr>
            <w:tcW w:w="2497" w:type="pct"/>
            <w:vAlign w:val="center"/>
            <w:hideMark/>
          </w:tcPr>
          <w:p w:rsidR="00000000" w:rsidRDefault="00010F15">
            <w:pPr>
              <w:rPr>
                <w:sz w:val="20"/>
                <w:szCs w:val="20"/>
              </w:rPr>
            </w:pPr>
          </w:p>
        </w:tc>
        <w:tc>
          <w:tcPr>
            <w:tcW w:w="57" w:type="pct"/>
            <w:vAlign w:val="center"/>
            <w:hideMark/>
          </w:tcPr>
          <w:p w:rsidR="00000000" w:rsidRDefault="00010F15">
            <w:pPr>
              <w:rPr>
                <w:rFonts w:eastAsia="Times New Roman"/>
                <w:sz w:val="20"/>
                <w:szCs w:val="20"/>
              </w:rPr>
            </w:pPr>
          </w:p>
        </w:tc>
        <w:tc>
          <w:tcPr>
            <w:tcW w:w="66" w:type="pct"/>
            <w:vAlign w:val="center"/>
            <w:hideMark/>
          </w:tcPr>
          <w:p w:rsidR="00000000" w:rsidRDefault="00010F15">
            <w:pPr>
              <w:rPr>
                <w:rFonts w:eastAsia="Times New Roman"/>
                <w:sz w:val="20"/>
                <w:szCs w:val="20"/>
              </w:rPr>
            </w:pPr>
          </w:p>
        </w:tc>
        <w:tc>
          <w:tcPr>
            <w:tcW w:w="467"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57"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464" w:type="pct"/>
            <w:vAlign w:val="center"/>
            <w:hideMark/>
          </w:tcPr>
          <w:p w:rsidR="00000000" w:rsidRDefault="00010F15">
            <w:pPr>
              <w:rPr>
                <w:rFonts w:eastAsia="Times New Roman"/>
                <w:sz w:val="20"/>
                <w:szCs w:val="20"/>
              </w:rPr>
            </w:pPr>
          </w:p>
        </w:tc>
        <w:tc>
          <w:tcPr>
            <w:tcW w:w="39" w:type="pct"/>
            <w:vAlign w:val="center"/>
            <w:hideMark/>
          </w:tcPr>
          <w:p w:rsidR="00000000" w:rsidRDefault="00010F15">
            <w:pPr>
              <w:rPr>
                <w:rFonts w:eastAsia="Times New Roman"/>
                <w:sz w:val="20"/>
                <w:szCs w:val="20"/>
              </w:rPr>
            </w:pPr>
          </w:p>
        </w:tc>
        <w:tc>
          <w:tcPr>
            <w:tcW w:w="57" w:type="pct"/>
            <w:vAlign w:val="center"/>
            <w:hideMark/>
          </w:tcPr>
          <w:p w:rsidR="00000000" w:rsidRDefault="00010F15">
            <w:pPr>
              <w:rPr>
                <w:rFonts w:eastAsia="Times New Roman"/>
                <w:sz w:val="20"/>
                <w:szCs w:val="20"/>
              </w:rPr>
            </w:pPr>
          </w:p>
        </w:tc>
        <w:tc>
          <w:tcPr>
            <w:tcW w:w="66" w:type="pct"/>
            <w:vAlign w:val="center"/>
            <w:hideMark/>
          </w:tcPr>
          <w:p w:rsidR="00000000" w:rsidRDefault="00010F15">
            <w:pPr>
              <w:rPr>
                <w:rFonts w:eastAsia="Times New Roman"/>
                <w:sz w:val="20"/>
                <w:szCs w:val="20"/>
              </w:rPr>
            </w:pPr>
          </w:p>
        </w:tc>
        <w:tc>
          <w:tcPr>
            <w:tcW w:w="467"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92"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467"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r>
      <w:tr w:rsidR="00000000">
        <w:trPr>
          <w:divId w:val="2132553839"/>
          <w:trHeight w:val="16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14"/>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December 31, 202</w:t>
            </w:r>
            <w:r>
              <w:rPr>
                <w:rFonts w:ascii="Arial" w:hAnsi="Arial" w:cs="Arial"/>
                <w:b/>
                <w:bCs/>
                <w:sz w:val="16"/>
                <w:szCs w:val="16"/>
              </w:rPr>
              <w:t>1</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divId w:val="2132553839"/>
          <w:trHeight w:val="16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Gross</w:t>
            </w:r>
            <w:r>
              <w:rPr>
                <w:rFonts w:ascii="Arial" w:hAnsi="Arial" w:cs="Arial"/>
                <w:b/>
                <w:bCs/>
                <w:sz w:val="16"/>
                <w:szCs w:val="16"/>
              </w:rPr>
              <w:br/>
              <w:t>Carrying</w:t>
            </w:r>
            <w:r>
              <w:rPr>
                <w:rFonts w:ascii="Arial" w:hAnsi="Arial" w:cs="Arial"/>
                <w:b/>
                <w:bCs/>
                <w:sz w:val="16"/>
                <w:szCs w:val="16"/>
              </w:rPr>
              <w:br/>
              <w:t>Amoun</w:t>
            </w:r>
            <w:r>
              <w:rPr>
                <w:rFonts w:ascii="Arial" w:hAnsi="Arial" w:cs="Arial"/>
                <w:b/>
                <w:bCs/>
                <w:sz w:val="16"/>
                <w:szCs w:val="16"/>
              </w:rPr>
              <w:t>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Accumulated</w:t>
            </w:r>
            <w:r>
              <w:rPr>
                <w:rFonts w:ascii="Arial" w:hAnsi="Arial" w:cs="Arial"/>
                <w:b/>
                <w:bCs/>
                <w:sz w:val="16"/>
                <w:szCs w:val="16"/>
              </w:rPr>
              <w:br/>
              <w:t>Amortizatio</w:t>
            </w:r>
            <w:r>
              <w:rPr>
                <w:rFonts w:ascii="Arial" w:hAnsi="Arial" w:cs="Arial"/>
                <w:b/>
                <w:bCs/>
                <w:sz w:val="16"/>
                <w:szCs w:val="16"/>
              </w:rPr>
              <w:t>n</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Net</w:t>
            </w:r>
            <w:r>
              <w:rPr>
                <w:rFonts w:ascii="Arial" w:hAnsi="Arial" w:cs="Arial"/>
                <w:b/>
                <w:bCs/>
                <w:sz w:val="16"/>
                <w:szCs w:val="16"/>
              </w:rPr>
              <w:br/>
            </w:r>
            <w:r>
              <w:rPr>
                <w:rFonts w:ascii="Arial" w:hAnsi="Arial" w:cs="Arial"/>
                <w:b/>
                <w:bCs/>
                <w:sz w:val="16"/>
                <w:szCs w:val="16"/>
              </w:rPr>
              <w:t>Carrying</w:t>
            </w:r>
            <w:r>
              <w:rPr>
                <w:rFonts w:ascii="Arial" w:hAnsi="Arial" w:cs="Arial"/>
                <w:b/>
                <w:bCs/>
                <w:sz w:val="16"/>
                <w:szCs w:val="16"/>
              </w:rPr>
              <w:br/>
              <w:t>Amoun</w:t>
            </w:r>
            <w:r>
              <w:rPr>
                <w:rFonts w:ascii="Arial" w:hAnsi="Arial" w:cs="Arial"/>
                <w:b/>
                <w:bCs/>
                <w:sz w:val="16"/>
                <w:szCs w:val="16"/>
              </w:rPr>
              <w:t>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Weighted-</w:t>
            </w:r>
            <w:r>
              <w:rPr>
                <w:rFonts w:ascii="Arial" w:hAnsi="Arial" w:cs="Arial"/>
                <w:b/>
                <w:bCs/>
                <w:sz w:val="16"/>
                <w:szCs w:val="16"/>
              </w:rPr>
              <w:br/>
              <w:t>Average</w:t>
            </w:r>
            <w:r>
              <w:rPr>
                <w:rFonts w:ascii="Arial" w:hAnsi="Arial" w:cs="Arial"/>
                <w:b/>
                <w:bCs/>
                <w:sz w:val="16"/>
                <w:szCs w:val="16"/>
              </w:rPr>
              <w:br/>
              <w:t>Useful Life</w:t>
            </w:r>
            <w:r>
              <w:rPr>
                <w:rFonts w:ascii="Arial" w:hAnsi="Arial" w:cs="Arial"/>
                <w:b/>
                <w:bCs/>
                <w:sz w:val="16"/>
                <w:szCs w:val="16"/>
              </w:rPr>
              <w:br/>
              <w:t>(Years</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divId w:val="2132553839"/>
          <w:trHeight w:val="200"/>
          <w:tblCellSpacing w:w="15" w:type="dxa"/>
        </w:trPr>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Technolog</w:t>
            </w:r>
            <w:r>
              <w:rPr>
                <w:rFonts w:ascii="Arial" w:hAnsi="Arial" w:cs="Arial"/>
                <w:sz w:val="20"/>
                <w:szCs w:val="20"/>
              </w:rPr>
              <w:t>y</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20,83</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8,65</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12,18</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2132553839"/>
          <w:trHeight w:val="200"/>
          <w:tblCellSpacing w:w="15" w:type="dxa"/>
        </w:trPr>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Licens</w:t>
            </w:r>
            <w:r>
              <w:rPr>
                <w:rFonts w:ascii="Arial" w:hAnsi="Arial" w:cs="Arial"/>
                <w:sz w:val="20"/>
                <w:szCs w:val="20"/>
              </w:rPr>
              <w:t>e</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2,65</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2,65</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2132553839"/>
          <w:trHeight w:val="200"/>
          <w:tblCellSpacing w:w="15" w:type="dxa"/>
        </w:trPr>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Customer relationshi</w:t>
            </w:r>
            <w:r>
              <w:rPr>
                <w:rFonts w:ascii="Arial" w:hAnsi="Arial" w:cs="Arial"/>
                <w:sz w:val="20"/>
                <w:szCs w:val="20"/>
              </w:rPr>
              <w:t>p</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33,83</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8,02</w:t>
            </w: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25,80</w:t>
            </w:r>
            <w:r>
              <w:rPr>
                <w:rFonts w:ascii="Arial" w:hAnsi="Arial" w:cs="Arial"/>
                <w:sz w:val="20"/>
                <w:szCs w:val="20"/>
              </w:rPr>
              <w:t>9</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2132553839"/>
          <w:trHeight w:val="200"/>
          <w:tblCellSpacing w:w="15" w:type="dxa"/>
        </w:trPr>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Softwar</w:t>
            </w:r>
            <w:r>
              <w:rPr>
                <w:rFonts w:ascii="Arial" w:hAnsi="Arial" w:cs="Arial"/>
                <w:sz w:val="20"/>
                <w:szCs w:val="20"/>
              </w:rPr>
              <w:t>e</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89</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45</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43</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2132553839"/>
          <w:trHeight w:val="200"/>
          <w:tblCellSpacing w:w="15" w:type="dxa"/>
        </w:trPr>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Trademar</w:t>
            </w:r>
            <w:r>
              <w:rPr>
                <w:rFonts w:ascii="Arial" w:hAnsi="Arial" w:cs="Arial"/>
                <w:sz w:val="20"/>
                <w:szCs w:val="20"/>
              </w:rPr>
              <w:t>k</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4,19</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53</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3,66</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2132553839"/>
          <w:trHeight w:val="200"/>
          <w:tblCellSpacing w:w="15" w:type="dxa"/>
        </w:trPr>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62,40</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20,31</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42,08</w:t>
            </w:r>
            <w:r>
              <w:rPr>
                <w:rFonts w:ascii="Arial" w:hAnsi="Arial" w:cs="Arial"/>
                <w:sz w:val="20"/>
                <w:szCs w:val="20"/>
              </w:rPr>
              <w:t>8</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r>
    </w:tbl>
    <w:p w:rsidR="00000000" w:rsidRDefault="00010F15">
      <w:pPr>
        <w:pStyle w:val="a3"/>
        <w:spacing w:before="0" w:beforeAutospacing="0" w:after="0" w:afterAutospacing="0"/>
        <w:divId w:val="2132553839"/>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77"/>
        <w:gridCol w:w="116"/>
        <w:gridCol w:w="172"/>
        <w:gridCol w:w="672"/>
        <w:gridCol w:w="116"/>
        <w:gridCol w:w="116"/>
        <w:gridCol w:w="173"/>
        <w:gridCol w:w="908"/>
        <w:gridCol w:w="127"/>
        <w:gridCol w:w="116"/>
        <w:gridCol w:w="173"/>
        <w:gridCol w:w="606"/>
        <w:gridCol w:w="116"/>
        <w:gridCol w:w="116"/>
        <w:gridCol w:w="117"/>
        <w:gridCol w:w="754"/>
        <w:gridCol w:w="131"/>
      </w:tblGrid>
      <w:tr w:rsidR="00000000">
        <w:trPr>
          <w:divId w:val="2132553839"/>
          <w:tblCellSpacing w:w="15" w:type="dxa"/>
        </w:trPr>
        <w:tc>
          <w:tcPr>
            <w:tcW w:w="2497" w:type="pct"/>
            <w:vAlign w:val="center"/>
            <w:hideMark/>
          </w:tcPr>
          <w:p w:rsidR="00000000" w:rsidRDefault="00010F15">
            <w:pPr>
              <w:rPr>
                <w:sz w:val="20"/>
                <w:szCs w:val="20"/>
              </w:rPr>
            </w:pPr>
          </w:p>
        </w:tc>
        <w:tc>
          <w:tcPr>
            <w:tcW w:w="57" w:type="pct"/>
            <w:vAlign w:val="center"/>
            <w:hideMark/>
          </w:tcPr>
          <w:p w:rsidR="00000000" w:rsidRDefault="00010F15">
            <w:pPr>
              <w:rPr>
                <w:rFonts w:eastAsia="Times New Roman"/>
                <w:sz w:val="20"/>
                <w:szCs w:val="20"/>
              </w:rPr>
            </w:pPr>
          </w:p>
        </w:tc>
        <w:tc>
          <w:tcPr>
            <w:tcW w:w="66" w:type="pct"/>
            <w:vAlign w:val="center"/>
            <w:hideMark/>
          </w:tcPr>
          <w:p w:rsidR="00000000" w:rsidRDefault="00010F15">
            <w:pPr>
              <w:rPr>
                <w:rFonts w:eastAsia="Times New Roman"/>
                <w:sz w:val="20"/>
                <w:szCs w:val="20"/>
              </w:rPr>
            </w:pPr>
          </w:p>
        </w:tc>
        <w:tc>
          <w:tcPr>
            <w:tcW w:w="467"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57"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464" w:type="pct"/>
            <w:vAlign w:val="center"/>
            <w:hideMark/>
          </w:tcPr>
          <w:p w:rsidR="00000000" w:rsidRDefault="00010F15">
            <w:pPr>
              <w:rPr>
                <w:rFonts w:eastAsia="Times New Roman"/>
                <w:sz w:val="20"/>
                <w:szCs w:val="20"/>
              </w:rPr>
            </w:pPr>
          </w:p>
        </w:tc>
        <w:tc>
          <w:tcPr>
            <w:tcW w:w="39" w:type="pct"/>
            <w:vAlign w:val="center"/>
            <w:hideMark/>
          </w:tcPr>
          <w:p w:rsidR="00000000" w:rsidRDefault="00010F15">
            <w:pPr>
              <w:rPr>
                <w:rFonts w:eastAsia="Times New Roman"/>
                <w:sz w:val="20"/>
                <w:szCs w:val="20"/>
              </w:rPr>
            </w:pPr>
          </w:p>
        </w:tc>
        <w:tc>
          <w:tcPr>
            <w:tcW w:w="57" w:type="pct"/>
            <w:vAlign w:val="center"/>
            <w:hideMark/>
          </w:tcPr>
          <w:p w:rsidR="00000000" w:rsidRDefault="00010F15">
            <w:pPr>
              <w:rPr>
                <w:rFonts w:eastAsia="Times New Roman"/>
                <w:sz w:val="20"/>
                <w:szCs w:val="20"/>
              </w:rPr>
            </w:pPr>
          </w:p>
        </w:tc>
        <w:tc>
          <w:tcPr>
            <w:tcW w:w="66" w:type="pct"/>
            <w:vAlign w:val="center"/>
            <w:hideMark/>
          </w:tcPr>
          <w:p w:rsidR="00000000" w:rsidRDefault="00010F15">
            <w:pPr>
              <w:rPr>
                <w:rFonts w:eastAsia="Times New Roman"/>
                <w:sz w:val="20"/>
                <w:szCs w:val="20"/>
              </w:rPr>
            </w:pPr>
          </w:p>
        </w:tc>
        <w:tc>
          <w:tcPr>
            <w:tcW w:w="467"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92"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467"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r>
      <w:tr w:rsidR="00000000">
        <w:trPr>
          <w:divId w:val="2132553839"/>
          <w:trHeight w:val="16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14"/>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December 31, 202</w:t>
            </w:r>
            <w:r>
              <w:rPr>
                <w:rFonts w:ascii="Arial" w:hAnsi="Arial" w:cs="Arial"/>
                <w:b/>
                <w:bCs/>
                <w:sz w:val="16"/>
                <w:szCs w:val="16"/>
              </w:rPr>
              <w:t>0</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divId w:val="2132553839"/>
          <w:trHeight w:val="16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Gross</w:t>
            </w:r>
            <w:r>
              <w:rPr>
                <w:rFonts w:ascii="Arial" w:hAnsi="Arial" w:cs="Arial"/>
                <w:b/>
                <w:bCs/>
                <w:sz w:val="16"/>
                <w:szCs w:val="16"/>
              </w:rPr>
              <w:br/>
              <w:t>Carrying</w:t>
            </w:r>
            <w:r>
              <w:rPr>
                <w:rFonts w:ascii="Arial" w:hAnsi="Arial" w:cs="Arial"/>
                <w:b/>
                <w:bCs/>
                <w:sz w:val="16"/>
                <w:szCs w:val="16"/>
              </w:rPr>
              <w:br/>
              <w:t>Amoun</w:t>
            </w:r>
            <w:r>
              <w:rPr>
                <w:rFonts w:ascii="Arial" w:hAnsi="Arial" w:cs="Arial"/>
                <w:b/>
                <w:bCs/>
                <w:sz w:val="16"/>
                <w:szCs w:val="16"/>
              </w:rPr>
              <w:t>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Accumulated</w:t>
            </w:r>
            <w:r>
              <w:rPr>
                <w:rFonts w:ascii="Arial" w:hAnsi="Arial" w:cs="Arial"/>
                <w:b/>
                <w:bCs/>
                <w:sz w:val="16"/>
                <w:szCs w:val="16"/>
              </w:rPr>
              <w:br/>
              <w:t>Amortizatio</w:t>
            </w:r>
            <w:r>
              <w:rPr>
                <w:rFonts w:ascii="Arial" w:hAnsi="Arial" w:cs="Arial"/>
                <w:b/>
                <w:bCs/>
                <w:sz w:val="16"/>
                <w:szCs w:val="16"/>
              </w:rPr>
              <w:t>n</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Net</w:t>
            </w:r>
            <w:r>
              <w:rPr>
                <w:rFonts w:ascii="Arial" w:hAnsi="Arial" w:cs="Arial"/>
                <w:b/>
                <w:bCs/>
                <w:sz w:val="16"/>
                <w:szCs w:val="16"/>
              </w:rPr>
              <w:br/>
              <w:t>Carrying</w:t>
            </w:r>
            <w:r>
              <w:rPr>
                <w:rFonts w:ascii="Arial" w:hAnsi="Arial" w:cs="Arial"/>
                <w:b/>
                <w:bCs/>
                <w:sz w:val="16"/>
                <w:szCs w:val="16"/>
              </w:rPr>
              <w:br/>
              <w:t>Amoun</w:t>
            </w:r>
            <w:r>
              <w:rPr>
                <w:rFonts w:ascii="Arial" w:hAnsi="Arial" w:cs="Arial"/>
                <w:b/>
                <w:bCs/>
                <w:sz w:val="16"/>
                <w:szCs w:val="16"/>
              </w:rPr>
              <w:t>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Weighted-</w:t>
            </w:r>
            <w:r>
              <w:rPr>
                <w:rFonts w:ascii="Arial" w:hAnsi="Arial" w:cs="Arial"/>
                <w:b/>
                <w:bCs/>
                <w:sz w:val="16"/>
                <w:szCs w:val="16"/>
              </w:rPr>
              <w:br/>
              <w:t>Average</w:t>
            </w:r>
            <w:r>
              <w:rPr>
                <w:rFonts w:ascii="Arial" w:hAnsi="Arial" w:cs="Arial"/>
                <w:b/>
                <w:bCs/>
                <w:sz w:val="16"/>
                <w:szCs w:val="16"/>
              </w:rPr>
              <w:br/>
              <w:t>Useful Life</w:t>
            </w:r>
            <w:r>
              <w:rPr>
                <w:rFonts w:ascii="Arial" w:hAnsi="Arial" w:cs="Arial"/>
                <w:b/>
                <w:bCs/>
                <w:sz w:val="16"/>
                <w:szCs w:val="16"/>
              </w:rPr>
              <w:br/>
              <w:t>(Years</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divId w:val="2132553839"/>
          <w:trHeight w:val="200"/>
          <w:tblCellSpacing w:w="15" w:type="dxa"/>
        </w:trPr>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Technolog</w:t>
            </w:r>
            <w:r>
              <w:rPr>
                <w:rFonts w:ascii="Arial" w:hAnsi="Arial" w:cs="Arial"/>
                <w:sz w:val="20"/>
                <w:szCs w:val="20"/>
              </w:rPr>
              <w:t>y</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7,57</w:t>
            </w:r>
            <w:r>
              <w:rPr>
                <w:rFonts w:ascii="Arial" w:hAnsi="Arial" w:cs="Arial"/>
                <w:sz w:val="20"/>
                <w:szCs w:val="20"/>
              </w:rPr>
              <w:t>9</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7,46</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11</w:t>
            </w:r>
            <w:r>
              <w:rPr>
                <w:rFonts w:ascii="Arial" w:hAnsi="Arial" w:cs="Arial"/>
                <w:sz w:val="20"/>
                <w:szCs w:val="20"/>
              </w:rPr>
              <w:t>9</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2132553839"/>
          <w:trHeight w:val="200"/>
          <w:tblCellSpacing w:w="15" w:type="dxa"/>
        </w:trPr>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Licens</w:t>
            </w:r>
            <w:r>
              <w:rPr>
                <w:rFonts w:ascii="Arial" w:hAnsi="Arial" w:cs="Arial"/>
                <w:sz w:val="20"/>
                <w:szCs w:val="20"/>
              </w:rPr>
              <w:t>e</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2,65</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2,65</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2132553839"/>
          <w:trHeight w:val="200"/>
          <w:tblCellSpacing w:w="15" w:type="dxa"/>
        </w:trPr>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Customer relationshi</w:t>
            </w:r>
            <w:r>
              <w:rPr>
                <w:rFonts w:ascii="Arial" w:hAnsi="Arial" w:cs="Arial"/>
                <w:sz w:val="20"/>
                <w:szCs w:val="20"/>
              </w:rPr>
              <w:t>p</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6,78</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6,78</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2132553839"/>
          <w:trHeight w:val="200"/>
          <w:tblCellSpacing w:w="15" w:type="dxa"/>
        </w:trPr>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Softwar</w:t>
            </w:r>
            <w:r>
              <w:rPr>
                <w:rFonts w:ascii="Arial" w:hAnsi="Arial" w:cs="Arial"/>
                <w:sz w:val="20"/>
                <w:szCs w:val="20"/>
              </w:rPr>
              <w:t>e</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53</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35</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17</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2132553839"/>
          <w:trHeight w:val="200"/>
          <w:tblCellSpacing w:w="15" w:type="dxa"/>
        </w:trPr>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Non-compet</w:t>
            </w:r>
            <w:r>
              <w:rPr>
                <w:rFonts w:ascii="Arial" w:hAnsi="Arial" w:cs="Arial"/>
                <w:sz w:val="20"/>
                <w:szCs w:val="20"/>
              </w:rPr>
              <w:t>e</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33</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33</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2132553839"/>
          <w:trHeight w:val="200"/>
          <w:tblCellSpacing w:w="15" w:type="dxa"/>
        </w:trPr>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Trademar</w:t>
            </w:r>
            <w:r>
              <w:rPr>
                <w:rFonts w:ascii="Arial" w:hAnsi="Arial" w:cs="Arial"/>
                <w:sz w:val="20"/>
                <w:szCs w:val="20"/>
              </w:rPr>
              <w:t>k</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20</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20</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2132553839"/>
          <w:trHeight w:val="200"/>
          <w:tblCellSpacing w:w="15" w:type="dxa"/>
        </w:trPr>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18,07</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17,77</w:t>
            </w:r>
            <w:r>
              <w:rPr>
                <w:rFonts w:ascii="Arial" w:hAnsi="Arial" w:cs="Arial"/>
                <w:sz w:val="20"/>
                <w:szCs w:val="20"/>
              </w:rPr>
              <w:t>9</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29</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r>
    </w:tbl>
    <w:p w:rsidR="00000000" w:rsidRDefault="00010F15">
      <w:pPr>
        <w:pStyle w:val="a3"/>
        <w:spacing w:before="0" w:beforeAutospacing="0" w:after="0" w:afterAutospacing="0"/>
        <w:divId w:val="1989243863"/>
        <w:rPr>
          <w:sz w:val="20"/>
          <w:szCs w:val="20"/>
        </w:rPr>
      </w:pPr>
      <w:r>
        <w:rPr>
          <w:rFonts w:ascii="Arial" w:hAnsi="Arial" w:cs="Arial"/>
          <w:sz w:val="20"/>
          <w:szCs w:val="20"/>
        </w:rPr>
        <w:t> </w:t>
      </w:r>
    </w:p>
    <w:p w:rsidR="00000000" w:rsidRDefault="00010F15">
      <w:pPr>
        <w:pStyle w:val="a3"/>
        <w:spacing w:before="40" w:beforeAutospacing="0" w:after="0" w:afterAutospacing="0"/>
        <w:ind w:firstLine="539"/>
        <w:divId w:val="1989243863"/>
        <w:rPr>
          <w:sz w:val="20"/>
          <w:szCs w:val="20"/>
        </w:rPr>
      </w:pPr>
      <w:r>
        <w:rPr>
          <w:rFonts w:ascii="Arial" w:hAnsi="Arial" w:cs="Arial"/>
          <w:sz w:val="20"/>
          <w:szCs w:val="20"/>
        </w:rPr>
        <w:t xml:space="preserve">Amortization expense of intangible assets was </w:t>
      </w:r>
      <w:r>
        <w:rPr>
          <w:rFonts w:ascii="Arial" w:hAnsi="Arial" w:cs="Arial"/>
          <w:sz w:val="20"/>
          <w:szCs w:val="20"/>
        </w:rPr>
        <w:t>$</w:t>
      </w:r>
      <w:r>
        <w:rPr>
          <w:rFonts w:ascii="Arial" w:hAnsi="Arial" w:cs="Arial"/>
          <w:sz w:val="20"/>
          <w:szCs w:val="20"/>
        </w:rPr>
        <w:t>2.</w:t>
      </w:r>
      <w:r>
        <w:rPr>
          <w:rFonts w:ascii="Arial" w:hAnsi="Arial" w:cs="Arial"/>
          <w:sz w:val="20"/>
          <w:szCs w:val="20"/>
        </w:rPr>
        <w:t>9</w:t>
      </w:r>
      <w:r>
        <w:rPr>
          <w:rFonts w:ascii="Arial" w:hAnsi="Arial" w:cs="Arial"/>
          <w:sz w:val="20"/>
          <w:szCs w:val="20"/>
        </w:rPr>
        <w:t xml:space="preserve"> million, </w:t>
      </w:r>
      <w:r>
        <w:rPr>
          <w:rFonts w:ascii="Arial" w:hAnsi="Arial" w:cs="Arial"/>
          <w:sz w:val="20"/>
          <w:szCs w:val="20"/>
        </w:rPr>
        <w:t>$</w:t>
      </w:r>
      <w:r>
        <w:rPr>
          <w:rFonts w:ascii="Arial" w:hAnsi="Arial" w:cs="Arial"/>
          <w:sz w:val="20"/>
          <w:szCs w:val="20"/>
        </w:rPr>
        <w:t>0.</w:t>
      </w:r>
      <w:r>
        <w:rPr>
          <w:rFonts w:ascii="Arial" w:hAnsi="Arial" w:cs="Arial"/>
          <w:sz w:val="20"/>
          <w:szCs w:val="20"/>
        </w:rPr>
        <w:t>6</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1.</w:t>
      </w:r>
      <w:r>
        <w:rPr>
          <w:rFonts w:ascii="Arial" w:hAnsi="Arial" w:cs="Arial"/>
          <w:sz w:val="20"/>
          <w:szCs w:val="20"/>
        </w:rPr>
        <w:t>4</w:t>
      </w:r>
      <w:r>
        <w:rPr>
          <w:rFonts w:ascii="Arial" w:hAnsi="Arial" w:cs="Arial"/>
          <w:sz w:val="20"/>
          <w:szCs w:val="20"/>
        </w:rPr>
        <w:t xml:space="preserve"> million for the years ended December 31, 2021, 2020 and 2019 respectively</w:t>
      </w:r>
      <w:r>
        <w:rPr>
          <w:rFonts w:ascii="Arial" w:hAnsi="Arial" w:cs="Arial"/>
          <w:sz w:val="20"/>
          <w:szCs w:val="20"/>
        </w:rPr>
        <w:t>.</w:t>
      </w:r>
    </w:p>
    <w:p w:rsidR="00000000" w:rsidRDefault="00010F15">
      <w:pPr>
        <w:pStyle w:val="a3"/>
        <w:spacing w:before="120" w:beforeAutospacing="0" w:after="0" w:afterAutospacing="0"/>
        <w:ind w:firstLine="539"/>
        <w:divId w:val="225184491"/>
        <w:rPr>
          <w:sz w:val="20"/>
          <w:szCs w:val="20"/>
        </w:rPr>
      </w:pPr>
      <w:r>
        <w:rPr>
          <w:rFonts w:ascii="Arial" w:hAnsi="Arial" w:cs="Arial"/>
          <w:sz w:val="20"/>
          <w:szCs w:val="20"/>
        </w:rPr>
        <w:t>As of</w:t>
      </w:r>
      <w:r>
        <w:rPr>
          <w:rFonts w:ascii="Arial" w:hAnsi="Arial" w:cs="Arial"/>
          <w:sz w:val="20"/>
          <w:szCs w:val="20"/>
        </w:rPr>
        <w:t xml:space="preserve"> </w:t>
      </w:r>
      <w:r>
        <w:rPr>
          <w:rFonts w:ascii="Arial" w:hAnsi="Arial" w:cs="Arial"/>
          <w:sz w:val="20"/>
          <w:szCs w:val="20"/>
        </w:rPr>
        <w:t>December 31, 2021, future amortization expense is expected to be as follows (in thousands)</w:t>
      </w:r>
      <w:r>
        <w:rPr>
          <w:rFonts w:ascii="Arial" w:hAnsi="Arial" w:cs="Arial"/>
          <w:sz w:val="20"/>
          <w:szCs w:val="20"/>
        </w:rPr>
        <w:t>:</w:t>
      </w:r>
    </w:p>
    <w:p w:rsidR="00000000" w:rsidRDefault="00010F15">
      <w:pPr>
        <w:pStyle w:val="a3"/>
        <w:spacing w:before="0" w:beforeAutospacing="0" w:after="0" w:afterAutospacing="0"/>
        <w:divId w:val="225184491"/>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540"/>
        <w:gridCol w:w="156"/>
        <w:gridCol w:w="172"/>
        <w:gridCol w:w="1307"/>
        <w:gridCol w:w="131"/>
      </w:tblGrid>
      <w:tr w:rsidR="00000000">
        <w:trPr>
          <w:divId w:val="225184491"/>
          <w:tblCellSpacing w:w="15" w:type="dxa"/>
        </w:trPr>
        <w:tc>
          <w:tcPr>
            <w:tcW w:w="4008" w:type="pct"/>
            <w:vAlign w:val="center"/>
            <w:hideMark/>
          </w:tcPr>
          <w:p w:rsidR="00000000" w:rsidRDefault="00010F15">
            <w:pPr>
              <w:rPr>
                <w:sz w:val="20"/>
                <w:szCs w:val="20"/>
              </w:rPr>
            </w:pPr>
          </w:p>
        </w:tc>
        <w:tc>
          <w:tcPr>
            <w:tcW w:w="91"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799"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r>
      <w:tr w:rsidR="00000000">
        <w:trPr>
          <w:divId w:val="225184491"/>
          <w:trHeight w:val="160"/>
          <w:tblCellSpacing w:w="15" w:type="dxa"/>
        </w:trPr>
        <w:tc>
          <w:tcPr>
            <w:tcW w:w="0" w:type="auto"/>
            <w:hideMark/>
          </w:tcPr>
          <w:p w:rsidR="00000000" w:rsidRDefault="00010F15">
            <w:pPr>
              <w:pStyle w:val="a3"/>
              <w:spacing w:before="0" w:beforeAutospacing="0" w:after="0" w:afterAutospacing="0"/>
              <w:rPr>
                <w:sz w:val="16"/>
                <w:szCs w:val="16"/>
              </w:rPr>
            </w:pPr>
            <w:r>
              <w:rPr>
                <w:rFonts w:ascii="Arial" w:hAnsi="Arial" w:cs="Arial"/>
                <w:b/>
                <w:bCs/>
                <w:sz w:val="16"/>
                <w:szCs w:val="16"/>
              </w:rPr>
              <w:t>Years Ending December 31</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225184491"/>
          <w:trHeight w:val="200"/>
          <w:tblCellSpacing w:w="15" w:type="dxa"/>
        </w:trPr>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8,24</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225184491"/>
          <w:trHeight w:val="200"/>
          <w:tblCellSpacing w:w="15" w:type="dxa"/>
        </w:trPr>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8,04</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225184491"/>
          <w:trHeight w:val="200"/>
          <w:tblCellSpacing w:w="15" w:type="dxa"/>
        </w:trPr>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4</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7,65</w:t>
            </w:r>
            <w:r>
              <w:rPr>
                <w:rFonts w:ascii="Arial" w:hAnsi="Arial" w:cs="Arial"/>
                <w:sz w:val="20"/>
                <w:szCs w:val="20"/>
              </w:rPr>
              <w:t>8</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225184491"/>
          <w:trHeight w:val="200"/>
          <w:tblCellSpacing w:w="15" w:type="dxa"/>
        </w:trPr>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6,15</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225184491"/>
          <w:trHeight w:val="200"/>
          <w:tblCellSpacing w:w="15" w:type="dxa"/>
        </w:trPr>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3,26</w:t>
            </w:r>
            <w:r>
              <w:rPr>
                <w:rFonts w:ascii="Arial" w:hAnsi="Arial" w:cs="Arial"/>
                <w:sz w:val="20"/>
                <w:szCs w:val="20"/>
              </w:rPr>
              <w:t>9</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225184491"/>
          <w:trHeight w:val="200"/>
          <w:tblCellSpacing w:w="15" w:type="dxa"/>
        </w:trPr>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Thereafte</w:t>
            </w:r>
            <w:r>
              <w:rPr>
                <w:rFonts w:ascii="Arial" w:hAnsi="Arial" w:cs="Arial"/>
                <w:sz w:val="20"/>
                <w:szCs w:val="20"/>
              </w:rPr>
              <w:t>r</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8,71</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225184491"/>
          <w:trHeight w:val="200"/>
          <w:tblCellSpacing w:w="15" w:type="dxa"/>
        </w:trPr>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Total future amortization expens</w:t>
            </w:r>
            <w:r>
              <w:rPr>
                <w:rFonts w:ascii="Arial" w:hAnsi="Arial" w:cs="Arial"/>
                <w:sz w:val="20"/>
                <w:szCs w:val="20"/>
              </w:rPr>
              <w:t>e</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42,08</w:t>
            </w:r>
            <w:r>
              <w:rPr>
                <w:rFonts w:ascii="Arial" w:hAnsi="Arial" w:cs="Arial"/>
                <w:sz w:val="20"/>
                <w:szCs w:val="20"/>
              </w:rPr>
              <w:t>8</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bl>
    <w:p w:rsidR="00000000" w:rsidRDefault="00010F15">
      <w:pPr>
        <w:pStyle w:val="a3"/>
        <w:spacing w:before="0" w:beforeAutospacing="0" w:after="0" w:afterAutospacing="0"/>
        <w:ind w:firstLine="539"/>
        <w:rPr>
          <w:sz w:val="20"/>
          <w:szCs w:val="20"/>
        </w:rPr>
      </w:pPr>
      <w:r>
        <w:rPr>
          <w:rFonts w:ascii="Arial" w:hAnsi="Arial" w:cs="Arial"/>
          <w:sz w:val="20"/>
          <w:szCs w:val="20"/>
        </w:rPr>
        <w:t> </w:t>
      </w:r>
    </w:p>
    <w:p w:rsidR="00000000" w:rsidRDefault="00010F15">
      <w:pPr>
        <w:pStyle w:val="a3"/>
        <w:spacing w:before="160" w:beforeAutospacing="0" w:after="0" w:afterAutospacing="0"/>
        <w:ind w:hanging="422"/>
        <w:divId w:val="1582325199"/>
        <w:rPr>
          <w:sz w:val="20"/>
          <w:szCs w:val="20"/>
        </w:rPr>
      </w:pPr>
      <w:r>
        <w:rPr>
          <w:rFonts w:ascii="Arial" w:hAnsi="Arial" w:cs="Arial"/>
          <w:b/>
          <w:bCs/>
          <w:sz w:val="20"/>
          <w:szCs w:val="20"/>
        </w:rPr>
        <w:t>7. Lease</w:t>
      </w:r>
      <w:r>
        <w:rPr>
          <w:rFonts w:ascii="Arial" w:hAnsi="Arial" w:cs="Arial"/>
          <w:b/>
          <w:bCs/>
          <w:sz w:val="20"/>
          <w:szCs w:val="20"/>
        </w:rPr>
        <w:t>s</w:t>
      </w:r>
    </w:p>
    <w:p w:rsidR="00000000" w:rsidRDefault="00010F15">
      <w:pPr>
        <w:pStyle w:val="a3"/>
        <w:spacing w:before="240" w:beforeAutospacing="0" w:after="0" w:afterAutospacing="0"/>
        <w:ind w:firstLine="543"/>
        <w:divId w:val="1582325199"/>
        <w:rPr>
          <w:sz w:val="20"/>
          <w:szCs w:val="20"/>
        </w:rPr>
      </w:pPr>
      <w:r>
        <w:rPr>
          <w:rFonts w:ascii="Arial" w:hAnsi="Arial" w:cs="Arial"/>
          <w:sz w:val="20"/>
          <w:szCs w:val="20"/>
        </w:rPr>
        <w:t>The Company enters into operating and finance leases, primarily related to rental of office space, equipment and data centers. Both operating and finance leases have remaining lease terms which range from less than</w:t>
      </w:r>
      <w:r>
        <w:rPr>
          <w:rFonts w:ascii="Arial" w:hAnsi="Arial" w:cs="Arial"/>
          <w:sz w:val="20"/>
          <w:szCs w:val="20"/>
        </w:rPr>
        <w:t xml:space="preserve"> </w:t>
      </w:r>
      <w:r>
        <w:rPr>
          <w:rFonts w:ascii="Arial" w:hAnsi="Arial" w:cs="Arial"/>
          <w:sz w:val="20"/>
          <w:szCs w:val="20"/>
        </w:rPr>
        <w:t>one yea</w:t>
      </w:r>
      <w:r>
        <w:rPr>
          <w:rFonts w:ascii="Arial" w:hAnsi="Arial" w:cs="Arial"/>
          <w:sz w:val="20"/>
          <w:szCs w:val="20"/>
        </w:rPr>
        <w:t>r</w:t>
      </w:r>
      <w:r>
        <w:rPr>
          <w:rFonts w:ascii="Arial" w:hAnsi="Arial" w:cs="Arial"/>
          <w:sz w:val="20"/>
          <w:szCs w:val="20"/>
        </w:rPr>
        <w:t xml:space="preserve"> to</w:t>
      </w:r>
      <w:r>
        <w:rPr>
          <w:rFonts w:ascii="Arial" w:hAnsi="Arial" w:cs="Arial"/>
          <w:sz w:val="20"/>
          <w:szCs w:val="20"/>
        </w:rPr>
        <w:t xml:space="preserve"> </w:t>
      </w:r>
      <w:r>
        <w:rPr>
          <w:rFonts w:ascii="Arial" w:hAnsi="Arial" w:cs="Arial"/>
          <w:sz w:val="20"/>
          <w:szCs w:val="20"/>
        </w:rPr>
        <w:t>ten yea</w:t>
      </w:r>
      <w:r>
        <w:rPr>
          <w:rFonts w:ascii="Arial" w:hAnsi="Arial" w:cs="Arial"/>
          <w:sz w:val="20"/>
          <w:szCs w:val="20"/>
        </w:rPr>
        <w:t>r</w:t>
      </w:r>
      <w:r>
        <w:rPr>
          <w:rFonts w:ascii="Arial" w:hAnsi="Arial" w:cs="Arial"/>
          <w:sz w:val="20"/>
          <w:szCs w:val="20"/>
        </w:rPr>
        <w:t xml:space="preserve">s, and often include </w:t>
      </w:r>
      <w:r>
        <w:rPr>
          <w:rFonts w:ascii="Arial" w:hAnsi="Arial" w:cs="Arial"/>
          <w:sz w:val="20"/>
          <w:szCs w:val="20"/>
        </w:rPr>
        <w:t>one or more renewal or termination options. These options are not included in the determination of the lease term at commencement unless it is reasonably certain that the Company will exercise the option. During the year ended</w:t>
      </w:r>
      <w:r>
        <w:rPr>
          <w:rFonts w:ascii="Arial" w:hAnsi="Arial" w:cs="Arial"/>
          <w:sz w:val="20"/>
          <w:szCs w:val="20"/>
        </w:rPr>
        <w:t xml:space="preserve"> </w:t>
      </w:r>
      <w:r>
        <w:rPr>
          <w:rFonts w:ascii="Arial" w:hAnsi="Arial" w:cs="Arial"/>
          <w:sz w:val="20"/>
          <w:szCs w:val="20"/>
        </w:rPr>
        <w:t>December 31, 202</w:t>
      </w:r>
      <w:r>
        <w:rPr>
          <w:rFonts w:ascii="Arial" w:hAnsi="Arial" w:cs="Arial"/>
          <w:sz w:val="20"/>
          <w:szCs w:val="20"/>
        </w:rPr>
        <w:t>1</w:t>
      </w:r>
      <w:r>
        <w:rPr>
          <w:rFonts w:ascii="Arial" w:hAnsi="Arial" w:cs="Arial"/>
          <w:sz w:val="20"/>
          <w:szCs w:val="20"/>
        </w:rPr>
        <w:t>, the Compan</w:t>
      </w:r>
      <w:r>
        <w:rPr>
          <w:rFonts w:ascii="Arial" w:hAnsi="Arial" w:cs="Arial"/>
          <w:sz w:val="20"/>
          <w:szCs w:val="20"/>
        </w:rPr>
        <w:t xml:space="preserve">y recorded approximately </w:t>
      </w:r>
      <w:r>
        <w:rPr>
          <w:rFonts w:ascii="Arial" w:hAnsi="Arial" w:cs="Arial"/>
          <w:sz w:val="20"/>
          <w:szCs w:val="20"/>
        </w:rPr>
        <w:t>$</w:t>
      </w:r>
      <w:r>
        <w:rPr>
          <w:rFonts w:ascii="Arial" w:hAnsi="Arial" w:cs="Arial"/>
          <w:sz w:val="20"/>
          <w:szCs w:val="20"/>
        </w:rPr>
        <w:t>2.</w:t>
      </w:r>
      <w:r>
        <w:rPr>
          <w:rFonts w:ascii="Arial" w:hAnsi="Arial" w:cs="Arial"/>
          <w:sz w:val="20"/>
          <w:szCs w:val="20"/>
        </w:rPr>
        <w:t>5</w:t>
      </w:r>
      <w:r>
        <w:rPr>
          <w:rFonts w:ascii="Arial" w:hAnsi="Arial" w:cs="Arial"/>
          <w:sz w:val="20"/>
          <w:szCs w:val="20"/>
        </w:rPr>
        <w:t xml:space="preserve"> million for an additional right-of-use asset and related operating lease liability for an office lease that commenced in April</w:t>
      </w:r>
      <w:r>
        <w:rPr>
          <w:rFonts w:ascii="Arial" w:hAnsi="Arial" w:cs="Arial"/>
          <w:sz w:val="20"/>
          <w:szCs w:val="20"/>
        </w:rPr>
        <w:t xml:space="preserve"> </w:t>
      </w:r>
      <w:r>
        <w:rPr>
          <w:rFonts w:ascii="Arial" w:hAnsi="Arial" w:cs="Arial"/>
          <w:sz w:val="20"/>
          <w:szCs w:val="20"/>
        </w:rPr>
        <w:t>202</w:t>
      </w:r>
      <w:r>
        <w:rPr>
          <w:rFonts w:ascii="Arial" w:hAnsi="Arial" w:cs="Arial"/>
          <w:sz w:val="20"/>
          <w:szCs w:val="20"/>
        </w:rPr>
        <w:t>1</w:t>
      </w:r>
      <w:r>
        <w:rPr>
          <w:rFonts w:ascii="Arial" w:hAnsi="Arial" w:cs="Arial"/>
          <w:sz w:val="20"/>
          <w:szCs w:val="20"/>
        </w:rPr>
        <w:t>.</w:t>
      </w:r>
    </w:p>
    <w:p w:rsidR="00000000" w:rsidRDefault="00010F15">
      <w:pPr>
        <w:pStyle w:val="a3"/>
        <w:spacing w:before="120" w:beforeAutospacing="0" w:after="0" w:afterAutospacing="0"/>
        <w:ind w:firstLine="539"/>
        <w:divId w:val="1761370611"/>
        <w:rPr>
          <w:sz w:val="20"/>
          <w:szCs w:val="20"/>
        </w:rPr>
      </w:pPr>
      <w:r>
        <w:rPr>
          <w:rFonts w:ascii="Arial" w:hAnsi="Arial" w:cs="Arial"/>
          <w:sz w:val="20"/>
          <w:szCs w:val="20"/>
        </w:rPr>
        <w:t>The components of lease cost were as follows (in thousands)</w:t>
      </w:r>
      <w:r>
        <w:rPr>
          <w:rFonts w:ascii="Arial" w:hAnsi="Arial" w:cs="Arial"/>
          <w:sz w:val="20"/>
          <w:szCs w:val="20"/>
        </w:rPr>
        <w:t>:</w:t>
      </w:r>
    </w:p>
    <w:p w:rsidR="00000000" w:rsidRDefault="00010F15">
      <w:pPr>
        <w:pStyle w:val="a3"/>
        <w:spacing w:before="120" w:beforeAutospacing="0" w:after="0" w:afterAutospacing="0"/>
        <w:jc w:val="center"/>
        <w:divId w:val="1761370611"/>
        <w:rPr>
          <w:sz w:val="20"/>
          <w:szCs w:val="20"/>
        </w:rPr>
      </w:pPr>
      <w:r>
        <w:rPr>
          <w:rFonts w:ascii="Arial" w:hAnsi="Arial" w:cs="Arial"/>
          <w:sz w:val="20"/>
          <w:szCs w:val="20"/>
        </w:rPr>
        <w:t>9</w:t>
      </w:r>
      <w:r>
        <w:rPr>
          <w:rFonts w:ascii="Arial" w:hAnsi="Arial" w:cs="Arial"/>
          <w:sz w:val="20"/>
          <w:szCs w:val="20"/>
        </w:rPr>
        <w:t>0</w:t>
      </w:r>
    </w:p>
    <w:p w:rsidR="00000000" w:rsidRDefault="00010F15">
      <w:pPr>
        <w:divId w:val="1761370611"/>
        <w:rPr>
          <w:rFonts w:ascii="Arial" w:eastAsia="Times New Roman" w:hAnsi="Arial" w:cs="Arial"/>
          <w:sz w:val="20"/>
          <w:szCs w:val="20"/>
        </w:rPr>
      </w:pPr>
      <w:r>
        <w:rPr>
          <w:rFonts w:ascii="Arial" w:eastAsia="Times New Roman" w:hAnsi="Arial" w:cs="Arial"/>
          <w:sz w:val="20"/>
          <w:szCs w:val="20"/>
        </w:rPr>
        <w:pict>
          <v:rect id="_x0000_i1115" style="width:0;height:1.5pt" o:hralign="center" o:hrstd="t" o:hr="t" fillcolor="#a0a0a0" stroked="f"/>
        </w:pict>
      </w:r>
    </w:p>
    <w:p w:rsidR="00000000" w:rsidRDefault="00010F15">
      <w:pPr>
        <w:pStyle w:val="a3"/>
        <w:spacing w:before="0" w:beforeAutospacing="0" w:after="0" w:afterAutospacing="0"/>
        <w:divId w:val="1761370611"/>
        <w:rPr>
          <w:sz w:val="20"/>
          <w:szCs w:val="20"/>
        </w:rPr>
      </w:pPr>
      <w:r>
        <w:rPr>
          <w:sz w:val="20"/>
          <w:szCs w:val="20"/>
        </w:rPr>
        <w:t> </w:t>
      </w:r>
    </w:p>
    <w:p w:rsidR="00000000" w:rsidRDefault="00010F15">
      <w:pPr>
        <w:pStyle w:val="a3"/>
        <w:spacing w:before="0" w:beforeAutospacing="0" w:after="0" w:afterAutospacing="0"/>
        <w:divId w:val="1761370611"/>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88"/>
        <w:gridCol w:w="116"/>
        <w:gridCol w:w="907"/>
        <w:gridCol w:w="116"/>
        <w:gridCol w:w="907"/>
        <w:gridCol w:w="116"/>
        <w:gridCol w:w="172"/>
        <w:gridCol w:w="771"/>
        <w:gridCol w:w="116"/>
        <w:gridCol w:w="116"/>
        <w:gridCol w:w="172"/>
        <w:gridCol w:w="778"/>
        <w:gridCol w:w="131"/>
      </w:tblGrid>
      <w:tr w:rsidR="00000000">
        <w:trPr>
          <w:divId w:val="1761370611"/>
          <w:tblCellSpacing w:w="15" w:type="dxa"/>
        </w:trPr>
        <w:tc>
          <w:tcPr>
            <w:tcW w:w="2444" w:type="pct"/>
            <w:vAlign w:val="center"/>
            <w:hideMark/>
          </w:tcPr>
          <w:p w:rsidR="00000000" w:rsidRDefault="00010F15">
            <w:pPr>
              <w:rPr>
                <w:sz w:val="20"/>
                <w:szCs w:val="20"/>
              </w:rPr>
            </w:pPr>
          </w:p>
        </w:tc>
        <w:tc>
          <w:tcPr>
            <w:tcW w:w="56" w:type="pct"/>
            <w:vAlign w:val="center"/>
            <w:hideMark/>
          </w:tcPr>
          <w:p w:rsidR="00000000" w:rsidRDefault="00010F15">
            <w:pPr>
              <w:rPr>
                <w:rFonts w:eastAsia="Times New Roman"/>
                <w:sz w:val="20"/>
                <w:szCs w:val="20"/>
              </w:rPr>
            </w:pPr>
          </w:p>
        </w:tc>
        <w:tc>
          <w:tcPr>
            <w:tcW w:w="574" w:type="pct"/>
            <w:vAlign w:val="center"/>
            <w:hideMark/>
          </w:tcPr>
          <w:p w:rsidR="00000000" w:rsidRDefault="00010F15">
            <w:pPr>
              <w:rPr>
                <w:rFonts w:eastAsia="Times New Roman"/>
                <w:sz w:val="20"/>
                <w:szCs w:val="20"/>
              </w:rPr>
            </w:pPr>
          </w:p>
        </w:tc>
        <w:tc>
          <w:tcPr>
            <w:tcW w:w="56" w:type="pct"/>
            <w:vAlign w:val="center"/>
            <w:hideMark/>
          </w:tcPr>
          <w:p w:rsidR="00000000" w:rsidRDefault="00010F15">
            <w:pPr>
              <w:rPr>
                <w:rFonts w:eastAsia="Times New Roman"/>
                <w:sz w:val="20"/>
                <w:szCs w:val="20"/>
              </w:rPr>
            </w:pPr>
          </w:p>
        </w:tc>
        <w:tc>
          <w:tcPr>
            <w:tcW w:w="574" w:type="pct"/>
            <w:vAlign w:val="center"/>
            <w:hideMark/>
          </w:tcPr>
          <w:p w:rsidR="00000000" w:rsidRDefault="00010F15">
            <w:pPr>
              <w:rPr>
                <w:rFonts w:eastAsia="Times New Roman"/>
                <w:sz w:val="20"/>
                <w:szCs w:val="20"/>
              </w:rPr>
            </w:pPr>
          </w:p>
        </w:tc>
        <w:tc>
          <w:tcPr>
            <w:tcW w:w="56"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488"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56"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492"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r>
      <w:tr w:rsidR="00000000">
        <w:trPr>
          <w:divId w:val="1761370611"/>
          <w:trHeight w:val="16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3"/>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6"/>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Year Ended December 31</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divId w:val="1761370611"/>
          <w:trHeight w:val="16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divId w:val="1761370611"/>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Operating lease cos</w:t>
            </w:r>
            <w:r>
              <w:rPr>
                <w:rFonts w:ascii="Arial" w:hAnsi="Arial" w:cs="Arial"/>
                <w:sz w:val="20"/>
                <w:szCs w:val="20"/>
              </w:rPr>
              <w:t>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2,84</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3,02</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761370611"/>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Finance lease cos</w:t>
            </w:r>
            <w:r>
              <w:rPr>
                <w:rFonts w:ascii="Arial" w:hAnsi="Arial" w:cs="Arial"/>
                <w:sz w:val="20"/>
                <w:szCs w:val="20"/>
              </w:rPr>
              <w:t>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r>
      <w:tr w:rsidR="00000000">
        <w:trPr>
          <w:divId w:val="1761370611"/>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Depreciation expens</w:t>
            </w:r>
            <w:r>
              <w:rPr>
                <w:rFonts w:ascii="Arial" w:hAnsi="Arial" w:cs="Arial"/>
                <w:sz w:val="20"/>
                <w:szCs w:val="20"/>
              </w:rPr>
              <w:t>e</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27</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30</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761370611"/>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Interest on finance lease liabilitie</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761370611"/>
          <w:trHeight w:val="200"/>
          <w:tblCellSpacing w:w="15" w:type="dxa"/>
        </w:trPr>
        <w:tc>
          <w:tcPr>
            <w:tcW w:w="0" w:type="auto"/>
            <w:vAlign w:val="bottom"/>
            <w:hideMark/>
          </w:tcPr>
          <w:p w:rsidR="00000000" w:rsidRDefault="00010F15">
            <w:pPr>
              <w:pStyle w:val="a3"/>
              <w:spacing w:before="0" w:beforeAutospacing="0" w:after="0" w:afterAutospacing="0"/>
              <w:ind w:left="280"/>
              <w:rPr>
                <w:sz w:val="20"/>
                <w:szCs w:val="20"/>
              </w:rPr>
            </w:pPr>
            <w:r>
              <w:rPr>
                <w:rFonts w:ascii="Arial" w:hAnsi="Arial" w:cs="Arial"/>
                <w:sz w:val="20"/>
                <w:szCs w:val="20"/>
              </w:rPr>
              <w:t>Total finance lease cos</w:t>
            </w:r>
            <w:r>
              <w:rPr>
                <w:rFonts w:ascii="Arial" w:hAnsi="Arial" w:cs="Arial"/>
                <w:sz w:val="20"/>
                <w:szCs w:val="20"/>
              </w:rPr>
              <w:t>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28</w:t>
            </w:r>
            <w:r>
              <w:rPr>
                <w:rFonts w:ascii="Arial" w:hAnsi="Arial" w:cs="Arial"/>
                <w:sz w:val="20"/>
                <w:szCs w:val="20"/>
              </w:rPr>
              <w:t>8</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32</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761370611"/>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Short-term lease cos</w:t>
            </w:r>
            <w:r>
              <w:rPr>
                <w:rFonts w:ascii="Arial" w:hAnsi="Arial" w:cs="Arial"/>
                <w:sz w:val="20"/>
                <w:szCs w:val="20"/>
              </w:rPr>
              <w:t>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1,06</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34</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761370611"/>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Total lease cos</w:t>
            </w:r>
            <w:r>
              <w:rPr>
                <w:rFonts w:ascii="Arial" w:hAnsi="Arial" w:cs="Arial"/>
                <w:sz w:val="20"/>
                <w:szCs w:val="20"/>
              </w:rPr>
              <w:t>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4,19</w:t>
            </w:r>
            <w:r>
              <w:rPr>
                <w:rFonts w:ascii="Arial" w:hAnsi="Arial" w:cs="Arial"/>
                <w:sz w:val="20"/>
                <w:szCs w:val="20"/>
              </w:rPr>
              <w:t>8</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3,69</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bl>
    <w:p w:rsidR="00000000" w:rsidRDefault="00010F15">
      <w:pPr>
        <w:pStyle w:val="a3"/>
        <w:spacing w:before="0" w:beforeAutospacing="0" w:after="0" w:afterAutospacing="0"/>
        <w:divId w:val="1582325199"/>
        <w:rPr>
          <w:sz w:val="20"/>
          <w:szCs w:val="20"/>
        </w:rPr>
      </w:pPr>
      <w:r>
        <w:rPr>
          <w:rFonts w:ascii="Arial" w:hAnsi="Arial" w:cs="Arial"/>
          <w:sz w:val="20"/>
          <w:szCs w:val="20"/>
        </w:rPr>
        <w:t> </w:t>
      </w:r>
    </w:p>
    <w:p w:rsidR="00000000" w:rsidRDefault="00010F15">
      <w:pPr>
        <w:pStyle w:val="a3"/>
        <w:spacing w:before="0" w:beforeAutospacing="0" w:after="0" w:afterAutospacing="0"/>
        <w:ind w:firstLine="539"/>
        <w:divId w:val="1333600903"/>
        <w:rPr>
          <w:sz w:val="20"/>
          <w:szCs w:val="20"/>
        </w:rPr>
      </w:pPr>
      <w:r>
        <w:rPr>
          <w:rFonts w:ascii="Arial" w:hAnsi="Arial" w:cs="Arial"/>
          <w:sz w:val="20"/>
          <w:szCs w:val="20"/>
        </w:rPr>
        <w:t>Supplemental cash flow information related to leases was as follows (in thousands)</w:t>
      </w:r>
      <w:r>
        <w:rPr>
          <w:rFonts w:ascii="Arial" w:hAnsi="Arial" w:cs="Arial"/>
          <w:sz w:val="20"/>
          <w:szCs w:val="20"/>
        </w:rPr>
        <w:t>:</w:t>
      </w:r>
    </w:p>
    <w:p w:rsidR="00000000" w:rsidRDefault="00010F15">
      <w:pPr>
        <w:pStyle w:val="a3"/>
        <w:spacing w:before="0" w:beforeAutospacing="0" w:after="0" w:afterAutospacing="0"/>
        <w:divId w:val="1333600903"/>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88"/>
        <w:gridCol w:w="116"/>
        <w:gridCol w:w="907"/>
        <w:gridCol w:w="116"/>
        <w:gridCol w:w="907"/>
        <w:gridCol w:w="116"/>
        <w:gridCol w:w="172"/>
        <w:gridCol w:w="771"/>
        <w:gridCol w:w="116"/>
        <w:gridCol w:w="116"/>
        <w:gridCol w:w="172"/>
        <w:gridCol w:w="778"/>
        <w:gridCol w:w="131"/>
      </w:tblGrid>
      <w:tr w:rsidR="00000000">
        <w:trPr>
          <w:divId w:val="1333600903"/>
          <w:tblCellSpacing w:w="15" w:type="dxa"/>
        </w:trPr>
        <w:tc>
          <w:tcPr>
            <w:tcW w:w="2444" w:type="pct"/>
            <w:vAlign w:val="center"/>
            <w:hideMark/>
          </w:tcPr>
          <w:p w:rsidR="00000000" w:rsidRDefault="00010F15">
            <w:pPr>
              <w:rPr>
                <w:sz w:val="20"/>
                <w:szCs w:val="20"/>
              </w:rPr>
            </w:pPr>
          </w:p>
        </w:tc>
        <w:tc>
          <w:tcPr>
            <w:tcW w:w="56" w:type="pct"/>
            <w:vAlign w:val="center"/>
            <w:hideMark/>
          </w:tcPr>
          <w:p w:rsidR="00000000" w:rsidRDefault="00010F15">
            <w:pPr>
              <w:rPr>
                <w:rFonts w:eastAsia="Times New Roman"/>
                <w:sz w:val="20"/>
                <w:szCs w:val="20"/>
              </w:rPr>
            </w:pPr>
          </w:p>
        </w:tc>
        <w:tc>
          <w:tcPr>
            <w:tcW w:w="574" w:type="pct"/>
            <w:vAlign w:val="center"/>
            <w:hideMark/>
          </w:tcPr>
          <w:p w:rsidR="00000000" w:rsidRDefault="00010F15">
            <w:pPr>
              <w:rPr>
                <w:rFonts w:eastAsia="Times New Roman"/>
                <w:sz w:val="20"/>
                <w:szCs w:val="20"/>
              </w:rPr>
            </w:pPr>
          </w:p>
        </w:tc>
        <w:tc>
          <w:tcPr>
            <w:tcW w:w="56" w:type="pct"/>
            <w:vAlign w:val="center"/>
            <w:hideMark/>
          </w:tcPr>
          <w:p w:rsidR="00000000" w:rsidRDefault="00010F15">
            <w:pPr>
              <w:rPr>
                <w:rFonts w:eastAsia="Times New Roman"/>
                <w:sz w:val="20"/>
                <w:szCs w:val="20"/>
              </w:rPr>
            </w:pPr>
          </w:p>
        </w:tc>
        <w:tc>
          <w:tcPr>
            <w:tcW w:w="574" w:type="pct"/>
            <w:vAlign w:val="center"/>
            <w:hideMark/>
          </w:tcPr>
          <w:p w:rsidR="00000000" w:rsidRDefault="00010F15">
            <w:pPr>
              <w:rPr>
                <w:rFonts w:eastAsia="Times New Roman"/>
                <w:sz w:val="20"/>
                <w:szCs w:val="20"/>
              </w:rPr>
            </w:pPr>
          </w:p>
        </w:tc>
        <w:tc>
          <w:tcPr>
            <w:tcW w:w="56"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488"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56"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492"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r>
      <w:tr w:rsidR="00000000">
        <w:trPr>
          <w:divId w:val="1333600903"/>
          <w:trHeight w:val="16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3"/>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6"/>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Year Ended December 31</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divId w:val="1333600903"/>
          <w:trHeight w:val="16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divId w:val="1333600903"/>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Cash paid for amounts included in the measurement of lease liabilitie</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333600903"/>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Operating cash flows for operating lease</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2,75</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2,65</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333600903"/>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Operating cash flows for finance lease</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333600903"/>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Financing cash flows for finance lease</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27</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32</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333600903"/>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Right-of-use assets obtained in exchange of operating lease obligation</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2,55</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7,67</w:t>
            </w:r>
            <w:r>
              <w:rPr>
                <w:rFonts w:ascii="Arial" w:hAnsi="Arial" w:cs="Arial"/>
                <w:sz w:val="20"/>
                <w:szCs w:val="20"/>
              </w:rPr>
              <w:t>8</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333600903"/>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Property and equipment obtained in exchange of finance lease obligation</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81</w:t>
            </w:r>
            <w:r>
              <w:rPr>
                <w:rFonts w:ascii="Arial" w:hAnsi="Arial" w:cs="Arial"/>
                <w:sz w:val="20"/>
                <w:szCs w:val="20"/>
              </w:rPr>
              <w:t>4</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bl>
    <w:p w:rsidR="00000000" w:rsidRDefault="00010F15">
      <w:pPr>
        <w:pStyle w:val="a3"/>
        <w:spacing w:before="240" w:beforeAutospacing="0" w:after="120" w:afterAutospacing="0"/>
        <w:ind w:firstLine="539"/>
        <w:divId w:val="1333600903"/>
        <w:rPr>
          <w:sz w:val="20"/>
          <w:szCs w:val="20"/>
        </w:rPr>
      </w:pPr>
      <w:r>
        <w:rPr>
          <w:rFonts w:ascii="Arial" w:hAnsi="Arial" w:cs="Arial"/>
          <w:sz w:val="20"/>
          <w:szCs w:val="20"/>
        </w:rPr>
        <w:t>Weighted-average remaining lease term and discount rate for the Company’s leases were as follows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69"/>
        <w:gridCol w:w="123"/>
        <w:gridCol w:w="116"/>
        <w:gridCol w:w="1021"/>
        <w:gridCol w:w="238"/>
        <w:gridCol w:w="124"/>
        <w:gridCol w:w="116"/>
        <w:gridCol w:w="1022"/>
        <w:gridCol w:w="238"/>
        <w:gridCol w:w="139"/>
      </w:tblGrid>
      <w:tr w:rsidR="00000000">
        <w:trPr>
          <w:divId w:val="1333600903"/>
          <w:tblCellSpacing w:w="15" w:type="dxa"/>
        </w:trPr>
        <w:tc>
          <w:tcPr>
            <w:tcW w:w="3224" w:type="pct"/>
            <w:vAlign w:val="center"/>
            <w:hideMark/>
          </w:tcPr>
          <w:p w:rsidR="00000000" w:rsidRDefault="00010F15">
            <w:pPr>
              <w:rPr>
                <w:sz w:val="20"/>
                <w:szCs w:val="20"/>
              </w:rPr>
            </w:pPr>
          </w:p>
        </w:tc>
        <w:tc>
          <w:tcPr>
            <w:tcW w:w="74"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636" w:type="pct"/>
            <w:vAlign w:val="center"/>
            <w:hideMark/>
          </w:tcPr>
          <w:p w:rsidR="00000000" w:rsidRDefault="00010F15">
            <w:pPr>
              <w:rPr>
                <w:rFonts w:eastAsia="Times New Roman"/>
                <w:sz w:val="20"/>
                <w:szCs w:val="20"/>
              </w:rPr>
            </w:pPr>
          </w:p>
        </w:tc>
        <w:tc>
          <w:tcPr>
            <w:tcW w:w="106" w:type="pct"/>
            <w:vAlign w:val="center"/>
            <w:hideMark/>
          </w:tcPr>
          <w:p w:rsidR="00000000" w:rsidRDefault="00010F15">
            <w:pPr>
              <w:rPr>
                <w:rFonts w:eastAsia="Times New Roman"/>
                <w:sz w:val="20"/>
                <w:szCs w:val="20"/>
              </w:rPr>
            </w:pPr>
          </w:p>
        </w:tc>
        <w:tc>
          <w:tcPr>
            <w:tcW w:w="74"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636" w:type="pct"/>
            <w:vAlign w:val="center"/>
            <w:hideMark/>
          </w:tcPr>
          <w:p w:rsidR="00000000" w:rsidRDefault="00010F15">
            <w:pPr>
              <w:rPr>
                <w:rFonts w:eastAsia="Times New Roman"/>
                <w:sz w:val="20"/>
                <w:szCs w:val="20"/>
              </w:rPr>
            </w:pPr>
          </w:p>
        </w:tc>
        <w:tc>
          <w:tcPr>
            <w:tcW w:w="106" w:type="pct"/>
            <w:vAlign w:val="center"/>
            <w:hideMark/>
          </w:tcPr>
          <w:p w:rsidR="00000000" w:rsidRDefault="00010F15">
            <w:pPr>
              <w:rPr>
                <w:rFonts w:eastAsia="Times New Roman"/>
                <w:sz w:val="20"/>
                <w:szCs w:val="20"/>
              </w:rPr>
            </w:pPr>
          </w:p>
        </w:tc>
        <w:tc>
          <w:tcPr>
            <w:tcW w:w="74" w:type="pct"/>
            <w:vAlign w:val="center"/>
            <w:hideMark/>
          </w:tcPr>
          <w:p w:rsidR="00000000" w:rsidRDefault="00010F15">
            <w:pPr>
              <w:rPr>
                <w:rFonts w:eastAsia="Times New Roman"/>
                <w:sz w:val="20"/>
                <w:szCs w:val="20"/>
              </w:rPr>
            </w:pPr>
          </w:p>
        </w:tc>
      </w:tr>
      <w:tr w:rsidR="00000000">
        <w:trPr>
          <w:divId w:val="1333600903"/>
          <w:trHeight w:val="16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6"/>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December 31</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333600903"/>
          <w:trHeight w:val="16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333600903"/>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Weighted-average remaining lease term (years</w:t>
            </w: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333600903"/>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Operating lease</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6.</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333600903"/>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Finance lease</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333600903"/>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Weighted-average discount rat</w:t>
            </w:r>
            <w:r>
              <w:rPr>
                <w:rFonts w:ascii="Arial" w:hAnsi="Arial" w:cs="Arial"/>
                <w:sz w:val="20"/>
                <w:szCs w:val="20"/>
              </w:rPr>
              <w:t>e</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333600903"/>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Operating lease</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2.8</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2.9</w:t>
            </w:r>
            <w:r>
              <w:rPr>
                <w:rFonts w:ascii="Arial" w:hAnsi="Arial" w:cs="Arial"/>
                <w:sz w:val="20"/>
                <w:szCs w:val="20"/>
              </w:rPr>
              <w:t>8</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333600903"/>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Finance lease</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3.2</w:t>
            </w:r>
            <w:r>
              <w:rPr>
                <w:rFonts w:ascii="Arial" w:hAnsi="Arial" w:cs="Arial"/>
                <w:sz w:val="20"/>
                <w:szCs w:val="20"/>
              </w:rPr>
              <w:t>4</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3.2</w:t>
            </w:r>
            <w:r>
              <w:rPr>
                <w:rFonts w:ascii="Arial" w:hAnsi="Arial" w:cs="Arial"/>
                <w:sz w:val="20"/>
                <w:szCs w:val="20"/>
              </w:rPr>
              <w:t>4</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bl>
    <w:p w:rsidR="00000000" w:rsidRDefault="00010F15">
      <w:pPr>
        <w:pStyle w:val="a3"/>
        <w:spacing w:before="240" w:beforeAutospacing="0" w:after="0" w:afterAutospacing="0"/>
        <w:ind w:firstLine="539"/>
        <w:divId w:val="1412656311"/>
        <w:rPr>
          <w:sz w:val="20"/>
          <w:szCs w:val="20"/>
        </w:rPr>
      </w:pPr>
      <w:r>
        <w:rPr>
          <w:rFonts w:ascii="Arial" w:hAnsi="Arial" w:cs="Arial"/>
          <w:sz w:val="20"/>
          <w:szCs w:val="20"/>
        </w:rPr>
        <w:t>The total remaining lease payments under non-cancelable operating and finance leases as of</w:t>
      </w:r>
      <w:r>
        <w:rPr>
          <w:rFonts w:ascii="Arial" w:hAnsi="Arial" w:cs="Arial"/>
          <w:sz w:val="20"/>
          <w:szCs w:val="20"/>
        </w:rPr>
        <w:t xml:space="preserve"> </w:t>
      </w:r>
      <w:r>
        <w:rPr>
          <w:rFonts w:ascii="Arial" w:hAnsi="Arial" w:cs="Arial"/>
          <w:sz w:val="20"/>
          <w:szCs w:val="20"/>
        </w:rPr>
        <w:t>December 31, 2021 were as follows (in thousands)</w:t>
      </w:r>
      <w:r>
        <w:rPr>
          <w:rFonts w:ascii="Arial" w:hAnsi="Arial" w:cs="Arial"/>
          <w:sz w:val="20"/>
          <w:szCs w:val="20"/>
        </w:rPr>
        <w:t>:</w:t>
      </w:r>
      <w:r>
        <w:rPr>
          <w:rFonts w:ascii="Arial" w:hAnsi="Arial" w:cs="Arial"/>
          <w:sz w:val="20"/>
          <w:szCs w:val="20"/>
        </w:rPr>
        <w:t xml:space="preserve"> </w:t>
      </w:r>
    </w:p>
    <w:p w:rsidR="00000000" w:rsidRDefault="00010F15">
      <w:pPr>
        <w:pStyle w:val="a3"/>
        <w:spacing w:before="0" w:beforeAutospacing="0" w:after="0" w:afterAutospacing="0"/>
        <w:divId w:val="1412656311"/>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67"/>
        <w:gridCol w:w="122"/>
        <w:gridCol w:w="173"/>
        <w:gridCol w:w="1091"/>
        <w:gridCol w:w="127"/>
        <w:gridCol w:w="122"/>
        <w:gridCol w:w="173"/>
        <w:gridCol w:w="1089"/>
        <w:gridCol w:w="142"/>
      </w:tblGrid>
      <w:tr w:rsidR="00000000">
        <w:trPr>
          <w:divId w:val="1412656311"/>
          <w:tblCellSpacing w:w="15" w:type="dxa"/>
        </w:trPr>
        <w:tc>
          <w:tcPr>
            <w:tcW w:w="3275" w:type="pct"/>
            <w:vAlign w:val="center"/>
            <w:hideMark/>
          </w:tcPr>
          <w:p w:rsidR="00000000" w:rsidRDefault="00010F15">
            <w:pPr>
              <w:rPr>
                <w:sz w:val="20"/>
                <w:szCs w:val="20"/>
              </w:rPr>
            </w:pPr>
          </w:p>
        </w:tc>
        <w:tc>
          <w:tcPr>
            <w:tcW w:w="75"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679" w:type="pct"/>
            <w:vAlign w:val="center"/>
            <w:hideMark/>
          </w:tcPr>
          <w:p w:rsidR="00000000" w:rsidRDefault="00010F15">
            <w:pPr>
              <w:rPr>
                <w:rFonts w:eastAsia="Times New Roman"/>
                <w:sz w:val="20"/>
                <w:szCs w:val="20"/>
              </w:rPr>
            </w:pPr>
          </w:p>
        </w:tc>
        <w:tc>
          <w:tcPr>
            <w:tcW w:w="39" w:type="pct"/>
            <w:vAlign w:val="center"/>
            <w:hideMark/>
          </w:tcPr>
          <w:p w:rsidR="00000000" w:rsidRDefault="00010F15">
            <w:pPr>
              <w:rPr>
                <w:rFonts w:eastAsia="Times New Roman"/>
                <w:sz w:val="20"/>
                <w:szCs w:val="20"/>
              </w:rPr>
            </w:pPr>
          </w:p>
        </w:tc>
        <w:tc>
          <w:tcPr>
            <w:tcW w:w="75"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678" w:type="pct"/>
            <w:vAlign w:val="center"/>
            <w:hideMark/>
          </w:tcPr>
          <w:p w:rsidR="00000000" w:rsidRDefault="00010F15">
            <w:pPr>
              <w:rPr>
                <w:rFonts w:eastAsia="Times New Roman"/>
                <w:sz w:val="20"/>
                <w:szCs w:val="20"/>
              </w:rPr>
            </w:pPr>
          </w:p>
        </w:tc>
        <w:tc>
          <w:tcPr>
            <w:tcW w:w="39" w:type="pct"/>
            <w:vAlign w:val="center"/>
            <w:hideMark/>
          </w:tcPr>
          <w:p w:rsidR="00000000" w:rsidRDefault="00010F15">
            <w:pPr>
              <w:rPr>
                <w:rFonts w:eastAsia="Times New Roman"/>
                <w:sz w:val="20"/>
                <w:szCs w:val="20"/>
              </w:rPr>
            </w:pPr>
          </w:p>
        </w:tc>
      </w:tr>
      <w:tr w:rsidR="00000000">
        <w:trPr>
          <w:divId w:val="1412656311"/>
          <w:trHeight w:val="160"/>
          <w:tblCellSpacing w:w="15" w:type="dxa"/>
        </w:trPr>
        <w:tc>
          <w:tcPr>
            <w:tcW w:w="0" w:type="auto"/>
            <w:vAlign w:val="bottom"/>
            <w:hideMark/>
          </w:tcPr>
          <w:p w:rsidR="00000000" w:rsidRDefault="00010F15">
            <w:pPr>
              <w:pStyle w:val="a3"/>
              <w:spacing w:before="0" w:beforeAutospacing="0" w:after="0" w:afterAutospacing="0"/>
              <w:rPr>
                <w:sz w:val="16"/>
                <w:szCs w:val="16"/>
              </w:rPr>
            </w:pPr>
            <w:r>
              <w:rPr>
                <w:rFonts w:ascii="Arial" w:hAnsi="Arial" w:cs="Arial"/>
                <w:b/>
                <w:bCs/>
                <w:sz w:val="16"/>
                <w:szCs w:val="16"/>
              </w:rPr>
              <w:t>Years Ending December 31</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Operating Lease</w:t>
            </w:r>
            <w:r>
              <w:rPr>
                <w:rFonts w:ascii="Arial" w:hAnsi="Arial" w:cs="Arial"/>
                <w:b/>
                <w:bCs/>
                <w:sz w:val="16"/>
                <w:szCs w:val="16"/>
              </w:rPr>
              <w:t>s</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Finance Lease</w:t>
            </w:r>
            <w:r>
              <w:rPr>
                <w:rFonts w:ascii="Arial" w:hAnsi="Arial" w:cs="Arial"/>
                <w:b/>
                <w:bCs/>
                <w:sz w:val="16"/>
                <w:szCs w:val="16"/>
              </w:rPr>
              <w:t>s</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divId w:val="1412656311"/>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1,72</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27</w:t>
            </w: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412656311"/>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84</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412656311"/>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4</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83</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412656311"/>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84</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412656311"/>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85</w:t>
            </w:r>
            <w:r>
              <w:rPr>
                <w:rFonts w:ascii="Arial" w:hAnsi="Arial" w:cs="Arial"/>
                <w:sz w:val="20"/>
                <w:szCs w:val="20"/>
              </w:rPr>
              <w:t>8</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412656311"/>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Thereafte</w:t>
            </w:r>
            <w:r>
              <w:rPr>
                <w:rFonts w:ascii="Arial" w:hAnsi="Arial" w:cs="Arial"/>
                <w:sz w:val="20"/>
                <w:szCs w:val="20"/>
              </w:rPr>
              <w:t>r</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3,69</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412656311"/>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Total minimum lease payments including interes</w:t>
            </w:r>
            <w:r>
              <w:rPr>
                <w:rFonts w:ascii="Arial" w:hAnsi="Arial" w:cs="Arial"/>
                <w:sz w:val="20"/>
                <w:szCs w:val="20"/>
              </w:rPr>
              <w:t>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8,79</w:t>
            </w:r>
            <w:r>
              <w:rPr>
                <w:rFonts w:ascii="Arial" w:hAnsi="Arial" w:cs="Arial"/>
                <w:sz w:val="20"/>
                <w:szCs w:val="20"/>
              </w:rPr>
              <w:t>9</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37</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412656311"/>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Less imputed interes</w:t>
            </w:r>
            <w:r>
              <w:rPr>
                <w:rFonts w:ascii="Arial" w:hAnsi="Arial" w:cs="Arial"/>
                <w:sz w:val="20"/>
                <w:szCs w:val="20"/>
              </w:rPr>
              <w:t>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88</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w:t>
            </w: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r>
      <w:tr w:rsidR="00000000">
        <w:trPr>
          <w:divId w:val="1412656311"/>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Total lease liabilitie</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7,91</w:t>
            </w:r>
            <w:r>
              <w:rPr>
                <w:rFonts w:ascii="Arial" w:hAnsi="Arial" w:cs="Arial"/>
                <w:sz w:val="20"/>
                <w:szCs w:val="20"/>
              </w:rPr>
              <w:t>9</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36</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bl>
    <w:p w:rsidR="00000000" w:rsidRDefault="00010F15">
      <w:pPr>
        <w:pStyle w:val="a3"/>
        <w:spacing w:before="240" w:beforeAutospacing="0" w:after="0" w:afterAutospacing="0"/>
        <w:ind w:firstLine="539"/>
        <w:divId w:val="1582325199"/>
        <w:rPr>
          <w:sz w:val="20"/>
          <w:szCs w:val="20"/>
        </w:rPr>
      </w:pPr>
      <w:r>
        <w:rPr>
          <w:rFonts w:ascii="Arial" w:hAnsi="Arial" w:cs="Arial"/>
          <w:sz w:val="20"/>
          <w:szCs w:val="20"/>
        </w:rPr>
        <w:t>In January 2022, the Company signed a new lease agreement that commences in April 2022 with a lease term of</w:t>
      </w:r>
      <w:r>
        <w:rPr>
          <w:rFonts w:ascii="Arial" w:hAnsi="Arial" w:cs="Arial"/>
          <w:sz w:val="20"/>
          <w:szCs w:val="20"/>
        </w:rPr>
        <w:t xml:space="preserve"> </w:t>
      </w:r>
      <w:r>
        <w:rPr>
          <w:rFonts w:ascii="Arial" w:hAnsi="Arial" w:cs="Arial"/>
          <w:sz w:val="20"/>
          <w:szCs w:val="20"/>
        </w:rPr>
        <w:t>five year</w:t>
      </w:r>
      <w:r>
        <w:rPr>
          <w:rFonts w:ascii="Arial" w:hAnsi="Arial" w:cs="Arial"/>
          <w:sz w:val="20"/>
          <w:szCs w:val="20"/>
        </w:rPr>
        <w:t>s</w:t>
      </w:r>
      <w:r>
        <w:rPr>
          <w:rFonts w:ascii="Arial" w:hAnsi="Arial" w:cs="Arial"/>
          <w:sz w:val="20"/>
          <w:szCs w:val="20"/>
        </w:rPr>
        <w:t xml:space="preserve">, for a total of </w:t>
      </w:r>
      <w:r>
        <w:rPr>
          <w:rFonts w:ascii="Arial" w:hAnsi="Arial" w:cs="Arial"/>
          <w:sz w:val="20"/>
          <w:szCs w:val="20"/>
        </w:rPr>
        <w:t>$</w:t>
      </w:r>
      <w:r>
        <w:rPr>
          <w:rFonts w:ascii="Arial" w:hAnsi="Arial" w:cs="Arial"/>
          <w:sz w:val="20"/>
          <w:szCs w:val="20"/>
        </w:rPr>
        <w:t>4.</w:t>
      </w:r>
      <w:r>
        <w:rPr>
          <w:rFonts w:ascii="Arial" w:hAnsi="Arial" w:cs="Arial"/>
          <w:sz w:val="20"/>
          <w:szCs w:val="20"/>
        </w:rPr>
        <w:t>5</w:t>
      </w:r>
      <w:r>
        <w:rPr>
          <w:rFonts w:ascii="Arial" w:hAnsi="Arial" w:cs="Arial"/>
          <w:sz w:val="20"/>
          <w:szCs w:val="20"/>
        </w:rPr>
        <w:t xml:space="preserve"> million in future operating lease payments</w:t>
      </w:r>
      <w:r>
        <w:rPr>
          <w:rFonts w:ascii="Arial" w:hAnsi="Arial" w:cs="Arial"/>
          <w:sz w:val="20"/>
          <w:szCs w:val="20"/>
        </w:rPr>
        <w:t>.</w:t>
      </w:r>
    </w:p>
    <w:p w:rsidR="00000000" w:rsidRDefault="00010F15">
      <w:pPr>
        <w:pStyle w:val="a3"/>
        <w:spacing w:before="120" w:beforeAutospacing="0" w:after="0" w:afterAutospacing="0"/>
        <w:jc w:val="center"/>
        <w:rPr>
          <w:sz w:val="20"/>
          <w:szCs w:val="20"/>
        </w:rPr>
      </w:pPr>
      <w:r>
        <w:rPr>
          <w:rFonts w:ascii="Arial" w:hAnsi="Arial" w:cs="Arial"/>
          <w:sz w:val="20"/>
          <w:szCs w:val="20"/>
        </w:rPr>
        <w:t>9</w:t>
      </w:r>
      <w:r>
        <w:rPr>
          <w:rFonts w:ascii="Arial" w:hAnsi="Arial" w:cs="Arial"/>
          <w:sz w:val="20"/>
          <w:szCs w:val="20"/>
        </w:rPr>
        <w:t>1</w:t>
      </w:r>
    </w:p>
    <w:p w:rsidR="00000000" w:rsidRDefault="00010F15">
      <w:pPr>
        <w:rPr>
          <w:rFonts w:eastAsia="Times New Roman"/>
        </w:rPr>
      </w:pPr>
      <w:r>
        <w:rPr>
          <w:rFonts w:eastAsia="Times New Roman"/>
        </w:rPr>
        <w:pict>
          <v:rect id="_x0000_i1116"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160" w:beforeAutospacing="0" w:after="0" w:afterAutospacing="0"/>
        <w:ind w:hanging="422"/>
        <w:divId w:val="2127578201"/>
        <w:rPr>
          <w:sz w:val="20"/>
          <w:szCs w:val="20"/>
        </w:rPr>
      </w:pPr>
      <w:r>
        <w:rPr>
          <w:rFonts w:ascii="Arial" w:hAnsi="Arial" w:cs="Arial"/>
          <w:b/>
          <w:bCs/>
          <w:sz w:val="20"/>
          <w:szCs w:val="20"/>
        </w:rPr>
        <w:t>8. Accrued Liabilitie</w:t>
      </w:r>
      <w:r>
        <w:rPr>
          <w:rFonts w:ascii="Arial" w:hAnsi="Arial" w:cs="Arial"/>
          <w:b/>
          <w:bCs/>
          <w:sz w:val="20"/>
          <w:szCs w:val="20"/>
        </w:rPr>
        <w:t>s</w:t>
      </w:r>
    </w:p>
    <w:p w:rsidR="00000000" w:rsidRDefault="00010F15">
      <w:pPr>
        <w:pStyle w:val="a3"/>
        <w:spacing w:before="240" w:beforeAutospacing="0" w:after="120" w:afterAutospacing="0"/>
        <w:ind w:firstLine="539"/>
        <w:divId w:val="1564559949"/>
        <w:rPr>
          <w:sz w:val="20"/>
          <w:szCs w:val="20"/>
        </w:rPr>
      </w:pPr>
      <w:r>
        <w:rPr>
          <w:rFonts w:ascii="Arial" w:hAnsi="Arial" w:cs="Arial"/>
          <w:sz w:val="20"/>
          <w:szCs w:val="20"/>
        </w:rPr>
        <w:t>Accrued</w:t>
      </w:r>
      <w:r>
        <w:rPr>
          <w:rFonts w:ascii="Arial" w:hAnsi="Arial" w:cs="Arial"/>
          <w:sz w:val="20"/>
          <w:szCs w:val="20"/>
        </w:rPr>
        <w:t xml:space="preserve"> liabilities consisted of the following (in 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69"/>
        <w:gridCol w:w="124"/>
        <w:gridCol w:w="172"/>
        <w:gridCol w:w="1049"/>
        <w:gridCol w:w="116"/>
        <w:gridCol w:w="124"/>
        <w:gridCol w:w="172"/>
        <w:gridCol w:w="1049"/>
        <w:gridCol w:w="131"/>
      </w:tblGrid>
      <w:tr w:rsidR="00000000">
        <w:trPr>
          <w:divId w:val="1564559949"/>
          <w:tblCellSpacing w:w="15" w:type="dxa"/>
        </w:trPr>
        <w:tc>
          <w:tcPr>
            <w:tcW w:w="3340" w:type="pct"/>
            <w:vAlign w:val="center"/>
            <w:hideMark/>
          </w:tcPr>
          <w:p w:rsidR="00000000" w:rsidRDefault="00010F15">
            <w:pPr>
              <w:rPr>
                <w:sz w:val="20"/>
                <w:szCs w:val="20"/>
              </w:rPr>
            </w:pPr>
          </w:p>
        </w:tc>
        <w:tc>
          <w:tcPr>
            <w:tcW w:w="76"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653"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76"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653"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r>
      <w:tr w:rsidR="00000000">
        <w:trPr>
          <w:divId w:val="1564559949"/>
          <w:trHeight w:val="16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6"/>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December 31</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divId w:val="1564559949"/>
          <w:trHeight w:val="16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divId w:val="1564559949"/>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Payroll and employee-related expense</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8,09</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6,47</w:t>
            </w:r>
            <w:r>
              <w:rPr>
                <w:rFonts w:ascii="Arial" w:hAnsi="Arial" w:cs="Arial"/>
                <w:sz w:val="20"/>
                <w:szCs w:val="20"/>
              </w:rPr>
              <w:t>4</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564559949"/>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Finance leases and other financing obligation</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2,38</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1,13</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564559949"/>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Other accrued liabilitie</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2,01</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2,59</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564559949"/>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12,49</w:t>
            </w: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10,20</w:t>
            </w: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bl>
    <w:p w:rsidR="00000000" w:rsidRDefault="00010F15">
      <w:pPr>
        <w:pStyle w:val="a3"/>
        <w:spacing w:before="240" w:beforeAutospacing="0" w:after="0" w:afterAutospacing="0"/>
        <w:ind w:firstLine="543"/>
        <w:divId w:val="2127578201"/>
        <w:rPr>
          <w:sz w:val="20"/>
          <w:szCs w:val="20"/>
        </w:rPr>
      </w:pPr>
      <w:r>
        <w:rPr>
          <w:rFonts w:ascii="Arial" w:hAnsi="Arial" w:cs="Arial"/>
          <w:sz w:val="20"/>
          <w:szCs w:val="20"/>
        </w:rPr>
        <w:t>Finance leases and other financing obligations includes the current portion of finance leases related to the acquisition of computer equipment and short-term insurance premium financing arrangements. Other accrued liabilities includes $</w:t>
      </w:r>
      <w:r>
        <w:rPr>
          <w:rFonts w:ascii="Arial" w:hAnsi="Arial" w:cs="Arial"/>
          <w:sz w:val="20"/>
          <w:szCs w:val="20"/>
        </w:rPr>
        <w:t xml:space="preserve"> </w:t>
      </w:r>
      <w:r>
        <w:rPr>
          <w:rFonts w:ascii="Arial" w:hAnsi="Arial" w:cs="Arial"/>
          <w:sz w:val="20"/>
          <w:szCs w:val="20"/>
        </w:rPr>
        <w:t>0.0</w:t>
      </w:r>
      <w:r>
        <w:rPr>
          <w:rFonts w:ascii="Arial" w:hAnsi="Arial" w:cs="Arial"/>
          <w:sz w:val="20"/>
          <w:szCs w:val="20"/>
        </w:rPr>
        <w:t>6</w:t>
      </w:r>
      <w:r>
        <w:rPr>
          <w:rFonts w:ascii="Arial" w:hAnsi="Arial" w:cs="Arial"/>
          <w:sz w:val="20"/>
          <w:szCs w:val="20"/>
        </w:rPr>
        <w:t xml:space="preserve"> million relate</w:t>
      </w:r>
      <w:r>
        <w:rPr>
          <w:rFonts w:ascii="Arial" w:hAnsi="Arial" w:cs="Arial"/>
          <w:sz w:val="20"/>
          <w:szCs w:val="20"/>
        </w:rPr>
        <w:t>d to Class A common stock issuable for the Payveris acquisition</w:t>
      </w:r>
      <w:r>
        <w:rPr>
          <w:rFonts w:ascii="Arial" w:hAnsi="Arial" w:cs="Arial"/>
          <w:sz w:val="20"/>
          <w:szCs w:val="20"/>
        </w:rPr>
        <w:t>.</w:t>
      </w:r>
      <w:r>
        <w:rPr>
          <w:rFonts w:ascii="Arial" w:hAnsi="Arial" w:cs="Arial"/>
          <w:sz w:val="20"/>
          <w:szCs w:val="20"/>
        </w:rPr>
        <w:t xml:space="preserve"> </w:t>
      </w:r>
    </w:p>
    <w:p w:rsidR="00000000" w:rsidRDefault="00010F15">
      <w:pPr>
        <w:pStyle w:val="a3"/>
        <w:spacing w:before="240" w:beforeAutospacing="0" w:after="0" w:afterAutospacing="0"/>
        <w:ind w:hanging="422"/>
        <w:divId w:val="1021977263"/>
        <w:rPr>
          <w:sz w:val="20"/>
          <w:szCs w:val="20"/>
        </w:rPr>
      </w:pPr>
      <w:r>
        <w:rPr>
          <w:rFonts w:ascii="Arial" w:hAnsi="Arial" w:cs="Arial"/>
          <w:b/>
          <w:bCs/>
          <w:sz w:val="20"/>
          <w:szCs w:val="20"/>
        </w:rPr>
        <w:t>9. Commitments and Contingencie</w:t>
      </w:r>
      <w:r>
        <w:rPr>
          <w:rFonts w:ascii="Arial" w:hAnsi="Arial" w:cs="Arial"/>
          <w:b/>
          <w:bCs/>
          <w:sz w:val="20"/>
          <w:szCs w:val="20"/>
        </w:rPr>
        <w:t>s</w:t>
      </w:r>
    </w:p>
    <w:p w:rsidR="00000000" w:rsidRDefault="00010F15">
      <w:pPr>
        <w:pStyle w:val="a3"/>
        <w:spacing w:before="240" w:beforeAutospacing="0" w:after="0" w:afterAutospacing="0"/>
        <w:divId w:val="1021977263"/>
        <w:rPr>
          <w:sz w:val="20"/>
          <w:szCs w:val="20"/>
        </w:rPr>
      </w:pPr>
      <w:r>
        <w:rPr>
          <w:rFonts w:ascii="Arial" w:hAnsi="Arial" w:cs="Arial"/>
          <w:b/>
          <w:bCs/>
          <w:i/>
          <w:iCs/>
          <w:sz w:val="20"/>
          <w:szCs w:val="20"/>
        </w:rPr>
        <w:t>Other Commitment</w:t>
      </w:r>
      <w:r>
        <w:rPr>
          <w:rFonts w:ascii="Arial" w:hAnsi="Arial" w:cs="Arial"/>
          <w:b/>
          <w:bCs/>
          <w:i/>
          <w:iCs/>
          <w:sz w:val="20"/>
          <w:szCs w:val="20"/>
        </w:rPr>
        <w:t>s</w:t>
      </w:r>
    </w:p>
    <w:p w:rsidR="00000000" w:rsidRDefault="00010F15">
      <w:pPr>
        <w:pStyle w:val="a3"/>
        <w:spacing w:before="120" w:beforeAutospacing="0" w:after="0" w:afterAutospacing="0"/>
        <w:ind w:firstLine="539"/>
        <w:divId w:val="1021977263"/>
        <w:rPr>
          <w:sz w:val="20"/>
          <w:szCs w:val="20"/>
        </w:rPr>
      </w:pPr>
      <w:r>
        <w:rPr>
          <w:rFonts w:ascii="Arial" w:hAnsi="Arial" w:cs="Arial"/>
          <w:sz w:val="20"/>
          <w:szCs w:val="20"/>
        </w:rPr>
        <w:t>The Company has entered into certain non-cancellable agreements for software and marketing services that specify all significant terms, inc</w:t>
      </w:r>
      <w:r>
        <w:rPr>
          <w:rFonts w:ascii="Arial" w:hAnsi="Arial" w:cs="Arial"/>
          <w:sz w:val="20"/>
          <w:szCs w:val="20"/>
        </w:rPr>
        <w:t>luding fixed or minimum services to be used, pricing provisions and the approximate timing of the transaction. Obligations under contracts that are cancellable or with remaining terms of 12 months or less are not included</w:t>
      </w:r>
      <w:r>
        <w:rPr>
          <w:rFonts w:ascii="Arial" w:hAnsi="Arial" w:cs="Arial"/>
          <w:sz w:val="20"/>
          <w:szCs w:val="20"/>
        </w:rPr>
        <w:t>.</w:t>
      </w:r>
    </w:p>
    <w:p w:rsidR="00000000" w:rsidRDefault="00010F15">
      <w:pPr>
        <w:pStyle w:val="a3"/>
        <w:spacing w:before="120" w:beforeAutospacing="0" w:after="240" w:afterAutospacing="0"/>
        <w:ind w:firstLine="539"/>
        <w:divId w:val="2034455810"/>
        <w:rPr>
          <w:sz w:val="20"/>
          <w:szCs w:val="20"/>
        </w:rPr>
      </w:pPr>
      <w:r>
        <w:rPr>
          <w:rFonts w:ascii="Arial" w:hAnsi="Arial" w:cs="Arial"/>
          <w:sz w:val="20"/>
          <w:szCs w:val="20"/>
        </w:rPr>
        <w:t>Future minimum payments under oth</w:t>
      </w:r>
      <w:r>
        <w:rPr>
          <w:rFonts w:ascii="Arial" w:hAnsi="Arial" w:cs="Arial"/>
          <w:sz w:val="20"/>
          <w:szCs w:val="20"/>
        </w:rPr>
        <w:t>er non-cancellable agreements as of</w:t>
      </w:r>
      <w:r>
        <w:rPr>
          <w:rFonts w:ascii="Arial" w:hAnsi="Arial" w:cs="Arial"/>
          <w:sz w:val="20"/>
          <w:szCs w:val="20"/>
        </w:rPr>
        <w:t xml:space="preserve"> </w:t>
      </w:r>
      <w:r>
        <w:rPr>
          <w:rFonts w:ascii="Arial" w:hAnsi="Arial" w:cs="Arial"/>
          <w:sz w:val="20"/>
          <w:szCs w:val="20"/>
        </w:rPr>
        <w:t>December 31, 2021 were as follows (in 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466"/>
        <w:gridCol w:w="154"/>
        <w:gridCol w:w="172"/>
        <w:gridCol w:w="1383"/>
        <w:gridCol w:w="131"/>
      </w:tblGrid>
      <w:tr w:rsidR="00000000">
        <w:trPr>
          <w:divId w:val="2034455810"/>
          <w:tblCellSpacing w:w="15" w:type="dxa"/>
        </w:trPr>
        <w:tc>
          <w:tcPr>
            <w:tcW w:w="3963" w:type="pct"/>
            <w:vAlign w:val="center"/>
            <w:hideMark/>
          </w:tcPr>
          <w:p w:rsidR="00000000" w:rsidRDefault="00010F15">
            <w:pPr>
              <w:rPr>
                <w:sz w:val="20"/>
                <w:szCs w:val="20"/>
              </w:rPr>
            </w:pPr>
          </w:p>
        </w:tc>
        <w:tc>
          <w:tcPr>
            <w:tcW w:w="90"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845"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r>
      <w:tr w:rsidR="00000000">
        <w:trPr>
          <w:divId w:val="2034455810"/>
          <w:trHeight w:val="160"/>
          <w:tblCellSpacing w:w="15" w:type="dxa"/>
        </w:trPr>
        <w:tc>
          <w:tcPr>
            <w:tcW w:w="0" w:type="auto"/>
            <w:vAlign w:val="bottom"/>
            <w:hideMark/>
          </w:tcPr>
          <w:p w:rsidR="00000000" w:rsidRDefault="00010F15">
            <w:pPr>
              <w:pStyle w:val="a3"/>
              <w:spacing w:before="0" w:beforeAutospacing="0" w:after="0" w:afterAutospacing="0"/>
              <w:rPr>
                <w:sz w:val="16"/>
                <w:szCs w:val="16"/>
              </w:rPr>
            </w:pPr>
            <w:r>
              <w:rPr>
                <w:rFonts w:ascii="Arial" w:hAnsi="Arial" w:cs="Arial"/>
                <w:b/>
                <w:bCs/>
                <w:sz w:val="16"/>
                <w:szCs w:val="16"/>
              </w:rPr>
              <w:t>Years Ending December 31</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r>
      <w:tr w:rsidR="00000000">
        <w:trPr>
          <w:divId w:val="2034455810"/>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1,58</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2034455810"/>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1,72</w:t>
            </w:r>
            <w:r>
              <w:rPr>
                <w:rFonts w:ascii="Arial" w:hAnsi="Arial" w:cs="Arial"/>
                <w:sz w:val="20"/>
                <w:szCs w:val="20"/>
              </w:rPr>
              <w:t>9</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2034455810"/>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4</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61</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2034455810"/>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2034455810"/>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2034455810"/>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Thereafte</w:t>
            </w:r>
            <w:r>
              <w:rPr>
                <w:rFonts w:ascii="Arial" w:hAnsi="Arial" w:cs="Arial"/>
                <w:sz w:val="20"/>
                <w:szCs w:val="20"/>
              </w:rPr>
              <w:t>r</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2034455810"/>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3,94</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bl>
    <w:p w:rsidR="00000000" w:rsidRDefault="00010F15">
      <w:pPr>
        <w:pStyle w:val="a3"/>
        <w:spacing w:before="240" w:beforeAutospacing="0" w:after="0" w:afterAutospacing="0"/>
        <w:divId w:val="1021977263"/>
        <w:rPr>
          <w:sz w:val="20"/>
          <w:szCs w:val="20"/>
        </w:rPr>
      </w:pPr>
      <w:r>
        <w:rPr>
          <w:rFonts w:ascii="Arial" w:hAnsi="Arial" w:cs="Arial"/>
          <w:b/>
          <w:bCs/>
          <w:i/>
          <w:iCs/>
          <w:sz w:val="20"/>
          <w:szCs w:val="20"/>
        </w:rPr>
        <w:t>401(k) Pla</w:t>
      </w:r>
      <w:r>
        <w:rPr>
          <w:rFonts w:ascii="Arial" w:hAnsi="Arial" w:cs="Arial"/>
          <w:b/>
          <w:bCs/>
          <w:i/>
          <w:iCs/>
          <w:sz w:val="20"/>
          <w:szCs w:val="20"/>
        </w:rPr>
        <w:t>n</w:t>
      </w:r>
    </w:p>
    <w:p w:rsidR="00000000" w:rsidRDefault="00010F15">
      <w:pPr>
        <w:pStyle w:val="a3"/>
        <w:spacing w:before="120" w:beforeAutospacing="0" w:after="0" w:afterAutospacing="0"/>
        <w:ind w:firstLine="539"/>
        <w:divId w:val="1021977263"/>
        <w:rPr>
          <w:sz w:val="20"/>
          <w:szCs w:val="20"/>
        </w:rPr>
      </w:pPr>
      <w:r>
        <w:rPr>
          <w:rFonts w:ascii="Arial" w:hAnsi="Arial" w:cs="Arial"/>
          <w:sz w:val="20"/>
          <w:szCs w:val="20"/>
        </w:rPr>
        <w:t>The Company sponsors a 401(k) defined contribution plan covering all eligible U.S. employees. Contributions to the 401(k) plan are discretionary. The Company did</w:t>
      </w:r>
      <w:r>
        <w:rPr>
          <w:rFonts w:ascii="Arial" w:hAnsi="Arial" w:cs="Arial"/>
          <w:sz w:val="20"/>
          <w:szCs w:val="20"/>
        </w:rPr>
        <w:t xml:space="preserve"> </w:t>
      </w:r>
      <w:r>
        <w:rPr>
          <w:rFonts w:ascii="Arial" w:hAnsi="Arial" w:cs="Arial"/>
          <w:sz w:val="20"/>
          <w:szCs w:val="20"/>
        </w:rPr>
        <w:t>n</w:t>
      </w:r>
      <w:r>
        <w:rPr>
          <w:rFonts w:ascii="Arial" w:hAnsi="Arial" w:cs="Arial"/>
          <w:sz w:val="20"/>
          <w:szCs w:val="20"/>
        </w:rPr>
        <w:t>o</w:t>
      </w:r>
      <w:r>
        <w:rPr>
          <w:rFonts w:ascii="Arial" w:hAnsi="Arial" w:cs="Arial"/>
          <w:sz w:val="20"/>
          <w:szCs w:val="20"/>
        </w:rPr>
        <w:t xml:space="preserve">t make any matching contributions to the 401(k) plan for the years ended December 31, 2021, </w:t>
      </w:r>
      <w:r>
        <w:rPr>
          <w:rFonts w:ascii="Arial" w:hAnsi="Arial" w:cs="Arial"/>
          <w:sz w:val="20"/>
          <w:szCs w:val="20"/>
        </w:rPr>
        <w:t>2020 and 2019</w:t>
      </w:r>
      <w:r>
        <w:rPr>
          <w:rFonts w:ascii="Arial" w:hAnsi="Arial" w:cs="Arial"/>
          <w:sz w:val="20"/>
          <w:szCs w:val="20"/>
        </w:rPr>
        <w:t>.</w:t>
      </w:r>
    </w:p>
    <w:p w:rsidR="00000000" w:rsidRDefault="00010F15">
      <w:pPr>
        <w:pStyle w:val="a3"/>
        <w:spacing w:before="240" w:beforeAutospacing="0" w:after="0" w:afterAutospacing="0"/>
        <w:divId w:val="1021977263"/>
        <w:rPr>
          <w:sz w:val="20"/>
          <w:szCs w:val="20"/>
        </w:rPr>
      </w:pPr>
      <w:r>
        <w:rPr>
          <w:rFonts w:ascii="Arial" w:hAnsi="Arial" w:cs="Arial"/>
          <w:b/>
          <w:bCs/>
          <w:i/>
          <w:iCs/>
          <w:sz w:val="20"/>
          <w:szCs w:val="20"/>
        </w:rPr>
        <w:t>Legal Matter</w:t>
      </w:r>
      <w:r>
        <w:rPr>
          <w:rFonts w:ascii="Arial" w:hAnsi="Arial" w:cs="Arial"/>
          <w:b/>
          <w:bCs/>
          <w:i/>
          <w:iCs/>
          <w:sz w:val="20"/>
          <w:szCs w:val="20"/>
        </w:rPr>
        <w:t>s</w:t>
      </w:r>
    </w:p>
    <w:p w:rsidR="00000000" w:rsidRDefault="00010F15">
      <w:pPr>
        <w:pStyle w:val="a3"/>
        <w:spacing w:before="120" w:beforeAutospacing="0" w:after="0" w:afterAutospacing="0"/>
        <w:ind w:firstLine="539"/>
        <w:divId w:val="1021977263"/>
        <w:rPr>
          <w:sz w:val="20"/>
          <w:szCs w:val="20"/>
        </w:rPr>
      </w:pPr>
      <w:r>
        <w:rPr>
          <w:rFonts w:ascii="Arial" w:hAnsi="Arial" w:cs="Arial"/>
          <w:sz w:val="20"/>
          <w:szCs w:val="20"/>
        </w:rPr>
        <w:t>The Company is involved from time to time in various claims and legal actions arising in the ordinary course of business. While it is not feasible to predict or determine the ultimate outcome of these matters, the Company belie</w:t>
      </w:r>
      <w:r>
        <w:rPr>
          <w:rFonts w:ascii="Arial" w:hAnsi="Arial" w:cs="Arial"/>
          <w:sz w:val="20"/>
          <w:szCs w:val="20"/>
        </w:rPr>
        <w:t>ves that none of its current legal proceedings will have a material adverse effect on its financial position, results of operations, or cash flows as of and for the years ended December 31, 2021, 2020 and 2019</w:t>
      </w:r>
      <w:r>
        <w:rPr>
          <w:rFonts w:ascii="Arial" w:hAnsi="Arial" w:cs="Arial"/>
          <w:sz w:val="20"/>
          <w:szCs w:val="20"/>
        </w:rPr>
        <w:t>.</w:t>
      </w:r>
    </w:p>
    <w:p w:rsidR="00000000" w:rsidRDefault="00010F15">
      <w:pPr>
        <w:pStyle w:val="a3"/>
        <w:spacing w:before="240" w:beforeAutospacing="0" w:after="0" w:afterAutospacing="0"/>
        <w:divId w:val="1021977263"/>
        <w:rPr>
          <w:sz w:val="20"/>
          <w:szCs w:val="20"/>
        </w:rPr>
      </w:pPr>
      <w:r>
        <w:rPr>
          <w:rFonts w:ascii="Arial" w:hAnsi="Arial" w:cs="Arial"/>
          <w:b/>
          <w:bCs/>
          <w:i/>
          <w:iCs/>
          <w:sz w:val="20"/>
          <w:szCs w:val="20"/>
        </w:rPr>
        <w:t>Indemnificatio</w:t>
      </w:r>
      <w:r>
        <w:rPr>
          <w:rFonts w:ascii="Arial" w:hAnsi="Arial" w:cs="Arial"/>
          <w:b/>
          <w:bCs/>
          <w:i/>
          <w:iCs/>
          <w:sz w:val="20"/>
          <w:szCs w:val="20"/>
        </w:rPr>
        <w:t>n</w:t>
      </w:r>
    </w:p>
    <w:p w:rsidR="00000000" w:rsidRDefault="00010F15">
      <w:pPr>
        <w:pStyle w:val="a3"/>
        <w:spacing w:before="120" w:beforeAutospacing="0" w:after="0" w:afterAutospacing="0"/>
        <w:ind w:firstLine="539"/>
        <w:rPr>
          <w:sz w:val="20"/>
          <w:szCs w:val="20"/>
        </w:rPr>
      </w:pPr>
      <w:r>
        <w:rPr>
          <w:rFonts w:ascii="Arial" w:hAnsi="Arial" w:cs="Arial"/>
          <w:sz w:val="20"/>
          <w:szCs w:val="20"/>
        </w:rPr>
        <w:t>The Company enters into indem</w:t>
      </w:r>
      <w:r>
        <w:rPr>
          <w:rFonts w:ascii="Arial" w:hAnsi="Arial" w:cs="Arial"/>
          <w:sz w:val="20"/>
          <w:szCs w:val="20"/>
        </w:rPr>
        <w:t xml:space="preserve">nification provisions under agreements with other parties in the ordinary course of business, including business partners, investors, contractors, customers, and the Company’s officers, directors, and certain employees. The Company has agreed to indemnify </w:t>
      </w:r>
      <w:r>
        <w:rPr>
          <w:rFonts w:ascii="Arial" w:hAnsi="Arial" w:cs="Arial"/>
          <w:sz w:val="20"/>
          <w:szCs w:val="20"/>
        </w:rPr>
        <w:t>and defend the indemnified party claims and related losses suffered or incurred by the indemnified party from actual or threatened third-party claims due to the Company’s activities or non-compliance with obligations or representations made by the Company.</w:t>
      </w:r>
      <w:r>
        <w:rPr>
          <w:rFonts w:ascii="Arial" w:hAnsi="Arial" w:cs="Arial"/>
          <w:sz w:val="20"/>
          <w:szCs w:val="20"/>
        </w:rPr>
        <w:t xml:space="preserve"> The Company seeks to limit, or cap, its indemnification exposure in its commercial and other contracts. It is not possible to determine the maximum potential loss under these indemnification provisions due to the Company’s limited history of prior indemni</w:t>
      </w:r>
      <w:r>
        <w:rPr>
          <w:rFonts w:ascii="Arial" w:hAnsi="Arial" w:cs="Arial"/>
          <w:sz w:val="20"/>
          <w:szCs w:val="20"/>
        </w:rPr>
        <w:t>fication claims and the unique facts and circumstances involved in each particular provision</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jc w:val="center"/>
        <w:rPr>
          <w:sz w:val="20"/>
          <w:szCs w:val="20"/>
        </w:rPr>
      </w:pPr>
      <w:r>
        <w:rPr>
          <w:rFonts w:ascii="Arial" w:hAnsi="Arial" w:cs="Arial"/>
          <w:sz w:val="20"/>
          <w:szCs w:val="20"/>
        </w:rPr>
        <w:t>9</w:t>
      </w:r>
      <w:r>
        <w:rPr>
          <w:rFonts w:ascii="Arial" w:hAnsi="Arial" w:cs="Arial"/>
          <w:sz w:val="20"/>
          <w:szCs w:val="20"/>
        </w:rPr>
        <w:t>2</w:t>
      </w:r>
    </w:p>
    <w:p w:rsidR="00000000" w:rsidRDefault="00010F15">
      <w:pPr>
        <w:rPr>
          <w:rFonts w:eastAsia="Times New Roman"/>
        </w:rPr>
      </w:pPr>
      <w:r>
        <w:rPr>
          <w:rFonts w:eastAsia="Times New Roman"/>
        </w:rPr>
        <w:pict>
          <v:rect id="_x0000_i1117"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240" w:beforeAutospacing="0" w:after="0" w:afterAutospacing="0"/>
        <w:ind w:hanging="422"/>
        <w:divId w:val="327179407"/>
        <w:rPr>
          <w:sz w:val="20"/>
          <w:szCs w:val="20"/>
        </w:rPr>
      </w:pPr>
      <w:r>
        <w:rPr>
          <w:rFonts w:ascii="Arial" w:hAnsi="Arial" w:cs="Arial"/>
          <w:b/>
          <w:bCs/>
          <w:sz w:val="20"/>
          <w:szCs w:val="20"/>
        </w:rPr>
        <w:t>10. Equit</w:t>
      </w:r>
      <w:r>
        <w:rPr>
          <w:rFonts w:ascii="Arial" w:hAnsi="Arial" w:cs="Arial"/>
          <w:b/>
          <w:bCs/>
          <w:sz w:val="20"/>
          <w:szCs w:val="20"/>
        </w:rPr>
        <w:t>y</w:t>
      </w:r>
    </w:p>
    <w:p w:rsidR="00000000" w:rsidRDefault="00010F15">
      <w:pPr>
        <w:pStyle w:val="a3"/>
        <w:spacing w:before="240" w:beforeAutospacing="0" w:after="0" w:afterAutospacing="0"/>
        <w:divId w:val="327179407"/>
        <w:rPr>
          <w:sz w:val="20"/>
          <w:szCs w:val="20"/>
        </w:rPr>
      </w:pPr>
      <w:r>
        <w:rPr>
          <w:rFonts w:ascii="Arial" w:hAnsi="Arial" w:cs="Arial"/>
          <w:b/>
          <w:bCs/>
          <w:i/>
          <w:iCs/>
          <w:sz w:val="20"/>
          <w:szCs w:val="20"/>
        </w:rPr>
        <w:t>Preferred Stoc</w:t>
      </w:r>
      <w:r>
        <w:rPr>
          <w:rFonts w:ascii="Arial" w:hAnsi="Arial" w:cs="Arial"/>
          <w:b/>
          <w:bCs/>
          <w:i/>
          <w:iCs/>
          <w:sz w:val="20"/>
          <w:szCs w:val="20"/>
        </w:rPr>
        <w:t>k</w:t>
      </w:r>
    </w:p>
    <w:p w:rsidR="00000000" w:rsidRDefault="00010F15">
      <w:pPr>
        <w:pStyle w:val="a3"/>
        <w:spacing w:before="120" w:beforeAutospacing="0" w:after="0" w:afterAutospacing="0"/>
        <w:ind w:firstLine="539"/>
        <w:divId w:val="327179407"/>
        <w:rPr>
          <w:sz w:val="20"/>
          <w:szCs w:val="20"/>
        </w:rPr>
      </w:pPr>
      <w:r>
        <w:rPr>
          <w:rFonts w:ascii="Arial" w:hAnsi="Arial" w:cs="Arial"/>
          <w:sz w:val="20"/>
          <w:szCs w:val="20"/>
        </w:rPr>
        <w:t>In connection with the IPO, the Company’s amended and restated certificate of incorporation b</w:t>
      </w:r>
      <w:r>
        <w:rPr>
          <w:rFonts w:ascii="Arial" w:hAnsi="Arial" w:cs="Arial"/>
          <w:sz w:val="20"/>
          <w:szCs w:val="20"/>
        </w:rPr>
        <w:t>ecame effective, which authorized the issuance of</w:t>
      </w:r>
      <w:r>
        <w:rPr>
          <w:rFonts w:ascii="Arial" w:hAnsi="Arial" w:cs="Arial"/>
          <w:sz w:val="20"/>
          <w:szCs w:val="20"/>
        </w:rPr>
        <w:t xml:space="preserve"> </w:t>
      </w:r>
      <w:r>
        <w:rPr>
          <w:rFonts w:ascii="Arial" w:hAnsi="Arial" w:cs="Arial"/>
          <w:sz w:val="20"/>
          <w:szCs w:val="20"/>
        </w:rPr>
        <w:t>5,000,00</w:t>
      </w:r>
      <w:r>
        <w:rPr>
          <w:rFonts w:ascii="Arial" w:hAnsi="Arial" w:cs="Arial"/>
          <w:sz w:val="20"/>
          <w:szCs w:val="20"/>
        </w:rPr>
        <w:t>0</w:t>
      </w:r>
      <w:r>
        <w:rPr>
          <w:rFonts w:ascii="Arial" w:hAnsi="Arial" w:cs="Arial"/>
          <w:sz w:val="20"/>
          <w:szCs w:val="20"/>
        </w:rPr>
        <w:t xml:space="preserve"> shares of undesignated preferred stock with a par value of</w:t>
      </w:r>
      <w:r>
        <w:rPr>
          <w:rFonts w:ascii="Arial" w:hAnsi="Arial" w:cs="Arial"/>
          <w:sz w:val="20"/>
          <w:szCs w:val="20"/>
        </w:rPr>
        <w:t xml:space="preserve"> </w:t>
      </w:r>
      <w:r>
        <w:rPr>
          <w:rFonts w:ascii="Arial" w:hAnsi="Arial" w:cs="Arial"/>
          <w:sz w:val="20"/>
          <w:szCs w:val="20"/>
        </w:rPr>
        <w:t>$</w:t>
      </w:r>
      <w:r>
        <w:rPr>
          <w:rFonts w:ascii="Arial" w:hAnsi="Arial" w:cs="Arial"/>
          <w:sz w:val="20"/>
          <w:szCs w:val="20"/>
        </w:rPr>
        <w:t>0.000</w:t>
      </w:r>
      <w:r>
        <w:rPr>
          <w:rFonts w:ascii="Arial" w:hAnsi="Arial" w:cs="Arial"/>
          <w:sz w:val="20"/>
          <w:szCs w:val="20"/>
        </w:rPr>
        <w:t>1</w:t>
      </w:r>
      <w:r>
        <w:rPr>
          <w:rFonts w:ascii="Arial" w:hAnsi="Arial" w:cs="Arial"/>
          <w:sz w:val="20"/>
          <w:szCs w:val="20"/>
        </w:rPr>
        <w:t xml:space="preserve"> per share with rights and preferences, including voting rights, designated from time to time by the board of directors</w:t>
      </w:r>
      <w:r>
        <w:rPr>
          <w:rFonts w:ascii="Arial" w:hAnsi="Arial" w:cs="Arial"/>
          <w:sz w:val="20"/>
          <w:szCs w:val="20"/>
        </w:rPr>
        <w:t>.</w:t>
      </w:r>
    </w:p>
    <w:p w:rsidR="00000000" w:rsidRDefault="00010F15">
      <w:pPr>
        <w:pStyle w:val="a3"/>
        <w:spacing w:before="240" w:beforeAutospacing="0" w:after="120" w:afterAutospacing="0"/>
        <w:divId w:val="327179407"/>
        <w:rPr>
          <w:sz w:val="20"/>
          <w:szCs w:val="20"/>
        </w:rPr>
      </w:pPr>
      <w:r>
        <w:rPr>
          <w:rFonts w:ascii="Arial" w:hAnsi="Arial" w:cs="Arial"/>
          <w:b/>
          <w:bCs/>
          <w:i/>
          <w:iCs/>
          <w:sz w:val="20"/>
          <w:szCs w:val="20"/>
        </w:rPr>
        <w:t>Common St</w:t>
      </w:r>
      <w:r>
        <w:rPr>
          <w:rFonts w:ascii="Arial" w:hAnsi="Arial" w:cs="Arial"/>
          <w:b/>
          <w:bCs/>
          <w:i/>
          <w:iCs/>
          <w:sz w:val="20"/>
          <w:szCs w:val="20"/>
        </w:rPr>
        <w:t>oc</w:t>
      </w:r>
      <w:r>
        <w:rPr>
          <w:rFonts w:ascii="Arial" w:hAnsi="Arial" w:cs="Arial"/>
          <w:b/>
          <w:bCs/>
          <w:i/>
          <w:iCs/>
          <w:sz w:val="20"/>
          <w:szCs w:val="20"/>
        </w:rPr>
        <w:t>k</w:t>
      </w:r>
    </w:p>
    <w:p w:rsidR="00000000" w:rsidRDefault="00010F15">
      <w:pPr>
        <w:pStyle w:val="a3"/>
        <w:spacing w:before="0" w:beforeAutospacing="0" w:after="120" w:afterAutospacing="0"/>
        <w:ind w:firstLine="408"/>
        <w:divId w:val="327179407"/>
        <w:rPr>
          <w:sz w:val="20"/>
          <w:szCs w:val="20"/>
        </w:rPr>
      </w:pPr>
      <w:r>
        <w:rPr>
          <w:rFonts w:ascii="Arial" w:hAnsi="Arial" w:cs="Arial"/>
          <w:sz w:val="20"/>
          <w:szCs w:val="20"/>
        </w:rPr>
        <w:t>The Company has two classes of common stock: Class A common stock and Class B common stock. In connection with the IPO, the Company’s amended and restated certificate of incorporation authorized the issuance of</w:t>
      </w:r>
      <w:r>
        <w:rPr>
          <w:rFonts w:ascii="Arial" w:hAnsi="Arial" w:cs="Arial"/>
          <w:sz w:val="20"/>
          <w:szCs w:val="20"/>
        </w:rPr>
        <w:t xml:space="preserve"> </w:t>
      </w:r>
      <w:r>
        <w:rPr>
          <w:rFonts w:ascii="Arial" w:hAnsi="Arial" w:cs="Arial"/>
          <w:sz w:val="20"/>
          <w:szCs w:val="20"/>
        </w:rPr>
        <w:t>883,950,00</w:t>
      </w:r>
      <w:r>
        <w:rPr>
          <w:rFonts w:ascii="Arial" w:hAnsi="Arial" w:cs="Arial"/>
          <w:sz w:val="20"/>
          <w:szCs w:val="20"/>
        </w:rPr>
        <w:t>0</w:t>
      </w:r>
      <w:r>
        <w:rPr>
          <w:rFonts w:ascii="Arial" w:hAnsi="Arial" w:cs="Arial"/>
          <w:sz w:val="20"/>
          <w:szCs w:val="20"/>
        </w:rPr>
        <w:t xml:space="preserve"> shares of Class A common stoc</w:t>
      </w:r>
      <w:r>
        <w:rPr>
          <w:rFonts w:ascii="Arial" w:hAnsi="Arial" w:cs="Arial"/>
          <w:sz w:val="20"/>
          <w:szCs w:val="20"/>
        </w:rPr>
        <w:t>k and</w:t>
      </w:r>
      <w:r>
        <w:rPr>
          <w:rFonts w:ascii="Arial" w:hAnsi="Arial" w:cs="Arial"/>
          <w:sz w:val="20"/>
          <w:szCs w:val="20"/>
        </w:rPr>
        <w:t xml:space="preserve"> </w:t>
      </w:r>
      <w:r>
        <w:rPr>
          <w:rFonts w:ascii="Arial" w:hAnsi="Arial" w:cs="Arial"/>
          <w:sz w:val="20"/>
          <w:szCs w:val="20"/>
        </w:rPr>
        <w:t>111,050,00</w:t>
      </w:r>
      <w:r>
        <w:rPr>
          <w:rFonts w:ascii="Arial" w:hAnsi="Arial" w:cs="Arial"/>
          <w:sz w:val="20"/>
          <w:szCs w:val="20"/>
        </w:rPr>
        <w:t>0</w:t>
      </w:r>
      <w:r>
        <w:rPr>
          <w:rFonts w:ascii="Arial" w:hAnsi="Arial" w:cs="Arial"/>
          <w:sz w:val="20"/>
          <w:szCs w:val="20"/>
        </w:rPr>
        <w:t xml:space="preserve"> shares of Class B common stock. The shares of Class A common stock and Class B common stock are identical, except with respect to voting and conversion. Each share of Class A common stock is entitled to</w:t>
      </w:r>
      <w:r>
        <w:rPr>
          <w:rFonts w:ascii="Arial" w:hAnsi="Arial" w:cs="Arial"/>
          <w:sz w:val="20"/>
          <w:szCs w:val="20"/>
        </w:rPr>
        <w:t xml:space="preserve"> </w:t>
      </w:r>
      <w:r>
        <w:rPr>
          <w:rFonts w:ascii="Arial" w:hAnsi="Arial" w:cs="Arial"/>
          <w:sz w:val="20"/>
          <w:szCs w:val="20"/>
        </w:rPr>
        <w:t>on</w:t>
      </w:r>
      <w:r>
        <w:rPr>
          <w:rFonts w:ascii="Arial" w:hAnsi="Arial" w:cs="Arial"/>
          <w:sz w:val="20"/>
          <w:szCs w:val="20"/>
        </w:rPr>
        <w:t>e</w:t>
      </w:r>
      <w:r>
        <w:rPr>
          <w:rFonts w:ascii="Arial" w:hAnsi="Arial" w:cs="Arial"/>
          <w:sz w:val="20"/>
          <w:szCs w:val="20"/>
        </w:rPr>
        <w:t xml:space="preserve"> vote. Each share of Class B com</w:t>
      </w:r>
      <w:r>
        <w:rPr>
          <w:rFonts w:ascii="Arial" w:hAnsi="Arial" w:cs="Arial"/>
          <w:sz w:val="20"/>
          <w:szCs w:val="20"/>
        </w:rPr>
        <w:t>mon stock is entitled to ten votes. Class A and Class B common stock have a par value of</w:t>
      </w:r>
      <w:r>
        <w:rPr>
          <w:rFonts w:ascii="Arial" w:hAnsi="Arial" w:cs="Arial"/>
          <w:sz w:val="20"/>
          <w:szCs w:val="20"/>
        </w:rPr>
        <w:t xml:space="preserve"> </w:t>
      </w:r>
      <w:r>
        <w:rPr>
          <w:rFonts w:ascii="Arial" w:hAnsi="Arial" w:cs="Arial"/>
          <w:sz w:val="20"/>
          <w:szCs w:val="20"/>
        </w:rPr>
        <w:t>$</w:t>
      </w:r>
      <w:r>
        <w:rPr>
          <w:rFonts w:ascii="Arial" w:hAnsi="Arial" w:cs="Arial"/>
          <w:sz w:val="20"/>
          <w:szCs w:val="20"/>
        </w:rPr>
        <w:t>0.000</w:t>
      </w:r>
      <w:r>
        <w:rPr>
          <w:rFonts w:ascii="Arial" w:hAnsi="Arial" w:cs="Arial"/>
          <w:sz w:val="20"/>
          <w:szCs w:val="20"/>
        </w:rPr>
        <w:t>1</w:t>
      </w:r>
      <w:r>
        <w:rPr>
          <w:rFonts w:ascii="Arial" w:hAnsi="Arial" w:cs="Arial"/>
          <w:sz w:val="20"/>
          <w:szCs w:val="20"/>
        </w:rPr>
        <w:t xml:space="preserve"> per share, and are referred to as common stock throughout the notes to the consolidated financial statements, unless otherwise noted. Holders of common stock a</w:t>
      </w:r>
      <w:r>
        <w:rPr>
          <w:rFonts w:ascii="Arial" w:hAnsi="Arial" w:cs="Arial"/>
          <w:sz w:val="20"/>
          <w:szCs w:val="20"/>
        </w:rPr>
        <w:t>re entitled to receive any dividends as may be declared from time to time by the board of directors</w:t>
      </w:r>
      <w:r>
        <w:rPr>
          <w:rFonts w:ascii="Arial" w:hAnsi="Arial" w:cs="Arial"/>
          <w:sz w:val="20"/>
          <w:szCs w:val="20"/>
        </w:rPr>
        <w:t>.</w:t>
      </w:r>
    </w:p>
    <w:p w:rsidR="00000000" w:rsidRDefault="00010F15">
      <w:pPr>
        <w:pStyle w:val="a3"/>
        <w:spacing w:before="0" w:beforeAutospacing="0" w:after="0" w:afterAutospacing="0"/>
        <w:ind w:firstLine="408"/>
        <w:divId w:val="327179407"/>
        <w:rPr>
          <w:sz w:val="20"/>
          <w:szCs w:val="20"/>
        </w:rPr>
      </w:pPr>
      <w:r>
        <w:rPr>
          <w:rFonts w:ascii="Arial" w:hAnsi="Arial" w:cs="Arial"/>
          <w:sz w:val="20"/>
          <w:szCs w:val="20"/>
        </w:rPr>
        <w:t>Shares of Class B common stock may be converted to Class A common stock at any time at the option of the stockholder. Shares of Class B common stock automa</w:t>
      </w:r>
      <w:r>
        <w:rPr>
          <w:rFonts w:ascii="Arial" w:hAnsi="Arial" w:cs="Arial"/>
          <w:sz w:val="20"/>
          <w:szCs w:val="20"/>
        </w:rPr>
        <w:t>tically convert to Class A common stock upon the following: (i) sale or transfer of such share of Class B common stock; (ii) the death of the Class B common stockholder (or nine months after the date of death if the stockholder is one of the Company’s foun</w:t>
      </w:r>
      <w:r>
        <w:rPr>
          <w:rFonts w:ascii="Arial" w:hAnsi="Arial" w:cs="Arial"/>
          <w:sz w:val="20"/>
          <w:szCs w:val="20"/>
        </w:rPr>
        <w:t>ders); and (iii) on the first trading day on or after the date on which the outstanding shares of Class B common stock represent less than 10% of the then outstanding Class A and Class B common stock. Following the conversion of all outstanding shares of C</w:t>
      </w:r>
      <w:r>
        <w:rPr>
          <w:rFonts w:ascii="Arial" w:hAnsi="Arial" w:cs="Arial"/>
          <w:sz w:val="20"/>
          <w:szCs w:val="20"/>
        </w:rPr>
        <w:t>lass B common stock into Class A common stock,</w:t>
      </w:r>
      <w:r>
        <w:rPr>
          <w:rFonts w:ascii="Arial" w:hAnsi="Arial" w:cs="Arial"/>
          <w:sz w:val="20"/>
          <w:szCs w:val="20"/>
        </w:rPr>
        <w:t xml:space="preserve"> </w:t>
      </w:r>
      <w:r>
        <w:rPr>
          <w:rFonts w:ascii="Arial" w:hAnsi="Arial" w:cs="Arial"/>
          <w:sz w:val="20"/>
          <w:szCs w:val="20"/>
        </w:rPr>
        <w:t>n</w:t>
      </w:r>
      <w:r>
        <w:rPr>
          <w:rFonts w:ascii="Arial" w:hAnsi="Arial" w:cs="Arial"/>
          <w:sz w:val="20"/>
          <w:szCs w:val="20"/>
        </w:rPr>
        <w:t>o</w:t>
      </w:r>
      <w:r>
        <w:rPr>
          <w:rFonts w:ascii="Arial" w:hAnsi="Arial" w:cs="Arial"/>
          <w:sz w:val="20"/>
          <w:szCs w:val="20"/>
        </w:rPr>
        <w:t xml:space="preserve"> further shares of Class B common stock will be issued</w:t>
      </w:r>
      <w:r>
        <w:rPr>
          <w:rFonts w:ascii="Arial" w:hAnsi="Arial" w:cs="Arial"/>
          <w:sz w:val="20"/>
          <w:szCs w:val="20"/>
        </w:rPr>
        <w:t>.</w:t>
      </w:r>
    </w:p>
    <w:p w:rsidR="00000000" w:rsidRDefault="00010F15">
      <w:pPr>
        <w:pStyle w:val="a3"/>
        <w:spacing w:before="240" w:beforeAutospacing="0" w:after="0" w:afterAutospacing="0"/>
        <w:jc w:val="both"/>
        <w:divId w:val="327179407"/>
        <w:rPr>
          <w:sz w:val="20"/>
          <w:szCs w:val="20"/>
        </w:rPr>
      </w:pPr>
      <w:r>
        <w:rPr>
          <w:rFonts w:ascii="Arial" w:hAnsi="Arial" w:cs="Arial"/>
          <w:b/>
          <w:bCs/>
          <w:i/>
          <w:iCs/>
          <w:sz w:val="20"/>
          <w:szCs w:val="20"/>
        </w:rPr>
        <w:t>Series A Preferred Stoc</w:t>
      </w:r>
      <w:r>
        <w:rPr>
          <w:rFonts w:ascii="Arial" w:hAnsi="Arial" w:cs="Arial"/>
          <w:b/>
          <w:bCs/>
          <w:i/>
          <w:iCs/>
          <w:sz w:val="20"/>
          <w:szCs w:val="20"/>
        </w:rPr>
        <w:t>k</w:t>
      </w:r>
    </w:p>
    <w:p w:rsidR="00000000" w:rsidRDefault="00010F15">
      <w:pPr>
        <w:pStyle w:val="a3"/>
        <w:spacing w:before="120" w:beforeAutospacing="0" w:after="0" w:afterAutospacing="0"/>
        <w:ind w:firstLine="408"/>
        <w:divId w:val="327179407"/>
        <w:rPr>
          <w:sz w:val="20"/>
          <w:szCs w:val="20"/>
        </w:rPr>
      </w:pPr>
      <w:r>
        <w:rPr>
          <w:rFonts w:ascii="Arial" w:hAnsi="Arial" w:cs="Arial"/>
          <w:sz w:val="20"/>
          <w:szCs w:val="20"/>
        </w:rPr>
        <w:t>Upon completion of the IPO, the Company used approximately</w:t>
      </w:r>
      <w:r>
        <w:rPr>
          <w:rFonts w:ascii="Arial" w:hAnsi="Arial" w:cs="Arial"/>
          <w:sz w:val="20"/>
          <w:szCs w:val="20"/>
        </w:rPr>
        <w:t xml:space="preserve"> </w:t>
      </w:r>
      <w:r>
        <w:rPr>
          <w:rFonts w:ascii="Arial" w:hAnsi="Arial" w:cs="Arial"/>
          <w:sz w:val="20"/>
          <w:szCs w:val="20"/>
        </w:rPr>
        <w:t>$</w:t>
      </w:r>
      <w:r>
        <w:rPr>
          <w:rFonts w:ascii="Arial" w:hAnsi="Arial" w:cs="Arial"/>
          <w:sz w:val="20"/>
          <w:szCs w:val="20"/>
        </w:rPr>
        <w:t>57.</w:t>
      </w:r>
      <w:r>
        <w:rPr>
          <w:rFonts w:ascii="Arial" w:hAnsi="Arial" w:cs="Arial"/>
          <w:sz w:val="20"/>
          <w:szCs w:val="20"/>
        </w:rPr>
        <w:t>4</w:t>
      </w:r>
      <w:r>
        <w:rPr>
          <w:rFonts w:ascii="Arial" w:hAnsi="Arial" w:cs="Arial"/>
          <w:sz w:val="20"/>
          <w:szCs w:val="20"/>
        </w:rPr>
        <w:t xml:space="preserve"> million of the net proceeds to redeem all of the issued and o</w:t>
      </w:r>
      <w:r>
        <w:rPr>
          <w:rFonts w:ascii="Arial" w:hAnsi="Arial" w:cs="Arial"/>
          <w:sz w:val="20"/>
          <w:szCs w:val="20"/>
        </w:rPr>
        <w:t xml:space="preserve">utstanding shares of Series A preferred stock (including accrued dividends of </w:t>
      </w:r>
      <w:r>
        <w:rPr>
          <w:rFonts w:ascii="Arial" w:hAnsi="Arial" w:cs="Arial"/>
          <w:sz w:val="20"/>
          <w:szCs w:val="20"/>
        </w:rPr>
        <w:t>$</w:t>
      </w:r>
      <w:r>
        <w:rPr>
          <w:rFonts w:ascii="Arial" w:hAnsi="Arial" w:cs="Arial"/>
          <w:sz w:val="20"/>
          <w:szCs w:val="20"/>
        </w:rPr>
        <w:t>34.</w:t>
      </w:r>
      <w:r>
        <w:rPr>
          <w:rFonts w:ascii="Arial" w:hAnsi="Arial" w:cs="Arial"/>
          <w:sz w:val="20"/>
          <w:szCs w:val="20"/>
        </w:rPr>
        <w:t>4</w:t>
      </w:r>
      <w:r>
        <w:rPr>
          <w:rFonts w:ascii="Arial" w:hAnsi="Arial" w:cs="Arial"/>
          <w:sz w:val="20"/>
          <w:szCs w:val="20"/>
        </w:rPr>
        <w:t xml:space="preserve"> million). As of December 31, 2021, there were</w:t>
      </w:r>
      <w:r>
        <w:rPr>
          <w:rFonts w:ascii="Arial" w:hAnsi="Arial" w:cs="Arial"/>
          <w:sz w:val="20"/>
          <w:szCs w:val="20"/>
        </w:rPr>
        <w:t xml:space="preserve"> </w:t>
      </w:r>
      <w:r>
        <w:rPr>
          <w:rFonts w:ascii="Arial" w:hAnsi="Arial" w:cs="Arial"/>
          <w:sz w:val="20"/>
          <w:szCs w:val="20"/>
        </w:rPr>
        <w:t>n</w:t>
      </w:r>
      <w:r>
        <w:rPr>
          <w:rFonts w:ascii="Arial" w:hAnsi="Arial" w:cs="Arial"/>
          <w:sz w:val="20"/>
          <w:szCs w:val="20"/>
        </w:rPr>
        <w:t>o</w:t>
      </w:r>
      <w:r>
        <w:rPr>
          <w:rFonts w:ascii="Arial" w:hAnsi="Arial" w:cs="Arial"/>
          <w:sz w:val="20"/>
          <w:szCs w:val="20"/>
        </w:rPr>
        <w:t xml:space="preserve"> shares of Series A preferred stock issued and outstanding</w:t>
      </w:r>
      <w:r>
        <w:rPr>
          <w:rFonts w:ascii="Arial" w:hAnsi="Arial" w:cs="Arial"/>
          <w:sz w:val="20"/>
          <w:szCs w:val="20"/>
        </w:rPr>
        <w:t>.</w:t>
      </w:r>
    </w:p>
    <w:p w:rsidR="00000000" w:rsidRDefault="00010F15">
      <w:pPr>
        <w:pStyle w:val="a3"/>
        <w:spacing w:before="240" w:beforeAutospacing="0" w:after="120" w:afterAutospacing="0"/>
        <w:divId w:val="327179407"/>
        <w:rPr>
          <w:sz w:val="20"/>
          <w:szCs w:val="20"/>
        </w:rPr>
      </w:pPr>
      <w:r>
        <w:rPr>
          <w:rFonts w:ascii="Arial" w:hAnsi="Arial" w:cs="Arial"/>
          <w:b/>
          <w:bCs/>
          <w:i/>
          <w:iCs/>
          <w:sz w:val="20"/>
          <w:szCs w:val="20"/>
        </w:rPr>
        <w:t>Warran</w:t>
      </w:r>
      <w:r>
        <w:rPr>
          <w:rFonts w:ascii="Arial" w:hAnsi="Arial" w:cs="Arial"/>
          <w:b/>
          <w:bCs/>
          <w:i/>
          <w:iCs/>
          <w:sz w:val="20"/>
          <w:szCs w:val="20"/>
        </w:rPr>
        <w:t>t</w:t>
      </w:r>
    </w:p>
    <w:p w:rsidR="00000000" w:rsidRDefault="00010F15">
      <w:pPr>
        <w:pStyle w:val="a3"/>
        <w:spacing w:before="0" w:beforeAutospacing="0" w:after="0" w:afterAutospacing="0"/>
        <w:ind w:firstLine="490"/>
        <w:divId w:val="327179407"/>
        <w:rPr>
          <w:sz w:val="20"/>
          <w:szCs w:val="20"/>
        </w:rPr>
      </w:pPr>
      <w:r>
        <w:rPr>
          <w:rFonts w:ascii="Arial" w:hAnsi="Arial" w:cs="Arial"/>
          <w:sz w:val="20"/>
          <w:szCs w:val="20"/>
        </w:rPr>
        <w:t>On May 13, 2021, the Company entered into a warrant agreement with an affiliate of J.P. Morgan Securities LLC, an underwriter in the IPO, whereas the Company agreed to issue a warrant to such affiliate for up to</w:t>
      </w:r>
      <w:r>
        <w:rPr>
          <w:rFonts w:ascii="Arial" w:hAnsi="Arial" w:cs="Arial"/>
          <w:sz w:val="20"/>
          <w:szCs w:val="20"/>
        </w:rPr>
        <w:t xml:space="preserve"> </w:t>
      </w:r>
      <w:r>
        <w:rPr>
          <w:rFonts w:ascii="Arial" w:hAnsi="Arial" w:cs="Arial"/>
          <w:sz w:val="20"/>
          <w:szCs w:val="20"/>
        </w:rPr>
        <w:t>509,37</w:t>
      </w:r>
      <w:r>
        <w:rPr>
          <w:rFonts w:ascii="Arial" w:hAnsi="Arial" w:cs="Arial"/>
          <w:sz w:val="20"/>
          <w:szCs w:val="20"/>
        </w:rPr>
        <w:t>0</w:t>
      </w:r>
      <w:r>
        <w:rPr>
          <w:rFonts w:ascii="Arial" w:hAnsi="Arial" w:cs="Arial"/>
          <w:sz w:val="20"/>
          <w:szCs w:val="20"/>
        </w:rPr>
        <w:t xml:space="preserve"> shares of Class A common stock upon </w:t>
      </w:r>
      <w:r>
        <w:rPr>
          <w:rFonts w:ascii="Arial" w:hAnsi="Arial" w:cs="Arial"/>
          <w:sz w:val="20"/>
          <w:szCs w:val="20"/>
        </w:rPr>
        <w:t xml:space="preserve">completion of the IPO at an exercise price of </w:t>
      </w:r>
      <w:r>
        <w:rPr>
          <w:rFonts w:ascii="Arial" w:hAnsi="Arial" w:cs="Arial"/>
          <w:sz w:val="20"/>
          <w:szCs w:val="20"/>
        </w:rPr>
        <w:t>$</w:t>
      </w:r>
      <w:r>
        <w:rPr>
          <w:rFonts w:ascii="Arial" w:hAnsi="Arial" w:cs="Arial"/>
          <w:sz w:val="20"/>
          <w:szCs w:val="20"/>
        </w:rPr>
        <w:t>18.3</w:t>
      </w:r>
      <w:r>
        <w:rPr>
          <w:rFonts w:ascii="Arial" w:hAnsi="Arial" w:cs="Arial"/>
          <w:sz w:val="20"/>
          <w:szCs w:val="20"/>
        </w:rPr>
        <w:t>8</w:t>
      </w:r>
      <w:r>
        <w:rPr>
          <w:rFonts w:ascii="Arial" w:hAnsi="Arial" w:cs="Arial"/>
          <w:sz w:val="20"/>
          <w:szCs w:val="20"/>
        </w:rPr>
        <w:t xml:space="preserve"> per share. Upon completion of the IPO,</w:t>
      </w:r>
      <w:r>
        <w:rPr>
          <w:rFonts w:ascii="Arial" w:hAnsi="Arial" w:cs="Arial"/>
          <w:sz w:val="20"/>
          <w:szCs w:val="20"/>
        </w:rPr>
        <w:t xml:space="preserve"> </w:t>
      </w:r>
      <w:r>
        <w:rPr>
          <w:rFonts w:ascii="Arial" w:hAnsi="Arial" w:cs="Arial"/>
          <w:sz w:val="20"/>
          <w:szCs w:val="20"/>
        </w:rPr>
        <w:t>382,02</w:t>
      </w:r>
      <w:r>
        <w:rPr>
          <w:rFonts w:ascii="Arial" w:hAnsi="Arial" w:cs="Arial"/>
          <w:sz w:val="20"/>
          <w:szCs w:val="20"/>
        </w:rPr>
        <w:t>7</w:t>
      </w:r>
      <w:r>
        <w:rPr>
          <w:rFonts w:ascii="Arial" w:hAnsi="Arial" w:cs="Arial"/>
          <w:sz w:val="20"/>
          <w:szCs w:val="20"/>
        </w:rPr>
        <w:t xml:space="preserve"> of the warrant shares had vested and are therefore, exercisable. The vesting of the remaining</w:t>
      </w:r>
      <w:r>
        <w:rPr>
          <w:rFonts w:ascii="Arial" w:hAnsi="Arial" w:cs="Arial"/>
          <w:sz w:val="20"/>
          <w:szCs w:val="20"/>
        </w:rPr>
        <w:t xml:space="preserve"> </w:t>
      </w:r>
      <w:r>
        <w:rPr>
          <w:rFonts w:ascii="Arial" w:hAnsi="Arial" w:cs="Arial"/>
          <w:sz w:val="20"/>
          <w:szCs w:val="20"/>
        </w:rPr>
        <w:t>127,34</w:t>
      </w:r>
      <w:r>
        <w:rPr>
          <w:rFonts w:ascii="Arial" w:hAnsi="Arial" w:cs="Arial"/>
          <w:sz w:val="20"/>
          <w:szCs w:val="20"/>
        </w:rPr>
        <w:t>3</w:t>
      </w:r>
      <w:r>
        <w:rPr>
          <w:rFonts w:ascii="Arial" w:hAnsi="Arial" w:cs="Arial"/>
          <w:sz w:val="20"/>
          <w:szCs w:val="20"/>
        </w:rPr>
        <w:t xml:space="preserve"> shares of Class A common stock underlying the warrant </w:t>
      </w:r>
      <w:r>
        <w:rPr>
          <w:rFonts w:ascii="Arial" w:hAnsi="Arial" w:cs="Arial"/>
          <w:sz w:val="20"/>
          <w:szCs w:val="20"/>
        </w:rPr>
        <w:t>will be subject to the achievement of certain commercial milestones through December 31, 2025 pursuant to a related commercial agreement. Consistent with classification guidance in ASU Topic 606, the Company accounts for the consideration payable in the fo</w:t>
      </w:r>
      <w:r>
        <w:rPr>
          <w:rFonts w:ascii="Arial" w:hAnsi="Arial" w:cs="Arial"/>
          <w:sz w:val="20"/>
          <w:szCs w:val="20"/>
        </w:rPr>
        <w:t>rm of warrants to a customer as a reduction of the transaction price and, therefore, of revenue as the revenue is earned. The warrant fair value was determined using the Black-Scholes pricing model in accordance with ASC 718,</w:t>
      </w:r>
      <w:r>
        <w:rPr>
          <w:rFonts w:ascii="Arial" w:hAnsi="Arial" w:cs="Arial"/>
          <w:sz w:val="20"/>
          <w:szCs w:val="20"/>
        </w:rPr>
        <w:t xml:space="preserve"> </w:t>
      </w:r>
      <w:r>
        <w:rPr>
          <w:rFonts w:ascii="Arial" w:hAnsi="Arial" w:cs="Arial"/>
          <w:i/>
          <w:iCs/>
          <w:sz w:val="20"/>
          <w:szCs w:val="20"/>
        </w:rPr>
        <w:t>Compensation-Stock Compensatio</w:t>
      </w:r>
      <w:r>
        <w:rPr>
          <w:rFonts w:ascii="Arial" w:hAnsi="Arial" w:cs="Arial"/>
          <w:i/>
          <w:iCs/>
          <w:sz w:val="20"/>
          <w:szCs w:val="20"/>
        </w:rPr>
        <w:t>n</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divId w:val="327179407"/>
        <w:rPr>
          <w:sz w:val="20"/>
          <w:szCs w:val="20"/>
        </w:rPr>
      </w:pPr>
      <w:r>
        <w:rPr>
          <w:rFonts w:ascii="Arial" w:hAnsi="Arial" w:cs="Arial"/>
          <w:sz w:val="20"/>
          <w:szCs w:val="20"/>
        </w:rPr>
        <w:t>During the third quarter of 2021, the Company updated the warrant value recognized based on the expectation that the probability of achievement of certain milestones would be achieved. The increase was recorded using the fair value determined at the ti</w:t>
      </w:r>
      <w:r>
        <w:rPr>
          <w:rFonts w:ascii="Arial" w:hAnsi="Arial" w:cs="Arial"/>
          <w:sz w:val="20"/>
          <w:szCs w:val="20"/>
        </w:rPr>
        <w:t xml:space="preserve">me of grant multiplied by the estimated number of remaining warrants expected to vest. This increase was recorded as additional paid-in capital and as a contract asset included in prepaid expenses and other current assets and other long-term assets in the </w:t>
      </w:r>
      <w:r>
        <w:rPr>
          <w:rFonts w:ascii="Arial" w:hAnsi="Arial" w:cs="Arial"/>
          <w:sz w:val="20"/>
          <w:szCs w:val="20"/>
        </w:rPr>
        <w:t>consolidated balance sheets. There were</w:t>
      </w:r>
      <w:r>
        <w:rPr>
          <w:rFonts w:ascii="Arial" w:hAnsi="Arial" w:cs="Arial"/>
          <w:sz w:val="20"/>
          <w:szCs w:val="20"/>
        </w:rPr>
        <w:t xml:space="preserve"> </w:t>
      </w:r>
      <w:r>
        <w:rPr>
          <w:rFonts w:ascii="Arial" w:hAnsi="Arial" w:cs="Arial"/>
          <w:sz w:val="20"/>
          <w:szCs w:val="20"/>
        </w:rPr>
        <w:t>n</w:t>
      </w:r>
      <w:r>
        <w:rPr>
          <w:rFonts w:ascii="Arial" w:hAnsi="Arial" w:cs="Arial"/>
          <w:sz w:val="20"/>
          <w:szCs w:val="20"/>
        </w:rPr>
        <w:t>o</w:t>
      </w:r>
      <w:r>
        <w:rPr>
          <w:rFonts w:ascii="Arial" w:hAnsi="Arial" w:cs="Arial"/>
          <w:sz w:val="20"/>
          <w:szCs w:val="20"/>
        </w:rPr>
        <w:t xml:space="preserve"> changes to the valuation in the fourth quarter of 2021</w:t>
      </w:r>
      <w:r>
        <w:rPr>
          <w:rFonts w:ascii="Arial" w:hAnsi="Arial" w:cs="Arial"/>
          <w:sz w:val="20"/>
          <w:szCs w:val="20"/>
        </w:rPr>
        <w:t>.</w:t>
      </w:r>
    </w:p>
    <w:p w:rsidR="00000000" w:rsidRDefault="00010F15">
      <w:pPr>
        <w:pStyle w:val="a3"/>
        <w:spacing w:before="240" w:beforeAutospacing="0" w:after="0" w:afterAutospacing="0"/>
        <w:ind w:hanging="422"/>
        <w:rPr>
          <w:sz w:val="20"/>
          <w:szCs w:val="20"/>
        </w:rPr>
      </w:pPr>
      <w:r>
        <w:rPr>
          <w:rFonts w:ascii="Arial" w:hAnsi="Arial" w:cs="Arial"/>
          <w:b/>
          <w:bCs/>
          <w:sz w:val="20"/>
          <w:szCs w:val="20"/>
        </w:rPr>
        <w:t>1</w:t>
      </w:r>
      <w:r>
        <w:rPr>
          <w:rFonts w:ascii="Arial" w:hAnsi="Arial" w:cs="Arial"/>
          <w:b/>
          <w:bCs/>
          <w:sz w:val="20"/>
          <w:szCs w:val="20"/>
        </w:rPr>
        <w:t>1</w:t>
      </w:r>
      <w:r>
        <w:rPr>
          <w:rFonts w:ascii="Arial" w:hAnsi="Arial" w:cs="Arial"/>
          <w:b/>
          <w:bCs/>
          <w:sz w:val="20"/>
          <w:szCs w:val="20"/>
        </w:rPr>
        <w:t>. Stock-Based Compensatio</w:t>
      </w:r>
      <w:r>
        <w:rPr>
          <w:rFonts w:ascii="Arial" w:hAnsi="Arial" w:cs="Arial"/>
          <w:b/>
          <w:bCs/>
          <w:sz w:val="20"/>
          <w:szCs w:val="20"/>
        </w:rPr>
        <w:t>n</w:t>
      </w:r>
    </w:p>
    <w:p w:rsidR="00000000" w:rsidRDefault="00010F15">
      <w:pPr>
        <w:pStyle w:val="a3"/>
        <w:spacing w:before="240" w:beforeAutospacing="0" w:after="0" w:afterAutospacing="0"/>
        <w:ind w:firstLine="539"/>
        <w:divId w:val="183905861"/>
        <w:rPr>
          <w:sz w:val="20"/>
          <w:szCs w:val="20"/>
        </w:rPr>
      </w:pPr>
      <w:r>
        <w:rPr>
          <w:rFonts w:ascii="Arial" w:hAnsi="Arial" w:cs="Arial"/>
          <w:sz w:val="20"/>
          <w:szCs w:val="20"/>
        </w:rPr>
        <w:t xml:space="preserve">In May 2021, the Company’s board of directors adopted, and its stockholders approved, the 2021 Equity Incentive Plan (the “2021 </w:t>
      </w:r>
      <w:r>
        <w:rPr>
          <w:rFonts w:ascii="Arial" w:hAnsi="Arial" w:cs="Arial"/>
          <w:sz w:val="20"/>
          <w:szCs w:val="20"/>
        </w:rPr>
        <w:t>Plan”), which became effective in connection with the IPO. The 2021 Plan provides for the grant of incentive stock options, within the meaning of Section 422 of the Internal Revenue Code, to the Company's employees and any of its parent or subsidiary corpo</w:t>
      </w:r>
      <w:r>
        <w:rPr>
          <w:rFonts w:ascii="Arial" w:hAnsi="Arial" w:cs="Arial"/>
          <w:sz w:val="20"/>
          <w:szCs w:val="20"/>
        </w:rPr>
        <w:t>rations’ employees, and for the grant of nonstatutory stock options, restricted stock, restricted stock units, stock appreciation rights, and performance awards to the Company’s employees, directors and consultants and any of its parent or subsidiary corpo</w:t>
      </w:r>
      <w:r>
        <w:rPr>
          <w:rFonts w:ascii="Arial" w:hAnsi="Arial" w:cs="Arial"/>
          <w:sz w:val="20"/>
          <w:szCs w:val="20"/>
        </w:rPr>
        <w:t>rations’ employees and consultants. A total of</w:t>
      </w:r>
      <w:r>
        <w:rPr>
          <w:rFonts w:ascii="Arial" w:hAnsi="Arial" w:cs="Arial"/>
          <w:sz w:val="20"/>
          <w:szCs w:val="20"/>
        </w:rPr>
        <w:t xml:space="preserve"> </w:t>
      </w:r>
      <w:r>
        <w:rPr>
          <w:rFonts w:ascii="Arial" w:hAnsi="Arial" w:cs="Arial"/>
          <w:sz w:val="20"/>
          <w:szCs w:val="20"/>
        </w:rPr>
        <w:t>10,459,00</w:t>
      </w:r>
      <w:r>
        <w:rPr>
          <w:rFonts w:ascii="Arial" w:hAnsi="Arial" w:cs="Arial"/>
          <w:sz w:val="20"/>
          <w:szCs w:val="20"/>
        </w:rPr>
        <w:t>0</w:t>
      </w:r>
      <w:r>
        <w:rPr>
          <w:rFonts w:ascii="Arial" w:hAnsi="Arial" w:cs="Arial"/>
          <w:sz w:val="20"/>
          <w:szCs w:val="20"/>
        </w:rPr>
        <w:t xml:space="preserve"> shares of the Company’s Class A common stock have been reserved for issuance under the 2021 Plan in addition to (i) an annual increase of</w:t>
      </w:r>
      <w:r>
        <w:rPr>
          <w:rFonts w:ascii="Arial" w:hAnsi="Arial" w:cs="Arial"/>
          <w:sz w:val="20"/>
          <w:szCs w:val="20"/>
        </w:rPr>
        <w:t xml:space="preserve"> </w:t>
      </w:r>
      <w:r>
        <w:rPr>
          <w:rFonts w:ascii="Arial" w:hAnsi="Arial" w:cs="Arial"/>
          <w:sz w:val="20"/>
          <w:szCs w:val="20"/>
        </w:rPr>
        <w:t>4</w:t>
      </w:r>
      <w:r>
        <w:rPr>
          <w:rFonts w:ascii="Arial" w:hAnsi="Arial" w:cs="Arial"/>
          <w:sz w:val="20"/>
          <w:szCs w:val="20"/>
        </w:rPr>
        <w:t>% of</w:t>
      </w:r>
      <w:r>
        <w:rPr>
          <w:rFonts w:ascii="Arial" w:hAnsi="Arial" w:cs="Arial"/>
          <w:sz w:val="20"/>
          <w:szCs w:val="20"/>
        </w:rPr>
        <w:t xml:space="preserve"> </w:t>
      </w:r>
      <w:r>
        <w:rPr>
          <w:rFonts w:ascii="Arial" w:hAnsi="Arial" w:cs="Arial"/>
          <w:sz w:val="20"/>
          <w:szCs w:val="20"/>
        </w:rPr>
        <w:t xml:space="preserve">the outstanding shares of the Company's common stock, </w:t>
      </w:r>
      <w:r>
        <w:rPr>
          <w:rFonts w:ascii="Arial" w:hAnsi="Arial" w:cs="Arial"/>
          <w:sz w:val="20"/>
          <w:szCs w:val="20"/>
        </w:rPr>
        <w:t>with Class A and Class B commo</w:t>
      </w:r>
      <w:r>
        <w:rPr>
          <w:rFonts w:ascii="Arial" w:hAnsi="Arial" w:cs="Arial"/>
          <w:sz w:val="20"/>
          <w:szCs w:val="20"/>
        </w:rPr>
        <w:t>n</w:t>
      </w:r>
      <w:r>
        <w:rPr>
          <w:rFonts w:ascii="Arial" w:hAnsi="Arial" w:cs="Arial"/>
          <w:sz w:val="20"/>
          <w:szCs w:val="20"/>
        </w:rPr>
        <w:t xml:space="preserve"> </w:t>
      </w:r>
    </w:p>
    <w:p w:rsidR="00000000" w:rsidRDefault="00010F15">
      <w:pPr>
        <w:pStyle w:val="a3"/>
        <w:spacing w:before="120" w:beforeAutospacing="0" w:after="0" w:afterAutospacing="0"/>
        <w:jc w:val="center"/>
        <w:divId w:val="183905861"/>
        <w:rPr>
          <w:sz w:val="20"/>
          <w:szCs w:val="20"/>
        </w:rPr>
      </w:pPr>
      <w:r>
        <w:rPr>
          <w:rFonts w:ascii="Arial" w:hAnsi="Arial" w:cs="Arial"/>
          <w:sz w:val="20"/>
          <w:szCs w:val="20"/>
        </w:rPr>
        <w:t>9</w:t>
      </w:r>
      <w:r>
        <w:rPr>
          <w:rFonts w:ascii="Arial" w:hAnsi="Arial" w:cs="Arial"/>
          <w:sz w:val="20"/>
          <w:szCs w:val="20"/>
        </w:rPr>
        <w:t>3</w:t>
      </w:r>
    </w:p>
    <w:p w:rsidR="00000000" w:rsidRDefault="00010F15">
      <w:pPr>
        <w:divId w:val="183905861"/>
        <w:rPr>
          <w:rFonts w:eastAsia="Times New Roman"/>
        </w:rPr>
      </w:pPr>
      <w:r>
        <w:rPr>
          <w:rFonts w:eastAsia="Times New Roman"/>
        </w:rPr>
        <w:pict>
          <v:rect id="_x0000_i1118" style="width:0;height:1.5pt" o:hralign="center" o:hrstd="t" o:hr="t" fillcolor="#a0a0a0" stroked="f"/>
        </w:pict>
      </w:r>
    </w:p>
    <w:p w:rsidR="00000000" w:rsidRDefault="00010F15">
      <w:pPr>
        <w:pStyle w:val="a3"/>
        <w:spacing w:before="0" w:beforeAutospacing="0" w:after="0" w:afterAutospacing="0"/>
        <w:divId w:val="183905861"/>
        <w:rPr>
          <w:sz w:val="20"/>
          <w:szCs w:val="20"/>
        </w:rPr>
      </w:pPr>
      <w:r>
        <w:rPr>
          <w:sz w:val="20"/>
          <w:szCs w:val="20"/>
        </w:rPr>
        <w:t> </w:t>
      </w:r>
    </w:p>
    <w:p w:rsidR="00000000" w:rsidRDefault="00010F15">
      <w:pPr>
        <w:pStyle w:val="a3"/>
        <w:spacing w:before="240" w:beforeAutospacing="0" w:after="0" w:afterAutospacing="0"/>
        <w:divId w:val="183905861"/>
        <w:rPr>
          <w:sz w:val="20"/>
          <w:szCs w:val="20"/>
        </w:rPr>
      </w:pPr>
      <w:r>
        <w:rPr>
          <w:rFonts w:ascii="Arial" w:hAnsi="Arial" w:cs="Arial"/>
          <w:sz w:val="20"/>
          <w:szCs w:val="20"/>
        </w:rPr>
        <w:t>stock</w:t>
      </w:r>
      <w:r>
        <w:rPr>
          <w:rFonts w:ascii="Arial" w:hAnsi="Arial" w:cs="Arial"/>
          <w:sz w:val="20"/>
          <w:szCs w:val="20"/>
        </w:rPr>
        <w:t xml:space="preserve"> </w:t>
      </w:r>
      <w:r>
        <w:rPr>
          <w:rFonts w:ascii="Arial" w:hAnsi="Arial" w:cs="Arial"/>
          <w:sz w:val="20"/>
          <w:szCs w:val="20"/>
        </w:rPr>
        <w:t xml:space="preserve">taken together, on the first day of each fiscal year (the "Evergreen Addition") and (ii) upon the expiration, forfeiture, cancellation, or reacquisition of any shares of Class </w:t>
      </w:r>
      <w:r>
        <w:rPr>
          <w:rFonts w:ascii="Arial" w:hAnsi="Arial" w:cs="Arial"/>
          <w:sz w:val="20"/>
          <w:szCs w:val="20"/>
        </w:rPr>
        <w:t>B common stock underlying outstanding stock awards granted under the 2012 Equity Incentive Plan, an equal number of shares of Class A common stock, such number of shares not to exceed</w:t>
      </w:r>
      <w:r>
        <w:rPr>
          <w:rFonts w:ascii="Arial" w:hAnsi="Arial" w:cs="Arial"/>
          <w:sz w:val="20"/>
          <w:szCs w:val="20"/>
        </w:rPr>
        <w:t xml:space="preserve"> </w:t>
      </w:r>
      <w:r>
        <w:rPr>
          <w:rFonts w:ascii="Arial" w:hAnsi="Arial" w:cs="Arial"/>
          <w:sz w:val="20"/>
          <w:szCs w:val="20"/>
        </w:rPr>
        <w:t>7,563,99</w:t>
      </w:r>
      <w:r>
        <w:rPr>
          <w:rFonts w:ascii="Arial" w:hAnsi="Arial" w:cs="Arial"/>
          <w:sz w:val="20"/>
          <w:szCs w:val="20"/>
        </w:rPr>
        <w:t>0</w:t>
      </w:r>
      <w:r>
        <w:rPr>
          <w:rFonts w:ascii="Arial" w:hAnsi="Arial" w:cs="Arial"/>
          <w:sz w:val="20"/>
          <w:szCs w:val="20"/>
        </w:rPr>
        <w:t>. At December 31, 2021, there were</w:t>
      </w:r>
      <w:r>
        <w:rPr>
          <w:rFonts w:ascii="Arial" w:hAnsi="Arial" w:cs="Arial"/>
          <w:sz w:val="20"/>
          <w:szCs w:val="20"/>
        </w:rPr>
        <w:t xml:space="preserve"> </w:t>
      </w:r>
      <w:r>
        <w:rPr>
          <w:rFonts w:ascii="Arial" w:hAnsi="Arial" w:cs="Arial"/>
          <w:sz w:val="20"/>
          <w:szCs w:val="20"/>
        </w:rPr>
        <w:t>10,034,80</w:t>
      </w:r>
      <w:r>
        <w:rPr>
          <w:rFonts w:ascii="Arial" w:hAnsi="Arial" w:cs="Arial"/>
          <w:sz w:val="20"/>
          <w:szCs w:val="20"/>
        </w:rPr>
        <w:t>3</w:t>
      </w:r>
      <w:r>
        <w:rPr>
          <w:rFonts w:ascii="Arial" w:hAnsi="Arial" w:cs="Arial"/>
          <w:sz w:val="20"/>
          <w:szCs w:val="20"/>
        </w:rPr>
        <w:t xml:space="preserve"> remaining shares </w:t>
      </w:r>
      <w:r>
        <w:rPr>
          <w:rFonts w:ascii="Arial" w:hAnsi="Arial" w:cs="Arial"/>
          <w:sz w:val="20"/>
          <w:szCs w:val="20"/>
        </w:rPr>
        <w:t>available for the Company to grant under the 2021 Plan. On January 1, 2022, pursuant to the Evergreen Addition, approximately</w:t>
      </w:r>
      <w:r>
        <w:rPr>
          <w:rFonts w:ascii="Arial" w:hAnsi="Arial" w:cs="Arial"/>
          <w:sz w:val="20"/>
          <w:szCs w:val="20"/>
        </w:rPr>
        <w:t xml:space="preserve"> </w:t>
      </w:r>
      <w:r>
        <w:rPr>
          <w:rFonts w:ascii="Arial" w:hAnsi="Arial" w:cs="Arial"/>
          <w:sz w:val="20"/>
          <w:szCs w:val="20"/>
        </w:rPr>
        <w:t>4.</w:t>
      </w:r>
      <w:r>
        <w:rPr>
          <w:rFonts w:ascii="Arial" w:hAnsi="Arial" w:cs="Arial"/>
          <w:sz w:val="20"/>
          <w:szCs w:val="20"/>
        </w:rPr>
        <w:t>8</w:t>
      </w:r>
      <w:r>
        <w:rPr>
          <w:rFonts w:ascii="Arial" w:hAnsi="Arial" w:cs="Arial"/>
          <w:sz w:val="20"/>
          <w:szCs w:val="20"/>
        </w:rPr>
        <w:t xml:space="preserve"> million shares of Class A common stock were added to the 2021 Plan issuance reserve</w:t>
      </w:r>
      <w:r>
        <w:rPr>
          <w:rFonts w:ascii="Arial" w:hAnsi="Arial" w:cs="Arial"/>
          <w:sz w:val="20"/>
          <w:szCs w:val="20"/>
        </w:rPr>
        <w:t>.</w:t>
      </w:r>
      <w:r>
        <w:rPr>
          <w:rFonts w:ascii="Arial" w:hAnsi="Arial" w:cs="Arial"/>
          <w:sz w:val="20"/>
          <w:szCs w:val="20"/>
        </w:rPr>
        <w:t xml:space="preserve"> </w:t>
      </w:r>
    </w:p>
    <w:p w:rsidR="00000000" w:rsidRDefault="00010F15">
      <w:pPr>
        <w:pStyle w:val="a3"/>
        <w:spacing w:before="240" w:beforeAutospacing="0" w:after="0" w:afterAutospacing="0"/>
        <w:divId w:val="183905861"/>
        <w:rPr>
          <w:sz w:val="20"/>
          <w:szCs w:val="20"/>
        </w:rPr>
      </w:pPr>
      <w:r>
        <w:rPr>
          <w:rFonts w:ascii="Arial" w:hAnsi="Arial" w:cs="Arial"/>
          <w:b/>
          <w:bCs/>
          <w:i/>
          <w:iCs/>
          <w:sz w:val="20"/>
          <w:szCs w:val="20"/>
        </w:rPr>
        <w:t>Stock Option</w:t>
      </w:r>
      <w:r>
        <w:rPr>
          <w:rFonts w:ascii="Arial" w:hAnsi="Arial" w:cs="Arial"/>
          <w:b/>
          <w:bCs/>
          <w:i/>
          <w:iCs/>
          <w:sz w:val="20"/>
          <w:szCs w:val="20"/>
        </w:rPr>
        <w:t>s</w:t>
      </w:r>
    </w:p>
    <w:p w:rsidR="00000000" w:rsidRDefault="00010F15">
      <w:pPr>
        <w:pStyle w:val="a3"/>
        <w:spacing w:before="120" w:beforeAutospacing="0" w:after="120" w:afterAutospacing="0"/>
        <w:ind w:firstLine="539"/>
        <w:divId w:val="1470587180"/>
        <w:rPr>
          <w:sz w:val="20"/>
          <w:szCs w:val="20"/>
        </w:rPr>
      </w:pPr>
      <w:r>
        <w:rPr>
          <w:rFonts w:ascii="Arial" w:hAnsi="Arial" w:cs="Arial"/>
          <w:sz w:val="20"/>
          <w:szCs w:val="20"/>
        </w:rPr>
        <w:t>A summary of the Company’s</w:t>
      </w:r>
      <w:r>
        <w:rPr>
          <w:rFonts w:ascii="Arial" w:hAnsi="Arial" w:cs="Arial"/>
          <w:sz w:val="20"/>
          <w:szCs w:val="20"/>
        </w:rPr>
        <w:t xml:space="preserve"> option activity during the year ended December 31, 2021 was as follows (in thousands, except share and per share amounts)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99"/>
        <w:gridCol w:w="116"/>
        <w:gridCol w:w="116"/>
        <w:gridCol w:w="990"/>
        <w:gridCol w:w="127"/>
        <w:gridCol w:w="116"/>
        <w:gridCol w:w="173"/>
        <w:gridCol w:w="951"/>
        <w:gridCol w:w="116"/>
        <w:gridCol w:w="116"/>
        <w:gridCol w:w="118"/>
        <w:gridCol w:w="997"/>
        <w:gridCol w:w="116"/>
        <w:gridCol w:w="116"/>
        <w:gridCol w:w="172"/>
        <w:gridCol w:w="936"/>
        <w:gridCol w:w="131"/>
      </w:tblGrid>
      <w:tr w:rsidR="00000000">
        <w:trPr>
          <w:divId w:val="1470587180"/>
          <w:tblCellSpacing w:w="15" w:type="dxa"/>
        </w:trPr>
        <w:tc>
          <w:tcPr>
            <w:tcW w:w="1855" w:type="pct"/>
            <w:vAlign w:val="center"/>
            <w:hideMark/>
          </w:tcPr>
          <w:p w:rsidR="00000000" w:rsidRDefault="00010F15">
            <w:pPr>
              <w:rPr>
                <w:sz w:val="20"/>
                <w:szCs w:val="20"/>
              </w:rPr>
            </w:pPr>
          </w:p>
        </w:tc>
        <w:tc>
          <w:tcPr>
            <w:tcW w:w="73"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642" w:type="pct"/>
            <w:vAlign w:val="center"/>
            <w:hideMark/>
          </w:tcPr>
          <w:p w:rsidR="00000000" w:rsidRDefault="00010F15">
            <w:pPr>
              <w:rPr>
                <w:rFonts w:eastAsia="Times New Roman"/>
                <w:sz w:val="20"/>
                <w:szCs w:val="20"/>
              </w:rPr>
            </w:pPr>
          </w:p>
        </w:tc>
        <w:tc>
          <w:tcPr>
            <w:tcW w:w="39" w:type="pct"/>
            <w:vAlign w:val="center"/>
            <w:hideMark/>
          </w:tcPr>
          <w:p w:rsidR="00000000" w:rsidRDefault="00010F15">
            <w:pPr>
              <w:rPr>
                <w:rFonts w:eastAsia="Times New Roman"/>
                <w:sz w:val="20"/>
                <w:szCs w:val="20"/>
              </w:rPr>
            </w:pPr>
          </w:p>
        </w:tc>
        <w:tc>
          <w:tcPr>
            <w:tcW w:w="73" w:type="pct"/>
            <w:vAlign w:val="center"/>
            <w:hideMark/>
          </w:tcPr>
          <w:p w:rsidR="00000000" w:rsidRDefault="00010F15">
            <w:pPr>
              <w:rPr>
                <w:rFonts w:eastAsia="Times New Roman"/>
                <w:sz w:val="20"/>
                <w:szCs w:val="20"/>
              </w:rPr>
            </w:pPr>
          </w:p>
        </w:tc>
        <w:tc>
          <w:tcPr>
            <w:tcW w:w="66" w:type="pct"/>
            <w:vAlign w:val="center"/>
            <w:hideMark/>
          </w:tcPr>
          <w:p w:rsidR="00000000" w:rsidRDefault="00010F15">
            <w:pPr>
              <w:rPr>
                <w:rFonts w:eastAsia="Times New Roman"/>
                <w:sz w:val="20"/>
                <w:szCs w:val="20"/>
              </w:rPr>
            </w:pPr>
          </w:p>
        </w:tc>
        <w:tc>
          <w:tcPr>
            <w:tcW w:w="617"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73"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647"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73" w:type="pct"/>
            <w:vAlign w:val="center"/>
            <w:hideMark/>
          </w:tcPr>
          <w:p w:rsidR="00000000" w:rsidRDefault="00010F15">
            <w:pPr>
              <w:rPr>
                <w:rFonts w:eastAsia="Times New Roman"/>
                <w:sz w:val="20"/>
                <w:szCs w:val="20"/>
              </w:rPr>
            </w:pPr>
          </w:p>
        </w:tc>
        <w:tc>
          <w:tcPr>
            <w:tcW w:w="66" w:type="pct"/>
            <w:vAlign w:val="center"/>
            <w:hideMark/>
          </w:tcPr>
          <w:p w:rsidR="00000000" w:rsidRDefault="00010F15">
            <w:pPr>
              <w:rPr>
                <w:rFonts w:eastAsia="Times New Roman"/>
                <w:sz w:val="20"/>
                <w:szCs w:val="20"/>
              </w:rPr>
            </w:pPr>
          </w:p>
        </w:tc>
        <w:tc>
          <w:tcPr>
            <w:tcW w:w="606"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r>
      <w:tr w:rsidR="00000000">
        <w:trPr>
          <w:divId w:val="1470587180"/>
          <w:trHeight w:val="160"/>
          <w:tblCellSpacing w:w="15" w:type="dxa"/>
        </w:trPr>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Weighted</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divId w:val="1470587180"/>
          <w:trHeight w:val="160"/>
          <w:tblCellSpacing w:w="15" w:type="dxa"/>
        </w:trPr>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Weighted</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Averag</w:t>
            </w:r>
            <w:r>
              <w:rPr>
                <w:rFonts w:ascii="Arial" w:hAnsi="Arial" w:cs="Arial"/>
                <w:b/>
                <w:bCs/>
                <w:sz w:val="16"/>
                <w:szCs w:val="16"/>
              </w:rPr>
              <w:t>e</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divId w:val="1470587180"/>
          <w:trHeight w:val="160"/>
          <w:tblCellSpacing w:w="15" w:type="dxa"/>
        </w:trPr>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Averag</w:t>
            </w:r>
            <w:r>
              <w:rPr>
                <w:rFonts w:ascii="Arial" w:hAnsi="Arial" w:cs="Arial"/>
                <w:b/>
                <w:bCs/>
                <w:sz w:val="16"/>
                <w:szCs w:val="16"/>
              </w:rPr>
              <w:t>e</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Remainin</w:t>
            </w:r>
            <w:r>
              <w:rPr>
                <w:rFonts w:ascii="Arial" w:hAnsi="Arial" w:cs="Arial"/>
                <w:b/>
                <w:bCs/>
                <w:sz w:val="16"/>
                <w:szCs w:val="16"/>
              </w:rPr>
              <w:t>g</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Aggregat</w:t>
            </w:r>
            <w:r>
              <w:rPr>
                <w:rFonts w:ascii="Arial" w:hAnsi="Arial" w:cs="Arial"/>
                <w:b/>
                <w:bCs/>
                <w:sz w:val="16"/>
                <w:szCs w:val="16"/>
              </w:rPr>
              <w:t>e</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divId w:val="1470587180"/>
          <w:trHeight w:val="160"/>
          <w:tblCellSpacing w:w="15" w:type="dxa"/>
        </w:trPr>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Option</w:t>
            </w:r>
            <w:r>
              <w:rPr>
                <w:rFonts w:ascii="Arial" w:hAnsi="Arial" w:cs="Arial"/>
                <w:b/>
                <w:bCs/>
                <w:sz w:val="16"/>
                <w:szCs w:val="16"/>
              </w:rPr>
              <w:t>s</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Exercise Pric</w:t>
            </w:r>
            <w:r>
              <w:rPr>
                <w:rFonts w:ascii="Arial" w:hAnsi="Arial" w:cs="Arial"/>
                <w:b/>
                <w:bCs/>
                <w:sz w:val="16"/>
                <w:szCs w:val="16"/>
              </w:rPr>
              <w:t>e</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Contractua</w:t>
            </w:r>
            <w:r>
              <w:rPr>
                <w:rFonts w:ascii="Arial" w:hAnsi="Arial" w:cs="Arial"/>
                <w:b/>
                <w:bCs/>
                <w:sz w:val="16"/>
                <w:szCs w:val="16"/>
              </w:rPr>
              <w:t>l</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Intrinsi</w:t>
            </w:r>
            <w:r>
              <w:rPr>
                <w:rFonts w:ascii="Arial" w:hAnsi="Arial" w:cs="Arial"/>
                <w:b/>
                <w:bCs/>
                <w:sz w:val="16"/>
                <w:szCs w:val="16"/>
              </w:rPr>
              <w:t>c</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divId w:val="1470587180"/>
          <w:trHeight w:val="160"/>
          <w:tblCellSpacing w:w="15" w:type="dxa"/>
        </w:trPr>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Outstandin</w:t>
            </w:r>
            <w:r>
              <w:rPr>
                <w:rFonts w:ascii="Arial" w:hAnsi="Arial" w:cs="Arial"/>
                <w:b/>
                <w:bCs/>
                <w:sz w:val="16"/>
                <w:szCs w:val="16"/>
              </w:rPr>
              <w:t>g</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per Shar</w:t>
            </w:r>
            <w:r>
              <w:rPr>
                <w:rFonts w:ascii="Arial" w:hAnsi="Arial" w:cs="Arial"/>
                <w:b/>
                <w:bCs/>
                <w:sz w:val="16"/>
                <w:szCs w:val="16"/>
              </w:rPr>
              <w:t>e</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Life</w:t>
            </w:r>
            <w:r>
              <w:rPr>
                <w:rFonts w:ascii="Arial" w:hAnsi="Arial" w:cs="Arial"/>
                <w:b/>
                <w:bCs/>
                <w:sz w:val="16"/>
                <w:szCs w:val="16"/>
              </w:rPr>
              <w:t xml:space="preserve"> </w:t>
            </w:r>
            <w:r>
              <w:rPr>
                <w:rFonts w:ascii="Arial" w:hAnsi="Arial" w:cs="Arial"/>
                <w:b/>
                <w:bCs/>
                <w:i/>
                <w:iCs/>
                <w:sz w:val="16"/>
                <w:szCs w:val="16"/>
              </w:rPr>
              <w:t>(years</w:t>
            </w:r>
            <w:r>
              <w:rPr>
                <w:rFonts w:ascii="Arial" w:hAnsi="Arial" w:cs="Arial"/>
                <w:b/>
                <w:bCs/>
                <w:i/>
                <w:i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Valu</w:t>
            </w:r>
            <w:r>
              <w:rPr>
                <w:rFonts w:ascii="Arial" w:hAnsi="Arial" w:cs="Arial"/>
                <w:b/>
                <w:bCs/>
                <w:sz w:val="16"/>
                <w:szCs w:val="16"/>
              </w:rPr>
              <w:t>e</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divId w:val="1470587180"/>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Outstanding at December 31, 202</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7,509,21</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4.6</w:t>
            </w:r>
            <w:r>
              <w:rPr>
                <w:rFonts w:ascii="Arial" w:hAnsi="Arial" w:cs="Arial"/>
                <w:sz w:val="20"/>
                <w:szCs w:val="20"/>
              </w:rPr>
              <w:t>8</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5.8</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36,58</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470587180"/>
          <w:trHeight w:val="200"/>
          <w:tblCellSpacing w:w="15" w:type="dxa"/>
        </w:trPr>
        <w:tc>
          <w:tcPr>
            <w:tcW w:w="0" w:type="auto"/>
            <w:vAlign w:val="bottom"/>
            <w:hideMark/>
          </w:tcPr>
          <w:p w:rsidR="00000000" w:rsidRDefault="00010F15">
            <w:pPr>
              <w:pStyle w:val="a3"/>
              <w:spacing w:before="0" w:beforeAutospacing="0" w:after="0" w:afterAutospacing="0"/>
              <w:ind w:left="280"/>
              <w:rPr>
                <w:sz w:val="20"/>
                <w:szCs w:val="20"/>
              </w:rPr>
            </w:pPr>
            <w:r>
              <w:rPr>
                <w:rFonts w:ascii="Arial" w:hAnsi="Arial" w:cs="Arial"/>
                <w:sz w:val="20"/>
                <w:szCs w:val="20"/>
              </w:rPr>
              <w:t>Options grante</w:t>
            </w:r>
            <w:r>
              <w:rPr>
                <w:rFonts w:ascii="Arial" w:hAnsi="Arial" w:cs="Arial"/>
                <w:sz w:val="20"/>
                <w:szCs w:val="20"/>
              </w:rPr>
              <w:t>d</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67,39</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10.5</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470587180"/>
          <w:trHeight w:val="200"/>
          <w:tblCellSpacing w:w="15" w:type="dxa"/>
        </w:trPr>
        <w:tc>
          <w:tcPr>
            <w:tcW w:w="0" w:type="auto"/>
            <w:vAlign w:val="bottom"/>
            <w:hideMark/>
          </w:tcPr>
          <w:p w:rsidR="00000000" w:rsidRDefault="00010F15">
            <w:pPr>
              <w:pStyle w:val="a3"/>
              <w:spacing w:before="0" w:beforeAutospacing="0" w:after="0" w:afterAutospacing="0"/>
              <w:ind w:left="280"/>
              <w:rPr>
                <w:sz w:val="20"/>
                <w:szCs w:val="20"/>
              </w:rPr>
            </w:pPr>
            <w:r>
              <w:rPr>
                <w:rFonts w:ascii="Arial" w:hAnsi="Arial" w:cs="Arial"/>
                <w:sz w:val="20"/>
                <w:szCs w:val="20"/>
              </w:rPr>
              <w:t>Options exercise</w:t>
            </w:r>
            <w:r>
              <w:rPr>
                <w:rFonts w:ascii="Arial" w:hAnsi="Arial" w:cs="Arial"/>
                <w:sz w:val="20"/>
                <w:szCs w:val="20"/>
              </w:rPr>
              <w:t>d</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623,72</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0.5</w:t>
            </w: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470587180"/>
          <w:trHeight w:val="200"/>
          <w:tblCellSpacing w:w="15" w:type="dxa"/>
        </w:trPr>
        <w:tc>
          <w:tcPr>
            <w:tcW w:w="0" w:type="auto"/>
            <w:vAlign w:val="bottom"/>
            <w:hideMark/>
          </w:tcPr>
          <w:p w:rsidR="00000000" w:rsidRDefault="00010F15">
            <w:pPr>
              <w:pStyle w:val="a3"/>
              <w:spacing w:before="0" w:beforeAutospacing="0" w:after="0" w:afterAutospacing="0"/>
              <w:ind w:left="280"/>
              <w:rPr>
                <w:sz w:val="20"/>
                <w:szCs w:val="20"/>
              </w:rPr>
            </w:pPr>
            <w:r>
              <w:rPr>
                <w:rFonts w:ascii="Arial" w:hAnsi="Arial" w:cs="Arial"/>
                <w:sz w:val="20"/>
                <w:szCs w:val="20"/>
              </w:rPr>
              <w:t>Options forfeite</w:t>
            </w:r>
            <w:r>
              <w:rPr>
                <w:rFonts w:ascii="Arial" w:hAnsi="Arial" w:cs="Arial"/>
                <w:sz w:val="20"/>
                <w:szCs w:val="20"/>
              </w:rPr>
              <w:t>d</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104,22</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9.0</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470587180"/>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Outstanding at December 31, 202</w:t>
            </w: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6,848,66</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5.0</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4.9</w:t>
            </w:r>
            <w:r>
              <w:rPr>
                <w:rFonts w:ascii="Arial" w:hAnsi="Arial" w:cs="Arial"/>
                <w:sz w:val="20"/>
                <w:szCs w:val="20"/>
              </w:rPr>
              <w:t>8</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204,97</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470587180"/>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Exercisable at December 31, 202</w:t>
            </w: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4,970,85</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3.6</w:t>
            </w:r>
            <w:r>
              <w:rPr>
                <w:rFonts w:ascii="Arial" w:hAnsi="Arial" w:cs="Arial"/>
                <w:sz w:val="20"/>
                <w:szCs w:val="20"/>
              </w:rPr>
              <w:t>9</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3.9</w:t>
            </w:r>
            <w:r>
              <w:rPr>
                <w:rFonts w:ascii="Arial" w:hAnsi="Arial" w:cs="Arial"/>
                <w:sz w:val="20"/>
                <w:szCs w:val="20"/>
              </w:rPr>
              <w:t>8</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155,52</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bl>
    <w:p w:rsidR="00000000" w:rsidRDefault="00010F15">
      <w:pPr>
        <w:pStyle w:val="a3"/>
        <w:spacing w:before="240" w:beforeAutospacing="0" w:after="0" w:afterAutospacing="0"/>
        <w:ind w:firstLine="543"/>
        <w:divId w:val="183905861"/>
        <w:rPr>
          <w:sz w:val="20"/>
          <w:szCs w:val="20"/>
        </w:rPr>
      </w:pPr>
      <w:r>
        <w:rPr>
          <w:rFonts w:ascii="Arial" w:hAnsi="Arial" w:cs="Arial"/>
          <w:sz w:val="20"/>
          <w:szCs w:val="20"/>
        </w:rPr>
        <w:t xml:space="preserve">The weighted average grant date fair value of options granted during the years ended December 31, 2021, 2020 and 2019, was </w:t>
      </w:r>
      <w:r>
        <w:rPr>
          <w:rFonts w:ascii="Arial" w:hAnsi="Arial" w:cs="Arial"/>
          <w:sz w:val="20"/>
          <w:szCs w:val="20"/>
        </w:rPr>
        <w:t>$</w:t>
      </w:r>
      <w:r>
        <w:rPr>
          <w:rFonts w:ascii="Arial" w:hAnsi="Arial" w:cs="Arial"/>
          <w:sz w:val="20"/>
          <w:szCs w:val="20"/>
        </w:rPr>
        <w:t>3.3</w:t>
      </w:r>
      <w:r>
        <w:rPr>
          <w:rFonts w:ascii="Arial" w:hAnsi="Arial" w:cs="Arial"/>
          <w:sz w:val="20"/>
          <w:szCs w:val="20"/>
        </w:rPr>
        <w:t>8</w:t>
      </w:r>
      <w:r>
        <w:rPr>
          <w:rFonts w:ascii="Arial" w:hAnsi="Arial" w:cs="Arial"/>
          <w:sz w:val="20"/>
          <w:szCs w:val="20"/>
        </w:rPr>
        <w:t xml:space="preserve">, </w:t>
      </w:r>
      <w:r>
        <w:rPr>
          <w:rFonts w:ascii="Arial" w:hAnsi="Arial" w:cs="Arial"/>
          <w:sz w:val="20"/>
          <w:szCs w:val="20"/>
        </w:rPr>
        <w:t>$</w:t>
      </w:r>
      <w:r>
        <w:rPr>
          <w:rFonts w:ascii="Arial" w:hAnsi="Arial" w:cs="Arial"/>
          <w:sz w:val="20"/>
          <w:szCs w:val="20"/>
        </w:rPr>
        <w:t>3.7</w:t>
      </w:r>
      <w:r>
        <w:rPr>
          <w:rFonts w:ascii="Arial" w:hAnsi="Arial" w:cs="Arial"/>
          <w:sz w:val="20"/>
          <w:szCs w:val="20"/>
        </w:rPr>
        <w:t>1</w:t>
      </w:r>
      <w:r>
        <w:rPr>
          <w:rFonts w:ascii="Arial" w:hAnsi="Arial" w:cs="Arial"/>
          <w:sz w:val="20"/>
          <w:szCs w:val="20"/>
        </w:rPr>
        <w:t xml:space="preserve"> and </w:t>
      </w:r>
      <w:r>
        <w:rPr>
          <w:rFonts w:ascii="Arial" w:hAnsi="Arial" w:cs="Arial"/>
          <w:sz w:val="20"/>
          <w:szCs w:val="20"/>
        </w:rPr>
        <w:t>$</w:t>
      </w:r>
      <w:r>
        <w:rPr>
          <w:rFonts w:ascii="Arial" w:hAnsi="Arial" w:cs="Arial"/>
          <w:sz w:val="20"/>
          <w:szCs w:val="20"/>
        </w:rPr>
        <w:t>2.5</w:t>
      </w:r>
      <w:r>
        <w:rPr>
          <w:rFonts w:ascii="Arial" w:hAnsi="Arial" w:cs="Arial"/>
          <w:sz w:val="20"/>
          <w:szCs w:val="20"/>
        </w:rPr>
        <w:t>9</w:t>
      </w:r>
      <w:r>
        <w:rPr>
          <w:rFonts w:ascii="Arial" w:hAnsi="Arial" w:cs="Arial"/>
          <w:sz w:val="20"/>
          <w:szCs w:val="20"/>
        </w:rPr>
        <w:t>, respectively. Aggregate intrinsic value represents the difference between the exercise price of the options a</w:t>
      </w:r>
      <w:r>
        <w:rPr>
          <w:rFonts w:ascii="Arial" w:hAnsi="Arial" w:cs="Arial"/>
          <w:sz w:val="20"/>
          <w:szCs w:val="20"/>
        </w:rPr>
        <w:t xml:space="preserve">nd the fair value of the Company’s common stock. The aggregate intrinsic value of options exercised for the year ended December 31, 2021 was </w:t>
      </w:r>
      <w:r>
        <w:rPr>
          <w:rFonts w:ascii="Arial" w:hAnsi="Arial" w:cs="Arial"/>
          <w:sz w:val="20"/>
          <w:szCs w:val="20"/>
        </w:rPr>
        <w:t>$</w:t>
      </w:r>
      <w:r>
        <w:rPr>
          <w:rFonts w:ascii="Arial" w:hAnsi="Arial" w:cs="Arial"/>
          <w:sz w:val="20"/>
          <w:szCs w:val="20"/>
        </w:rPr>
        <w:t>17.</w:t>
      </w:r>
      <w:r>
        <w:rPr>
          <w:rFonts w:ascii="Arial" w:hAnsi="Arial" w:cs="Arial"/>
          <w:sz w:val="20"/>
          <w:szCs w:val="20"/>
        </w:rPr>
        <w:t>8</w:t>
      </w:r>
      <w:r>
        <w:rPr>
          <w:rFonts w:ascii="Arial" w:hAnsi="Arial" w:cs="Arial"/>
          <w:sz w:val="20"/>
          <w:szCs w:val="20"/>
        </w:rPr>
        <w:t xml:space="preserve"> million. There were</w:t>
      </w:r>
      <w:r>
        <w:rPr>
          <w:rFonts w:ascii="Arial" w:hAnsi="Arial" w:cs="Arial"/>
          <w:sz w:val="20"/>
          <w:szCs w:val="20"/>
        </w:rPr>
        <w:t xml:space="preserve"> </w:t>
      </w:r>
      <w:r>
        <w:rPr>
          <w:rFonts w:ascii="Arial" w:hAnsi="Arial" w:cs="Arial"/>
          <w:sz w:val="20"/>
          <w:szCs w:val="20"/>
        </w:rPr>
        <w:t>n</w:t>
      </w:r>
      <w:r>
        <w:rPr>
          <w:rFonts w:ascii="Arial" w:hAnsi="Arial" w:cs="Arial"/>
          <w:sz w:val="20"/>
          <w:szCs w:val="20"/>
        </w:rPr>
        <w:t>o</w:t>
      </w:r>
      <w:r>
        <w:rPr>
          <w:rFonts w:ascii="Arial" w:hAnsi="Arial" w:cs="Arial"/>
          <w:sz w:val="20"/>
          <w:szCs w:val="20"/>
        </w:rPr>
        <w:t xml:space="preserve"> option exercises in the years ended December 31, 2020 and 2019, respectively</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120" w:afterAutospacing="0"/>
        <w:ind w:firstLine="539"/>
        <w:divId w:val="526602719"/>
        <w:rPr>
          <w:sz w:val="20"/>
          <w:szCs w:val="20"/>
        </w:rPr>
      </w:pPr>
      <w:r>
        <w:rPr>
          <w:rFonts w:ascii="Arial" w:hAnsi="Arial" w:cs="Arial"/>
          <w:sz w:val="20"/>
          <w:szCs w:val="20"/>
        </w:rPr>
        <w:t>The fai</w:t>
      </w:r>
      <w:r>
        <w:rPr>
          <w:rFonts w:ascii="Arial" w:hAnsi="Arial" w:cs="Arial"/>
          <w:sz w:val="20"/>
          <w:szCs w:val="20"/>
        </w:rPr>
        <w:t>r value of options granted during the years ended December 31, 2021, 2020 and 2019 was estimated using the Black-Scholes option-pricing model with the following weighted-average assumptions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25"/>
        <w:gridCol w:w="116"/>
        <w:gridCol w:w="942"/>
        <w:gridCol w:w="116"/>
        <w:gridCol w:w="942"/>
        <w:gridCol w:w="116"/>
        <w:gridCol w:w="117"/>
        <w:gridCol w:w="756"/>
        <w:gridCol w:w="238"/>
        <w:gridCol w:w="116"/>
        <w:gridCol w:w="117"/>
        <w:gridCol w:w="740"/>
        <w:gridCol w:w="238"/>
        <w:gridCol w:w="116"/>
        <w:gridCol w:w="116"/>
        <w:gridCol w:w="742"/>
        <w:gridCol w:w="253"/>
      </w:tblGrid>
      <w:tr w:rsidR="00000000">
        <w:trPr>
          <w:divId w:val="526602719"/>
          <w:tblCellSpacing w:w="15" w:type="dxa"/>
        </w:trPr>
        <w:tc>
          <w:tcPr>
            <w:tcW w:w="1609" w:type="pct"/>
            <w:vAlign w:val="center"/>
            <w:hideMark/>
          </w:tcPr>
          <w:p w:rsidR="00000000" w:rsidRDefault="00010F15">
            <w:pPr>
              <w:rPr>
                <w:sz w:val="20"/>
                <w:szCs w:val="20"/>
              </w:rPr>
            </w:pPr>
          </w:p>
        </w:tc>
        <w:tc>
          <w:tcPr>
            <w:tcW w:w="63" w:type="pct"/>
            <w:vAlign w:val="center"/>
            <w:hideMark/>
          </w:tcPr>
          <w:p w:rsidR="00000000" w:rsidRDefault="00010F15">
            <w:pPr>
              <w:rPr>
                <w:rFonts w:eastAsia="Times New Roman"/>
                <w:sz w:val="20"/>
                <w:szCs w:val="20"/>
              </w:rPr>
            </w:pPr>
          </w:p>
        </w:tc>
        <w:tc>
          <w:tcPr>
            <w:tcW w:w="607" w:type="pct"/>
            <w:vAlign w:val="center"/>
            <w:hideMark/>
          </w:tcPr>
          <w:p w:rsidR="00000000" w:rsidRDefault="00010F15">
            <w:pPr>
              <w:rPr>
                <w:rFonts w:eastAsia="Times New Roman"/>
                <w:sz w:val="20"/>
                <w:szCs w:val="20"/>
              </w:rPr>
            </w:pPr>
          </w:p>
        </w:tc>
        <w:tc>
          <w:tcPr>
            <w:tcW w:w="63" w:type="pct"/>
            <w:vAlign w:val="center"/>
            <w:hideMark/>
          </w:tcPr>
          <w:p w:rsidR="00000000" w:rsidRDefault="00010F15">
            <w:pPr>
              <w:rPr>
                <w:rFonts w:eastAsia="Times New Roman"/>
                <w:sz w:val="20"/>
                <w:szCs w:val="20"/>
              </w:rPr>
            </w:pPr>
          </w:p>
        </w:tc>
        <w:tc>
          <w:tcPr>
            <w:tcW w:w="607" w:type="pct"/>
            <w:vAlign w:val="center"/>
            <w:hideMark/>
          </w:tcPr>
          <w:p w:rsidR="00000000" w:rsidRDefault="00010F15">
            <w:pPr>
              <w:rPr>
                <w:rFonts w:eastAsia="Times New Roman"/>
                <w:sz w:val="20"/>
                <w:szCs w:val="20"/>
              </w:rPr>
            </w:pPr>
          </w:p>
        </w:tc>
        <w:tc>
          <w:tcPr>
            <w:tcW w:w="63"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487" w:type="pct"/>
            <w:vAlign w:val="center"/>
            <w:hideMark/>
          </w:tcPr>
          <w:p w:rsidR="00000000" w:rsidRDefault="00010F15">
            <w:pPr>
              <w:rPr>
                <w:rFonts w:eastAsia="Times New Roman"/>
                <w:sz w:val="20"/>
                <w:szCs w:val="20"/>
              </w:rPr>
            </w:pPr>
          </w:p>
        </w:tc>
        <w:tc>
          <w:tcPr>
            <w:tcW w:w="106" w:type="pct"/>
            <w:vAlign w:val="center"/>
            <w:hideMark/>
          </w:tcPr>
          <w:p w:rsidR="00000000" w:rsidRDefault="00010F15">
            <w:pPr>
              <w:rPr>
                <w:rFonts w:eastAsia="Times New Roman"/>
                <w:sz w:val="20"/>
                <w:szCs w:val="20"/>
              </w:rPr>
            </w:pPr>
          </w:p>
        </w:tc>
        <w:tc>
          <w:tcPr>
            <w:tcW w:w="63"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477" w:type="pct"/>
            <w:vAlign w:val="center"/>
            <w:hideMark/>
          </w:tcPr>
          <w:p w:rsidR="00000000" w:rsidRDefault="00010F15">
            <w:pPr>
              <w:rPr>
                <w:rFonts w:eastAsia="Times New Roman"/>
                <w:sz w:val="20"/>
                <w:szCs w:val="20"/>
              </w:rPr>
            </w:pPr>
          </w:p>
        </w:tc>
        <w:tc>
          <w:tcPr>
            <w:tcW w:w="106" w:type="pct"/>
            <w:vAlign w:val="center"/>
            <w:hideMark/>
          </w:tcPr>
          <w:p w:rsidR="00000000" w:rsidRDefault="00010F15">
            <w:pPr>
              <w:rPr>
                <w:rFonts w:eastAsia="Times New Roman"/>
                <w:sz w:val="20"/>
                <w:szCs w:val="20"/>
              </w:rPr>
            </w:pPr>
          </w:p>
        </w:tc>
        <w:tc>
          <w:tcPr>
            <w:tcW w:w="63"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477" w:type="pct"/>
            <w:vAlign w:val="center"/>
            <w:hideMark/>
          </w:tcPr>
          <w:p w:rsidR="00000000" w:rsidRDefault="00010F15">
            <w:pPr>
              <w:rPr>
                <w:rFonts w:eastAsia="Times New Roman"/>
                <w:sz w:val="20"/>
                <w:szCs w:val="20"/>
              </w:rPr>
            </w:pPr>
          </w:p>
        </w:tc>
        <w:tc>
          <w:tcPr>
            <w:tcW w:w="106" w:type="pct"/>
            <w:vAlign w:val="center"/>
            <w:hideMark/>
          </w:tcPr>
          <w:p w:rsidR="00000000" w:rsidRDefault="00010F15">
            <w:pPr>
              <w:rPr>
                <w:rFonts w:eastAsia="Times New Roman"/>
                <w:sz w:val="20"/>
                <w:szCs w:val="20"/>
              </w:rPr>
            </w:pPr>
          </w:p>
        </w:tc>
      </w:tr>
      <w:tr w:rsidR="00000000">
        <w:trPr>
          <w:divId w:val="526602719"/>
          <w:trHeight w:val="160"/>
          <w:tblCellSpacing w:w="15" w:type="dxa"/>
        </w:trPr>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3"/>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10"/>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Year Ended December 31</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divId w:val="526602719"/>
          <w:trHeight w:val="160"/>
          <w:tblCellSpacing w:w="15" w:type="dxa"/>
        </w:trPr>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201</w:t>
            </w:r>
            <w:r>
              <w:rPr>
                <w:rFonts w:ascii="Arial" w:hAnsi="Arial" w:cs="Arial"/>
                <w:b/>
                <w:bCs/>
                <w:sz w:val="16"/>
                <w:szCs w:val="16"/>
              </w:rPr>
              <w:t>9</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divId w:val="526602719"/>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Dividend yiel</w:t>
            </w:r>
            <w:r>
              <w:rPr>
                <w:rFonts w:ascii="Arial" w:hAnsi="Arial" w:cs="Arial"/>
                <w:sz w:val="20"/>
                <w:szCs w:val="20"/>
              </w:rPr>
              <w:t>d</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010F15">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0</w:t>
            </w:r>
          </w:p>
        </w:tc>
        <w:tc>
          <w:tcPr>
            <w:tcW w:w="0" w:type="auto"/>
            <w:vAlign w:val="center"/>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010F15">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0</w:t>
            </w:r>
          </w:p>
        </w:tc>
        <w:tc>
          <w:tcPr>
            <w:tcW w:w="0" w:type="auto"/>
            <w:vAlign w:val="center"/>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010F15">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0</w:t>
            </w:r>
          </w:p>
        </w:tc>
        <w:tc>
          <w:tcPr>
            <w:tcW w:w="0" w:type="auto"/>
            <w:vAlign w:val="center"/>
            <w:hideMark/>
          </w:tcPr>
          <w:p w:rsidR="00000000" w:rsidRDefault="00010F15">
            <w:pPr>
              <w:pStyle w:val="a3"/>
              <w:spacing w:before="0" w:beforeAutospacing="0" w:after="0" w:afterAutospacing="0"/>
              <w:rPr>
                <w:sz w:val="20"/>
                <w:szCs w:val="20"/>
              </w:rPr>
            </w:pPr>
            <w:r>
              <w:rPr>
                <w:rFonts w:ascii="Arial" w:hAnsi="Arial" w:cs="Arial"/>
                <w:sz w:val="20"/>
                <w:szCs w:val="20"/>
              </w:rPr>
              <w:t>%</w:t>
            </w:r>
          </w:p>
        </w:tc>
      </w:tr>
      <w:tr w:rsidR="00000000">
        <w:trPr>
          <w:divId w:val="526602719"/>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Risk-free interest rat</w:t>
            </w:r>
            <w:r>
              <w:rPr>
                <w:rFonts w:ascii="Arial" w:hAnsi="Arial" w:cs="Arial"/>
                <w:sz w:val="20"/>
                <w:szCs w:val="20"/>
              </w:rPr>
              <w:t>e</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center"/>
            <w:hideMark/>
          </w:tcPr>
          <w:p w:rsidR="00000000" w:rsidRDefault="00010F15">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3</w:t>
            </w:r>
            <w:r>
              <w:rPr>
                <w:rFonts w:ascii="Arial" w:hAnsi="Arial" w:cs="Arial"/>
                <w:sz w:val="20"/>
                <w:szCs w:val="20"/>
              </w:rPr>
              <w:t> % -</w:t>
            </w:r>
            <w:r>
              <w:rPr>
                <w:rFonts w:ascii="Arial" w:hAnsi="Arial" w:cs="Arial"/>
                <w:sz w:val="20"/>
                <w:szCs w:val="20"/>
              </w:rPr>
              <w:t xml:space="preserve"> </w:t>
            </w:r>
            <w:r>
              <w:rPr>
                <w:rFonts w:ascii="Arial" w:hAnsi="Arial" w:cs="Arial"/>
                <w:sz w:val="20"/>
                <w:szCs w:val="20"/>
              </w:rPr>
              <w:t>0.</w:t>
            </w:r>
            <w:r>
              <w:rPr>
                <w:rFonts w:ascii="Arial" w:hAnsi="Arial" w:cs="Arial"/>
                <w:sz w:val="20"/>
                <w:szCs w:val="20"/>
              </w:rPr>
              <w:t>8</w:t>
            </w:r>
            <w:r>
              <w:rPr>
                <w:rFonts w:ascii="Arial" w:hAnsi="Arial" w:cs="Arial"/>
                <w:sz w:val="20"/>
                <w:szCs w:val="20"/>
              </w:rPr>
              <w:t>%</w:t>
            </w:r>
          </w:p>
        </w:tc>
        <w:tc>
          <w:tcPr>
            <w:tcW w:w="0" w:type="auto"/>
            <w:vAlign w:val="center"/>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center"/>
            <w:hideMark/>
          </w:tcPr>
          <w:p w:rsidR="00000000" w:rsidRDefault="00010F15">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3</w:t>
            </w:r>
            <w:r>
              <w:rPr>
                <w:rFonts w:ascii="Arial" w:hAnsi="Arial" w:cs="Arial"/>
                <w:sz w:val="20"/>
                <w:szCs w:val="20"/>
              </w:rPr>
              <w:t> % -</w:t>
            </w:r>
            <w:r>
              <w:rPr>
                <w:rFonts w:ascii="Arial" w:hAnsi="Arial" w:cs="Arial"/>
                <w:sz w:val="20"/>
                <w:szCs w:val="20"/>
              </w:rPr>
              <w:t xml:space="preserve"> </w:t>
            </w:r>
            <w:r>
              <w:rPr>
                <w:rFonts w:ascii="Arial" w:hAnsi="Arial" w:cs="Arial"/>
                <w:sz w:val="20"/>
                <w:szCs w:val="20"/>
              </w:rPr>
              <w:t>0.</w:t>
            </w:r>
            <w:r>
              <w:rPr>
                <w:rFonts w:ascii="Arial" w:hAnsi="Arial" w:cs="Arial"/>
                <w:sz w:val="20"/>
                <w:szCs w:val="20"/>
              </w:rPr>
              <w:t>4</w:t>
            </w:r>
            <w:r>
              <w:rPr>
                <w:rFonts w:ascii="Arial" w:hAnsi="Arial" w:cs="Arial"/>
                <w:sz w:val="20"/>
                <w:szCs w:val="20"/>
              </w:rPr>
              <w:t>%</w:t>
            </w:r>
          </w:p>
        </w:tc>
        <w:tc>
          <w:tcPr>
            <w:tcW w:w="0" w:type="auto"/>
            <w:vAlign w:val="center"/>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center"/>
            <w:hideMark/>
          </w:tcPr>
          <w:p w:rsidR="00000000" w:rsidRDefault="00010F15">
            <w:pPr>
              <w:pStyle w:val="a3"/>
              <w:spacing w:before="0" w:beforeAutospacing="0" w:after="0" w:afterAutospacing="0"/>
              <w:jc w:val="right"/>
              <w:rPr>
                <w:sz w:val="20"/>
                <w:szCs w:val="20"/>
              </w:rPr>
            </w:pPr>
            <w:r>
              <w:rPr>
                <w:rFonts w:ascii="Arial" w:hAnsi="Arial" w:cs="Arial"/>
                <w:sz w:val="20"/>
                <w:szCs w:val="20"/>
              </w:rPr>
              <w:t>2.</w:t>
            </w:r>
            <w:r>
              <w:rPr>
                <w:rFonts w:ascii="Arial" w:hAnsi="Arial" w:cs="Arial"/>
                <w:sz w:val="20"/>
                <w:szCs w:val="20"/>
              </w:rPr>
              <w:t>3</w:t>
            </w:r>
            <w:r>
              <w:rPr>
                <w:rFonts w:ascii="Arial" w:hAnsi="Arial" w:cs="Arial"/>
                <w:sz w:val="20"/>
                <w:szCs w:val="20"/>
              </w:rPr>
              <w:t>%</w:t>
            </w:r>
          </w:p>
        </w:tc>
        <w:tc>
          <w:tcPr>
            <w:tcW w:w="0" w:type="auto"/>
            <w:vAlign w:val="center"/>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r>
      <w:tr w:rsidR="00000000">
        <w:trPr>
          <w:divId w:val="526602719"/>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Expected term (in years</w:t>
            </w: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010F15">
            <w:pPr>
              <w:pStyle w:val="a3"/>
              <w:spacing w:before="0" w:beforeAutospacing="0" w:after="0" w:afterAutospacing="0"/>
              <w:jc w:val="right"/>
              <w:rPr>
                <w:sz w:val="20"/>
                <w:szCs w:val="20"/>
              </w:rPr>
            </w:pPr>
            <w:r>
              <w:rPr>
                <w:rFonts w:ascii="Arial" w:hAnsi="Arial" w:cs="Arial"/>
                <w:sz w:val="20"/>
                <w:szCs w:val="20"/>
              </w:rPr>
              <w:t>5</w:t>
            </w:r>
          </w:p>
        </w:tc>
        <w:tc>
          <w:tcPr>
            <w:tcW w:w="0" w:type="auto"/>
            <w:vAlign w:val="center"/>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010F15">
            <w:pPr>
              <w:pStyle w:val="a3"/>
              <w:spacing w:before="0" w:beforeAutospacing="0" w:after="0" w:afterAutospacing="0"/>
              <w:jc w:val="right"/>
              <w:rPr>
                <w:sz w:val="20"/>
                <w:szCs w:val="20"/>
              </w:rPr>
            </w:pPr>
            <w:r>
              <w:rPr>
                <w:rFonts w:ascii="Arial" w:hAnsi="Arial" w:cs="Arial"/>
                <w:sz w:val="20"/>
                <w:szCs w:val="20"/>
              </w:rPr>
              <w:t>5</w:t>
            </w:r>
          </w:p>
        </w:tc>
        <w:tc>
          <w:tcPr>
            <w:tcW w:w="0" w:type="auto"/>
            <w:vAlign w:val="center"/>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010F15">
            <w:pPr>
              <w:pStyle w:val="a3"/>
              <w:spacing w:before="0" w:beforeAutospacing="0" w:after="0" w:afterAutospacing="0"/>
              <w:jc w:val="right"/>
              <w:rPr>
                <w:sz w:val="20"/>
                <w:szCs w:val="20"/>
              </w:rPr>
            </w:pPr>
            <w:r>
              <w:rPr>
                <w:rFonts w:ascii="Arial" w:hAnsi="Arial" w:cs="Arial"/>
                <w:sz w:val="20"/>
                <w:szCs w:val="20"/>
              </w:rPr>
              <w:t>5</w:t>
            </w:r>
          </w:p>
        </w:tc>
        <w:tc>
          <w:tcPr>
            <w:tcW w:w="0" w:type="auto"/>
            <w:vAlign w:val="center"/>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526602719"/>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Expected volatilit</w:t>
            </w:r>
            <w:r>
              <w:rPr>
                <w:rFonts w:ascii="Arial" w:hAnsi="Arial" w:cs="Arial"/>
                <w:sz w:val="20"/>
                <w:szCs w:val="20"/>
              </w:rPr>
              <w:t>y</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010F15">
            <w:pPr>
              <w:pStyle w:val="a3"/>
              <w:spacing w:before="0" w:beforeAutospacing="0" w:after="0" w:afterAutospacing="0"/>
              <w:jc w:val="right"/>
              <w:rPr>
                <w:sz w:val="20"/>
                <w:szCs w:val="20"/>
              </w:rPr>
            </w:pPr>
            <w:r>
              <w:rPr>
                <w:rFonts w:ascii="Arial" w:hAnsi="Arial" w:cs="Arial"/>
                <w:sz w:val="20"/>
                <w:szCs w:val="20"/>
              </w:rPr>
              <w:t>38.</w:t>
            </w:r>
            <w:r>
              <w:rPr>
                <w:rFonts w:ascii="Arial" w:hAnsi="Arial" w:cs="Arial"/>
                <w:sz w:val="20"/>
                <w:szCs w:val="20"/>
              </w:rPr>
              <w:t>0</w:t>
            </w:r>
          </w:p>
        </w:tc>
        <w:tc>
          <w:tcPr>
            <w:tcW w:w="0" w:type="auto"/>
            <w:vAlign w:val="center"/>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010F15">
            <w:pPr>
              <w:pStyle w:val="a3"/>
              <w:spacing w:before="0" w:beforeAutospacing="0" w:after="0" w:afterAutospacing="0"/>
              <w:jc w:val="right"/>
              <w:rPr>
                <w:sz w:val="20"/>
                <w:szCs w:val="20"/>
              </w:rPr>
            </w:pPr>
            <w:r>
              <w:rPr>
                <w:rFonts w:ascii="Arial" w:hAnsi="Arial" w:cs="Arial"/>
                <w:sz w:val="20"/>
                <w:szCs w:val="20"/>
              </w:rPr>
              <w:t>50.</w:t>
            </w:r>
            <w:r>
              <w:rPr>
                <w:rFonts w:ascii="Arial" w:hAnsi="Arial" w:cs="Arial"/>
                <w:sz w:val="20"/>
                <w:szCs w:val="20"/>
              </w:rPr>
              <w:t>0</w:t>
            </w:r>
          </w:p>
        </w:tc>
        <w:tc>
          <w:tcPr>
            <w:tcW w:w="0" w:type="auto"/>
            <w:vAlign w:val="center"/>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010F15">
            <w:pPr>
              <w:pStyle w:val="a3"/>
              <w:spacing w:before="0" w:beforeAutospacing="0" w:after="0" w:afterAutospacing="0"/>
              <w:jc w:val="right"/>
              <w:rPr>
                <w:sz w:val="20"/>
                <w:szCs w:val="20"/>
              </w:rPr>
            </w:pPr>
            <w:r>
              <w:rPr>
                <w:rFonts w:ascii="Arial" w:hAnsi="Arial" w:cs="Arial"/>
                <w:sz w:val="20"/>
                <w:szCs w:val="20"/>
              </w:rPr>
              <w:t>29.</w:t>
            </w:r>
            <w:r>
              <w:rPr>
                <w:rFonts w:ascii="Arial" w:hAnsi="Arial" w:cs="Arial"/>
                <w:sz w:val="20"/>
                <w:szCs w:val="20"/>
              </w:rPr>
              <w:t>0</w:t>
            </w:r>
          </w:p>
        </w:tc>
        <w:tc>
          <w:tcPr>
            <w:tcW w:w="0" w:type="auto"/>
            <w:vAlign w:val="center"/>
            <w:hideMark/>
          </w:tcPr>
          <w:p w:rsidR="00000000" w:rsidRDefault="00010F15">
            <w:pPr>
              <w:pStyle w:val="a3"/>
              <w:spacing w:before="0" w:beforeAutospacing="0" w:after="0" w:afterAutospacing="0"/>
              <w:rPr>
                <w:sz w:val="20"/>
                <w:szCs w:val="20"/>
              </w:rPr>
            </w:pPr>
            <w:r>
              <w:rPr>
                <w:rFonts w:ascii="Arial" w:hAnsi="Arial" w:cs="Arial"/>
                <w:sz w:val="20"/>
                <w:szCs w:val="20"/>
              </w:rPr>
              <w:t>%</w:t>
            </w:r>
          </w:p>
        </w:tc>
      </w:tr>
    </w:tbl>
    <w:p w:rsidR="00000000" w:rsidRDefault="00010F15">
      <w:pPr>
        <w:pStyle w:val="a3"/>
        <w:spacing w:before="120" w:beforeAutospacing="0" w:after="120" w:afterAutospacing="0" w:line="20" w:lineRule="atLeast"/>
        <w:ind w:firstLine="539"/>
        <w:divId w:val="183905861"/>
        <w:rPr>
          <w:sz w:val="20"/>
          <w:szCs w:val="20"/>
        </w:rPr>
      </w:pPr>
      <w:r>
        <w:rPr>
          <w:rFonts w:ascii="Arial" w:hAnsi="Arial" w:cs="Arial"/>
          <w:sz w:val="20"/>
          <w:szCs w:val="20"/>
        </w:rPr>
        <w:t> </w:t>
      </w:r>
    </w:p>
    <w:p w:rsidR="00000000" w:rsidRDefault="00010F15">
      <w:pPr>
        <w:pStyle w:val="a3"/>
        <w:spacing w:before="0" w:beforeAutospacing="0" w:after="0" w:afterAutospacing="0"/>
        <w:ind w:firstLine="539"/>
        <w:divId w:val="183905861"/>
        <w:rPr>
          <w:sz w:val="20"/>
          <w:szCs w:val="20"/>
        </w:rPr>
      </w:pPr>
      <w:r>
        <w:rPr>
          <w:rFonts w:ascii="Arial" w:hAnsi="Arial" w:cs="Arial"/>
          <w:sz w:val="20"/>
          <w:szCs w:val="20"/>
        </w:rPr>
        <w:t>The determination of the fair value of stock options on the date of grant using a Black-Scholes option-pricing model</w:t>
      </w:r>
      <w:r>
        <w:rPr>
          <w:rFonts w:ascii="Arial" w:hAnsi="Arial" w:cs="Arial"/>
          <w:sz w:val="20"/>
          <w:szCs w:val="20"/>
        </w:rPr>
        <w:t xml:space="preserve"> </w:t>
      </w:r>
      <w:r>
        <w:rPr>
          <w:rFonts w:ascii="Arial" w:hAnsi="Arial" w:cs="Arial"/>
          <w:sz w:val="20"/>
          <w:szCs w:val="20"/>
        </w:rPr>
        <w:t>is affected by the estimated fair value of the Company’s common stock, as well as assumptions regarding a number of variables that are comp</w:t>
      </w:r>
      <w:r>
        <w:rPr>
          <w:rFonts w:ascii="Arial" w:hAnsi="Arial" w:cs="Arial"/>
          <w:sz w:val="20"/>
          <w:szCs w:val="20"/>
        </w:rPr>
        <w:t>lex, subjective and generally require significant judgment to determine. The valuation assumptions were determined as follows</w:t>
      </w:r>
      <w:r>
        <w:rPr>
          <w:rFonts w:ascii="Arial" w:hAnsi="Arial" w:cs="Arial"/>
          <w:sz w:val="20"/>
          <w:szCs w:val="20"/>
        </w:rPr>
        <w:t>:</w:t>
      </w:r>
    </w:p>
    <w:p w:rsidR="00000000" w:rsidRDefault="00010F15">
      <w:pPr>
        <w:pStyle w:val="a3"/>
        <w:spacing w:before="120" w:beforeAutospacing="0" w:after="0" w:afterAutospacing="0"/>
        <w:ind w:firstLine="539"/>
        <w:divId w:val="183905861"/>
        <w:rPr>
          <w:sz w:val="20"/>
          <w:szCs w:val="20"/>
        </w:rPr>
      </w:pPr>
      <w:r>
        <w:rPr>
          <w:rFonts w:ascii="Arial" w:hAnsi="Arial" w:cs="Arial"/>
          <w:i/>
          <w:iCs/>
          <w:sz w:val="20"/>
          <w:szCs w:val="20"/>
        </w:rPr>
        <w:t>Expected Ter</w:t>
      </w:r>
      <w:r>
        <w:rPr>
          <w:rFonts w:ascii="Arial" w:hAnsi="Arial" w:cs="Arial"/>
          <w:i/>
          <w:iCs/>
          <w:sz w:val="20"/>
          <w:szCs w:val="20"/>
        </w:rPr>
        <w:t>m</w:t>
      </w:r>
    </w:p>
    <w:p w:rsidR="00000000" w:rsidRDefault="00010F15">
      <w:pPr>
        <w:pStyle w:val="a3"/>
        <w:spacing w:before="120" w:beforeAutospacing="0" w:after="0" w:afterAutospacing="0"/>
        <w:ind w:firstLine="539"/>
        <w:divId w:val="183905861"/>
        <w:rPr>
          <w:sz w:val="20"/>
          <w:szCs w:val="20"/>
        </w:rPr>
      </w:pPr>
      <w:r>
        <w:rPr>
          <w:rFonts w:ascii="Arial" w:hAnsi="Arial" w:cs="Arial"/>
          <w:sz w:val="20"/>
          <w:szCs w:val="20"/>
        </w:rPr>
        <w:t xml:space="preserve">The expected life of options granted to employees was determined by using management’s best estimation of exercise </w:t>
      </w:r>
      <w:r>
        <w:rPr>
          <w:rFonts w:ascii="Arial" w:hAnsi="Arial" w:cs="Arial"/>
          <w:sz w:val="20"/>
          <w:szCs w:val="20"/>
        </w:rPr>
        <w:t>activity</w:t>
      </w:r>
      <w:r>
        <w:rPr>
          <w:rFonts w:ascii="Arial" w:hAnsi="Arial" w:cs="Arial"/>
          <w:sz w:val="20"/>
          <w:szCs w:val="20"/>
        </w:rPr>
        <w:t>.</w:t>
      </w:r>
    </w:p>
    <w:p w:rsidR="00000000" w:rsidRDefault="00010F15">
      <w:pPr>
        <w:pStyle w:val="a3"/>
        <w:spacing w:before="120" w:beforeAutospacing="0" w:after="0" w:afterAutospacing="0"/>
        <w:ind w:firstLine="539"/>
        <w:divId w:val="183905861"/>
        <w:rPr>
          <w:sz w:val="20"/>
          <w:szCs w:val="20"/>
        </w:rPr>
      </w:pPr>
      <w:r>
        <w:rPr>
          <w:rFonts w:ascii="Arial" w:hAnsi="Arial" w:cs="Arial"/>
          <w:i/>
          <w:iCs/>
          <w:sz w:val="20"/>
          <w:szCs w:val="20"/>
        </w:rPr>
        <w:t>Risk-Free Interest Rat</w:t>
      </w:r>
      <w:r>
        <w:rPr>
          <w:rFonts w:ascii="Arial" w:hAnsi="Arial" w:cs="Arial"/>
          <w:i/>
          <w:iCs/>
          <w:sz w:val="20"/>
          <w:szCs w:val="20"/>
        </w:rPr>
        <w:t>e</w:t>
      </w:r>
    </w:p>
    <w:p w:rsidR="00000000" w:rsidRDefault="00010F15">
      <w:pPr>
        <w:pStyle w:val="a3"/>
        <w:spacing w:before="120" w:beforeAutospacing="0" w:after="0" w:afterAutospacing="0"/>
        <w:ind w:firstLine="539"/>
        <w:divId w:val="183905861"/>
        <w:rPr>
          <w:sz w:val="20"/>
          <w:szCs w:val="20"/>
        </w:rPr>
      </w:pPr>
      <w:r>
        <w:rPr>
          <w:rFonts w:ascii="Arial" w:hAnsi="Arial" w:cs="Arial"/>
          <w:sz w:val="20"/>
          <w:szCs w:val="20"/>
        </w:rPr>
        <w:t>The Company utilizes a risk-free interest rate in the option valuation model based on U.S. Treasury zero-coupon issues, with remaining terms similar to the expected term of the options</w:t>
      </w:r>
      <w:r>
        <w:rPr>
          <w:rFonts w:ascii="Arial" w:hAnsi="Arial" w:cs="Arial"/>
          <w:sz w:val="20"/>
          <w:szCs w:val="20"/>
        </w:rPr>
        <w:t>.</w:t>
      </w:r>
    </w:p>
    <w:p w:rsidR="00000000" w:rsidRDefault="00010F15">
      <w:pPr>
        <w:pStyle w:val="a3"/>
        <w:spacing w:before="120" w:beforeAutospacing="0" w:after="0" w:afterAutospacing="0"/>
        <w:ind w:firstLine="539"/>
        <w:divId w:val="183905861"/>
        <w:rPr>
          <w:sz w:val="20"/>
          <w:szCs w:val="20"/>
        </w:rPr>
      </w:pPr>
      <w:r>
        <w:rPr>
          <w:rFonts w:ascii="Arial" w:hAnsi="Arial" w:cs="Arial"/>
          <w:i/>
          <w:iCs/>
          <w:sz w:val="20"/>
          <w:szCs w:val="20"/>
        </w:rPr>
        <w:t>Expected Volatilit</w:t>
      </w:r>
      <w:r>
        <w:rPr>
          <w:rFonts w:ascii="Arial" w:hAnsi="Arial" w:cs="Arial"/>
          <w:i/>
          <w:iCs/>
          <w:sz w:val="20"/>
          <w:szCs w:val="20"/>
        </w:rPr>
        <w:t>y</w:t>
      </w:r>
    </w:p>
    <w:p w:rsidR="00000000" w:rsidRDefault="00010F15">
      <w:pPr>
        <w:pStyle w:val="a3"/>
        <w:spacing w:before="120" w:beforeAutospacing="0" w:after="0" w:afterAutospacing="0"/>
        <w:ind w:firstLine="539"/>
        <w:divId w:val="183905861"/>
        <w:rPr>
          <w:sz w:val="20"/>
          <w:szCs w:val="20"/>
        </w:rPr>
      </w:pPr>
      <w:r>
        <w:rPr>
          <w:rFonts w:ascii="Arial" w:hAnsi="Arial" w:cs="Arial"/>
          <w:sz w:val="20"/>
          <w:szCs w:val="20"/>
        </w:rPr>
        <w:t>As the Company d</w:t>
      </w:r>
      <w:r>
        <w:rPr>
          <w:rFonts w:ascii="Arial" w:hAnsi="Arial" w:cs="Arial"/>
          <w:sz w:val="20"/>
          <w:szCs w:val="20"/>
        </w:rPr>
        <w:t>oes not have an extensive trading history for its common stock, the expected volatility is based on the historical volatility of the Company’s publicly traded industry peers utilizing a period of time consistent with the Company’s estimate of expected term</w:t>
      </w:r>
      <w:r>
        <w:rPr>
          <w:rFonts w:ascii="Arial" w:hAnsi="Arial" w:cs="Arial"/>
          <w:sz w:val="20"/>
          <w:szCs w:val="20"/>
        </w:rPr>
        <w:t>.</w:t>
      </w:r>
    </w:p>
    <w:p w:rsidR="00000000" w:rsidRDefault="00010F15">
      <w:pPr>
        <w:pStyle w:val="a3"/>
        <w:spacing w:before="120" w:beforeAutospacing="0" w:after="0" w:afterAutospacing="0"/>
        <w:ind w:firstLine="539"/>
        <w:divId w:val="183905861"/>
        <w:rPr>
          <w:sz w:val="20"/>
          <w:szCs w:val="20"/>
        </w:rPr>
      </w:pPr>
      <w:r>
        <w:rPr>
          <w:rFonts w:ascii="Arial" w:hAnsi="Arial" w:cs="Arial"/>
          <w:i/>
          <w:iCs/>
          <w:sz w:val="20"/>
          <w:szCs w:val="20"/>
        </w:rPr>
        <w:t>Expected Dividend Yiel</w:t>
      </w:r>
      <w:r>
        <w:rPr>
          <w:rFonts w:ascii="Arial" w:hAnsi="Arial" w:cs="Arial"/>
          <w:i/>
          <w:iCs/>
          <w:sz w:val="20"/>
          <w:szCs w:val="20"/>
        </w:rPr>
        <w:t>d</w:t>
      </w:r>
    </w:p>
    <w:p w:rsidR="00000000" w:rsidRDefault="00010F15">
      <w:pPr>
        <w:pStyle w:val="a3"/>
        <w:spacing w:before="120" w:beforeAutospacing="0" w:after="0" w:afterAutospacing="0"/>
        <w:ind w:firstLine="539"/>
        <w:divId w:val="183905861"/>
        <w:rPr>
          <w:sz w:val="20"/>
          <w:szCs w:val="20"/>
        </w:rPr>
      </w:pPr>
      <w:r>
        <w:rPr>
          <w:rFonts w:ascii="Arial" w:hAnsi="Arial" w:cs="Arial"/>
          <w:sz w:val="20"/>
          <w:szCs w:val="20"/>
        </w:rPr>
        <w:t>The Company does not anticipate paying any cash dividends in the foreseeable future and, therefore, uses an expected dividend yield of zero in the option valuation model</w:t>
      </w:r>
      <w:r>
        <w:rPr>
          <w:rFonts w:ascii="Arial" w:hAnsi="Arial" w:cs="Arial"/>
          <w:sz w:val="20"/>
          <w:szCs w:val="20"/>
        </w:rPr>
        <w:t>.</w:t>
      </w:r>
    </w:p>
    <w:p w:rsidR="00000000" w:rsidRDefault="00010F15">
      <w:pPr>
        <w:pStyle w:val="a3"/>
        <w:spacing w:before="120" w:beforeAutospacing="0" w:after="0" w:afterAutospacing="0"/>
        <w:jc w:val="center"/>
        <w:divId w:val="183905861"/>
        <w:rPr>
          <w:sz w:val="20"/>
          <w:szCs w:val="20"/>
        </w:rPr>
      </w:pPr>
      <w:r>
        <w:rPr>
          <w:rFonts w:ascii="Arial" w:hAnsi="Arial" w:cs="Arial"/>
          <w:sz w:val="20"/>
          <w:szCs w:val="20"/>
        </w:rPr>
        <w:t>9</w:t>
      </w:r>
      <w:r>
        <w:rPr>
          <w:rFonts w:ascii="Arial" w:hAnsi="Arial" w:cs="Arial"/>
          <w:sz w:val="20"/>
          <w:szCs w:val="20"/>
        </w:rPr>
        <w:t>4</w:t>
      </w:r>
    </w:p>
    <w:p w:rsidR="00000000" w:rsidRDefault="00010F15">
      <w:pPr>
        <w:divId w:val="183905861"/>
        <w:rPr>
          <w:rFonts w:eastAsia="Times New Roman"/>
        </w:rPr>
      </w:pPr>
      <w:r>
        <w:rPr>
          <w:rFonts w:eastAsia="Times New Roman"/>
        </w:rPr>
        <w:pict>
          <v:rect id="_x0000_i1119" style="width:0;height:1.5pt" o:hralign="center" o:hrstd="t" o:hr="t" fillcolor="#a0a0a0" stroked="f"/>
        </w:pict>
      </w:r>
    </w:p>
    <w:p w:rsidR="00000000" w:rsidRDefault="00010F15">
      <w:pPr>
        <w:pStyle w:val="a3"/>
        <w:spacing w:before="0" w:beforeAutospacing="0" w:after="0" w:afterAutospacing="0"/>
        <w:divId w:val="183905861"/>
        <w:rPr>
          <w:sz w:val="20"/>
          <w:szCs w:val="20"/>
        </w:rPr>
      </w:pPr>
      <w:r>
        <w:rPr>
          <w:sz w:val="20"/>
          <w:szCs w:val="20"/>
        </w:rPr>
        <w:t> </w:t>
      </w:r>
    </w:p>
    <w:p w:rsidR="00000000" w:rsidRDefault="00010F15">
      <w:pPr>
        <w:pStyle w:val="a3"/>
        <w:spacing w:before="120" w:beforeAutospacing="0" w:after="0" w:afterAutospacing="0"/>
        <w:ind w:firstLine="539"/>
        <w:divId w:val="183905861"/>
        <w:rPr>
          <w:sz w:val="20"/>
          <w:szCs w:val="20"/>
        </w:rPr>
      </w:pPr>
      <w:r>
        <w:rPr>
          <w:rFonts w:ascii="Arial" w:hAnsi="Arial" w:cs="Arial"/>
          <w:i/>
          <w:iCs/>
          <w:sz w:val="20"/>
          <w:szCs w:val="20"/>
        </w:rPr>
        <w:t>Fair Value of Underlying Common Stoc</w:t>
      </w:r>
      <w:r>
        <w:rPr>
          <w:rFonts w:ascii="Arial" w:hAnsi="Arial" w:cs="Arial"/>
          <w:i/>
          <w:iCs/>
          <w:sz w:val="20"/>
          <w:szCs w:val="20"/>
        </w:rPr>
        <w:t>k</w:t>
      </w:r>
      <w:r>
        <w:rPr>
          <w:rFonts w:ascii="Arial" w:hAnsi="Arial" w:cs="Arial"/>
          <w:i/>
          <w:iCs/>
          <w:sz w:val="20"/>
          <w:szCs w:val="20"/>
        </w:rPr>
        <w:t xml:space="preserve"> </w:t>
      </w:r>
    </w:p>
    <w:p w:rsidR="00000000" w:rsidRDefault="00010F15">
      <w:pPr>
        <w:pStyle w:val="a3"/>
        <w:spacing w:before="120" w:beforeAutospacing="0" w:after="0" w:afterAutospacing="0"/>
        <w:ind w:firstLine="539"/>
        <w:divId w:val="183905861"/>
        <w:rPr>
          <w:sz w:val="20"/>
          <w:szCs w:val="20"/>
        </w:rPr>
      </w:pPr>
      <w:r>
        <w:rPr>
          <w:rFonts w:ascii="Arial" w:hAnsi="Arial" w:cs="Arial"/>
          <w:sz w:val="20"/>
          <w:szCs w:val="20"/>
        </w:rPr>
        <w:t xml:space="preserve">Prior to the initial public offering, the fair value of the shares of common stock underlying stock options was estimated by the Company. The Company prepared the valuations with </w:t>
      </w:r>
      <w:r>
        <w:rPr>
          <w:rFonts w:ascii="Arial" w:hAnsi="Arial" w:cs="Arial"/>
          <w:sz w:val="20"/>
          <w:szCs w:val="20"/>
        </w:rPr>
        <w:t>the assistance of a third-party valuation firm, utilizing approaches and methodologies consistent with the American Institute of Certified Public Accountants Practice Aid,</w:t>
      </w:r>
      <w:r>
        <w:rPr>
          <w:rFonts w:ascii="Arial" w:hAnsi="Arial" w:cs="Arial"/>
          <w:sz w:val="20"/>
          <w:szCs w:val="20"/>
        </w:rPr>
        <w:t xml:space="preserve"> </w:t>
      </w:r>
      <w:r>
        <w:rPr>
          <w:rFonts w:ascii="Arial" w:hAnsi="Arial" w:cs="Arial"/>
          <w:i/>
          <w:iCs/>
          <w:sz w:val="20"/>
          <w:szCs w:val="20"/>
        </w:rPr>
        <w:t>Valuation of Privately-Held-Company Equity Securities Issued as Compensation</w:t>
      </w:r>
      <w:r>
        <w:rPr>
          <w:rFonts w:ascii="Arial" w:hAnsi="Arial" w:cs="Arial"/>
          <w:i/>
          <w:iCs/>
          <w:sz w:val="20"/>
          <w:szCs w:val="20"/>
        </w:rPr>
        <w:t xml:space="preserve"> </w:t>
      </w:r>
      <w:r>
        <w:rPr>
          <w:rFonts w:ascii="Arial" w:hAnsi="Arial" w:cs="Arial"/>
          <w:sz w:val="20"/>
          <w:szCs w:val="20"/>
        </w:rPr>
        <w:t>and inf</w:t>
      </w:r>
      <w:r>
        <w:rPr>
          <w:rFonts w:ascii="Arial" w:hAnsi="Arial" w:cs="Arial"/>
          <w:sz w:val="20"/>
          <w:szCs w:val="20"/>
        </w:rPr>
        <w:t>ormation provided by management, including historical and projected financial information, prospects and risks, company performance, various corporate documents, capitalization, and economic and financial market conditions. Management, with its third-party</w:t>
      </w:r>
      <w:r>
        <w:rPr>
          <w:rFonts w:ascii="Arial" w:hAnsi="Arial" w:cs="Arial"/>
          <w:sz w:val="20"/>
          <w:szCs w:val="20"/>
        </w:rPr>
        <w:t xml:space="preserve"> valuation firm, also utilized other economic, industry, and market information obtained from other resources considered reliable. After the initial public offering, the Company used the publicly quoted price as reported on the New York Stock Exchange as t</w:t>
      </w:r>
      <w:r>
        <w:rPr>
          <w:rFonts w:ascii="Arial" w:hAnsi="Arial" w:cs="Arial"/>
          <w:sz w:val="20"/>
          <w:szCs w:val="20"/>
        </w:rPr>
        <w:t>he fair value of its common stock</w:t>
      </w:r>
      <w:r>
        <w:rPr>
          <w:rFonts w:ascii="Arial" w:hAnsi="Arial" w:cs="Arial"/>
          <w:sz w:val="20"/>
          <w:szCs w:val="20"/>
        </w:rPr>
        <w:t>.</w:t>
      </w:r>
    </w:p>
    <w:p w:rsidR="00000000" w:rsidRDefault="00010F15">
      <w:pPr>
        <w:pStyle w:val="a3"/>
        <w:spacing w:before="240" w:beforeAutospacing="0" w:after="0" w:afterAutospacing="0"/>
        <w:divId w:val="183905861"/>
        <w:rPr>
          <w:sz w:val="20"/>
          <w:szCs w:val="20"/>
        </w:rPr>
      </w:pPr>
      <w:r>
        <w:rPr>
          <w:rFonts w:ascii="Arial" w:hAnsi="Arial" w:cs="Arial"/>
          <w:b/>
          <w:bCs/>
          <w:i/>
          <w:iCs/>
          <w:sz w:val="20"/>
          <w:szCs w:val="20"/>
        </w:rPr>
        <w:t>RSU</w:t>
      </w:r>
      <w:r>
        <w:rPr>
          <w:rFonts w:ascii="Arial" w:hAnsi="Arial" w:cs="Arial"/>
          <w:b/>
          <w:bCs/>
          <w:i/>
          <w:iCs/>
          <w:sz w:val="20"/>
          <w:szCs w:val="20"/>
        </w:rPr>
        <w:t>s</w:t>
      </w:r>
    </w:p>
    <w:p w:rsidR="00000000" w:rsidRDefault="00010F15">
      <w:pPr>
        <w:pStyle w:val="a3"/>
        <w:spacing w:before="120" w:beforeAutospacing="0" w:after="120" w:afterAutospacing="0"/>
        <w:ind w:firstLine="539"/>
        <w:divId w:val="183905861"/>
        <w:rPr>
          <w:sz w:val="20"/>
          <w:szCs w:val="20"/>
        </w:rPr>
      </w:pPr>
      <w:r>
        <w:rPr>
          <w:rFonts w:ascii="Arial" w:hAnsi="Arial" w:cs="Arial"/>
          <w:sz w:val="20"/>
          <w:szCs w:val="20"/>
        </w:rPr>
        <w:t>In August 2021, the Company began issuing RSUs to certain employees and nonemployees under the 2021 Plan</w:t>
      </w:r>
      <w:r>
        <w:rPr>
          <w:rFonts w:ascii="Arial" w:hAnsi="Arial" w:cs="Arial"/>
          <w:sz w:val="20"/>
          <w:szCs w:val="20"/>
        </w:rPr>
        <w:t>.</w:t>
      </w:r>
      <w:r>
        <w:rPr>
          <w:rFonts w:ascii="Arial" w:hAnsi="Arial" w:cs="Arial"/>
          <w:sz w:val="20"/>
          <w:szCs w:val="20"/>
        </w:rPr>
        <w:t xml:space="preserve"> A summary of the Company’s RSU activity during the year ended December 31, 2021 was as follows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78"/>
        <w:gridCol w:w="129"/>
        <w:gridCol w:w="1128"/>
        <w:gridCol w:w="129"/>
        <w:gridCol w:w="1128"/>
        <w:gridCol w:w="129"/>
        <w:gridCol w:w="117"/>
        <w:gridCol w:w="1031"/>
        <w:gridCol w:w="127"/>
        <w:gridCol w:w="130"/>
        <w:gridCol w:w="173"/>
        <w:gridCol w:w="976"/>
        <w:gridCol w:w="131"/>
      </w:tblGrid>
      <w:tr w:rsidR="00000000">
        <w:trPr>
          <w:divId w:val="570970506"/>
          <w:tblCellSpacing w:w="15" w:type="dxa"/>
        </w:trPr>
        <w:tc>
          <w:tcPr>
            <w:tcW w:w="1867" w:type="pct"/>
            <w:vAlign w:val="center"/>
            <w:hideMark/>
          </w:tcPr>
          <w:p w:rsidR="00000000" w:rsidRDefault="00010F15">
            <w:pPr>
              <w:rPr>
                <w:sz w:val="20"/>
                <w:szCs w:val="20"/>
              </w:rPr>
            </w:pPr>
          </w:p>
        </w:tc>
        <w:tc>
          <w:tcPr>
            <w:tcW w:w="73" w:type="pct"/>
            <w:vAlign w:val="center"/>
            <w:hideMark/>
          </w:tcPr>
          <w:p w:rsidR="00000000" w:rsidRDefault="00010F15">
            <w:pPr>
              <w:rPr>
                <w:rFonts w:eastAsia="Times New Roman"/>
                <w:sz w:val="20"/>
                <w:szCs w:val="20"/>
              </w:rPr>
            </w:pPr>
          </w:p>
        </w:tc>
        <w:tc>
          <w:tcPr>
            <w:tcW w:w="705" w:type="pct"/>
            <w:vAlign w:val="center"/>
            <w:hideMark/>
          </w:tcPr>
          <w:p w:rsidR="00000000" w:rsidRDefault="00010F15">
            <w:pPr>
              <w:rPr>
                <w:rFonts w:eastAsia="Times New Roman"/>
                <w:sz w:val="20"/>
                <w:szCs w:val="20"/>
              </w:rPr>
            </w:pPr>
          </w:p>
        </w:tc>
        <w:tc>
          <w:tcPr>
            <w:tcW w:w="73" w:type="pct"/>
            <w:vAlign w:val="center"/>
            <w:hideMark/>
          </w:tcPr>
          <w:p w:rsidR="00000000" w:rsidRDefault="00010F15">
            <w:pPr>
              <w:rPr>
                <w:rFonts w:eastAsia="Times New Roman"/>
                <w:sz w:val="20"/>
                <w:szCs w:val="20"/>
              </w:rPr>
            </w:pPr>
          </w:p>
        </w:tc>
        <w:tc>
          <w:tcPr>
            <w:tcW w:w="705" w:type="pct"/>
            <w:vAlign w:val="center"/>
            <w:hideMark/>
          </w:tcPr>
          <w:p w:rsidR="00000000" w:rsidRDefault="00010F15">
            <w:pPr>
              <w:rPr>
                <w:rFonts w:eastAsia="Times New Roman"/>
                <w:sz w:val="20"/>
                <w:szCs w:val="20"/>
              </w:rPr>
            </w:pPr>
          </w:p>
        </w:tc>
        <w:tc>
          <w:tcPr>
            <w:tcW w:w="73"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644" w:type="pct"/>
            <w:vAlign w:val="center"/>
            <w:hideMark/>
          </w:tcPr>
          <w:p w:rsidR="00000000" w:rsidRDefault="00010F15">
            <w:pPr>
              <w:rPr>
                <w:rFonts w:eastAsia="Times New Roman"/>
                <w:sz w:val="20"/>
                <w:szCs w:val="20"/>
              </w:rPr>
            </w:pPr>
          </w:p>
        </w:tc>
        <w:tc>
          <w:tcPr>
            <w:tcW w:w="39" w:type="pct"/>
            <w:vAlign w:val="center"/>
            <w:hideMark/>
          </w:tcPr>
          <w:p w:rsidR="00000000" w:rsidRDefault="00010F15">
            <w:pPr>
              <w:rPr>
                <w:rFonts w:eastAsia="Times New Roman"/>
                <w:sz w:val="20"/>
                <w:szCs w:val="20"/>
              </w:rPr>
            </w:pPr>
          </w:p>
        </w:tc>
        <w:tc>
          <w:tcPr>
            <w:tcW w:w="73"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608"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r>
      <w:tr w:rsidR="00000000">
        <w:trPr>
          <w:divId w:val="570970506"/>
          <w:trHeight w:val="160"/>
          <w:tblCellSpacing w:w="15" w:type="dxa"/>
        </w:trPr>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Weighted</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divId w:val="570970506"/>
          <w:trHeight w:val="160"/>
          <w:tblCellSpacing w:w="15" w:type="dxa"/>
        </w:trPr>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Averag</w:t>
            </w:r>
            <w:r>
              <w:rPr>
                <w:rFonts w:ascii="Arial" w:hAnsi="Arial" w:cs="Arial"/>
                <w:b/>
                <w:bCs/>
                <w:sz w:val="16"/>
                <w:szCs w:val="16"/>
              </w:rPr>
              <w:t>e</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divId w:val="570970506"/>
          <w:trHeight w:val="160"/>
          <w:tblCellSpacing w:w="15" w:type="dxa"/>
        </w:trPr>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Number o</w:t>
            </w:r>
            <w:r>
              <w:rPr>
                <w:rFonts w:ascii="Arial" w:hAnsi="Arial" w:cs="Arial"/>
                <w:b/>
                <w:bCs/>
                <w:sz w:val="16"/>
                <w:szCs w:val="16"/>
              </w:rPr>
              <w:t>f</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Grant Dat</w:t>
            </w:r>
            <w:r>
              <w:rPr>
                <w:rFonts w:ascii="Arial" w:hAnsi="Arial" w:cs="Arial"/>
                <w:b/>
                <w:bCs/>
                <w:sz w:val="16"/>
                <w:szCs w:val="16"/>
              </w:rPr>
              <w:t>e</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divId w:val="570970506"/>
          <w:trHeight w:val="160"/>
          <w:tblCellSpacing w:w="15" w:type="dxa"/>
        </w:trPr>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RSU's Outstandin</w:t>
            </w:r>
            <w:r>
              <w:rPr>
                <w:rFonts w:ascii="Arial" w:hAnsi="Arial" w:cs="Arial"/>
                <w:b/>
                <w:bCs/>
                <w:sz w:val="16"/>
                <w:szCs w:val="16"/>
              </w:rPr>
              <w:t>g</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Fair Valu</w:t>
            </w:r>
            <w:r>
              <w:rPr>
                <w:rFonts w:ascii="Arial" w:hAnsi="Arial" w:cs="Arial"/>
                <w:b/>
                <w:bCs/>
                <w:sz w:val="16"/>
                <w:szCs w:val="16"/>
              </w:rPr>
              <w:t>e</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divId w:val="570970506"/>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Awarded and unvested at December 31, 202</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570970506"/>
          <w:trHeight w:val="200"/>
          <w:tblCellSpacing w:w="15" w:type="dxa"/>
        </w:trPr>
        <w:tc>
          <w:tcPr>
            <w:tcW w:w="0" w:type="auto"/>
            <w:vAlign w:val="bottom"/>
            <w:hideMark/>
          </w:tcPr>
          <w:p w:rsidR="00000000" w:rsidRDefault="00010F15">
            <w:pPr>
              <w:pStyle w:val="a3"/>
              <w:spacing w:before="0" w:beforeAutospacing="0" w:after="0" w:afterAutospacing="0"/>
              <w:ind w:left="280"/>
              <w:rPr>
                <w:sz w:val="20"/>
                <w:szCs w:val="20"/>
              </w:rPr>
            </w:pPr>
            <w:r>
              <w:rPr>
                <w:rFonts w:ascii="Arial" w:hAnsi="Arial" w:cs="Arial"/>
                <w:sz w:val="20"/>
                <w:szCs w:val="20"/>
              </w:rPr>
              <w:t>Awards grante</w:t>
            </w:r>
            <w:r>
              <w:rPr>
                <w:rFonts w:ascii="Arial" w:hAnsi="Arial" w:cs="Arial"/>
                <w:sz w:val="20"/>
                <w:szCs w:val="20"/>
              </w:rPr>
              <w:t>d</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537,57</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25.9</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570970506"/>
          <w:trHeight w:val="200"/>
          <w:tblCellSpacing w:w="15" w:type="dxa"/>
        </w:trPr>
        <w:tc>
          <w:tcPr>
            <w:tcW w:w="0" w:type="auto"/>
            <w:vAlign w:val="bottom"/>
            <w:hideMark/>
          </w:tcPr>
          <w:p w:rsidR="00000000" w:rsidRDefault="00010F15">
            <w:pPr>
              <w:pStyle w:val="a3"/>
              <w:spacing w:before="0" w:beforeAutospacing="0" w:after="0" w:afterAutospacing="0"/>
              <w:ind w:left="280"/>
              <w:rPr>
                <w:sz w:val="20"/>
                <w:szCs w:val="20"/>
              </w:rPr>
            </w:pPr>
            <w:r>
              <w:rPr>
                <w:rFonts w:ascii="Arial" w:hAnsi="Arial" w:cs="Arial"/>
                <w:sz w:val="20"/>
                <w:szCs w:val="20"/>
              </w:rPr>
              <w:t>Awards veste</w:t>
            </w:r>
            <w:r>
              <w:rPr>
                <w:rFonts w:ascii="Arial" w:hAnsi="Arial" w:cs="Arial"/>
                <w:sz w:val="20"/>
                <w:szCs w:val="20"/>
              </w:rPr>
              <w:t>d</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570970506"/>
          <w:trHeight w:val="200"/>
          <w:tblCellSpacing w:w="15" w:type="dxa"/>
        </w:trPr>
        <w:tc>
          <w:tcPr>
            <w:tcW w:w="0" w:type="auto"/>
            <w:vAlign w:val="bottom"/>
            <w:hideMark/>
          </w:tcPr>
          <w:p w:rsidR="00000000" w:rsidRDefault="00010F15">
            <w:pPr>
              <w:pStyle w:val="a3"/>
              <w:spacing w:before="0" w:beforeAutospacing="0" w:after="0" w:afterAutospacing="0"/>
              <w:ind w:left="280"/>
              <w:rPr>
                <w:sz w:val="20"/>
                <w:szCs w:val="20"/>
              </w:rPr>
            </w:pPr>
            <w:r>
              <w:rPr>
                <w:rFonts w:ascii="Arial" w:hAnsi="Arial" w:cs="Arial"/>
                <w:sz w:val="20"/>
                <w:szCs w:val="20"/>
              </w:rPr>
              <w:t>Awards forfeite</w:t>
            </w:r>
            <w:r>
              <w:rPr>
                <w:rFonts w:ascii="Arial" w:hAnsi="Arial" w:cs="Arial"/>
                <w:sz w:val="20"/>
                <w:szCs w:val="20"/>
              </w:rPr>
              <w:t>d</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24,93</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26.3</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570970506"/>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Awarded and unvested at December 31, 202</w:t>
            </w: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512,63</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25.9</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bl>
    <w:p w:rsidR="00000000" w:rsidRDefault="00010F15">
      <w:pPr>
        <w:pStyle w:val="a3"/>
        <w:spacing w:before="240" w:beforeAutospacing="0" w:after="0" w:afterAutospacing="0"/>
        <w:ind w:firstLine="539"/>
        <w:divId w:val="183905861"/>
        <w:rPr>
          <w:sz w:val="20"/>
          <w:szCs w:val="20"/>
        </w:rPr>
      </w:pPr>
      <w:r>
        <w:rPr>
          <w:rFonts w:ascii="Arial" w:hAnsi="Arial" w:cs="Arial"/>
          <w:sz w:val="20"/>
          <w:szCs w:val="20"/>
        </w:rPr>
        <w:t>The fair value of RSU grants is determined based upon the market closing price of the Company's Class A common stock on the date of grant. RSUs vest over the requisite service period, which ranges between</w:t>
      </w:r>
      <w:r>
        <w:rPr>
          <w:rFonts w:ascii="Arial" w:hAnsi="Arial" w:cs="Arial"/>
          <w:sz w:val="20"/>
          <w:szCs w:val="20"/>
        </w:rPr>
        <w:t xml:space="preserve"> </w:t>
      </w:r>
      <w:r>
        <w:rPr>
          <w:rFonts w:ascii="Arial" w:hAnsi="Arial" w:cs="Arial"/>
          <w:sz w:val="20"/>
          <w:szCs w:val="20"/>
        </w:rPr>
        <w:t>fou</w:t>
      </w:r>
      <w:r>
        <w:rPr>
          <w:rFonts w:ascii="Arial" w:hAnsi="Arial" w:cs="Arial"/>
          <w:sz w:val="20"/>
          <w:szCs w:val="20"/>
        </w:rPr>
        <w:t>r</w:t>
      </w:r>
      <w:r>
        <w:rPr>
          <w:rFonts w:ascii="Arial" w:hAnsi="Arial" w:cs="Arial"/>
          <w:sz w:val="20"/>
          <w:szCs w:val="20"/>
        </w:rPr>
        <w:t xml:space="preserve"> and</w:t>
      </w:r>
      <w:r>
        <w:rPr>
          <w:rFonts w:ascii="Arial" w:hAnsi="Arial" w:cs="Arial"/>
          <w:sz w:val="20"/>
          <w:szCs w:val="20"/>
        </w:rPr>
        <w:t xml:space="preserve"> </w:t>
      </w:r>
      <w:r>
        <w:rPr>
          <w:rFonts w:ascii="Arial" w:hAnsi="Arial" w:cs="Arial"/>
          <w:sz w:val="20"/>
          <w:szCs w:val="20"/>
        </w:rPr>
        <w:t>five year</w:t>
      </w:r>
      <w:r>
        <w:rPr>
          <w:rFonts w:ascii="Arial" w:hAnsi="Arial" w:cs="Arial"/>
          <w:sz w:val="20"/>
          <w:szCs w:val="20"/>
        </w:rPr>
        <w:t>s</w:t>
      </w:r>
      <w:r>
        <w:rPr>
          <w:rFonts w:ascii="Arial" w:hAnsi="Arial" w:cs="Arial"/>
          <w:sz w:val="20"/>
          <w:szCs w:val="20"/>
        </w:rPr>
        <w:t xml:space="preserve"> from the date of grant, subject</w:t>
      </w:r>
      <w:r>
        <w:rPr>
          <w:rFonts w:ascii="Arial" w:hAnsi="Arial" w:cs="Arial"/>
          <w:sz w:val="20"/>
          <w:szCs w:val="20"/>
        </w:rPr>
        <w:t xml:space="preserve"> to continued employment for employees and provision of services for nonemployees.</w:t>
      </w:r>
      <w:r>
        <w:rPr>
          <w:rFonts w:ascii="Arial" w:hAnsi="Arial" w:cs="Arial"/>
          <w:sz w:val="20"/>
          <w:szCs w:val="20"/>
        </w:rPr>
        <w:t xml:space="preserve"> </w:t>
      </w:r>
      <w:r>
        <w:rPr>
          <w:rFonts w:ascii="Arial" w:hAnsi="Arial" w:cs="Arial"/>
          <w:sz w:val="20"/>
          <w:szCs w:val="20"/>
        </w:rPr>
        <w:t>N</w:t>
      </w:r>
      <w:r>
        <w:rPr>
          <w:rFonts w:ascii="Arial" w:hAnsi="Arial" w:cs="Arial"/>
          <w:sz w:val="20"/>
          <w:szCs w:val="20"/>
        </w:rPr>
        <w:t>o</w:t>
      </w:r>
      <w:r>
        <w:rPr>
          <w:rFonts w:ascii="Arial" w:hAnsi="Arial" w:cs="Arial"/>
          <w:sz w:val="20"/>
          <w:szCs w:val="20"/>
        </w:rPr>
        <w:t xml:space="preserve"> RSUs vested during the year ended December 31, 2021</w:t>
      </w:r>
      <w:r>
        <w:rPr>
          <w:rFonts w:ascii="Arial" w:hAnsi="Arial" w:cs="Arial"/>
          <w:sz w:val="20"/>
          <w:szCs w:val="20"/>
        </w:rPr>
        <w:t>.</w:t>
      </w:r>
    </w:p>
    <w:p w:rsidR="00000000" w:rsidRDefault="00010F15">
      <w:pPr>
        <w:pStyle w:val="a3"/>
        <w:spacing w:before="120" w:beforeAutospacing="0" w:after="0" w:afterAutospacing="0"/>
        <w:ind w:firstLine="539"/>
        <w:divId w:val="862666883"/>
        <w:rPr>
          <w:sz w:val="20"/>
          <w:szCs w:val="20"/>
        </w:rPr>
      </w:pPr>
      <w:r>
        <w:rPr>
          <w:rFonts w:ascii="Arial" w:hAnsi="Arial" w:cs="Arial"/>
          <w:sz w:val="20"/>
          <w:szCs w:val="20"/>
        </w:rPr>
        <w:t>Stock-based compensation expense included in the consolidated statements of operations was as follows (i</w:t>
      </w:r>
      <w:r>
        <w:rPr>
          <w:rFonts w:ascii="Arial" w:hAnsi="Arial" w:cs="Arial"/>
          <w:sz w:val="20"/>
          <w:szCs w:val="20"/>
        </w:rPr>
        <w:t>n</w:t>
      </w:r>
      <w:r>
        <w:rPr>
          <w:rFonts w:ascii="Arial" w:hAnsi="Arial" w:cs="Arial"/>
          <w:sz w:val="20"/>
          <w:szCs w:val="20"/>
        </w:rPr>
        <w:t xml:space="preserve"> </w:t>
      </w:r>
    </w:p>
    <w:p w:rsidR="00000000" w:rsidRDefault="00010F15">
      <w:pPr>
        <w:pStyle w:val="a3"/>
        <w:spacing w:before="0" w:beforeAutospacing="0" w:after="120" w:afterAutospacing="0"/>
        <w:divId w:val="862666883"/>
        <w:rPr>
          <w:sz w:val="20"/>
          <w:szCs w:val="20"/>
        </w:rPr>
      </w:pPr>
      <w:r>
        <w:rPr>
          <w:rFonts w:ascii="Arial" w:hAnsi="Arial" w:cs="Arial"/>
          <w:sz w:val="20"/>
          <w:szCs w:val="20"/>
        </w:rPr>
        <w:t>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34"/>
        <w:gridCol w:w="116"/>
        <w:gridCol w:w="946"/>
        <w:gridCol w:w="116"/>
        <w:gridCol w:w="946"/>
        <w:gridCol w:w="116"/>
        <w:gridCol w:w="172"/>
        <w:gridCol w:w="817"/>
        <w:gridCol w:w="116"/>
        <w:gridCol w:w="116"/>
        <w:gridCol w:w="172"/>
        <w:gridCol w:w="802"/>
        <w:gridCol w:w="116"/>
        <w:gridCol w:w="116"/>
        <w:gridCol w:w="172"/>
        <w:gridCol w:w="802"/>
        <w:gridCol w:w="131"/>
      </w:tblGrid>
      <w:tr w:rsidR="00000000">
        <w:trPr>
          <w:divId w:val="862666883"/>
          <w:tblCellSpacing w:w="15" w:type="dxa"/>
        </w:trPr>
        <w:tc>
          <w:tcPr>
            <w:tcW w:w="1614" w:type="pct"/>
            <w:vAlign w:val="center"/>
            <w:hideMark/>
          </w:tcPr>
          <w:p w:rsidR="00000000" w:rsidRDefault="00010F15">
            <w:pPr>
              <w:rPr>
                <w:sz w:val="20"/>
                <w:szCs w:val="20"/>
              </w:rPr>
            </w:pPr>
          </w:p>
        </w:tc>
        <w:tc>
          <w:tcPr>
            <w:tcW w:w="63" w:type="pct"/>
            <w:vAlign w:val="center"/>
            <w:hideMark/>
          </w:tcPr>
          <w:p w:rsidR="00000000" w:rsidRDefault="00010F15">
            <w:pPr>
              <w:rPr>
                <w:rFonts w:eastAsia="Times New Roman"/>
                <w:sz w:val="20"/>
                <w:szCs w:val="20"/>
              </w:rPr>
            </w:pPr>
          </w:p>
        </w:tc>
        <w:tc>
          <w:tcPr>
            <w:tcW w:w="608" w:type="pct"/>
            <w:vAlign w:val="center"/>
            <w:hideMark/>
          </w:tcPr>
          <w:p w:rsidR="00000000" w:rsidRDefault="00010F15">
            <w:pPr>
              <w:rPr>
                <w:rFonts w:eastAsia="Times New Roman"/>
                <w:sz w:val="20"/>
                <w:szCs w:val="20"/>
              </w:rPr>
            </w:pPr>
          </w:p>
        </w:tc>
        <w:tc>
          <w:tcPr>
            <w:tcW w:w="63" w:type="pct"/>
            <w:vAlign w:val="center"/>
            <w:hideMark/>
          </w:tcPr>
          <w:p w:rsidR="00000000" w:rsidRDefault="00010F15">
            <w:pPr>
              <w:rPr>
                <w:rFonts w:eastAsia="Times New Roman"/>
                <w:sz w:val="20"/>
                <w:szCs w:val="20"/>
              </w:rPr>
            </w:pPr>
          </w:p>
        </w:tc>
        <w:tc>
          <w:tcPr>
            <w:tcW w:w="608" w:type="pct"/>
            <w:vAlign w:val="center"/>
            <w:hideMark/>
          </w:tcPr>
          <w:p w:rsidR="00000000" w:rsidRDefault="00010F15">
            <w:pPr>
              <w:rPr>
                <w:rFonts w:eastAsia="Times New Roman"/>
                <w:sz w:val="20"/>
                <w:szCs w:val="20"/>
              </w:rPr>
            </w:pPr>
          </w:p>
        </w:tc>
        <w:tc>
          <w:tcPr>
            <w:tcW w:w="63"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524"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63"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514"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63"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514"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r>
      <w:tr w:rsidR="00000000">
        <w:trPr>
          <w:divId w:val="862666883"/>
          <w:trHeight w:val="160"/>
          <w:tblCellSpacing w:w="15" w:type="dxa"/>
        </w:trPr>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3"/>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gridSpan w:val="10"/>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Year Ended December 31</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divId w:val="862666883"/>
          <w:trHeight w:val="160"/>
          <w:tblCellSpacing w:w="15" w:type="dxa"/>
        </w:trPr>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201</w:t>
            </w:r>
            <w:r>
              <w:rPr>
                <w:rFonts w:ascii="Arial" w:hAnsi="Arial" w:cs="Arial"/>
                <w:b/>
                <w:bCs/>
                <w:sz w:val="16"/>
                <w:szCs w:val="16"/>
              </w:rPr>
              <w:t>9</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divId w:val="862666883"/>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Cost of revenu</w:t>
            </w:r>
            <w:r>
              <w:rPr>
                <w:rFonts w:ascii="Arial" w:hAnsi="Arial" w:cs="Arial"/>
                <w:sz w:val="20"/>
                <w:szCs w:val="20"/>
              </w:rPr>
              <w:t>e</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862666883"/>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Operating expense</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862666883"/>
          <w:trHeight w:val="200"/>
          <w:tblCellSpacing w:w="15" w:type="dxa"/>
        </w:trPr>
        <w:tc>
          <w:tcPr>
            <w:tcW w:w="0" w:type="auto"/>
            <w:vAlign w:val="bottom"/>
            <w:hideMark/>
          </w:tcPr>
          <w:p w:rsidR="00000000" w:rsidRDefault="00010F15">
            <w:pPr>
              <w:pStyle w:val="a3"/>
              <w:spacing w:before="0" w:beforeAutospacing="0" w:after="0" w:afterAutospacing="0"/>
              <w:ind w:left="280"/>
              <w:rPr>
                <w:sz w:val="20"/>
                <w:szCs w:val="20"/>
              </w:rPr>
            </w:pPr>
            <w:r>
              <w:rPr>
                <w:rFonts w:ascii="Arial" w:hAnsi="Arial" w:cs="Arial"/>
                <w:sz w:val="20"/>
                <w:szCs w:val="20"/>
              </w:rPr>
              <w:t>Research and developmen</w:t>
            </w:r>
            <w:r>
              <w:rPr>
                <w:rFonts w:ascii="Arial" w:hAnsi="Arial" w:cs="Arial"/>
                <w:sz w:val="20"/>
                <w:szCs w:val="20"/>
              </w:rPr>
              <w:t>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51</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862666883"/>
          <w:trHeight w:val="200"/>
          <w:tblCellSpacing w:w="15" w:type="dxa"/>
        </w:trPr>
        <w:tc>
          <w:tcPr>
            <w:tcW w:w="0" w:type="auto"/>
            <w:vAlign w:val="bottom"/>
            <w:hideMark/>
          </w:tcPr>
          <w:p w:rsidR="00000000" w:rsidRDefault="00010F15">
            <w:pPr>
              <w:pStyle w:val="a3"/>
              <w:spacing w:before="0" w:beforeAutospacing="0" w:after="0" w:afterAutospacing="0"/>
              <w:ind w:left="280"/>
              <w:rPr>
                <w:sz w:val="20"/>
                <w:szCs w:val="20"/>
              </w:rPr>
            </w:pPr>
            <w:r>
              <w:rPr>
                <w:rFonts w:ascii="Arial" w:hAnsi="Arial" w:cs="Arial"/>
                <w:sz w:val="20"/>
                <w:szCs w:val="20"/>
              </w:rPr>
              <w:t>Sales and marketin</w:t>
            </w:r>
            <w:r>
              <w:rPr>
                <w:rFonts w:ascii="Arial" w:hAnsi="Arial" w:cs="Arial"/>
                <w:sz w:val="20"/>
                <w:szCs w:val="20"/>
              </w:rPr>
              <w:t>g</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28</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4</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862666883"/>
          <w:trHeight w:val="200"/>
          <w:tblCellSpacing w:w="15" w:type="dxa"/>
        </w:trPr>
        <w:tc>
          <w:tcPr>
            <w:tcW w:w="0" w:type="auto"/>
            <w:vAlign w:val="bottom"/>
            <w:hideMark/>
          </w:tcPr>
          <w:p w:rsidR="00000000" w:rsidRDefault="00010F15">
            <w:pPr>
              <w:pStyle w:val="a3"/>
              <w:spacing w:before="0" w:beforeAutospacing="0" w:after="0" w:afterAutospacing="0"/>
              <w:ind w:left="280"/>
              <w:rPr>
                <w:sz w:val="20"/>
                <w:szCs w:val="20"/>
              </w:rPr>
            </w:pPr>
            <w:r>
              <w:rPr>
                <w:rFonts w:ascii="Arial" w:hAnsi="Arial" w:cs="Arial"/>
                <w:sz w:val="20"/>
                <w:szCs w:val="20"/>
              </w:rPr>
              <w:t>General and administrativ</w:t>
            </w:r>
            <w:r>
              <w:rPr>
                <w:rFonts w:ascii="Arial" w:hAnsi="Arial" w:cs="Arial"/>
                <w:sz w:val="20"/>
                <w:szCs w:val="20"/>
              </w:rPr>
              <w:t>e</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2,33</w:t>
            </w:r>
            <w:r>
              <w:rPr>
                <w:rFonts w:ascii="Arial" w:hAnsi="Arial" w:cs="Arial"/>
                <w:sz w:val="20"/>
                <w:szCs w:val="20"/>
              </w:rPr>
              <w:t>9</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1,93</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1,56</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862666883"/>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Total stock-based compensatio</w:t>
            </w:r>
            <w:r>
              <w:rPr>
                <w:rFonts w:ascii="Arial" w:hAnsi="Arial" w:cs="Arial"/>
                <w:sz w:val="20"/>
                <w:szCs w:val="20"/>
              </w:rPr>
              <w:t>n</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3,13</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1,99</w:t>
            </w:r>
            <w:r>
              <w:rPr>
                <w:rFonts w:ascii="Arial" w:hAnsi="Arial" w:cs="Arial"/>
                <w:sz w:val="20"/>
                <w:szCs w:val="20"/>
              </w:rPr>
              <w:t>4</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1,58</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bl>
    <w:p w:rsidR="00000000" w:rsidRDefault="00010F15">
      <w:pPr>
        <w:pStyle w:val="a3"/>
        <w:spacing w:before="240" w:beforeAutospacing="0" w:after="0" w:afterAutospacing="0"/>
        <w:ind w:firstLine="539"/>
        <w:divId w:val="183905861"/>
        <w:rPr>
          <w:sz w:val="20"/>
          <w:szCs w:val="20"/>
        </w:rPr>
      </w:pPr>
      <w:r>
        <w:rPr>
          <w:rFonts w:ascii="Arial" w:hAnsi="Arial" w:cs="Arial"/>
          <w:sz w:val="20"/>
          <w:szCs w:val="20"/>
        </w:rPr>
        <w:t xml:space="preserve">At December 31, 2021, there was </w:t>
      </w:r>
      <w:r>
        <w:rPr>
          <w:rFonts w:ascii="Arial" w:hAnsi="Arial" w:cs="Arial"/>
          <w:sz w:val="20"/>
          <w:szCs w:val="20"/>
        </w:rPr>
        <w:t>$</w:t>
      </w:r>
      <w:r>
        <w:rPr>
          <w:rFonts w:ascii="Arial" w:hAnsi="Arial" w:cs="Arial"/>
          <w:sz w:val="20"/>
          <w:szCs w:val="20"/>
        </w:rPr>
        <w:t>5.</w:t>
      </w:r>
      <w:r>
        <w:rPr>
          <w:rFonts w:ascii="Arial" w:hAnsi="Arial" w:cs="Arial"/>
          <w:sz w:val="20"/>
          <w:szCs w:val="20"/>
        </w:rPr>
        <w:t>2</w:t>
      </w:r>
      <w:r>
        <w:rPr>
          <w:rFonts w:ascii="Arial" w:hAnsi="Arial" w:cs="Arial"/>
          <w:sz w:val="20"/>
          <w:szCs w:val="20"/>
        </w:rPr>
        <w:t xml:space="preserve"> million of total unrecognized compensation cost related to unvested stock options granted under the 2012 Equity Incentive Plan, which is expected to be recognized over a remaining weighted-average period of</w:t>
      </w:r>
      <w:r>
        <w:rPr>
          <w:rFonts w:ascii="Arial" w:hAnsi="Arial" w:cs="Arial"/>
          <w:sz w:val="20"/>
          <w:szCs w:val="20"/>
        </w:rPr>
        <w:t xml:space="preserve"> </w:t>
      </w:r>
      <w:r>
        <w:rPr>
          <w:rFonts w:ascii="Arial" w:hAnsi="Arial" w:cs="Arial"/>
          <w:sz w:val="20"/>
          <w:szCs w:val="20"/>
        </w:rPr>
        <w:t>2.</w:t>
      </w:r>
      <w:r>
        <w:rPr>
          <w:rFonts w:ascii="Arial" w:hAnsi="Arial" w:cs="Arial"/>
          <w:sz w:val="20"/>
          <w:szCs w:val="20"/>
        </w:rPr>
        <w:t>5</w:t>
      </w:r>
      <w:r>
        <w:rPr>
          <w:rFonts w:ascii="Arial" w:hAnsi="Arial" w:cs="Arial"/>
          <w:sz w:val="20"/>
          <w:szCs w:val="20"/>
        </w:rPr>
        <w:t xml:space="preserve"> years</w:t>
      </w:r>
      <w:r>
        <w:rPr>
          <w:rFonts w:ascii="Arial" w:hAnsi="Arial" w:cs="Arial"/>
          <w:sz w:val="20"/>
          <w:szCs w:val="20"/>
        </w:rPr>
        <w:t>.</w:t>
      </w:r>
    </w:p>
    <w:p w:rsidR="00000000" w:rsidRDefault="00010F15">
      <w:pPr>
        <w:pStyle w:val="a3"/>
        <w:spacing w:before="120" w:beforeAutospacing="0" w:after="0" w:afterAutospacing="0"/>
        <w:ind w:firstLine="539"/>
        <w:divId w:val="183905861"/>
        <w:rPr>
          <w:sz w:val="20"/>
          <w:szCs w:val="20"/>
        </w:rPr>
      </w:pPr>
      <w:r>
        <w:rPr>
          <w:rFonts w:ascii="Arial" w:hAnsi="Arial" w:cs="Arial"/>
          <w:sz w:val="20"/>
          <w:szCs w:val="20"/>
        </w:rPr>
        <w:t>A</w:t>
      </w:r>
      <w:r>
        <w:rPr>
          <w:rFonts w:ascii="Arial" w:hAnsi="Arial" w:cs="Arial"/>
          <w:sz w:val="20"/>
          <w:szCs w:val="20"/>
        </w:rPr>
        <w:t xml:space="preserve">t December 31, 2021, there was </w:t>
      </w:r>
      <w:r>
        <w:rPr>
          <w:rFonts w:ascii="Arial" w:hAnsi="Arial" w:cs="Arial"/>
          <w:sz w:val="20"/>
          <w:szCs w:val="20"/>
        </w:rPr>
        <w:t>$</w:t>
      </w:r>
      <w:r>
        <w:rPr>
          <w:rFonts w:ascii="Arial" w:hAnsi="Arial" w:cs="Arial"/>
          <w:sz w:val="20"/>
          <w:szCs w:val="20"/>
        </w:rPr>
        <w:t>12.</w:t>
      </w:r>
      <w:r>
        <w:rPr>
          <w:rFonts w:ascii="Arial" w:hAnsi="Arial" w:cs="Arial"/>
          <w:sz w:val="20"/>
          <w:szCs w:val="20"/>
        </w:rPr>
        <w:t>4</w:t>
      </w:r>
      <w:r>
        <w:rPr>
          <w:rFonts w:ascii="Arial" w:hAnsi="Arial" w:cs="Arial"/>
          <w:sz w:val="20"/>
          <w:szCs w:val="20"/>
        </w:rPr>
        <w:t xml:space="preserve"> million of total unrecognized compensation cost related to unvested RSUs granted under the 2021 Plan, which is expected to be recognized over a remaining weighted-average period of</w:t>
      </w:r>
      <w:r>
        <w:rPr>
          <w:rFonts w:ascii="Arial" w:hAnsi="Arial" w:cs="Arial"/>
          <w:sz w:val="20"/>
          <w:szCs w:val="20"/>
        </w:rPr>
        <w:t xml:space="preserve"> </w:t>
      </w:r>
      <w:r>
        <w:rPr>
          <w:rFonts w:ascii="Arial" w:hAnsi="Arial" w:cs="Arial"/>
          <w:sz w:val="20"/>
          <w:szCs w:val="20"/>
        </w:rPr>
        <w:t>4.</w:t>
      </w:r>
      <w:r>
        <w:rPr>
          <w:rFonts w:ascii="Arial" w:hAnsi="Arial" w:cs="Arial"/>
          <w:sz w:val="20"/>
          <w:szCs w:val="20"/>
        </w:rPr>
        <w:t>3</w:t>
      </w:r>
      <w:r>
        <w:rPr>
          <w:rFonts w:ascii="Arial" w:hAnsi="Arial" w:cs="Arial"/>
          <w:sz w:val="20"/>
          <w:szCs w:val="20"/>
        </w:rPr>
        <w:t xml:space="preserve"> years</w:t>
      </w:r>
      <w:r>
        <w:rPr>
          <w:rFonts w:ascii="Arial" w:hAnsi="Arial" w:cs="Arial"/>
          <w:sz w:val="20"/>
          <w:szCs w:val="20"/>
        </w:rPr>
        <w:t>.</w:t>
      </w:r>
    </w:p>
    <w:p w:rsidR="00000000" w:rsidRDefault="00010F15">
      <w:pPr>
        <w:pStyle w:val="a3"/>
        <w:spacing w:before="240" w:beforeAutospacing="0" w:after="0" w:afterAutospacing="0"/>
        <w:ind w:hanging="569"/>
        <w:divId w:val="45300956"/>
        <w:rPr>
          <w:sz w:val="20"/>
          <w:szCs w:val="20"/>
        </w:rPr>
      </w:pPr>
      <w:r>
        <w:rPr>
          <w:rFonts w:ascii="Arial" w:hAnsi="Arial" w:cs="Arial"/>
          <w:b/>
          <w:bCs/>
          <w:sz w:val="20"/>
          <w:szCs w:val="20"/>
        </w:rPr>
        <w:t>12. Income Taxe</w:t>
      </w:r>
      <w:r>
        <w:rPr>
          <w:rFonts w:ascii="Arial" w:hAnsi="Arial" w:cs="Arial"/>
          <w:b/>
          <w:bCs/>
          <w:sz w:val="20"/>
          <w:szCs w:val="20"/>
        </w:rPr>
        <w:t>s</w:t>
      </w:r>
    </w:p>
    <w:p w:rsidR="00000000" w:rsidRDefault="00010F15">
      <w:pPr>
        <w:pStyle w:val="a3"/>
        <w:spacing w:before="240" w:beforeAutospacing="0" w:after="120" w:afterAutospacing="0"/>
        <w:ind w:firstLine="408"/>
        <w:divId w:val="384328933"/>
        <w:rPr>
          <w:sz w:val="20"/>
          <w:szCs w:val="20"/>
        </w:rPr>
      </w:pPr>
      <w:r>
        <w:rPr>
          <w:rFonts w:ascii="Arial" w:hAnsi="Arial" w:cs="Arial"/>
          <w:sz w:val="20"/>
          <w:szCs w:val="20"/>
        </w:rPr>
        <w:t>The compon</w:t>
      </w:r>
      <w:r>
        <w:rPr>
          <w:rFonts w:ascii="Arial" w:hAnsi="Arial" w:cs="Arial"/>
          <w:sz w:val="20"/>
          <w:szCs w:val="20"/>
        </w:rPr>
        <w:t>ents of income before income taxes were as follows (in 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37"/>
        <w:gridCol w:w="116"/>
        <w:gridCol w:w="172"/>
        <w:gridCol w:w="844"/>
        <w:gridCol w:w="116"/>
        <w:gridCol w:w="116"/>
        <w:gridCol w:w="172"/>
        <w:gridCol w:w="844"/>
        <w:gridCol w:w="116"/>
        <w:gridCol w:w="116"/>
        <w:gridCol w:w="172"/>
        <w:gridCol w:w="854"/>
        <w:gridCol w:w="131"/>
      </w:tblGrid>
      <w:tr w:rsidR="00000000">
        <w:trPr>
          <w:divId w:val="384328933"/>
          <w:tblCellSpacing w:w="15" w:type="dxa"/>
        </w:trPr>
        <w:tc>
          <w:tcPr>
            <w:tcW w:w="2865" w:type="pct"/>
            <w:vAlign w:val="center"/>
            <w:hideMark/>
          </w:tcPr>
          <w:p w:rsidR="00000000" w:rsidRDefault="00010F15">
            <w:pPr>
              <w:rPr>
                <w:sz w:val="20"/>
                <w:szCs w:val="20"/>
              </w:rPr>
            </w:pPr>
          </w:p>
        </w:tc>
        <w:tc>
          <w:tcPr>
            <w:tcW w:w="66"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543"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66"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543"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66"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548"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r>
      <w:tr w:rsidR="00000000">
        <w:trPr>
          <w:divId w:val="384328933"/>
          <w:trHeight w:val="16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10"/>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Year Ended December 31</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divId w:val="384328933"/>
          <w:trHeight w:val="16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201</w:t>
            </w:r>
            <w:r>
              <w:rPr>
                <w:rFonts w:ascii="Arial" w:hAnsi="Arial" w:cs="Arial"/>
                <w:b/>
                <w:bCs/>
                <w:sz w:val="16"/>
                <w:szCs w:val="16"/>
              </w:rPr>
              <w:t>9</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divId w:val="384328933"/>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United State</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7,26</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16,54</w:t>
            </w:r>
            <w:r>
              <w:rPr>
                <w:rFonts w:ascii="Arial" w:hAnsi="Arial" w:cs="Arial"/>
                <w:sz w:val="20"/>
                <w:szCs w:val="20"/>
              </w:rPr>
              <w:t>8</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16,66</w:t>
            </w: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384328933"/>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Foreig</w:t>
            </w:r>
            <w:r>
              <w:rPr>
                <w:rFonts w:ascii="Arial" w:hAnsi="Arial" w:cs="Arial"/>
                <w:sz w:val="20"/>
                <w:szCs w:val="20"/>
              </w:rPr>
              <w:t>n</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3,10</w:t>
            </w: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1,81</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1,81</w:t>
            </w:r>
            <w:r>
              <w:rPr>
                <w:rFonts w:ascii="Arial" w:hAnsi="Arial" w:cs="Arial"/>
                <w:sz w:val="20"/>
                <w:szCs w:val="20"/>
              </w:rPr>
              <w:t>8</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384328933"/>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Tota</w:t>
            </w:r>
            <w:r>
              <w:rPr>
                <w:rFonts w:ascii="Arial" w:hAnsi="Arial" w:cs="Arial"/>
                <w:sz w:val="20"/>
                <w:szCs w:val="20"/>
              </w:rPr>
              <w:t>l</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10,36</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18,36</w:t>
            </w:r>
            <w:r>
              <w:rPr>
                <w:rFonts w:ascii="Arial" w:hAnsi="Arial" w:cs="Arial"/>
                <w:sz w:val="20"/>
                <w:szCs w:val="20"/>
              </w:rPr>
              <w:t>4</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18,47</w:t>
            </w:r>
            <w:r>
              <w:rPr>
                <w:rFonts w:ascii="Arial" w:hAnsi="Arial" w:cs="Arial"/>
                <w:sz w:val="20"/>
                <w:szCs w:val="20"/>
              </w:rPr>
              <w:t>9</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bl>
    <w:p w:rsidR="00000000" w:rsidRDefault="00010F15">
      <w:pPr>
        <w:pStyle w:val="a3"/>
        <w:spacing w:before="0" w:beforeAutospacing="0" w:after="0" w:afterAutospacing="0"/>
        <w:divId w:val="384328933"/>
        <w:rPr>
          <w:sz w:val="20"/>
          <w:szCs w:val="20"/>
        </w:rPr>
      </w:pPr>
      <w:r>
        <w:rPr>
          <w:sz w:val="20"/>
          <w:szCs w:val="20"/>
        </w:rPr>
        <w:t> </w:t>
      </w:r>
    </w:p>
    <w:p w:rsidR="00000000" w:rsidRDefault="00010F15">
      <w:pPr>
        <w:pStyle w:val="a3"/>
        <w:spacing w:before="120" w:beforeAutospacing="0" w:after="0" w:afterAutospacing="0"/>
        <w:jc w:val="center"/>
        <w:divId w:val="384328933"/>
        <w:rPr>
          <w:sz w:val="20"/>
          <w:szCs w:val="20"/>
        </w:rPr>
      </w:pPr>
      <w:r>
        <w:rPr>
          <w:rFonts w:ascii="Arial" w:hAnsi="Arial" w:cs="Arial"/>
          <w:sz w:val="20"/>
          <w:szCs w:val="20"/>
        </w:rPr>
        <w:t>9</w:t>
      </w:r>
      <w:r>
        <w:rPr>
          <w:rFonts w:ascii="Arial" w:hAnsi="Arial" w:cs="Arial"/>
          <w:sz w:val="20"/>
          <w:szCs w:val="20"/>
        </w:rPr>
        <w:t>5</w:t>
      </w:r>
    </w:p>
    <w:p w:rsidR="00000000" w:rsidRDefault="00010F15">
      <w:pPr>
        <w:divId w:val="384328933"/>
        <w:rPr>
          <w:rFonts w:ascii="Arial" w:eastAsia="Times New Roman" w:hAnsi="Arial" w:cs="Arial"/>
          <w:sz w:val="20"/>
          <w:szCs w:val="20"/>
        </w:rPr>
      </w:pPr>
      <w:r>
        <w:rPr>
          <w:rFonts w:ascii="Arial" w:eastAsia="Times New Roman" w:hAnsi="Arial" w:cs="Arial"/>
          <w:sz w:val="20"/>
          <w:szCs w:val="20"/>
        </w:rPr>
        <w:pict>
          <v:rect id="_x0000_i1120" style="width:0;height:1.5pt" o:hralign="center" o:hrstd="t" o:hr="t" fillcolor="#a0a0a0" stroked="f"/>
        </w:pict>
      </w:r>
    </w:p>
    <w:p w:rsidR="00000000" w:rsidRDefault="00010F15">
      <w:pPr>
        <w:pStyle w:val="a3"/>
        <w:spacing w:before="0" w:beforeAutospacing="0" w:after="0" w:afterAutospacing="0"/>
        <w:divId w:val="384328933"/>
        <w:rPr>
          <w:sz w:val="20"/>
          <w:szCs w:val="20"/>
        </w:rPr>
      </w:pPr>
      <w:r>
        <w:rPr>
          <w:sz w:val="20"/>
          <w:szCs w:val="20"/>
        </w:rPr>
        <w:t> </w:t>
      </w:r>
    </w:p>
    <w:p w:rsidR="00000000" w:rsidRDefault="00010F15">
      <w:pPr>
        <w:pStyle w:val="a3"/>
        <w:spacing w:before="120" w:beforeAutospacing="0" w:after="120" w:afterAutospacing="0"/>
        <w:ind w:firstLine="408"/>
        <w:divId w:val="384328933"/>
        <w:rPr>
          <w:sz w:val="20"/>
          <w:szCs w:val="20"/>
        </w:rPr>
      </w:pPr>
      <w:r>
        <w:rPr>
          <w:rFonts w:ascii="Arial" w:hAnsi="Arial" w:cs="Arial"/>
          <w:sz w:val="20"/>
          <w:szCs w:val="20"/>
        </w:rPr>
        <w:t>The provision for income taxes consisted of the following (in 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39"/>
        <w:gridCol w:w="116"/>
        <w:gridCol w:w="172"/>
        <w:gridCol w:w="835"/>
        <w:gridCol w:w="127"/>
        <w:gridCol w:w="116"/>
        <w:gridCol w:w="172"/>
        <w:gridCol w:w="844"/>
        <w:gridCol w:w="116"/>
        <w:gridCol w:w="116"/>
        <w:gridCol w:w="172"/>
        <w:gridCol w:w="850"/>
        <w:gridCol w:w="131"/>
      </w:tblGrid>
      <w:tr w:rsidR="00000000">
        <w:trPr>
          <w:divId w:val="384328933"/>
          <w:tblCellSpacing w:w="15" w:type="dxa"/>
        </w:trPr>
        <w:tc>
          <w:tcPr>
            <w:tcW w:w="2866" w:type="pct"/>
            <w:vAlign w:val="center"/>
            <w:hideMark/>
          </w:tcPr>
          <w:p w:rsidR="00000000" w:rsidRDefault="00010F15">
            <w:pPr>
              <w:rPr>
                <w:sz w:val="20"/>
                <w:szCs w:val="20"/>
              </w:rPr>
            </w:pPr>
          </w:p>
        </w:tc>
        <w:tc>
          <w:tcPr>
            <w:tcW w:w="66"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537" w:type="pct"/>
            <w:vAlign w:val="center"/>
            <w:hideMark/>
          </w:tcPr>
          <w:p w:rsidR="00000000" w:rsidRDefault="00010F15">
            <w:pPr>
              <w:rPr>
                <w:rFonts w:eastAsia="Times New Roman"/>
                <w:sz w:val="20"/>
                <w:szCs w:val="20"/>
              </w:rPr>
            </w:pPr>
          </w:p>
        </w:tc>
        <w:tc>
          <w:tcPr>
            <w:tcW w:w="39" w:type="pct"/>
            <w:vAlign w:val="center"/>
            <w:hideMark/>
          </w:tcPr>
          <w:p w:rsidR="00000000" w:rsidRDefault="00010F15">
            <w:pPr>
              <w:rPr>
                <w:rFonts w:eastAsia="Times New Roman"/>
                <w:sz w:val="20"/>
                <w:szCs w:val="20"/>
              </w:rPr>
            </w:pPr>
          </w:p>
        </w:tc>
        <w:tc>
          <w:tcPr>
            <w:tcW w:w="66"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543"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66"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547"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r>
      <w:tr w:rsidR="00000000">
        <w:trPr>
          <w:divId w:val="384328933"/>
          <w:trHeight w:val="16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10"/>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Year Ended December 31</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divId w:val="384328933"/>
          <w:trHeight w:val="16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201</w:t>
            </w:r>
            <w:r>
              <w:rPr>
                <w:rFonts w:ascii="Arial" w:hAnsi="Arial" w:cs="Arial"/>
                <w:b/>
                <w:bCs/>
                <w:sz w:val="16"/>
                <w:szCs w:val="16"/>
              </w:rPr>
              <w:t>9</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divId w:val="384328933"/>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Current</w:t>
            </w: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384328933"/>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Domesti</w:t>
            </w:r>
            <w:r>
              <w:rPr>
                <w:rFonts w:ascii="Arial" w:hAnsi="Arial" w:cs="Arial"/>
                <w:sz w:val="20"/>
                <w:szCs w:val="20"/>
              </w:rPr>
              <w:t>c</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91</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2,48</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3,26</w:t>
            </w: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384328933"/>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Foreig</w:t>
            </w:r>
            <w:r>
              <w:rPr>
                <w:rFonts w:ascii="Arial" w:hAnsi="Arial" w:cs="Arial"/>
                <w:sz w:val="20"/>
                <w:szCs w:val="20"/>
              </w:rPr>
              <w:t>n</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81</w:t>
            </w: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53</w:t>
            </w:r>
            <w:r>
              <w:rPr>
                <w:rFonts w:ascii="Arial" w:hAnsi="Arial" w:cs="Arial"/>
                <w:sz w:val="20"/>
                <w:szCs w:val="20"/>
              </w:rPr>
              <w:t>4</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24</w:t>
            </w: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384328933"/>
          <w:trHeight w:val="200"/>
          <w:tblCellSpacing w:w="15" w:type="dxa"/>
        </w:trPr>
        <w:tc>
          <w:tcPr>
            <w:tcW w:w="0" w:type="auto"/>
            <w:vAlign w:val="bottom"/>
            <w:hideMark/>
          </w:tcPr>
          <w:p w:rsidR="00000000" w:rsidRDefault="00010F15">
            <w:pPr>
              <w:pStyle w:val="a3"/>
              <w:spacing w:before="0" w:beforeAutospacing="0" w:after="0" w:afterAutospacing="0"/>
              <w:ind w:left="280"/>
              <w:rPr>
                <w:sz w:val="20"/>
                <w:szCs w:val="20"/>
              </w:rPr>
            </w:pPr>
            <w:r>
              <w:rPr>
                <w:rFonts w:ascii="Arial" w:hAnsi="Arial" w:cs="Arial"/>
                <w:sz w:val="20"/>
                <w:szCs w:val="20"/>
              </w:rPr>
              <w:t>Tota</w:t>
            </w:r>
            <w:r>
              <w:rPr>
                <w:rFonts w:ascii="Arial" w:hAnsi="Arial" w:cs="Arial"/>
                <w:sz w:val="20"/>
                <w:szCs w:val="20"/>
              </w:rPr>
              <w:t>l</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1,72</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3,01</w:t>
            </w:r>
            <w:r>
              <w:rPr>
                <w:rFonts w:ascii="Arial" w:hAnsi="Arial" w:cs="Arial"/>
                <w:sz w:val="20"/>
                <w:szCs w:val="20"/>
              </w:rPr>
              <w:t>9</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3,50</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384328933"/>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Deferred</w:t>
            </w: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384328933"/>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Domesti</w:t>
            </w:r>
            <w:r>
              <w:rPr>
                <w:rFonts w:ascii="Arial" w:hAnsi="Arial" w:cs="Arial"/>
                <w:sz w:val="20"/>
                <w:szCs w:val="20"/>
              </w:rPr>
              <w:t>c</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76</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1,58</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1,07</w:t>
            </w: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384328933"/>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Foreig</w:t>
            </w:r>
            <w:r>
              <w:rPr>
                <w:rFonts w:ascii="Arial" w:hAnsi="Arial" w:cs="Arial"/>
                <w:sz w:val="20"/>
                <w:szCs w:val="20"/>
              </w:rPr>
              <w:t>n</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5</w:t>
            </w: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20</w:t>
            </w:r>
            <w:r>
              <w:rPr>
                <w:rFonts w:ascii="Arial" w:hAnsi="Arial" w:cs="Arial"/>
                <w:sz w:val="20"/>
                <w:szCs w:val="20"/>
              </w:rPr>
              <w:t>9</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384328933"/>
          <w:trHeight w:val="200"/>
          <w:tblCellSpacing w:w="15" w:type="dxa"/>
        </w:trPr>
        <w:tc>
          <w:tcPr>
            <w:tcW w:w="0" w:type="auto"/>
            <w:vAlign w:val="bottom"/>
            <w:hideMark/>
          </w:tcPr>
          <w:p w:rsidR="00000000" w:rsidRDefault="00010F15">
            <w:pPr>
              <w:pStyle w:val="a3"/>
              <w:spacing w:before="0" w:beforeAutospacing="0" w:after="0" w:afterAutospacing="0"/>
              <w:ind w:left="280"/>
              <w:rPr>
                <w:sz w:val="20"/>
                <w:szCs w:val="20"/>
              </w:rPr>
            </w:pPr>
            <w:r>
              <w:rPr>
                <w:rFonts w:ascii="Arial" w:hAnsi="Arial" w:cs="Arial"/>
                <w:sz w:val="20"/>
                <w:szCs w:val="20"/>
              </w:rPr>
              <w:t>Tota</w:t>
            </w:r>
            <w:r>
              <w:rPr>
                <w:rFonts w:ascii="Arial" w:hAnsi="Arial" w:cs="Arial"/>
                <w:sz w:val="20"/>
                <w:szCs w:val="20"/>
              </w:rPr>
              <w:t>l</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66</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1,63</w:t>
            </w:r>
            <w:r>
              <w:rPr>
                <w:rFonts w:ascii="Arial" w:hAnsi="Arial" w:cs="Arial"/>
                <w:sz w:val="20"/>
                <w:szCs w:val="20"/>
              </w:rPr>
              <w:t>4</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1,28</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384328933"/>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Provision for income taxe</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1,06</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4,65</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4,78</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bl>
    <w:p w:rsidR="00000000" w:rsidRDefault="00010F15">
      <w:pPr>
        <w:pStyle w:val="a3"/>
        <w:spacing w:before="240" w:beforeAutospacing="0" w:after="120" w:afterAutospacing="0"/>
        <w:ind w:firstLine="408"/>
        <w:divId w:val="1737318023"/>
        <w:rPr>
          <w:sz w:val="20"/>
          <w:szCs w:val="20"/>
        </w:rPr>
      </w:pPr>
      <w:r>
        <w:rPr>
          <w:rFonts w:ascii="Arial" w:hAnsi="Arial" w:cs="Arial"/>
          <w:sz w:val="20"/>
          <w:szCs w:val="20"/>
        </w:rPr>
        <w:t>The effective income tax rate differs from the federal statutory income tax rate applied to the income before provision for income taxes due to the following (in 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13"/>
        <w:gridCol w:w="116"/>
        <w:gridCol w:w="116"/>
        <w:gridCol w:w="723"/>
        <w:gridCol w:w="305"/>
        <w:gridCol w:w="116"/>
        <w:gridCol w:w="116"/>
        <w:gridCol w:w="723"/>
        <w:gridCol w:w="305"/>
        <w:gridCol w:w="116"/>
        <w:gridCol w:w="116"/>
        <w:gridCol w:w="788"/>
        <w:gridCol w:w="253"/>
      </w:tblGrid>
      <w:tr w:rsidR="00000000">
        <w:trPr>
          <w:divId w:val="1737318023"/>
          <w:tblCellSpacing w:w="15" w:type="dxa"/>
        </w:trPr>
        <w:tc>
          <w:tcPr>
            <w:tcW w:w="2851" w:type="pct"/>
            <w:vAlign w:val="center"/>
            <w:hideMark/>
          </w:tcPr>
          <w:p w:rsidR="00000000" w:rsidRDefault="00010F15">
            <w:pPr>
              <w:rPr>
                <w:sz w:val="20"/>
                <w:szCs w:val="20"/>
              </w:rPr>
            </w:pPr>
          </w:p>
        </w:tc>
        <w:tc>
          <w:tcPr>
            <w:tcW w:w="66"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470" w:type="pct"/>
            <w:vAlign w:val="center"/>
            <w:hideMark/>
          </w:tcPr>
          <w:p w:rsidR="00000000" w:rsidRDefault="00010F15">
            <w:pPr>
              <w:rPr>
                <w:rFonts w:eastAsia="Times New Roman"/>
                <w:sz w:val="20"/>
                <w:szCs w:val="20"/>
              </w:rPr>
            </w:pPr>
          </w:p>
        </w:tc>
        <w:tc>
          <w:tcPr>
            <w:tcW w:w="147" w:type="pct"/>
            <w:vAlign w:val="center"/>
            <w:hideMark/>
          </w:tcPr>
          <w:p w:rsidR="00000000" w:rsidRDefault="00010F15">
            <w:pPr>
              <w:rPr>
                <w:rFonts w:eastAsia="Times New Roman"/>
                <w:sz w:val="20"/>
                <w:szCs w:val="20"/>
              </w:rPr>
            </w:pPr>
          </w:p>
        </w:tc>
        <w:tc>
          <w:tcPr>
            <w:tcW w:w="66"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470" w:type="pct"/>
            <w:vAlign w:val="center"/>
            <w:hideMark/>
          </w:tcPr>
          <w:p w:rsidR="00000000" w:rsidRDefault="00010F15">
            <w:pPr>
              <w:rPr>
                <w:rFonts w:eastAsia="Times New Roman"/>
                <w:sz w:val="20"/>
                <w:szCs w:val="20"/>
              </w:rPr>
            </w:pPr>
          </w:p>
        </w:tc>
        <w:tc>
          <w:tcPr>
            <w:tcW w:w="147" w:type="pct"/>
            <w:vAlign w:val="center"/>
            <w:hideMark/>
          </w:tcPr>
          <w:p w:rsidR="00000000" w:rsidRDefault="00010F15">
            <w:pPr>
              <w:rPr>
                <w:rFonts w:eastAsia="Times New Roman"/>
                <w:sz w:val="20"/>
                <w:szCs w:val="20"/>
              </w:rPr>
            </w:pPr>
          </w:p>
        </w:tc>
        <w:tc>
          <w:tcPr>
            <w:tcW w:w="66"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510" w:type="pct"/>
            <w:vAlign w:val="center"/>
            <w:hideMark/>
          </w:tcPr>
          <w:p w:rsidR="00000000" w:rsidRDefault="00010F15">
            <w:pPr>
              <w:rPr>
                <w:rFonts w:eastAsia="Times New Roman"/>
                <w:sz w:val="20"/>
                <w:szCs w:val="20"/>
              </w:rPr>
            </w:pPr>
          </w:p>
        </w:tc>
        <w:tc>
          <w:tcPr>
            <w:tcW w:w="106" w:type="pct"/>
            <w:vAlign w:val="center"/>
            <w:hideMark/>
          </w:tcPr>
          <w:p w:rsidR="00000000" w:rsidRDefault="00010F15">
            <w:pPr>
              <w:rPr>
                <w:rFonts w:eastAsia="Times New Roman"/>
                <w:sz w:val="20"/>
                <w:szCs w:val="20"/>
              </w:rPr>
            </w:pPr>
          </w:p>
        </w:tc>
      </w:tr>
      <w:tr w:rsidR="00000000">
        <w:trPr>
          <w:divId w:val="1737318023"/>
          <w:trHeight w:val="16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10"/>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Year Ended December 31</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divId w:val="1737318023"/>
          <w:trHeight w:val="16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201</w:t>
            </w:r>
            <w:r>
              <w:rPr>
                <w:rFonts w:ascii="Arial" w:hAnsi="Arial" w:cs="Arial"/>
                <w:b/>
                <w:bCs/>
                <w:sz w:val="16"/>
                <w:szCs w:val="16"/>
              </w:rPr>
              <w:t>9</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divId w:val="1737318023"/>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Federal statutory rat</w:t>
            </w:r>
            <w:r>
              <w:rPr>
                <w:rFonts w:ascii="Arial" w:hAnsi="Arial" w:cs="Arial"/>
                <w:sz w:val="20"/>
                <w:szCs w:val="20"/>
              </w:rPr>
              <w:t>e</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21.</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21.</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21.</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r>
      <w:tr w:rsidR="00000000">
        <w:trPr>
          <w:divId w:val="1737318023"/>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State taxe</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8</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r>
      <w:tr w:rsidR="00000000">
        <w:trPr>
          <w:divId w:val="1737318023"/>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Non-deductible executive compensatio</w:t>
            </w:r>
            <w:r>
              <w:rPr>
                <w:rFonts w:ascii="Arial" w:hAnsi="Arial" w:cs="Arial"/>
                <w:sz w:val="20"/>
                <w:szCs w:val="20"/>
              </w:rPr>
              <w:t>n</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14.</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r>
      <w:tr w:rsidR="00000000">
        <w:trPr>
          <w:divId w:val="1737318023"/>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Non-deductible IPO expense</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r>
      <w:tr w:rsidR="00000000">
        <w:trPr>
          <w:divId w:val="1737318023"/>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Other permanent difference</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0.</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r>
      <w:tr w:rsidR="00000000">
        <w:trPr>
          <w:divId w:val="1737318023"/>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Excess tax benefit on stock-based compensatio</w:t>
            </w:r>
            <w:r>
              <w:rPr>
                <w:rFonts w:ascii="Arial" w:hAnsi="Arial" w:cs="Arial"/>
                <w:sz w:val="20"/>
                <w:szCs w:val="20"/>
              </w:rPr>
              <w:t>n</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41.</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r>
      <w:tr w:rsidR="00000000">
        <w:trPr>
          <w:divId w:val="1737318023"/>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Difference in prior year tax filings from provisio</w:t>
            </w:r>
            <w:r>
              <w:rPr>
                <w:rFonts w:ascii="Arial" w:hAnsi="Arial" w:cs="Arial"/>
                <w:sz w:val="20"/>
                <w:szCs w:val="20"/>
              </w:rPr>
              <w:t>n</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r>
      <w:tr w:rsidR="00000000">
        <w:trPr>
          <w:divId w:val="1737318023"/>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Foreign tax rate difference</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r>
      <w:tr w:rsidR="00000000">
        <w:trPr>
          <w:divId w:val="1737318023"/>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Othe</w:t>
            </w:r>
            <w:r>
              <w:rPr>
                <w:rFonts w:ascii="Arial" w:hAnsi="Arial" w:cs="Arial"/>
                <w:sz w:val="20"/>
                <w:szCs w:val="20"/>
              </w:rPr>
              <w:t>r</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r>
      <w:tr w:rsidR="00000000">
        <w:trPr>
          <w:divId w:val="1737318023"/>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4</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25.</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25.</w:t>
            </w:r>
            <w:r>
              <w:rPr>
                <w:rFonts w:ascii="Arial" w:hAnsi="Arial" w:cs="Arial"/>
                <w:sz w:val="20"/>
                <w:szCs w:val="20"/>
              </w:rPr>
              <w:t>9</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r>
    </w:tbl>
    <w:p w:rsidR="00000000" w:rsidRDefault="00010F15">
      <w:pPr>
        <w:pStyle w:val="a3"/>
        <w:spacing w:before="240" w:beforeAutospacing="0" w:after="120" w:afterAutospacing="0"/>
        <w:ind w:firstLine="408"/>
        <w:divId w:val="45300956"/>
        <w:rPr>
          <w:sz w:val="20"/>
          <w:szCs w:val="20"/>
        </w:rPr>
      </w:pPr>
      <w:r>
        <w:rPr>
          <w:rFonts w:ascii="Arial" w:hAnsi="Arial" w:cs="Arial"/>
          <w:sz w:val="20"/>
          <w:szCs w:val="20"/>
        </w:rPr>
        <w:t>Deferred income taxes reflect the net tax effects of temporary differences between the carrying amounts of assets and liabilities for financial reporting purposes and the amounts used for income tax purposes.</w:t>
      </w:r>
      <w:r>
        <w:rPr>
          <w:rFonts w:ascii="Arial" w:hAnsi="Arial" w:cs="Arial"/>
          <w:sz w:val="20"/>
          <w:szCs w:val="20"/>
        </w:rPr>
        <w:t xml:space="preserve"> </w:t>
      </w:r>
      <w:r>
        <w:rPr>
          <w:rFonts w:ascii="Arial" w:hAnsi="Arial" w:cs="Arial"/>
          <w:sz w:val="20"/>
          <w:szCs w:val="20"/>
        </w:rPr>
        <w:t>Significant components of the Company's deferre</w:t>
      </w:r>
      <w:r>
        <w:rPr>
          <w:rFonts w:ascii="Arial" w:hAnsi="Arial" w:cs="Arial"/>
          <w:sz w:val="20"/>
          <w:szCs w:val="20"/>
        </w:rPr>
        <w:t>d tax assets and liabilities at December 31, 2021 and 2020 were as follows (in thousands):</w:t>
      </w:r>
      <w:r>
        <w:rPr>
          <w:rFonts w:ascii="Arial" w:hAnsi="Arial" w:cs="Arial"/>
          <w:sz w:val="20"/>
          <w:szCs w:val="20"/>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95"/>
        <w:gridCol w:w="116"/>
        <w:gridCol w:w="1010"/>
        <w:gridCol w:w="116"/>
        <w:gridCol w:w="172"/>
        <w:gridCol w:w="866"/>
        <w:gridCol w:w="127"/>
        <w:gridCol w:w="116"/>
        <w:gridCol w:w="172"/>
        <w:gridCol w:w="874"/>
        <w:gridCol w:w="142"/>
      </w:tblGrid>
      <w:tr w:rsidR="00000000">
        <w:trPr>
          <w:divId w:val="1854801313"/>
          <w:tblCellSpacing w:w="15" w:type="dxa"/>
        </w:trPr>
        <w:tc>
          <w:tcPr>
            <w:tcW w:w="2873" w:type="pct"/>
            <w:vAlign w:val="center"/>
            <w:hideMark/>
          </w:tcPr>
          <w:p w:rsidR="00000000" w:rsidRDefault="00010F15">
            <w:pPr>
              <w:rPr>
                <w:sz w:val="20"/>
                <w:szCs w:val="20"/>
              </w:rPr>
            </w:pPr>
          </w:p>
        </w:tc>
        <w:tc>
          <w:tcPr>
            <w:tcW w:w="66" w:type="pct"/>
            <w:vAlign w:val="center"/>
            <w:hideMark/>
          </w:tcPr>
          <w:p w:rsidR="00000000" w:rsidRDefault="00010F15">
            <w:pPr>
              <w:rPr>
                <w:rFonts w:eastAsia="Times New Roman"/>
                <w:sz w:val="20"/>
                <w:szCs w:val="20"/>
              </w:rPr>
            </w:pPr>
          </w:p>
        </w:tc>
        <w:tc>
          <w:tcPr>
            <w:tcW w:w="630" w:type="pct"/>
            <w:vAlign w:val="center"/>
            <w:hideMark/>
          </w:tcPr>
          <w:p w:rsidR="00000000" w:rsidRDefault="00010F15">
            <w:pPr>
              <w:rPr>
                <w:rFonts w:eastAsia="Times New Roman"/>
                <w:sz w:val="20"/>
                <w:szCs w:val="20"/>
              </w:rPr>
            </w:pPr>
          </w:p>
        </w:tc>
        <w:tc>
          <w:tcPr>
            <w:tcW w:w="66"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538" w:type="pct"/>
            <w:vAlign w:val="center"/>
            <w:hideMark/>
          </w:tcPr>
          <w:p w:rsidR="00000000" w:rsidRDefault="00010F15">
            <w:pPr>
              <w:rPr>
                <w:rFonts w:eastAsia="Times New Roman"/>
                <w:sz w:val="20"/>
                <w:szCs w:val="20"/>
              </w:rPr>
            </w:pPr>
          </w:p>
        </w:tc>
        <w:tc>
          <w:tcPr>
            <w:tcW w:w="39" w:type="pct"/>
            <w:vAlign w:val="center"/>
            <w:hideMark/>
          </w:tcPr>
          <w:p w:rsidR="00000000" w:rsidRDefault="00010F15">
            <w:pPr>
              <w:rPr>
                <w:rFonts w:eastAsia="Times New Roman"/>
                <w:sz w:val="20"/>
                <w:szCs w:val="20"/>
              </w:rPr>
            </w:pPr>
          </w:p>
        </w:tc>
        <w:tc>
          <w:tcPr>
            <w:tcW w:w="66"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543" w:type="pct"/>
            <w:vAlign w:val="center"/>
            <w:hideMark/>
          </w:tcPr>
          <w:p w:rsidR="00000000" w:rsidRDefault="00010F15">
            <w:pPr>
              <w:rPr>
                <w:rFonts w:eastAsia="Times New Roman"/>
                <w:sz w:val="20"/>
                <w:szCs w:val="20"/>
              </w:rPr>
            </w:pPr>
          </w:p>
        </w:tc>
        <w:tc>
          <w:tcPr>
            <w:tcW w:w="39" w:type="pct"/>
            <w:vAlign w:val="center"/>
            <w:hideMark/>
          </w:tcPr>
          <w:p w:rsidR="00000000" w:rsidRDefault="00010F15">
            <w:pPr>
              <w:rPr>
                <w:rFonts w:eastAsia="Times New Roman"/>
                <w:sz w:val="20"/>
                <w:szCs w:val="20"/>
              </w:rPr>
            </w:pPr>
          </w:p>
        </w:tc>
      </w:tr>
      <w:tr w:rsidR="00000000">
        <w:trPr>
          <w:divId w:val="1854801313"/>
          <w:trHeight w:val="16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6"/>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December 31</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divId w:val="1854801313"/>
          <w:trHeight w:val="16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divId w:val="1854801313"/>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Deferred tax assets</w:t>
            </w: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854801313"/>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Stock-based compensation and other accrual</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1,89</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1,71</w:t>
            </w:r>
            <w:r>
              <w:rPr>
                <w:rFonts w:ascii="Arial" w:hAnsi="Arial" w:cs="Arial"/>
                <w:sz w:val="20"/>
                <w:szCs w:val="20"/>
              </w:rPr>
              <w:t>4</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854801313"/>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State net operating losse</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3,91</w:t>
            </w:r>
            <w:r>
              <w:rPr>
                <w:rFonts w:ascii="Arial" w:hAnsi="Arial" w:cs="Arial"/>
                <w:sz w:val="20"/>
                <w:szCs w:val="20"/>
              </w:rPr>
              <w:t>9</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854801313"/>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Foreign tax credi</w:t>
            </w:r>
            <w:r>
              <w:rPr>
                <w:rFonts w:ascii="Arial" w:hAnsi="Arial" w:cs="Arial"/>
                <w:sz w:val="20"/>
                <w:szCs w:val="20"/>
              </w:rPr>
              <w:t>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74</w:t>
            </w: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854801313"/>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Operating lease liabilitie</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3,73</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3,52</w:t>
            </w: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854801313"/>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Fixed asset</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19</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854801313"/>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Othe</w:t>
            </w:r>
            <w:r>
              <w:rPr>
                <w:rFonts w:ascii="Arial" w:hAnsi="Arial" w:cs="Arial"/>
                <w:sz w:val="20"/>
                <w:szCs w:val="20"/>
              </w:rPr>
              <w:t>r</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8</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854801313"/>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Total deferred tax asset</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10,45</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5,55</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854801313"/>
          <w:trHeight w:val="200"/>
          <w:tblCellSpacing w:w="15" w:type="dxa"/>
        </w:trPr>
        <w:tc>
          <w:tcPr>
            <w:tcW w:w="0" w:type="auto"/>
            <w:vAlign w:val="bottom"/>
            <w:hideMark/>
          </w:tcPr>
          <w:p w:rsidR="00000000" w:rsidRDefault="00010F15">
            <w:pPr>
              <w:pStyle w:val="a3"/>
              <w:spacing w:before="0" w:beforeAutospacing="0" w:after="0" w:afterAutospacing="0"/>
              <w:ind w:left="280"/>
              <w:rPr>
                <w:sz w:val="20"/>
                <w:szCs w:val="20"/>
              </w:rPr>
            </w:pPr>
            <w:r>
              <w:rPr>
                <w:rFonts w:ascii="Arial" w:hAnsi="Arial" w:cs="Arial"/>
                <w:sz w:val="20"/>
                <w:szCs w:val="20"/>
              </w:rPr>
              <w:t>Valuation allowanc</w:t>
            </w:r>
            <w:r>
              <w:rPr>
                <w:rFonts w:ascii="Arial" w:hAnsi="Arial" w:cs="Arial"/>
                <w:sz w:val="20"/>
                <w:szCs w:val="20"/>
              </w:rPr>
              <w:t>e</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74</w:t>
            </w:r>
            <w:r>
              <w:rPr>
                <w:rFonts w:ascii="Arial" w:hAnsi="Arial" w:cs="Arial"/>
                <w:sz w:val="20"/>
                <w:szCs w:val="20"/>
              </w:rPr>
              <w:t>4</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r>
      <w:tr w:rsidR="00000000">
        <w:trPr>
          <w:divId w:val="1854801313"/>
          <w:trHeight w:val="200"/>
          <w:tblCellSpacing w:w="15" w:type="dxa"/>
        </w:trPr>
        <w:tc>
          <w:tcPr>
            <w:tcW w:w="0" w:type="auto"/>
            <w:vAlign w:val="bottom"/>
            <w:hideMark/>
          </w:tcPr>
          <w:p w:rsidR="00000000" w:rsidRDefault="00010F15">
            <w:pPr>
              <w:pStyle w:val="a3"/>
              <w:spacing w:before="0" w:beforeAutospacing="0" w:after="0" w:afterAutospacing="0"/>
              <w:ind w:left="420"/>
              <w:rPr>
                <w:sz w:val="20"/>
                <w:szCs w:val="20"/>
              </w:rPr>
            </w:pPr>
            <w:r>
              <w:rPr>
                <w:rFonts w:ascii="Arial" w:hAnsi="Arial" w:cs="Arial"/>
                <w:sz w:val="20"/>
                <w:szCs w:val="20"/>
              </w:rPr>
              <w:t>Net deferred tax asset</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9,70</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5,52</w:t>
            </w:r>
            <w:r>
              <w:rPr>
                <w:rFonts w:ascii="Arial" w:hAnsi="Arial" w:cs="Arial"/>
                <w:sz w:val="20"/>
                <w:szCs w:val="20"/>
              </w:rPr>
              <w:t>8</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854801313"/>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Deferred tax liabilities</w:t>
            </w: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854801313"/>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Intangible asset</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9,03</w:t>
            </w: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5,04</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r>
      <w:tr w:rsidR="00000000">
        <w:trPr>
          <w:divId w:val="1854801313"/>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Research and development tax credit carry forwar</w:t>
            </w:r>
            <w:r>
              <w:rPr>
                <w:rFonts w:ascii="Arial" w:hAnsi="Arial" w:cs="Arial"/>
                <w:sz w:val="20"/>
                <w:szCs w:val="20"/>
              </w:rPr>
              <w:t>d</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3</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r>
      <w:tr w:rsidR="00000000">
        <w:trPr>
          <w:divId w:val="1854801313"/>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Fixed asset</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9</w:t>
            </w:r>
            <w:r>
              <w:rPr>
                <w:rFonts w:ascii="Arial" w:hAnsi="Arial" w:cs="Arial"/>
                <w:sz w:val="20"/>
                <w:szCs w:val="20"/>
              </w:rPr>
              <w:t>8</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3</w:t>
            </w:r>
            <w:r>
              <w:rPr>
                <w:rFonts w:ascii="Arial" w:hAnsi="Arial" w:cs="Arial"/>
                <w:sz w:val="20"/>
                <w:szCs w:val="20"/>
              </w:rPr>
              <w:t>9</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r>
      <w:tr w:rsidR="00000000">
        <w:trPr>
          <w:divId w:val="1854801313"/>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Operating lease right-of-use asset</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3,60</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3,42</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r>
      <w:tr w:rsidR="00000000">
        <w:trPr>
          <w:divId w:val="1854801313"/>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Foregone foreign tax credi</w:t>
            </w:r>
            <w:r>
              <w:rPr>
                <w:rFonts w:ascii="Arial" w:hAnsi="Arial" w:cs="Arial"/>
                <w:sz w:val="20"/>
                <w:szCs w:val="20"/>
              </w:rPr>
              <w:t>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13</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21</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r>
      <w:tr w:rsidR="00000000">
        <w:trPr>
          <w:divId w:val="1854801313"/>
          <w:trHeight w:val="200"/>
          <w:tblCellSpacing w:w="15" w:type="dxa"/>
        </w:trPr>
        <w:tc>
          <w:tcPr>
            <w:tcW w:w="0" w:type="auto"/>
            <w:vAlign w:val="bottom"/>
            <w:hideMark/>
          </w:tcPr>
          <w:p w:rsidR="00000000" w:rsidRDefault="00010F15">
            <w:pPr>
              <w:pStyle w:val="a3"/>
              <w:spacing w:before="0" w:beforeAutospacing="0" w:after="0" w:afterAutospacing="0"/>
              <w:ind w:left="280"/>
              <w:rPr>
                <w:sz w:val="20"/>
                <w:szCs w:val="20"/>
              </w:rPr>
            </w:pPr>
            <w:r>
              <w:rPr>
                <w:rFonts w:ascii="Arial" w:hAnsi="Arial" w:cs="Arial"/>
                <w:sz w:val="20"/>
                <w:szCs w:val="20"/>
              </w:rPr>
              <w:t>Total deferred tax liabilitie</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12,86</w:t>
            </w: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8,75</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r>
      <w:tr w:rsidR="00000000">
        <w:trPr>
          <w:divId w:val="1854801313"/>
          <w:trHeight w:val="200"/>
          <w:tblCellSpacing w:w="15" w:type="dxa"/>
        </w:trPr>
        <w:tc>
          <w:tcPr>
            <w:tcW w:w="0" w:type="auto"/>
            <w:vAlign w:val="bottom"/>
            <w:hideMark/>
          </w:tcPr>
          <w:p w:rsidR="00000000" w:rsidRDefault="00010F15">
            <w:pPr>
              <w:pStyle w:val="a3"/>
              <w:spacing w:before="0" w:beforeAutospacing="0" w:after="0" w:afterAutospacing="0"/>
              <w:ind w:left="420"/>
              <w:rPr>
                <w:sz w:val="20"/>
                <w:szCs w:val="20"/>
              </w:rPr>
            </w:pPr>
            <w:r>
              <w:rPr>
                <w:rFonts w:ascii="Arial" w:hAnsi="Arial" w:cs="Arial"/>
                <w:sz w:val="20"/>
                <w:szCs w:val="20"/>
              </w:rPr>
              <w:t>Net deferred tax liabilitie</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3,15</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3,22</w:t>
            </w:r>
            <w:r>
              <w:rPr>
                <w:rFonts w:ascii="Arial" w:hAnsi="Arial" w:cs="Arial"/>
                <w:sz w:val="20"/>
                <w:szCs w:val="20"/>
              </w:rPr>
              <w:t>9</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r>
      <w:tr w:rsidR="00000000">
        <w:trPr>
          <w:divId w:val="1854801313"/>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854801313"/>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Reported as</w:t>
            </w: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854801313"/>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Deferred tax asset (non-current</w:t>
            </w: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16</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27</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854801313"/>
          <w:trHeight w:val="200"/>
          <w:tblCellSpacing w:w="15" w:type="dxa"/>
        </w:trPr>
        <w:tc>
          <w:tcPr>
            <w:tcW w:w="0" w:type="auto"/>
            <w:vAlign w:val="bottom"/>
            <w:hideMark/>
          </w:tcPr>
          <w:p w:rsidR="00000000" w:rsidRDefault="00010F15">
            <w:pPr>
              <w:pStyle w:val="a3"/>
              <w:spacing w:before="0" w:beforeAutospacing="0" w:after="0" w:afterAutospacing="0"/>
              <w:ind w:left="140"/>
              <w:rPr>
                <w:sz w:val="20"/>
                <w:szCs w:val="20"/>
              </w:rPr>
            </w:pPr>
            <w:r>
              <w:rPr>
                <w:rFonts w:ascii="Arial" w:hAnsi="Arial" w:cs="Arial"/>
                <w:sz w:val="20"/>
                <w:szCs w:val="20"/>
              </w:rPr>
              <w:t>Deferred tax liability (non-current</w:t>
            </w: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3,31</w:t>
            </w:r>
            <w:r>
              <w:rPr>
                <w:rFonts w:ascii="Arial" w:hAnsi="Arial" w:cs="Arial"/>
                <w:sz w:val="20"/>
                <w:szCs w:val="20"/>
              </w:rPr>
              <w:t>8</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3,49</w:t>
            </w:r>
            <w:r>
              <w:rPr>
                <w:rFonts w:ascii="Arial" w:hAnsi="Arial" w:cs="Arial"/>
                <w:sz w:val="20"/>
                <w:szCs w:val="20"/>
              </w:rPr>
              <w:t>9</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r>
      <w:tr w:rsidR="00000000">
        <w:trPr>
          <w:divId w:val="1854801313"/>
          <w:trHeight w:val="200"/>
          <w:tblCellSpacing w:w="15" w:type="dxa"/>
        </w:trPr>
        <w:tc>
          <w:tcPr>
            <w:tcW w:w="0" w:type="auto"/>
            <w:vAlign w:val="bottom"/>
            <w:hideMark/>
          </w:tcPr>
          <w:p w:rsidR="00000000" w:rsidRDefault="00010F15">
            <w:pPr>
              <w:pStyle w:val="a3"/>
              <w:spacing w:before="0" w:beforeAutospacing="0" w:after="0" w:afterAutospacing="0"/>
              <w:ind w:left="420"/>
              <w:rPr>
                <w:sz w:val="20"/>
                <w:szCs w:val="20"/>
              </w:rPr>
            </w:pPr>
            <w:r>
              <w:rPr>
                <w:rFonts w:ascii="Arial" w:hAnsi="Arial" w:cs="Arial"/>
                <w:sz w:val="20"/>
                <w:szCs w:val="20"/>
              </w:rPr>
              <w:t>Net deferred tax liabilitie</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3,15</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3,22</w:t>
            </w:r>
            <w:r>
              <w:rPr>
                <w:rFonts w:ascii="Arial" w:hAnsi="Arial" w:cs="Arial"/>
                <w:sz w:val="20"/>
                <w:szCs w:val="20"/>
              </w:rPr>
              <w:t>9</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r>
    </w:tbl>
    <w:p w:rsidR="00000000" w:rsidRDefault="00010F15">
      <w:pPr>
        <w:pStyle w:val="a3"/>
        <w:spacing w:before="0" w:beforeAutospacing="0" w:after="0" w:afterAutospacing="0"/>
        <w:divId w:val="1854801313"/>
        <w:rPr>
          <w:sz w:val="20"/>
          <w:szCs w:val="20"/>
        </w:rPr>
      </w:pPr>
      <w:r>
        <w:rPr>
          <w:sz w:val="20"/>
          <w:szCs w:val="20"/>
        </w:rPr>
        <w:t> </w:t>
      </w:r>
    </w:p>
    <w:p w:rsidR="00000000" w:rsidRDefault="00010F15">
      <w:pPr>
        <w:pStyle w:val="a3"/>
        <w:spacing w:before="120" w:beforeAutospacing="0" w:after="0" w:afterAutospacing="0"/>
        <w:jc w:val="center"/>
        <w:divId w:val="1854801313"/>
        <w:rPr>
          <w:sz w:val="20"/>
          <w:szCs w:val="20"/>
        </w:rPr>
      </w:pPr>
      <w:r>
        <w:rPr>
          <w:rFonts w:ascii="Arial" w:hAnsi="Arial" w:cs="Arial"/>
          <w:sz w:val="20"/>
          <w:szCs w:val="20"/>
        </w:rPr>
        <w:t>9</w:t>
      </w:r>
      <w:r>
        <w:rPr>
          <w:rFonts w:ascii="Arial" w:hAnsi="Arial" w:cs="Arial"/>
          <w:sz w:val="20"/>
          <w:szCs w:val="20"/>
        </w:rPr>
        <w:t>6</w:t>
      </w:r>
    </w:p>
    <w:p w:rsidR="00000000" w:rsidRDefault="00010F15">
      <w:pPr>
        <w:divId w:val="1854801313"/>
        <w:rPr>
          <w:rFonts w:ascii="Arial" w:eastAsia="Times New Roman" w:hAnsi="Arial" w:cs="Arial"/>
          <w:sz w:val="20"/>
          <w:szCs w:val="20"/>
        </w:rPr>
      </w:pPr>
      <w:r>
        <w:rPr>
          <w:rFonts w:ascii="Arial" w:eastAsia="Times New Roman" w:hAnsi="Arial" w:cs="Arial"/>
          <w:sz w:val="20"/>
          <w:szCs w:val="20"/>
        </w:rPr>
        <w:pict>
          <v:rect id="_x0000_i1121" style="width:0;height:1.5pt" o:hralign="center" o:hrstd="t" o:hr="t" fillcolor="#a0a0a0" stroked="f"/>
        </w:pict>
      </w:r>
    </w:p>
    <w:p w:rsidR="00000000" w:rsidRDefault="00010F15">
      <w:pPr>
        <w:pStyle w:val="a3"/>
        <w:spacing w:before="0" w:beforeAutospacing="0" w:after="0" w:afterAutospacing="0"/>
        <w:divId w:val="1854801313"/>
        <w:rPr>
          <w:sz w:val="20"/>
          <w:szCs w:val="20"/>
        </w:rPr>
      </w:pPr>
      <w:r>
        <w:rPr>
          <w:sz w:val="20"/>
          <w:szCs w:val="20"/>
        </w:rPr>
        <w:t> </w:t>
      </w:r>
    </w:p>
    <w:p w:rsidR="00000000" w:rsidRDefault="00010F15">
      <w:pPr>
        <w:pStyle w:val="a3"/>
        <w:spacing w:before="240" w:beforeAutospacing="0" w:after="120" w:afterAutospacing="0"/>
        <w:ind w:firstLine="408"/>
        <w:divId w:val="45300956"/>
        <w:rPr>
          <w:sz w:val="20"/>
          <w:szCs w:val="20"/>
        </w:rPr>
      </w:pPr>
      <w:r>
        <w:rPr>
          <w:rFonts w:ascii="Arial" w:hAnsi="Arial" w:cs="Arial"/>
          <w:sz w:val="20"/>
          <w:szCs w:val="20"/>
        </w:rPr>
        <w:t>The Company provided a valuation allowance against certain excess foreign tax credits as of December 31, 2021 and 2020 as it was more likely than not the Company will not be able to utilize these credits. The Company a</w:t>
      </w:r>
      <w:r>
        <w:rPr>
          <w:rFonts w:ascii="Arial" w:hAnsi="Arial" w:cs="Arial"/>
          <w:sz w:val="20"/>
          <w:szCs w:val="20"/>
        </w:rPr>
        <w:t>lso provided a valuation allowance against certain acquired state net operating losses that are not more likely than not to be utilized</w:t>
      </w:r>
      <w:r>
        <w:rPr>
          <w:rFonts w:ascii="Arial" w:hAnsi="Arial" w:cs="Arial"/>
          <w:sz w:val="20"/>
          <w:szCs w:val="20"/>
        </w:rPr>
        <w:t>.</w:t>
      </w:r>
    </w:p>
    <w:p w:rsidR="00000000" w:rsidRDefault="00010F15">
      <w:pPr>
        <w:pStyle w:val="a3"/>
        <w:spacing w:before="120" w:beforeAutospacing="0" w:after="120" w:afterAutospacing="0"/>
        <w:ind w:firstLine="408"/>
        <w:divId w:val="45300956"/>
        <w:rPr>
          <w:sz w:val="20"/>
          <w:szCs w:val="20"/>
        </w:rPr>
      </w:pPr>
      <w:r>
        <w:rPr>
          <w:rFonts w:ascii="Arial" w:hAnsi="Arial" w:cs="Arial"/>
          <w:sz w:val="20"/>
          <w:szCs w:val="20"/>
        </w:rPr>
        <w:t xml:space="preserve">As of December 31, 2021, the Company had </w:t>
      </w:r>
      <w:r>
        <w:rPr>
          <w:rFonts w:ascii="Arial" w:hAnsi="Arial" w:cs="Arial"/>
          <w:sz w:val="20"/>
          <w:szCs w:val="20"/>
        </w:rPr>
        <w:t>$</w:t>
      </w:r>
      <w:r>
        <w:rPr>
          <w:rFonts w:ascii="Arial" w:hAnsi="Arial" w:cs="Arial"/>
          <w:sz w:val="20"/>
          <w:szCs w:val="20"/>
        </w:rPr>
        <w:t>15.</w:t>
      </w:r>
      <w:r>
        <w:rPr>
          <w:rFonts w:ascii="Arial" w:hAnsi="Arial" w:cs="Arial"/>
          <w:sz w:val="20"/>
          <w:szCs w:val="20"/>
        </w:rPr>
        <w:t>1</w:t>
      </w:r>
      <w:r>
        <w:rPr>
          <w:rFonts w:ascii="Arial" w:hAnsi="Arial" w:cs="Arial"/>
          <w:sz w:val="20"/>
          <w:szCs w:val="20"/>
        </w:rPr>
        <w:t xml:space="preserve"> million of federal and </w:t>
      </w:r>
      <w:r>
        <w:rPr>
          <w:rFonts w:ascii="Arial" w:hAnsi="Arial" w:cs="Arial"/>
          <w:sz w:val="20"/>
          <w:szCs w:val="20"/>
        </w:rPr>
        <w:t>$</w:t>
      </w:r>
      <w:r>
        <w:rPr>
          <w:rFonts w:ascii="Arial" w:hAnsi="Arial" w:cs="Arial"/>
          <w:sz w:val="20"/>
          <w:szCs w:val="20"/>
        </w:rPr>
        <w:t>17.</w:t>
      </w:r>
      <w:r>
        <w:rPr>
          <w:rFonts w:ascii="Arial" w:hAnsi="Arial" w:cs="Arial"/>
          <w:sz w:val="20"/>
          <w:szCs w:val="20"/>
        </w:rPr>
        <w:t>7</w:t>
      </w:r>
      <w:r>
        <w:rPr>
          <w:rFonts w:ascii="Arial" w:hAnsi="Arial" w:cs="Arial"/>
          <w:sz w:val="20"/>
          <w:szCs w:val="20"/>
        </w:rPr>
        <w:t xml:space="preserve"> million of state net operating loss carryfo</w:t>
      </w:r>
      <w:r>
        <w:rPr>
          <w:rFonts w:ascii="Arial" w:hAnsi="Arial" w:cs="Arial"/>
          <w:sz w:val="20"/>
          <w:szCs w:val="20"/>
        </w:rPr>
        <w:t xml:space="preserve">rwards available to offset future taxable income. State net operating losses, if not utilized, will begin to expire in 2031. A portion of these losses were acquired in the acquisition of Finovera, and therefore are subject to change of control provisions, </w:t>
      </w:r>
      <w:r>
        <w:rPr>
          <w:rFonts w:ascii="Arial" w:hAnsi="Arial" w:cs="Arial"/>
          <w:sz w:val="20"/>
          <w:szCs w:val="20"/>
        </w:rPr>
        <w:t>which limit the amount of acquired tax attributes that can be utilized in a given tax year. The Company does not expect the change of control limitations to significantly impact our ability to utilize these attributes. Furthermore, the</w:t>
      </w:r>
      <w:r>
        <w:rPr>
          <w:rFonts w:ascii="Arial" w:hAnsi="Arial" w:cs="Arial"/>
          <w:sz w:val="20"/>
          <w:szCs w:val="20"/>
        </w:rPr>
        <w:t xml:space="preserve"> </w:t>
      </w:r>
      <w:r>
        <w:rPr>
          <w:rFonts w:ascii="Arial" w:hAnsi="Arial" w:cs="Arial"/>
          <w:sz w:val="20"/>
          <w:szCs w:val="20"/>
        </w:rPr>
        <w:t>Company had an immat</w:t>
      </w:r>
      <w:r>
        <w:rPr>
          <w:rFonts w:ascii="Arial" w:hAnsi="Arial" w:cs="Arial"/>
          <w:sz w:val="20"/>
          <w:szCs w:val="20"/>
        </w:rPr>
        <w:t>erial amount of non-refundable federal investment tax credits as of December 31,2021 and 2020 in Canada, which are available to reduce future Canadian taxes and, if unused, begin to expire in</w:t>
      </w:r>
      <w:r>
        <w:rPr>
          <w:rFonts w:ascii="Arial" w:hAnsi="Arial" w:cs="Arial"/>
          <w:sz w:val="20"/>
          <w:szCs w:val="20"/>
        </w:rPr>
        <w:t xml:space="preserve"> </w:t>
      </w:r>
      <w:r>
        <w:rPr>
          <w:rFonts w:ascii="Arial" w:hAnsi="Arial" w:cs="Arial"/>
          <w:sz w:val="20"/>
          <w:szCs w:val="20"/>
        </w:rPr>
        <w:t>203</w:t>
      </w:r>
      <w:r>
        <w:rPr>
          <w:rFonts w:ascii="Arial" w:hAnsi="Arial" w:cs="Arial"/>
          <w:sz w:val="20"/>
          <w:szCs w:val="20"/>
        </w:rPr>
        <w:t>4</w:t>
      </w:r>
      <w:r>
        <w:rPr>
          <w:rFonts w:ascii="Arial" w:hAnsi="Arial" w:cs="Arial"/>
          <w:sz w:val="20"/>
          <w:szCs w:val="20"/>
        </w:rPr>
        <w:t>.</w:t>
      </w:r>
    </w:p>
    <w:p w:rsidR="00000000" w:rsidRDefault="00010F15">
      <w:pPr>
        <w:pStyle w:val="a3"/>
        <w:spacing w:before="120" w:beforeAutospacing="0" w:after="120" w:afterAutospacing="0"/>
        <w:ind w:firstLine="408"/>
        <w:divId w:val="45300956"/>
        <w:rPr>
          <w:sz w:val="20"/>
          <w:szCs w:val="20"/>
        </w:rPr>
      </w:pPr>
      <w:r>
        <w:rPr>
          <w:rFonts w:ascii="Arial" w:hAnsi="Arial" w:cs="Arial"/>
          <w:sz w:val="20"/>
          <w:szCs w:val="20"/>
        </w:rPr>
        <w:t>As of December 31, 2021 and 2020, the total amount of unre</w:t>
      </w:r>
      <w:r>
        <w:rPr>
          <w:rFonts w:ascii="Arial" w:hAnsi="Arial" w:cs="Arial"/>
          <w:sz w:val="20"/>
          <w:szCs w:val="20"/>
        </w:rPr>
        <w:t>cognized tax benefits that, if recognized, would impact the effective tax rate was</w:t>
      </w:r>
      <w:r>
        <w:rPr>
          <w:rFonts w:ascii="Arial" w:hAnsi="Arial" w:cs="Arial"/>
          <w:sz w:val="20"/>
          <w:szCs w:val="20"/>
        </w:rPr>
        <w:t xml:space="preserve"> </w:t>
      </w:r>
      <w:r>
        <w:rPr>
          <w:rFonts w:ascii="Arial" w:hAnsi="Arial" w:cs="Arial"/>
          <w:sz w:val="20"/>
          <w:szCs w:val="20"/>
        </w:rPr>
        <w:t>n</w:t>
      </w:r>
      <w:r>
        <w:rPr>
          <w:rFonts w:ascii="Arial" w:hAnsi="Arial" w:cs="Arial"/>
          <w:sz w:val="20"/>
          <w:szCs w:val="20"/>
        </w:rPr>
        <w:t>o</w:t>
      </w:r>
      <w:r>
        <w:rPr>
          <w:rFonts w:ascii="Arial" w:hAnsi="Arial" w:cs="Arial"/>
          <w:sz w:val="20"/>
          <w:szCs w:val="20"/>
        </w:rPr>
        <w:t>t material</w:t>
      </w:r>
      <w:r>
        <w:rPr>
          <w:rFonts w:ascii="Arial" w:hAnsi="Arial" w:cs="Arial"/>
          <w:sz w:val="20"/>
          <w:szCs w:val="20"/>
        </w:rPr>
        <w:t>.</w:t>
      </w:r>
    </w:p>
    <w:p w:rsidR="00000000" w:rsidRDefault="00010F15">
      <w:pPr>
        <w:pStyle w:val="a3"/>
        <w:spacing w:before="120" w:beforeAutospacing="0" w:after="120" w:afterAutospacing="0"/>
        <w:ind w:firstLine="408"/>
        <w:divId w:val="45300956"/>
        <w:rPr>
          <w:sz w:val="20"/>
          <w:szCs w:val="20"/>
        </w:rPr>
      </w:pPr>
      <w:r>
        <w:rPr>
          <w:rFonts w:ascii="Arial" w:hAnsi="Arial" w:cs="Arial"/>
          <w:sz w:val="20"/>
          <w:szCs w:val="20"/>
        </w:rPr>
        <w:t>Interest and penalties related to income tax matters are classified as a component of income tax expense and were immaterial for the years ended December 31, 2</w:t>
      </w:r>
      <w:r>
        <w:rPr>
          <w:rFonts w:ascii="Arial" w:hAnsi="Arial" w:cs="Arial"/>
          <w:sz w:val="20"/>
          <w:szCs w:val="20"/>
        </w:rPr>
        <w:t>021, 2020 and 2019. Although it is reasonably possible that certain unrecognized tax benefits may increase or decrease within the next 12 months due to tax examination changes, settlement activities, or the impact on recognition and measurement considerati</w:t>
      </w:r>
      <w:r>
        <w:rPr>
          <w:rFonts w:ascii="Arial" w:hAnsi="Arial" w:cs="Arial"/>
          <w:sz w:val="20"/>
          <w:szCs w:val="20"/>
        </w:rPr>
        <w:t>ons related to the results of published tax cases or other similar activities, the Company does not anticipate any significant changes to unrecognized tax benefits over the next 12 months</w:t>
      </w:r>
      <w:r>
        <w:rPr>
          <w:rFonts w:ascii="Arial" w:hAnsi="Arial" w:cs="Arial"/>
          <w:sz w:val="20"/>
          <w:szCs w:val="20"/>
        </w:rPr>
        <w:t>.</w:t>
      </w:r>
    </w:p>
    <w:p w:rsidR="00000000" w:rsidRDefault="00010F15">
      <w:pPr>
        <w:pStyle w:val="a3"/>
        <w:spacing w:before="120" w:beforeAutospacing="0" w:after="120" w:afterAutospacing="0"/>
        <w:ind w:firstLine="408"/>
        <w:divId w:val="45300956"/>
        <w:rPr>
          <w:sz w:val="20"/>
          <w:szCs w:val="20"/>
        </w:rPr>
      </w:pPr>
      <w:r>
        <w:rPr>
          <w:rFonts w:ascii="Arial" w:hAnsi="Arial" w:cs="Arial"/>
          <w:sz w:val="20"/>
          <w:szCs w:val="20"/>
        </w:rPr>
        <w:t>The Company files income tax returns in the U.S. federal jurisdicti</w:t>
      </w:r>
      <w:r>
        <w:rPr>
          <w:rFonts w:ascii="Arial" w:hAnsi="Arial" w:cs="Arial"/>
          <w:sz w:val="20"/>
          <w:szCs w:val="20"/>
        </w:rPr>
        <w:t xml:space="preserve">on, various state jurisdictions, and in various international jurisdictions. The Company’s tax filings remain subject to audits by applicable tax authorities for a certain length of time following the tax year to which those filings relate. Tax years 2018 </w:t>
      </w:r>
      <w:r>
        <w:rPr>
          <w:rFonts w:ascii="Arial" w:hAnsi="Arial" w:cs="Arial"/>
          <w:sz w:val="20"/>
          <w:szCs w:val="20"/>
        </w:rPr>
        <w:t>and forward generally remain open for examination for federal and state tax purposes. Tax years 2017 and forward generally remain open for examination for foreign tax purposes</w:t>
      </w:r>
      <w:r>
        <w:rPr>
          <w:rFonts w:ascii="Arial" w:hAnsi="Arial" w:cs="Arial"/>
          <w:sz w:val="20"/>
          <w:szCs w:val="20"/>
        </w:rPr>
        <w:t>.</w:t>
      </w:r>
    </w:p>
    <w:p w:rsidR="00000000" w:rsidRDefault="00010F15">
      <w:pPr>
        <w:pStyle w:val="a3"/>
        <w:spacing w:before="120" w:beforeAutospacing="0" w:after="120" w:afterAutospacing="0"/>
        <w:ind w:firstLine="408"/>
        <w:divId w:val="45300956"/>
        <w:rPr>
          <w:sz w:val="20"/>
          <w:szCs w:val="20"/>
        </w:rPr>
      </w:pPr>
      <w:r>
        <w:rPr>
          <w:rFonts w:ascii="Arial" w:hAnsi="Arial" w:cs="Arial"/>
          <w:sz w:val="20"/>
          <w:szCs w:val="20"/>
        </w:rPr>
        <w:t>The Company has not recorded foreign withholding taxes or deferred income tax l</w:t>
      </w:r>
      <w:r>
        <w:rPr>
          <w:rFonts w:ascii="Arial" w:hAnsi="Arial" w:cs="Arial"/>
          <w:sz w:val="20"/>
          <w:szCs w:val="20"/>
        </w:rPr>
        <w:t xml:space="preserve">iabilities related to undistributed earnings of foreign operations of approximately </w:t>
      </w:r>
      <w:r>
        <w:rPr>
          <w:rFonts w:ascii="Arial" w:hAnsi="Arial" w:cs="Arial"/>
          <w:sz w:val="20"/>
          <w:szCs w:val="20"/>
        </w:rPr>
        <w:t>$</w:t>
      </w:r>
      <w:r>
        <w:rPr>
          <w:rFonts w:ascii="Arial" w:hAnsi="Arial" w:cs="Arial"/>
          <w:sz w:val="20"/>
          <w:szCs w:val="20"/>
        </w:rPr>
        <w:t>4.</w:t>
      </w:r>
      <w:r>
        <w:rPr>
          <w:rFonts w:ascii="Arial" w:hAnsi="Arial" w:cs="Arial"/>
          <w:sz w:val="20"/>
          <w:szCs w:val="20"/>
        </w:rPr>
        <w:t>8</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2.</w:t>
      </w:r>
      <w:r>
        <w:rPr>
          <w:rFonts w:ascii="Arial" w:hAnsi="Arial" w:cs="Arial"/>
          <w:sz w:val="20"/>
          <w:szCs w:val="20"/>
        </w:rPr>
        <w:t>7</w:t>
      </w:r>
      <w:r>
        <w:rPr>
          <w:rFonts w:ascii="Arial" w:hAnsi="Arial" w:cs="Arial"/>
          <w:sz w:val="20"/>
          <w:szCs w:val="20"/>
        </w:rPr>
        <w:t xml:space="preserve"> million as of December 31, 2021 and 2020, respectively, since such earnings are considered permanently invested</w:t>
      </w:r>
      <w:r>
        <w:rPr>
          <w:rFonts w:ascii="Arial" w:hAnsi="Arial" w:cs="Arial"/>
          <w:sz w:val="20"/>
          <w:szCs w:val="20"/>
        </w:rPr>
        <w:t>.</w:t>
      </w:r>
    </w:p>
    <w:p w:rsidR="00000000" w:rsidRDefault="00010F15">
      <w:pPr>
        <w:pStyle w:val="a3"/>
        <w:spacing w:before="240" w:beforeAutospacing="0" w:after="0" w:afterAutospacing="0"/>
        <w:ind w:hanging="422"/>
        <w:divId w:val="979069619"/>
        <w:rPr>
          <w:sz w:val="20"/>
          <w:szCs w:val="20"/>
        </w:rPr>
      </w:pPr>
      <w:r>
        <w:rPr>
          <w:rFonts w:ascii="Arial" w:hAnsi="Arial" w:cs="Arial"/>
          <w:b/>
          <w:bCs/>
          <w:sz w:val="20"/>
          <w:szCs w:val="20"/>
        </w:rPr>
        <w:t>13. Net Income Per Share Attributable</w:t>
      </w:r>
      <w:r>
        <w:rPr>
          <w:rFonts w:ascii="Arial" w:hAnsi="Arial" w:cs="Arial"/>
          <w:b/>
          <w:bCs/>
          <w:sz w:val="20"/>
          <w:szCs w:val="20"/>
        </w:rPr>
        <w:t xml:space="preserve"> to Common Stoc</w:t>
      </w:r>
      <w:r>
        <w:rPr>
          <w:rFonts w:ascii="Arial" w:hAnsi="Arial" w:cs="Arial"/>
          <w:b/>
          <w:bCs/>
          <w:sz w:val="20"/>
          <w:szCs w:val="20"/>
        </w:rPr>
        <w:t>k</w:t>
      </w:r>
    </w:p>
    <w:p w:rsidR="00000000" w:rsidRDefault="00010F15">
      <w:pPr>
        <w:pStyle w:val="a3"/>
        <w:spacing w:before="240" w:beforeAutospacing="0" w:after="0" w:afterAutospacing="0"/>
        <w:ind w:firstLine="539"/>
        <w:divId w:val="979069619"/>
        <w:rPr>
          <w:sz w:val="20"/>
          <w:szCs w:val="20"/>
        </w:rPr>
      </w:pPr>
      <w:r>
        <w:rPr>
          <w:rFonts w:ascii="Arial" w:hAnsi="Arial" w:cs="Arial"/>
          <w:sz w:val="20"/>
          <w:szCs w:val="20"/>
        </w:rPr>
        <w:t>Basic net income per share attributable to common stockholders is computed by deducting the undeclared dividends on the Series A preferred stock from net income to arrive at net income attributable to common stock and dividing the net income attributable t</w:t>
      </w:r>
      <w:r>
        <w:rPr>
          <w:rFonts w:ascii="Arial" w:hAnsi="Arial" w:cs="Arial"/>
          <w:sz w:val="20"/>
          <w:szCs w:val="20"/>
        </w:rPr>
        <w:t>o common stockholders by the weighted-average number of shares of common stock outstanding during the period</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divId w:val="979069619"/>
        <w:rPr>
          <w:sz w:val="20"/>
          <w:szCs w:val="20"/>
        </w:rPr>
      </w:pPr>
      <w:r>
        <w:rPr>
          <w:rFonts w:ascii="Arial" w:hAnsi="Arial" w:cs="Arial"/>
          <w:sz w:val="20"/>
          <w:szCs w:val="20"/>
        </w:rPr>
        <w:t>Diluted net income per share attributable to common stock is computed by giving effect to all potentially dilutive common stock equivalents to th</w:t>
      </w:r>
      <w:r>
        <w:rPr>
          <w:rFonts w:ascii="Arial" w:hAnsi="Arial" w:cs="Arial"/>
          <w:sz w:val="20"/>
          <w:szCs w:val="20"/>
        </w:rPr>
        <w:t>e extent they are dilutive. The dilutive effect of outstanding options, RSUs and warrants is reflected in diluted net income per share attributable to common stock by application of the treasury stock method. The calculation of diluted net income per share</w:t>
      </w:r>
      <w:r>
        <w:rPr>
          <w:rFonts w:ascii="Arial" w:hAnsi="Arial" w:cs="Arial"/>
          <w:sz w:val="20"/>
          <w:szCs w:val="20"/>
        </w:rPr>
        <w:t xml:space="preserve"> attributable to common stock excludes all anti-dilutive common shares</w:t>
      </w:r>
      <w:r>
        <w:rPr>
          <w:rFonts w:ascii="Arial" w:hAnsi="Arial" w:cs="Arial"/>
          <w:sz w:val="20"/>
          <w:szCs w:val="20"/>
        </w:rPr>
        <w:t>.</w:t>
      </w:r>
      <w:r>
        <w:rPr>
          <w:rFonts w:ascii="Arial" w:hAnsi="Arial" w:cs="Arial"/>
          <w:sz w:val="20"/>
          <w:szCs w:val="20"/>
        </w:rPr>
        <w:t xml:space="preserve"> </w:t>
      </w:r>
    </w:p>
    <w:p w:rsidR="00000000" w:rsidRDefault="00010F15">
      <w:pPr>
        <w:pStyle w:val="a3"/>
        <w:spacing w:before="120" w:beforeAutospacing="0" w:after="0" w:afterAutospacing="0"/>
        <w:ind w:firstLine="539"/>
        <w:divId w:val="979069619"/>
        <w:rPr>
          <w:sz w:val="20"/>
          <w:szCs w:val="20"/>
        </w:rPr>
      </w:pPr>
      <w:r>
        <w:rPr>
          <w:rFonts w:ascii="Arial" w:hAnsi="Arial" w:cs="Arial"/>
          <w:sz w:val="20"/>
          <w:szCs w:val="20"/>
        </w:rPr>
        <w:t>The rights of the holders of Class A and Class B common stock are identical, except with respect to voting and conversion. As the liquidation and dividend rights are identical, the undistributed earnings are allocated on a proportionate basis to each class</w:t>
      </w:r>
      <w:r>
        <w:rPr>
          <w:rFonts w:ascii="Arial" w:hAnsi="Arial" w:cs="Arial"/>
          <w:sz w:val="20"/>
          <w:szCs w:val="20"/>
        </w:rPr>
        <w:t xml:space="preserve"> of common stock and the resulting basic and diluted net income per share attributable to common stockholders are, therefore, the same for both Class A and Class B common stock on both an individual and combined basis</w:t>
      </w:r>
      <w:r>
        <w:rPr>
          <w:rFonts w:ascii="Arial" w:hAnsi="Arial" w:cs="Arial"/>
          <w:sz w:val="20"/>
          <w:szCs w:val="20"/>
        </w:rPr>
        <w:t>.</w:t>
      </w:r>
    </w:p>
    <w:p w:rsidR="00000000" w:rsidRDefault="00010F15">
      <w:pPr>
        <w:pStyle w:val="a3"/>
        <w:spacing w:before="120" w:beforeAutospacing="0" w:after="0" w:afterAutospacing="0"/>
        <w:jc w:val="center"/>
        <w:divId w:val="979069619"/>
        <w:rPr>
          <w:sz w:val="20"/>
          <w:szCs w:val="20"/>
        </w:rPr>
      </w:pPr>
      <w:r>
        <w:rPr>
          <w:rFonts w:ascii="Arial" w:hAnsi="Arial" w:cs="Arial"/>
          <w:sz w:val="20"/>
          <w:szCs w:val="20"/>
        </w:rPr>
        <w:t>9</w:t>
      </w:r>
      <w:r>
        <w:rPr>
          <w:rFonts w:ascii="Arial" w:hAnsi="Arial" w:cs="Arial"/>
          <w:sz w:val="20"/>
          <w:szCs w:val="20"/>
        </w:rPr>
        <w:t>7</w:t>
      </w:r>
    </w:p>
    <w:p w:rsidR="00000000" w:rsidRDefault="00010F15">
      <w:pPr>
        <w:divId w:val="979069619"/>
        <w:rPr>
          <w:rFonts w:ascii="Arial" w:eastAsia="Times New Roman" w:hAnsi="Arial" w:cs="Arial"/>
          <w:sz w:val="20"/>
          <w:szCs w:val="20"/>
        </w:rPr>
      </w:pPr>
      <w:r>
        <w:rPr>
          <w:rFonts w:ascii="Arial" w:eastAsia="Times New Roman" w:hAnsi="Arial" w:cs="Arial"/>
          <w:sz w:val="20"/>
          <w:szCs w:val="20"/>
        </w:rPr>
        <w:pict>
          <v:rect id="_x0000_i1122" style="width:0;height:1.5pt" o:hralign="center" o:hrstd="t" o:hr="t" fillcolor="#a0a0a0" stroked="f"/>
        </w:pict>
      </w:r>
    </w:p>
    <w:p w:rsidR="00000000" w:rsidRDefault="00010F15">
      <w:pPr>
        <w:pStyle w:val="a3"/>
        <w:spacing w:before="0" w:beforeAutospacing="0" w:after="0" w:afterAutospacing="0"/>
        <w:divId w:val="979069619"/>
        <w:rPr>
          <w:sz w:val="20"/>
          <w:szCs w:val="20"/>
        </w:rPr>
      </w:pPr>
      <w:r>
        <w:rPr>
          <w:sz w:val="20"/>
          <w:szCs w:val="20"/>
        </w:rPr>
        <w:t> </w:t>
      </w:r>
    </w:p>
    <w:p w:rsidR="00000000" w:rsidRDefault="00010F15">
      <w:pPr>
        <w:pStyle w:val="a3"/>
        <w:spacing w:before="120" w:beforeAutospacing="0" w:after="120" w:afterAutospacing="0"/>
        <w:ind w:firstLine="539"/>
        <w:divId w:val="71318820"/>
        <w:rPr>
          <w:sz w:val="20"/>
          <w:szCs w:val="20"/>
        </w:rPr>
      </w:pPr>
      <w:r>
        <w:rPr>
          <w:rFonts w:ascii="Arial" w:hAnsi="Arial" w:cs="Arial"/>
          <w:sz w:val="20"/>
          <w:szCs w:val="20"/>
        </w:rPr>
        <w:t>The following table sets forth the computation of basic and diluted net income per share attributable to common stock (in thousands except share and per share data)</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27"/>
        <w:gridCol w:w="116"/>
        <w:gridCol w:w="172"/>
        <w:gridCol w:w="1173"/>
        <w:gridCol w:w="127"/>
        <w:gridCol w:w="116"/>
        <w:gridCol w:w="172"/>
        <w:gridCol w:w="1173"/>
        <w:gridCol w:w="127"/>
        <w:gridCol w:w="116"/>
        <w:gridCol w:w="172"/>
        <w:gridCol w:w="1173"/>
        <w:gridCol w:w="142"/>
      </w:tblGrid>
      <w:tr w:rsidR="00000000">
        <w:trPr>
          <w:divId w:val="71318820"/>
          <w:tblCellSpacing w:w="15" w:type="dxa"/>
        </w:trPr>
        <w:tc>
          <w:tcPr>
            <w:tcW w:w="2922" w:type="pct"/>
            <w:vAlign w:val="center"/>
            <w:hideMark/>
          </w:tcPr>
          <w:p w:rsidR="00000000" w:rsidRDefault="00010F15">
            <w:pPr>
              <w:rPr>
                <w:sz w:val="20"/>
                <w:szCs w:val="20"/>
              </w:rPr>
            </w:pPr>
          </w:p>
        </w:tc>
        <w:tc>
          <w:tcPr>
            <w:tcW w:w="64" w:type="pct"/>
            <w:vAlign w:val="center"/>
            <w:hideMark/>
          </w:tcPr>
          <w:p w:rsidR="00000000" w:rsidRDefault="00010F15">
            <w:pPr>
              <w:rPr>
                <w:rFonts w:eastAsia="Times New Roman"/>
                <w:sz w:val="20"/>
                <w:szCs w:val="20"/>
              </w:rPr>
            </w:pPr>
          </w:p>
        </w:tc>
        <w:tc>
          <w:tcPr>
            <w:tcW w:w="66" w:type="pct"/>
            <w:vAlign w:val="center"/>
            <w:hideMark/>
          </w:tcPr>
          <w:p w:rsidR="00000000" w:rsidRDefault="00010F15">
            <w:pPr>
              <w:rPr>
                <w:rFonts w:eastAsia="Times New Roman"/>
                <w:sz w:val="20"/>
                <w:szCs w:val="20"/>
              </w:rPr>
            </w:pPr>
          </w:p>
        </w:tc>
        <w:tc>
          <w:tcPr>
            <w:tcW w:w="521" w:type="pct"/>
            <w:vAlign w:val="center"/>
            <w:hideMark/>
          </w:tcPr>
          <w:p w:rsidR="00000000" w:rsidRDefault="00010F15">
            <w:pPr>
              <w:rPr>
                <w:rFonts w:eastAsia="Times New Roman"/>
                <w:sz w:val="20"/>
                <w:szCs w:val="20"/>
              </w:rPr>
            </w:pPr>
          </w:p>
        </w:tc>
        <w:tc>
          <w:tcPr>
            <w:tcW w:w="39" w:type="pct"/>
            <w:vAlign w:val="center"/>
            <w:hideMark/>
          </w:tcPr>
          <w:p w:rsidR="00000000" w:rsidRDefault="00010F15">
            <w:pPr>
              <w:rPr>
                <w:rFonts w:eastAsia="Times New Roman"/>
                <w:sz w:val="20"/>
                <w:szCs w:val="20"/>
              </w:rPr>
            </w:pPr>
          </w:p>
        </w:tc>
        <w:tc>
          <w:tcPr>
            <w:tcW w:w="64" w:type="pct"/>
            <w:vAlign w:val="center"/>
            <w:hideMark/>
          </w:tcPr>
          <w:p w:rsidR="00000000" w:rsidRDefault="00010F15">
            <w:pPr>
              <w:rPr>
                <w:rFonts w:eastAsia="Times New Roman"/>
                <w:sz w:val="20"/>
                <w:szCs w:val="20"/>
              </w:rPr>
            </w:pPr>
          </w:p>
        </w:tc>
        <w:tc>
          <w:tcPr>
            <w:tcW w:w="66" w:type="pct"/>
            <w:vAlign w:val="center"/>
            <w:hideMark/>
          </w:tcPr>
          <w:p w:rsidR="00000000" w:rsidRDefault="00010F15">
            <w:pPr>
              <w:rPr>
                <w:rFonts w:eastAsia="Times New Roman"/>
                <w:sz w:val="20"/>
                <w:szCs w:val="20"/>
              </w:rPr>
            </w:pPr>
          </w:p>
        </w:tc>
        <w:tc>
          <w:tcPr>
            <w:tcW w:w="521" w:type="pct"/>
            <w:vAlign w:val="center"/>
            <w:hideMark/>
          </w:tcPr>
          <w:p w:rsidR="00000000" w:rsidRDefault="00010F15">
            <w:pPr>
              <w:rPr>
                <w:rFonts w:eastAsia="Times New Roman"/>
                <w:sz w:val="20"/>
                <w:szCs w:val="20"/>
              </w:rPr>
            </w:pPr>
          </w:p>
        </w:tc>
        <w:tc>
          <w:tcPr>
            <w:tcW w:w="39" w:type="pct"/>
            <w:vAlign w:val="center"/>
            <w:hideMark/>
          </w:tcPr>
          <w:p w:rsidR="00000000" w:rsidRDefault="00010F15">
            <w:pPr>
              <w:rPr>
                <w:rFonts w:eastAsia="Times New Roman"/>
                <w:sz w:val="20"/>
                <w:szCs w:val="20"/>
              </w:rPr>
            </w:pPr>
          </w:p>
        </w:tc>
        <w:tc>
          <w:tcPr>
            <w:tcW w:w="64" w:type="pct"/>
            <w:vAlign w:val="center"/>
            <w:hideMark/>
          </w:tcPr>
          <w:p w:rsidR="00000000" w:rsidRDefault="00010F15">
            <w:pPr>
              <w:rPr>
                <w:rFonts w:eastAsia="Times New Roman"/>
                <w:sz w:val="20"/>
                <w:szCs w:val="20"/>
              </w:rPr>
            </w:pPr>
          </w:p>
        </w:tc>
        <w:tc>
          <w:tcPr>
            <w:tcW w:w="66" w:type="pct"/>
            <w:vAlign w:val="center"/>
            <w:hideMark/>
          </w:tcPr>
          <w:p w:rsidR="00000000" w:rsidRDefault="00010F15">
            <w:pPr>
              <w:rPr>
                <w:rFonts w:eastAsia="Times New Roman"/>
                <w:sz w:val="20"/>
                <w:szCs w:val="20"/>
              </w:rPr>
            </w:pPr>
          </w:p>
        </w:tc>
        <w:tc>
          <w:tcPr>
            <w:tcW w:w="521" w:type="pct"/>
            <w:vAlign w:val="center"/>
            <w:hideMark/>
          </w:tcPr>
          <w:p w:rsidR="00000000" w:rsidRDefault="00010F15">
            <w:pPr>
              <w:rPr>
                <w:rFonts w:eastAsia="Times New Roman"/>
                <w:sz w:val="20"/>
                <w:szCs w:val="20"/>
              </w:rPr>
            </w:pPr>
          </w:p>
        </w:tc>
        <w:tc>
          <w:tcPr>
            <w:tcW w:w="39" w:type="pct"/>
            <w:vAlign w:val="center"/>
            <w:hideMark/>
          </w:tcPr>
          <w:p w:rsidR="00000000" w:rsidRDefault="00010F15">
            <w:pPr>
              <w:rPr>
                <w:rFonts w:eastAsia="Times New Roman"/>
                <w:sz w:val="20"/>
                <w:szCs w:val="20"/>
              </w:rPr>
            </w:pPr>
          </w:p>
        </w:tc>
      </w:tr>
      <w:tr w:rsidR="00000000">
        <w:trPr>
          <w:divId w:val="71318820"/>
          <w:trHeight w:val="160"/>
          <w:tblCellSpacing w:w="15" w:type="dxa"/>
        </w:trPr>
        <w:tc>
          <w:tcPr>
            <w:tcW w:w="0" w:type="auto"/>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gridSpan w:val="10"/>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Year Ended December 31</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divId w:val="71318820"/>
          <w:trHeight w:val="160"/>
          <w:tblCellSpacing w:w="15" w:type="dxa"/>
        </w:trPr>
        <w:tc>
          <w:tcPr>
            <w:tcW w:w="0" w:type="auto"/>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201</w:t>
            </w:r>
            <w:r>
              <w:rPr>
                <w:rFonts w:ascii="Arial" w:hAnsi="Arial" w:cs="Arial"/>
                <w:b/>
                <w:bCs/>
                <w:sz w:val="16"/>
                <w:szCs w:val="16"/>
              </w:rPr>
              <w:t>9</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divId w:val="71318820"/>
          <w:trHeight w:val="200"/>
          <w:tblCellSpacing w:w="15" w:type="dxa"/>
        </w:trPr>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Numerator</w:t>
            </w: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r>
      <w:tr w:rsidR="00000000">
        <w:trPr>
          <w:divId w:val="71318820"/>
          <w:trHeight w:val="200"/>
          <w:tblCellSpacing w:w="15" w:type="dxa"/>
        </w:trPr>
        <w:tc>
          <w:tcPr>
            <w:tcW w:w="0" w:type="auto"/>
            <w:hideMark/>
          </w:tcPr>
          <w:p w:rsidR="00000000" w:rsidRDefault="00010F15">
            <w:pPr>
              <w:pStyle w:val="a3"/>
              <w:spacing w:before="0" w:beforeAutospacing="0" w:after="0" w:afterAutospacing="0"/>
              <w:ind w:left="280"/>
              <w:rPr>
                <w:sz w:val="20"/>
                <w:szCs w:val="20"/>
              </w:rPr>
            </w:pPr>
            <w:r>
              <w:rPr>
                <w:rFonts w:ascii="Arial" w:hAnsi="Arial" w:cs="Arial"/>
                <w:sz w:val="20"/>
                <w:szCs w:val="20"/>
              </w:rPr>
              <w:t>Net incom</w:t>
            </w:r>
            <w:r>
              <w:rPr>
                <w:rFonts w:ascii="Arial" w:hAnsi="Arial" w:cs="Arial"/>
                <w:sz w:val="20"/>
                <w:szCs w:val="20"/>
              </w:rPr>
              <w:t>e</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9,30</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13,71</w:t>
            </w: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13,69</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71318820"/>
          <w:trHeight w:val="200"/>
          <w:tblCellSpacing w:w="15" w:type="dxa"/>
        </w:trPr>
        <w:tc>
          <w:tcPr>
            <w:tcW w:w="0" w:type="auto"/>
            <w:hideMark/>
          </w:tcPr>
          <w:p w:rsidR="00000000" w:rsidRDefault="00010F15">
            <w:pPr>
              <w:pStyle w:val="a3"/>
              <w:spacing w:before="0" w:beforeAutospacing="0" w:after="0" w:afterAutospacing="0"/>
              <w:ind w:left="280"/>
              <w:rPr>
                <w:sz w:val="20"/>
                <w:szCs w:val="20"/>
              </w:rPr>
            </w:pPr>
            <w:r>
              <w:rPr>
                <w:rFonts w:ascii="Arial" w:hAnsi="Arial" w:cs="Arial"/>
                <w:sz w:val="20"/>
                <w:szCs w:val="20"/>
              </w:rPr>
              <w:t>Undeclared dividends on Series A preferred stoc</w:t>
            </w:r>
            <w:r>
              <w:rPr>
                <w:rFonts w:ascii="Arial" w:hAnsi="Arial" w:cs="Arial"/>
                <w:sz w:val="20"/>
                <w:szCs w:val="20"/>
              </w:rPr>
              <w:t>k</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2,25</w:t>
            </w:r>
            <w:r>
              <w:rPr>
                <w:rFonts w:ascii="Arial" w:hAnsi="Arial" w:cs="Arial"/>
                <w:sz w:val="20"/>
                <w:szCs w:val="20"/>
              </w:rPr>
              <w:t>8</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5,18</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4,69</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r>
      <w:tr w:rsidR="00000000">
        <w:trPr>
          <w:divId w:val="71318820"/>
          <w:trHeight w:val="200"/>
          <w:tblCellSpacing w:w="15" w:type="dxa"/>
        </w:trPr>
        <w:tc>
          <w:tcPr>
            <w:tcW w:w="0" w:type="auto"/>
            <w:hideMark/>
          </w:tcPr>
          <w:p w:rsidR="00000000" w:rsidRDefault="00010F15">
            <w:pPr>
              <w:pStyle w:val="a3"/>
              <w:spacing w:before="0" w:beforeAutospacing="0" w:after="0" w:afterAutospacing="0"/>
              <w:ind w:left="280"/>
              <w:rPr>
                <w:sz w:val="20"/>
                <w:szCs w:val="20"/>
              </w:rPr>
            </w:pPr>
            <w:r>
              <w:rPr>
                <w:rFonts w:ascii="Arial" w:hAnsi="Arial" w:cs="Arial"/>
                <w:sz w:val="20"/>
                <w:szCs w:val="20"/>
              </w:rPr>
              <w:t>Net income attributable to common stoc</w:t>
            </w:r>
            <w:r>
              <w:rPr>
                <w:rFonts w:ascii="Arial" w:hAnsi="Arial" w:cs="Arial"/>
                <w:sz w:val="20"/>
                <w:szCs w:val="20"/>
              </w:rPr>
              <w:t>k</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7,04</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8,52</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9,00</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71318820"/>
          <w:trHeight w:val="200"/>
          <w:tblCellSpacing w:w="15" w:type="dxa"/>
        </w:trPr>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Denominator</w:t>
            </w: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r>
      <w:tr w:rsidR="00000000">
        <w:trPr>
          <w:divId w:val="71318820"/>
          <w:trHeight w:val="200"/>
          <w:tblCellSpacing w:w="15" w:type="dxa"/>
        </w:trPr>
        <w:tc>
          <w:tcPr>
            <w:tcW w:w="0" w:type="auto"/>
            <w:hideMark/>
          </w:tcPr>
          <w:p w:rsidR="00000000" w:rsidRDefault="00010F15">
            <w:pPr>
              <w:pStyle w:val="a3"/>
              <w:spacing w:before="0" w:beforeAutospacing="0" w:after="0" w:afterAutospacing="0"/>
              <w:ind w:left="280"/>
              <w:rPr>
                <w:sz w:val="20"/>
                <w:szCs w:val="20"/>
              </w:rPr>
            </w:pPr>
            <w:r>
              <w:rPr>
                <w:rFonts w:ascii="Arial" w:hAnsi="Arial" w:cs="Arial"/>
                <w:sz w:val="20"/>
                <w:szCs w:val="20"/>
              </w:rPr>
              <w:t>Weighted-average shares of common stock - basi</w:t>
            </w:r>
            <w:r>
              <w:rPr>
                <w:rFonts w:ascii="Arial" w:hAnsi="Arial" w:cs="Arial"/>
                <w:sz w:val="20"/>
                <w:szCs w:val="20"/>
              </w:rPr>
              <w:t>c</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112,763,26</w:t>
            </w: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103,479,23</w:t>
            </w:r>
            <w:r>
              <w:rPr>
                <w:rFonts w:ascii="Arial" w:hAnsi="Arial" w:cs="Arial"/>
                <w:sz w:val="20"/>
                <w:szCs w:val="20"/>
              </w:rPr>
              <w:t>9</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103,469,23</w:t>
            </w:r>
            <w:r>
              <w:rPr>
                <w:rFonts w:ascii="Arial" w:hAnsi="Arial" w:cs="Arial"/>
                <w:sz w:val="20"/>
                <w:szCs w:val="20"/>
              </w:rPr>
              <w:t>8</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71318820"/>
          <w:trHeight w:val="200"/>
          <w:tblCellSpacing w:w="15" w:type="dxa"/>
        </w:trPr>
        <w:tc>
          <w:tcPr>
            <w:tcW w:w="0" w:type="auto"/>
            <w:hideMark/>
          </w:tcPr>
          <w:p w:rsidR="00000000" w:rsidRDefault="00010F15">
            <w:pPr>
              <w:pStyle w:val="a3"/>
              <w:spacing w:before="0" w:beforeAutospacing="0" w:after="0" w:afterAutospacing="0"/>
              <w:ind w:left="280"/>
              <w:rPr>
                <w:sz w:val="20"/>
                <w:szCs w:val="20"/>
              </w:rPr>
            </w:pPr>
            <w:r>
              <w:rPr>
                <w:rFonts w:ascii="Arial" w:hAnsi="Arial" w:cs="Arial"/>
                <w:sz w:val="20"/>
                <w:szCs w:val="20"/>
              </w:rPr>
              <w:t>Dilutive effect of stock options to purchase common stoc</w:t>
            </w:r>
            <w:r>
              <w:rPr>
                <w:rFonts w:ascii="Arial" w:hAnsi="Arial" w:cs="Arial"/>
                <w:sz w:val="20"/>
                <w:szCs w:val="20"/>
              </w:rPr>
              <w:t>k</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6,009,89</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2,728,64</w:t>
            </w:r>
            <w:r>
              <w:rPr>
                <w:rFonts w:ascii="Arial" w:hAnsi="Arial" w:cs="Arial"/>
                <w:sz w:val="20"/>
                <w:szCs w:val="20"/>
              </w:rPr>
              <w:t>4</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2,881,23</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71318820"/>
          <w:trHeight w:val="200"/>
          <w:tblCellSpacing w:w="15" w:type="dxa"/>
        </w:trPr>
        <w:tc>
          <w:tcPr>
            <w:tcW w:w="0" w:type="auto"/>
            <w:hideMark/>
          </w:tcPr>
          <w:p w:rsidR="00000000" w:rsidRDefault="00010F15">
            <w:pPr>
              <w:pStyle w:val="a3"/>
              <w:spacing w:before="0" w:beforeAutospacing="0" w:after="0" w:afterAutospacing="0"/>
              <w:ind w:left="280"/>
              <w:rPr>
                <w:sz w:val="20"/>
                <w:szCs w:val="20"/>
              </w:rPr>
            </w:pPr>
            <w:r>
              <w:rPr>
                <w:rFonts w:ascii="Arial" w:hAnsi="Arial" w:cs="Arial"/>
                <w:sz w:val="20"/>
                <w:szCs w:val="20"/>
              </w:rPr>
              <w:t>Dilutive effect of RSU</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19,16</w:t>
            </w:r>
            <w:r>
              <w:rPr>
                <w:rFonts w:ascii="Arial" w:hAnsi="Arial" w:cs="Arial"/>
                <w:sz w:val="20"/>
                <w:szCs w:val="20"/>
              </w:rPr>
              <w:t>0</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71318820"/>
          <w:trHeight w:val="200"/>
          <w:tblCellSpacing w:w="15" w:type="dxa"/>
        </w:trPr>
        <w:tc>
          <w:tcPr>
            <w:tcW w:w="0" w:type="auto"/>
            <w:hideMark/>
          </w:tcPr>
          <w:p w:rsidR="00000000" w:rsidRDefault="00010F15">
            <w:pPr>
              <w:pStyle w:val="a3"/>
              <w:spacing w:before="0" w:beforeAutospacing="0" w:after="0" w:afterAutospacing="0"/>
              <w:ind w:left="280"/>
              <w:rPr>
                <w:sz w:val="20"/>
                <w:szCs w:val="20"/>
              </w:rPr>
            </w:pPr>
            <w:r>
              <w:rPr>
                <w:rFonts w:ascii="Arial" w:hAnsi="Arial" w:cs="Arial"/>
                <w:sz w:val="20"/>
                <w:szCs w:val="20"/>
              </w:rPr>
              <w:t>Dilutive effect of warrant</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29,61</w:t>
            </w:r>
            <w:r>
              <w:rPr>
                <w:rFonts w:ascii="Arial" w:hAnsi="Arial" w:cs="Arial"/>
                <w:sz w:val="20"/>
                <w:szCs w:val="20"/>
              </w:rPr>
              <w:t>4</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71318820"/>
          <w:trHeight w:val="200"/>
          <w:tblCellSpacing w:w="15" w:type="dxa"/>
        </w:trPr>
        <w:tc>
          <w:tcPr>
            <w:tcW w:w="0" w:type="auto"/>
            <w:hideMark/>
          </w:tcPr>
          <w:p w:rsidR="00000000" w:rsidRDefault="00010F15">
            <w:pPr>
              <w:pStyle w:val="a3"/>
              <w:spacing w:before="0" w:beforeAutospacing="0" w:after="0" w:afterAutospacing="0"/>
              <w:ind w:left="280"/>
              <w:rPr>
                <w:sz w:val="20"/>
                <w:szCs w:val="20"/>
              </w:rPr>
            </w:pPr>
            <w:r>
              <w:rPr>
                <w:rFonts w:ascii="Arial" w:hAnsi="Arial" w:cs="Arial"/>
                <w:sz w:val="20"/>
                <w:szCs w:val="20"/>
              </w:rPr>
              <w:t>Weighted-average shares of common stock - dilute</w:t>
            </w:r>
            <w:r>
              <w:rPr>
                <w:rFonts w:ascii="Arial" w:hAnsi="Arial" w:cs="Arial"/>
                <w:sz w:val="20"/>
                <w:szCs w:val="20"/>
              </w:rPr>
              <w:t>d</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118,821,92</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106,207,88</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106,350,47</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71318820"/>
          <w:trHeight w:val="200"/>
          <w:tblCellSpacing w:w="15" w:type="dxa"/>
        </w:trPr>
        <w:tc>
          <w:tcPr>
            <w:tcW w:w="0" w:type="auto"/>
            <w:hideMark/>
          </w:tcPr>
          <w:p w:rsidR="00000000" w:rsidRDefault="00010F15">
            <w:pPr>
              <w:pStyle w:val="a3"/>
              <w:spacing w:before="0" w:beforeAutospacing="0" w:after="0" w:afterAutospacing="0"/>
              <w:rPr>
                <w:sz w:val="20"/>
                <w:szCs w:val="20"/>
              </w:rPr>
            </w:pPr>
            <w:r>
              <w:rPr>
                <w:rFonts w:ascii="Arial" w:hAnsi="Arial" w:cs="Arial"/>
                <w:sz w:val="20"/>
                <w:szCs w:val="20"/>
              </w:rPr>
              <w:t>Net income per share attributable to common stoc</w:t>
            </w:r>
            <w:r>
              <w:rPr>
                <w:rFonts w:ascii="Arial" w:hAnsi="Arial" w:cs="Arial"/>
                <w:sz w:val="20"/>
                <w:szCs w:val="20"/>
              </w:rPr>
              <w:t>k</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 </w:t>
            </w:r>
          </w:p>
        </w:tc>
      </w:tr>
      <w:tr w:rsidR="00000000">
        <w:trPr>
          <w:divId w:val="71318820"/>
          <w:trHeight w:val="200"/>
          <w:tblCellSpacing w:w="15" w:type="dxa"/>
        </w:trPr>
        <w:tc>
          <w:tcPr>
            <w:tcW w:w="0" w:type="auto"/>
            <w:hideMark/>
          </w:tcPr>
          <w:p w:rsidR="00000000" w:rsidRDefault="00010F15">
            <w:pPr>
              <w:pStyle w:val="a3"/>
              <w:spacing w:before="0" w:beforeAutospacing="0" w:after="0" w:afterAutospacing="0"/>
              <w:ind w:left="280"/>
              <w:rPr>
                <w:sz w:val="20"/>
                <w:szCs w:val="20"/>
              </w:rPr>
            </w:pPr>
            <w:r>
              <w:rPr>
                <w:rFonts w:ascii="Arial" w:hAnsi="Arial" w:cs="Arial"/>
                <w:sz w:val="20"/>
                <w:szCs w:val="20"/>
              </w:rPr>
              <w:t>Basi</w:t>
            </w:r>
            <w:r>
              <w:rPr>
                <w:rFonts w:ascii="Arial" w:hAnsi="Arial" w:cs="Arial"/>
                <w:sz w:val="20"/>
                <w:szCs w:val="20"/>
              </w:rPr>
              <w:t>c</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0.0</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0.0</w:t>
            </w:r>
            <w:r>
              <w:rPr>
                <w:rFonts w:ascii="Arial" w:hAnsi="Arial" w:cs="Arial"/>
                <w:sz w:val="20"/>
                <w:szCs w:val="20"/>
              </w:rPr>
              <w:t>8</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0.0</w:t>
            </w:r>
            <w:r>
              <w:rPr>
                <w:rFonts w:ascii="Arial" w:hAnsi="Arial" w:cs="Arial"/>
                <w:sz w:val="20"/>
                <w:szCs w:val="20"/>
              </w:rPr>
              <w:t>9</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71318820"/>
          <w:trHeight w:val="200"/>
          <w:tblCellSpacing w:w="15" w:type="dxa"/>
        </w:trPr>
        <w:tc>
          <w:tcPr>
            <w:tcW w:w="0" w:type="auto"/>
            <w:hideMark/>
          </w:tcPr>
          <w:p w:rsidR="00000000" w:rsidRDefault="00010F15">
            <w:pPr>
              <w:pStyle w:val="a3"/>
              <w:spacing w:before="0" w:beforeAutospacing="0" w:after="0" w:afterAutospacing="0"/>
              <w:ind w:left="280"/>
              <w:rPr>
                <w:sz w:val="20"/>
                <w:szCs w:val="20"/>
              </w:rPr>
            </w:pPr>
            <w:r>
              <w:rPr>
                <w:rFonts w:ascii="Arial" w:hAnsi="Arial" w:cs="Arial"/>
                <w:sz w:val="20"/>
                <w:szCs w:val="20"/>
              </w:rPr>
              <w:t>Dilute</w:t>
            </w:r>
            <w:r>
              <w:rPr>
                <w:rFonts w:ascii="Arial" w:hAnsi="Arial" w:cs="Arial"/>
                <w:sz w:val="20"/>
                <w:szCs w:val="20"/>
              </w:rPr>
              <w:t>d</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0.0</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0.0</w:t>
            </w:r>
            <w:r>
              <w:rPr>
                <w:rFonts w:ascii="Arial" w:hAnsi="Arial" w:cs="Arial"/>
                <w:sz w:val="20"/>
                <w:szCs w:val="20"/>
              </w:rPr>
              <w:t>8</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0.0</w:t>
            </w:r>
            <w:r>
              <w:rPr>
                <w:rFonts w:ascii="Arial" w:hAnsi="Arial" w:cs="Arial"/>
                <w:sz w:val="20"/>
                <w:szCs w:val="20"/>
              </w:rPr>
              <w:t>8</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bl>
    <w:p w:rsidR="00000000" w:rsidRDefault="00010F15">
      <w:pPr>
        <w:pStyle w:val="a3"/>
        <w:spacing w:before="240" w:beforeAutospacing="0" w:after="120" w:afterAutospacing="0"/>
        <w:ind w:firstLine="539"/>
        <w:divId w:val="71318820"/>
        <w:rPr>
          <w:sz w:val="20"/>
          <w:szCs w:val="20"/>
        </w:rPr>
      </w:pPr>
      <w:r>
        <w:rPr>
          <w:rFonts w:ascii="Arial" w:hAnsi="Arial" w:cs="Arial"/>
          <w:sz w:val="20"/>
          <w:szCs w:val="20"/>
        </w:rPr>
        <w:t>The Company did</w:t>
      </w:r>
      <w:r>
        <w:rPr>
          <w:rFonts w:ascii="Arial" w:hAnsi="Arial" w:cs="Arial"/>
          <w:sz w:val="20"/>
          <w:szCs w:val="20"/>
        </w:rPr>
        <w:t xml:space="preserve"> </w:t>
      </w:r>
      <w:r>
        <w:rPr>
          <w:rFonts w:ascii="Arial" w:hAnsi="Arial" w:cs="Arial"/>
          <w:sz w:val="20"/>
          <w:szCs w:val="20"/>
        </w:rPr>
        <w:t>n</w:t>
      </w:r>
      <w:r>
        <w:rPr>
          <w:rFonts w:ascii="Arial" w:hAnsi="Arial" w:cs="Arial"/>
          <w:sz w:val="20"/>
          <w:szCs w:val="20"/>
        </w:rPr>
        <w:t>o</w:t>
      </w:r>
      <w:r>
        <w:rPr>
          <w:rFonts w:ascii="Arial" w:hAnsi="Arial" w:cs="Arial"/>
          <w:sz w:val="20"/>
          <w:szCs w:val="20"/>
        </w:rPr>
        <w:t>t have any securities that were excluded from the computation of diluted net income per share attributable to common stock calculations for the periods presented as all options, RSUs and warrants outstanding were considered to be dilutive</w:t>
      </w:r>
      <w:r>
        <w:rPr>
          <w:rFonts w:ascii="Arial" w:hAnsi="Arial" w:cs="Arial"/>
          <w:sz w:val="20"/>
          <w:szCs w:val="20"/>
        </w:rPr>
        <w:t>.</w:t>
      </w:r>
      <w:r>
        <w:rPr>
          <w:rFonts w:ascii="Arial" w:hAnsi="Arial" w:cs="Arial"/>
          <w:sz w:val="20"/>
          <w:szCs w:val="20"/>
        </w:rPr>
        <w:t> </w: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0" w:beforeAutospacing="0" w:after="0" w:afterAutospacing="0"/>
        <w:ind w:hanging="422"/>
        <w:divId w:val="789974105"/>
        <w:rPr>
          <w:sz w:val="20"/>
          <w:szCs w:val="20"/>
        </w:rPr>
      </w:pPr>
      <w:r>
        <w:rPr>
          <w:rFonts w:ascii="Arial" w:hAnsi="Arial" w:cs="Arial"/>
          <w:b/>
          <w:bCs/>
          <w:sz w:val="20"/>
          <w:szCs w:val="20"/>
        </w:rPr>
        <w:t xml:space="preserve">14. </w:t>
      </w:r>
      <w:r>
        <w:rPr>
          <w:rFonts w:ascii="Arial" w:hAnsi="Arial" w:cs="Arial"/>
          <w:b/>
          <w:bCs/>
          <w:sz w:val="20"/>
          <w:szCs w:val="20"/>
        </w:rPr>
        <w:t>Geographic Informatio</w:t>
      </w:r>
      <w:r>
        <w:rPr>
          <w:rFonts w:ascii="Arial" w:hAnsi="Arial" w:cs="Arial"/>
          <w:b/>
          <w:bCs/>
          <w:sz w:val="20"/>
          <w:szCs w:val="20"/>
        </w:rPr>
        <w:t>n</w:t>
      </w:r>
    </w:p>
    <w:p w:rsidR="00000000" w:rsidRDefault="00010F15">
      <w:pPr>
        <w:pStyle w:val="a3"/>
        <w:spacing w:before="240" w:beforeAutospacing="0" w:after="240" w:afterAutospacing="0"/>
        <w:ind w:firstLine="539"/>
        <w:divId w:val="657542666"/>
        <w:rPr>
          <w:sz w:val="20"/>
          <w:szCs w:val="20"/>
        </w:rPr>
      </w:pPr>
      <w:r>
        <w:rPr>
          <w:rFonts w:ascii="Arial" w:hAnsi="Arial" w:cs="Arial"/>
          <w:sz w:val="20"/>
          <w:szCs w:val="20"/>
        </w:rPr>
        <w:t>Revenue by geographic area, based on the location of the Company’s users, was as follows (in 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03"/>
        <w:gridCol w:w="116"/>
        <w:gridCol w:w="172"/>
        <w:gridCol w:w="858"/>
        <w:gridCol w:w="116"/>
        <w:gridCol w:w="116"/>
        <w:gridCol w:w="172"/>
        <w:gridCol w:w="858"/>
        <w:gridCol w:w="116"/>
        <w:gridCol w:w="172"/>
        <w:gridCol w:w="876"/>
        <w:gridCol w:w="131"/>
      </w:tblGrid>
      <w:tr w:rsidR="00000000">
        <w:trPr>
          <w:divId w:val="657542666"/>
          <w:tblCellSpacing w:w="15" w:type="dxa"/>
        </w:trPr>
        <w:tc>
          <w:tcPr>
            <w:tcW w:w="2899" w:type="pct"/>
            <w:vAlign w:val="center"/>
            <w:hideMark/>
          </w:tcPr>
          <w:p w:rsidR="00000000" w:rsidRDefault="00010F15">
            <w:pPr>
              <w:rPr>
                <w:sz w:val="20"/>
                <w:szCs w:val="20"/>
              </w:rPr>
            </w:pPr>
          </w:p>
        </w:tc>
        <w:tc>
          <w:tcPr>
            <w:tcW w:w="66"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556"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66"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556"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556"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r>
      <w:tr w:rsidR="00000000">
        <w:trPr>
          <w:divId w:val="657542666"/>
          <w:trHeight w:val="160"/>
          <w:tblCellSpacing w:w="15" w:type="dxa"/>
        </w:trPr>
        <w:tc>
          <w:tcPr>
            <w:tcW w:w="0" w:type="auto"/>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gridSpan w:val="9"/>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Year Ended December 31</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divId w:val="657542666"/>
          <w:trHeight w:val="160"/>
          <w:tblCellSpacing w:w="15" w:type="dxa"/>
        </w:trPr>
        <w:tc>
          <w:tcPr>
            <w:tcW w:w="0" w:type="auto"/>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201</w:t>
            </w:r>
            <w:r>
              <w:rPr>
                <w:rFonts w:ascii="Arial" w:hAnsi="Arial" w:cs="Arial"/>
                <w:b/>
                <w:bCs/>
                <w:sz w:val="16"/>
                <w:szCs w:val="16"/>
              </w:rPr>
              <w:t>9</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divId w:val="657542666"/>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United State</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387,24</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295,76</w:t>
            </w:r>
            <w:r>
              <w:rPr>
                <w:rFonts w:ascii="Arial" w:hAnsi="Arial" w:cs="Arial"/>
                <w:sz w:val="20"/>
                <w:szCs w:val="20"/>
              </w:rPr>
              <w:t>1</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230,97</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657542666"/>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Othe</w:t>
            </w:r>
            <w:r>
              <w:rPr>
                <w:rFonts w:ascii="Arial" w:hAnsi="Arial" w:cs="Arial"/>
                <w:sz w:val="20"/>
                <w:szCs w:val="20"/>
              </w:rPr>
              <w:t>r</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8,28</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6,00</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4,80</w:t>
            </w:r>
            <w:r>
              <w:rPr>
                <w:rFonts w:ascii="Arial" w:hAnsi="Arial" w:cs="Arial"/>
                <w:sz w:val="20"/>
                <w:szCs w:val="20"/>
              </w:rPr>
              <w:t>3</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657542666"/>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395,52</w:t>
            </w:r>
            <w:r>
              <w:rPr>
                <w:rFonts w:ascii="Arial" w:hAnsi="Arial" w:cs="Arial"/>
                <w:sz w:val="20"/>
                <w:szCs w:val="20"/>
              </w:rPr>
              <w:t>4</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301,76</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235,77</w:t>
            </w:r>
            <w:r>
              <w:rPr>
                <w:rFonts w:ascii="Arial" w:hAnsi="Arial" w:cs="Arial"/>
                <w:sz w:val="20"/>
                <w:szCs w:val="20"/>
              </w:rPr>
              <w:t>8</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bl>
    <w:p w:rsidR="00000000" w:rsidRDefault="00010F15">
      <w:pPr>
        <w:pStyle w:val="a3"/>
        <w:spacing w:before="240" w:beforeAutospacing="0" w:after="240" w:afterAutospacing="0"/>
        <w:ind w:firstLine="539"/>
        <w:divId w:val="1662779470"/>
        <w:rPr>
          <w:sz w:val="20"/>
          <w:szCs w:val="20"/>
        </w:rPr>
      </w:pPr>
      <w:r>
        <w:rPr>
          <w:rFonts w:ascii="Arial" w:hAnsi="Arial" w:cs="Arial"/>
          <w:sz w:val="20"/>
          <w:szCs w:val="20"/>
        </w:rPr>
        <w:t>Long-lived assets, comprising property and equipment assets, by geographic area were as follows (in thousands)</w:t>
      </w:r>
      <w:r>
        <w:rPr>
          <w:rFonts w:ascii="Arial" w:hAnsi="Arial" w:cs="Arial"/>
          <w:sz w:val="20"/>
          <w:szCs w:val="20"/>
        </w:rPr>
        <w:t>:</w:t>
      </w:r>
      <w:r>
        <w:rPr>
          <w:rFonts w:ascii="Arial" w:hAnsi="Arial" w:cs="Arial"/>
          <w:sz w:val="20"/>
          <w:szCs w:val="20"/>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69"/>
        <w:gridCol w:w="124"/>
        <w:gridCol w:w="172"/>
        <w:gridCol w:w="1049"/>
        <w:gridCol w:w="116"/>
        <w:gridCol w:w="124"/>
        <w:gridCol w:w="172"/>
        <w:gridCol w:w="1049"/>
        <w:gridCol w:w="131"/>
      </w:tblGrid>
      <w:tr w:rsidR="00000000">
        <w:trPr>
          <w:divId w:val="1662779470"/>
          <w:tblCellSpacing w:w="15" w:type="dxa"/>
        </w:trPr>
        <w:tc>
          <w:tcPr>
            <w:tcW w:w="3340" w:type="pct"/>
            <w:vAlign w:val="center"/>
            <w:hideMark/>
          </w:tcPr>
          <w:p w:rsidR="00000000" w:rsidRDefault="00010F15">
            <w:pPr>
              <w:rPr>
                <w:sz w:val="20"/>
                <w:szCs w:val="20"/>
              </w:rPr>
            </w:pPr>
          </w:p>
        </w:tc>
        <w:tc>
          <w:tcPr>
            <w:tcW w:w="76"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653"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c>
          <w:tcPr>
            <w:tcW w:w="76" w:type="pct"/>
            <w:vAlign w:val="center"/>
            <w:hideMark/>
          </w:tcPr>
          <w:p w:rsidR="00000000" w:rsidRDefault="00010F15">
            <w:pPr>
              <w:rPr>
                <w:rFonts w:eastAsia="Times New Roman"/>
                <w:sz w:val="20"/>
                <w:szCs w:val="20"/>
              </w:rPr>
            </w:pPr>
          </w:p>
        </w:tc>
        <w:tc>
          <w:tcPr>
            <w:tcW w:w="67" w:type="pct"/>
            <w:vAlign w:val="center"/>
            <w:hideMark/>
          </w:tcPr>
          <w:p w:rsidR="00000000" w:rsidRDefault="00010F15">
            <w:pPr>
              <w:rPr>
                <w:rFonts w:eastAsia="Times New Roman"/>
                <w:sz w:val="20"/>
                <w:szCs w:val="20"/>
              </w:rPr>
            </w:pPr>
          </w:p>
        </w:tc>
        <w:tc>
          <w:tcPr>
            <w:tcW w:w="653" w:type="pct"/>
            <w:vAlign w:val="center"/>
            <w:hideMark/>
          </w:tcPr>
          <w:p w:rsidR="00000000" w:rsidRDefault="00010F15">
            <w:pPr>
              <w:rPr>
                <w:rFonts w:eastAsia="Times New Roman"/>
                <w:sz w:val="20"/>
                <w:szCs w:val="20"/>
              </w:rPr>
            </w:pPr>
          </w:p>
        </w:tc>
        <w:tc>
          <w:tcPr>
            <w:tcW w:w="32" w:type="pct"/>
            <w:vAlign w:val="center"/>
            <w:hideMark/>
          </w:tcPr>
          <w:p w:rsidR="00000000" w:rsidRDefault="00010F15">
            <w:pPr>
              <w:rPr>
                <w:rFonts w:eastAsia="Times New Roman"/>
                <w:sz w:val="20"/>
                <w:szCs w:val="20"/>
              </w:rPr>
            </w:pPr>
          </w:p>
        </w:tc>
      </w:tr>
      <w:tr w:rsidR="00000000">
        <w:trPr>
          <w:divId w:val="1662779470"/>
          <w:trHeight w:val="16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6"/>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December 31</w:t>
            </w:r>
            <w:r>
              <w:rPr>
                <w:rFonts w:ascii="Arial" w:hAnsi="Arial" w:cs="Arial"/>
                <w:b/>
                <w:bCs/>
                <w:sz w:val="16"/>
                <w:szCs w:val="16"/>
              </w:rPr>
              <w:t>,</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divId w:val="1662779470"/>
          <w:trHeight w:val="16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010F15">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010F15">
            <w:pPr>
              <w:pStyle w:val="a3"/>
              <w:spacing w:before="0" w:beforeAutospacing="0" w:after="0" w:afterAutospacing="0"/>
              <w:jc w:val="center"/>
              <w:rPr>
                <w:sz w:val="16"/>
                <w:szCs w:val="16"/>
              </w:rPr>
            </w:pPr>
            <w:r>
              <w:rPr>
                <w:rFonts w:ascii="Arial" w:hAnsi="Arial" w:cs="Arial"/>
                <w:sz w:val="16"/>
                <w:szCs w:val="16"/>
              </w:rPr>
              <w:t> </w:t>
            </w:r>
          </w:p>
        </w:tc>
      </w:tr>
      <w:tr w:rsidR="00000000">
        <w:trPr>
          <w:divId w:val="1662779470"/>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United State</w:t>
            </w:r>
            <w:r>
              <w:rPr>
                <w:rFonts w:ascii="Arial" w:hAnsi="Arial" w:cs="Arial"/>
                <w:sz w:val="20"/>
                <w:szCs w:val="20"/>
              </w:rPr>
              <w:t>s</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58</w:t>
            </w:r>
            <w:r>
              <w:rPr>
                <w:rFonts w:ascii="Arial" w:hAnsi="Arial" w:cs="Arial"/>
                <w:sz w:val="20"/>
                <w:szCs w:val="20"/>
              </w:rPr>
              <w:t>8</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71</w:t>
            </w:r>
            <w:r>
              <w:rPr>
                <w:rFonts w:ascii="Arial" w:hAnsi="Arial" w:cs="Arial"/>
                <w:sz w:val="20"/>
                <w:szCs w:val="20"/>
              </w:rPr>
              <w:t>7</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662779470"/>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Othe</w:t>
            </w:r>
            <w:r>
              <w:rPr>
                <w:rFonts w:ascii="Arial" w:hAnsi="Arial" w:cs="Arial"/>
                <w:sz w:val="20"/>
                <w:szCs w:val="20"/>
              </w:rPr>
              <w:t>r</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1,45</w:t>
            </w:r>
            <w:r>
              <w:rPr>
                <w:rFonts w:ascii="Arial" w:hAnsi="Arial" w:cs="Arial"/>
                <w:sz w:val="20"/>
                <w:szCs w:val="20"/>
              </w:rPr>
              <w:t>6</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1,05</w:t>
            </w:r>
            <w:r>
              <w:rPr>
                <w:rFonts w:ascii="Arial" w:hAnsi="Arial" w:cs="Arial"/>
                <w:sz w:val="20"/>
                <w:szCs w:val="20"/>
              </w:rPr>
              <w:t>5</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r w:rsidR="00000000">
        <w:trPr>
          <w:divId w:val="1662779470"/>
          <w:trHeight w:val="200"/>
          <w:tblCellSpacing w:w="15" w:type="dxa"/>
        </w:trPr>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2,04</w:t>
            </w:r>
            <w:r>
              <w:rPr>
                <w:rFonts w:ascii="Arial" w:hAnsi="Arial" w:cs="Arial"/>
                <w:sz w:val="20"/>
                <w:szCs w:val="20"/>
              </w:rPr>
              <w:t>4</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010F15">
            <w:pPr>
              <w:pStyle w:val="a3"/>
              <w:spacing w:before="0" w:beforeAutospacing="0" w:after="0" w:afterAutospacing="0"/>
              <w:jc w:val="right"/>
              <w:rPr>
                <w:sz w:val="20"/>
                <w:szCs w:val="20"/>
              </w:rPr>
            </w:pPr>
            <w:r>
              <w:rPr>
                <w:rFonts w:ascii="Arial" w:hAnsi="Arial" w:cs="Arial"/>
                <w:sz w:val="20"/>
                <w:szCs w:val="20"/>
              </w:rPr>
              <w:t>1,77</w:t>
            </w:r>
            <w:r>
              <w:rPr>
                <w:rFonts w:ascii="Arial" w:hAnsi="Arial" w:cs="Arial"/>
                <w:sz w:val="20"/>
                <w:szCs w:val="20"/>
              </w:rPr>
              <w:t>2</w:t>
            </w:r>
          </w:p>
        </w:tc>
        <w:tc>
          <w:tcPr>
            <w:tcW w:w="0" w:type="auto"/>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 </w:t>
            </w:r>
          </w:p>
        </w:tc>
      </w:tr>
    </w:tbl>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240" w:beforeAutospacing="0" w:after="0" w:afterAutospacing="0"/>
        <w:ind w:hanging="422"/>
        <w:divId w:val="1218081684"/>
        <w:rPr>
          <w:sz w:val="20"/>
          <w:szCs w:val="20"/>
        </w:rPr>
      </w:pPr>
      <w:r>
        <w:rPr>
          <w:rFonts w:ascii="Arial" w:hAnsi="Arial" w:cs="Arial"/>
          <w:b/>
          <w:bCs/>
          <w:sz w:val="20"/>
          <w:szCs w:val="20"/>
        </w:rPr>
        <w:t>15. Related Party Transaction</w:t>
      </w:r>
      <w:r>
        <w:rPr>
          <w:rFonts w:ascii="Arial" w:hAnsi="Arial" w:cs="Arial"/>
          <w:b/>
          <w:bCs/>
          <w:sz w:val="20"/>
          <w:szCs w:val="20"/>
        </w:rPr>
        <w:t>s</w:t>
      </w:r>
    </w:p>
    <w:p w:rsidR="00000000" w:rsidRDefault="00010F15">
      <w:pPr>
        <w:pStyle w:val="a3"/>
        <w:spacing w:before="240" w:beforeAutospacing="0" w:after="0" w:afterAutospacing="0"/>
        <w:ind w:firstLine="539"/>
        <w:divId w:val="1218081684"/>
        <w:rPr>
          <w:sz w:val="20"/>
          <w:szCs w:val="20"/>
        </w:rPr>
      </w:pPr>
      <w:r>
        <w:rPr>
          <w:rFonts w:ascii="Arial" w:hAnsi="Arial" w:cs="Arial"/>
          <w:sz w:val="20"/>
          <w:szCs w:val="20"/>
        </w:rPr>
        <w:t>Transactions involving related parties cannot be presumed to be carried out on an arm’</w:t>
      </w:r>
      <w:r>
        <w:rPr>
          <w:rFonts w:ascii="Arial" w:hAnsi="Arial" w:cs="Arial"/>
          <w:sz w:val="20"/>
          <w:szCs w:val="20"/>
        </w:rPr>
        <w:t>s length basis due to the absence of free market forces that naturally exist in business dealings between two or more unrelated entities. Related party transactions may not always be favorable to the Company’s business and may include terms, conditions and</w:t>
      </w:r>
      <w:r>
        <w:rPr>
          <w:rFonts w:ascii="Arial" w:hAnsi="Arial" w:cs="Arial"/>
          <w:sz w:val="20"/>
          <w:szCs w:val="20"/>
        </w:rPr>
        <w:t xml:space="preserve"> agreements that are not necessarily beneficial to or in the best interest of the Company</w:t>
      </w:r>
      <w:r>
        <w:rPr>
          <w:rFonts w:ascii="Arial" w:hAnsi="Arial" w:cs="Arial"/>
          <w:sz w:val="20"/>
          <w:szCs w:val="20"/>
        </w:rPr>
        <w:t>.</w:t>
      </w:r>
    </w:p>
    <w:p w:rsidR="00000000" w:rsidRDefault="00010F15">
      <w:pPr>
        <w:pStyle w:val="a3"/>
        <w:spacing w:before="120" w:beforeAutospacing="0" w:after="0" w:afterAutospacing="0"/>
        <w:ind w:firstLine="539"/>
        <w:divId w:val="1218081684"/>
        <w:rPr>
          <w:sz w:val="20"/>
          <w:szCs w:val="20"/>
        </w:rPr>
      </w:pPr>
      <w:r>
        <w:rPr>
          <w:rFonts w:ascii="Arial" w:hAnsi="Arial" w:cs="Arial"/>
          <w:sz w:val="20"/>
          <w:szCs w:val="20"/>
        </w:rPr>
        <w:t xml:space="preserve">On September 6, 2011, the Company issued a loan to the Company’s Chief Executive Officer for </w:t>
      </w:r>
      <w:r>
        <w:rPr>
          <w:rFonts w:ascii="Arial" w:hAnsi="Arial" w:cs="Arial"/>
          <w:sz w:val="20"/>
          <w:szCs w:val="20"/>
        </w:rPr>
        <w:t>$</w:t>
      </w:r>
      <w:r>
        <w:rPr>
          <w:rFonts w:ascii="Arial" w:hAnsi="Arial" w:cs="Arial"/>
          <w:sz w:val="20"/>
          <w:szCs w:val="20"/>
        </w:rPr>
        <w:t>0.</w:t>
      </w:r>
      <w:r>
        <w:rPr>
          <w:rFonts w:ascii="Arial" w:hAnsi="Arial" w:cs="Arial"/>
          <w:sz w:val="20"/>
          <w:szCs w:val="20"/>
        </w:rPr>
        <w:t>8</w:t>
      </w:r>
      <w:r>
        <w:rPr>
          <w:rFonts w:ascii="Arial" w:hAnsi="Arial" w:cs="Arial"/>
          <w:sz w:val="20"/>
          <w:szCs w:val="20"/>
        </w:rPr>
        <w:t xml:space="preserve"> million at an interest rate of</w:t>
      </w:r>
      <w:r>
        <w:rPr>
          <w:rFonts w:ascii="Arial" w:hAnsi="Arial" w:cs="Arial"/>
          <w:sz w:val="20"/>
          <w:szCs w:val="20"/>
        </w:rPr>
        <w:t xml:space="preserve"> </w:t>
      </w:r>
      <w:r>
        <w:rPr>
          <w:rFonts w:ascii="Arial" w:hAnsi="Arial" w:cs="Arial"/>
          <w:sz w:val="20"/>
          <w:szCs w:val="20"/>
        </w:rPr>
        <w:t>2</w:t>
      </w:r>
      <w:r>
        <w:rPr>
          <w:rFonts w:ascii="Arial" w:hAnsi="Arial" w:cs="Arial"/>
          <w:sz w:val="20"/>
          <w:szCs w:val="20"/>
        </w:rPr>
        <w:t>% per annum. The Company recorded t</w:t>
      </w:r>
      <w:r>
        <w:rPr>
          <w:rFonts w:ascii="Arial" w:hAnsi="Arial" w:cs="Arial"/>
          <w:sz w:val="20"/>
          <w:szCs w:val="20"/>
        </w:rPr>
        <w:t xml:space="preserve">he principal amount of </w:t>
      </w:r>
      <w:r>
        <w:rPr>
          <w:rFonts w:ascii="Arial" w:hAnsi="Arial" w:cs="Arial"/>
          <w:sz w:val="20"/>
          <w:szCs w:val="20"/>
        </w:rPr>
        <w:t>$</w:t>
      </w:r>
      <w:r>
        <w:rPr>
          <w:rFonts w:ascii="Arial" w:hAnsi="Arial" w:cs="Arial"/>
          <w:sz w:val="20"/>
          <w:szCs w:val="20"/>
        </w:rPr>
        <w:t>0.</w:t>
      </w:r>
      <w:r>
        <w:rPr>
          <w:rFonts w:ascii="Arial" w:hAnsi="Arial" w:cs="Arial"/>
          <w:sz w:val="20"/>
          <w:szCs w:val="20"/>
        </w:rPr>
        <w:t>8</w:t>
      </w:r>
      <w:r>
        <w:rPr>
          <w:rFonts w:ascii="Arial" w:hAnsi="Arial" w:cs="Arial"/>
          <w:sz w:val="20"/>
          <w:szCs w:val="20"/>
        </w:rPr>
        <w:t xml:space="preserve"> million as a reduction to additional paid-in capital in the consolidated statements of stockholders’ equity. The Chief Executive Officer and an entity affiliated with him pledged</w:t>
      </w:r>
      <w:r>
        <w:rPr>
          <w:rFonts w:ascii="Arial" w:hAnsi="Arial" w:cs="Arial"/>
          <w:sz w:val="20"/>
          <w:szCs w:val="20"/>
        </w:rPr>
        <w:t xml:space="preserve"> </w:t>
      </w:r>
      <w:r>
        <w:rPr>
          <w:rFonts w:ascii="Arial" w:hAnsi="Arial" w:cs="Arial"/>
          <w:sz w:val="20"/>
          <w:szCs w:val="20"/>
        </w:rPr>
        <w:t>80</w:t>
      </w:r>
      <w:r>
        <w:rPr>
          <w:rFonts w:ascii="Arial" w:hAnsi="Arial" w:cs="Arial"/>
          <w:sz w:val="20"/>
          <w:szCs w:val="20"/>
        </w:rPr>
        <w:t>5</w:t>
      </w:r>
      <w:r>
        <w:rPr>
          <w:rFonts w:ascii="Arial" w:hAnsi="Arial" w:cs="Arial"/>
          <w:sz w:val="20"/>
          <w:szCs w:val="20"/>
        </w:rPr>
        <w:t xml:space="preserve"> shares of the Company's Series A preferred sh</w:t>
      </w:r>
      <w:r>
        <w:rPr>
          <w:rFonts w:ascii="Arial" w:hAnsi="Arial" w:cs="Arial"/>
          <w:sz w:val="20"/>
          <w:szCs w:val="20"/>
        </w:rPr>
        <w:t>ares and</w:t>
      </w:r>
      <w:r>
        <w:rPr>
          <w:rFonts w:ascii="Arial" w:hAnsi="Arial" w:cs="Arial"/>
          <w:sz w:val="20"/>
          <w:szCs w:val="20"/>
        </w:rPr>
        <w:t xml:space="preserve"> </w:t>
      </w:r>
      <w:r>
        <w:rPr>
          <w:rFonts w:ascii="Arial" w:hAnsi="Arial" w:cs="Arial"/>
          <w:sz w:val="20"/>
          <w:szCs w:val="20"/>
        </w:rPr>
        <w:t>1,788,20</w:t>
      </w:r>
      <w:r>
        <w:rPr>
          <w:rFonts w:ascii="Arial" w:hAnsi="Arial" w:cs="Arial"/>
          <w:sz w:val="20"/>
          <w:szCs w:val="20"/>
        </w:rPr>
        <w:t>5</w:t>
      </w:r>
      <w:r>
        <w:rPr>
          <w:rFonts w:ascii="Arial" w:hAnsi="Arial" w:cs="Arial"/>
          <w:sz w:val="20"/>
          <w:szCs w:val="20"/>
        </w:rPr>
        <w:t xml:space="preserve"> common shares as security for the loan. The loan principal and interest were due and payable on</w:t>
      </w:r>
      <w:r>
        <w:rPr>
          <w:rFonts w:ascii="Arial" w:hAnsi="Arial" w:cs="Arial"/>
          <w:sz w:val="20"/>
          <w:szCs w:val="20"/>
        </w:rPr>
        <w:t xml:space="preserve"> </w:t>
      </w:r>
      <w:r>
        <w:rPr>
          <w:rFonts w:ascii="Arial" w:hAnsi="Arial" w:cs="Arial"/>
          <w:sz w:val="20"/>
          <w:szCs w:val="20"/>
        </w:rPr>
        <w:t>September 6, 202</w:t>
      </w:r>
      <w:r>
        <w:rPr>
          <w:rFonts w:ascii="Arial" w:hAnsi="Arial" w:cs="Arial"/>
          <w:sz w:val="20"/>
          <w:szCs w:val="20"/>
        </w:rPr>
        <w:t>6</w:t>
      </w:r>
      <w:r>
        <w:rPr>
          <w:rFonts w:ascii="Arial" w:hAnsi="Arial" w:cs="Arial"/>
          <w:sz w:val="20"/>
          <w:szCs w:val="20"/>
        </w:rPr>
        <w:t>. During the years ended December 31, 2021, 2020 and 2019, the Company recognized an immaterial amount of interest income re</w:t>
      </w:r>
      <w:r>
        <w:rPr>
          <w:rFonts w:ascii="Arial" w:hAnsi="Arial" w:cs="Arial"/>
          <w:sz w:val="20"/>
          <w:szCs w:val="20"/>
        </w:rPr>
        <w:t xml:space="preserve">lating to the loan. At December 31, 2020, the Company had recorded a receivable for accrued interest of </w:t>
      </w:r>
      <w:r>
        <w:rPr>
          <w:rFonts w:ascii="Arial" w:hAnsi="Arial" w:cs="Arial"/>
          <w:sz w:val="20"/>
          <w:szCs w:val="20"/>
        </w:rPr>
        <w:t>$</w:t>
      </w:r>
      <w:r>
        <w:rPr>
          <w:rFonts w:ascii="Arial" w:hAnsi="Arial" w:cs="Arial"/>
          <w:sz w:val="20"/>
          <w:szCs w:val="20"/>
        </w:rPr>
        <w:t>0.</w:t>
      </w:r>
      <w:r>
        <w:rPr>
          <w:rFonts w:ascii="Arial" w:hAnsi="Arial" w:cs="Arial"/>
          <w:sz w:val="20"/>
          <w:szCs w:val="20"/>
        </w:rPr>
        <w:t>2</w:t>
      </w:r>
      <w:r>
        <w:rPr>
          <w:rFonts w:ascii="Arial" w:hAnsi="Arial" w:cs="Arial"/>
          <w:sz w:val="20"/>
          <w:szCs w:val="20"/>
        </w:rPr>
        <w:t xml:space="preserve"> million, which is included in prepaid expenses and other current assets in the consolidated balance sheets. On March 16, 2021, the Company’s Chief </w:t>
      </w:r>
      <w:r>
        <w:rPr>
          <w:rFonts w:ascii="Arial" w:hAnsi="Arial" w:cs="Arial"/>
          <w:sz w:val="20"/>
          <w:szCs w:val="20"/>
        </w:rPr>
        <w:t xml:space="preserve">Executive Officer paid in full the loan outstanding in the amount of </w:t>
      </w:r>
      <w:r>
        <w:rPr>
          <w:rFonts w:ascii="Arial" w:hAnsi="Arial" w:cs="Arial"/>
          <w:sz w:val="20"/>
          <w:szCs w:val="20"/>
        </w:rPr>
        <w:t>$</w:t>
      </w:r>
      <w:r>
        <w:rPr>
          <w:rFonts w:ascii="Arial" w:hAnsi="Arial" w:cs="Arial"/>
          <w:sz w:val="20"/>
          <w:szCs w:val="20"/>
        </w:rPr>
        <w:t>0.</w:t>
      </w:r>
      <w:r>
        <w:rPr>
          <w:rFonts w:ascii="Arial" w:hAnsi="Arial" w:cs="Arial"/>
          <w:sz w:val="20"/>
          <w:szCs w:val="20"/>
        </w:rPr>
        <w:t>8</w:t>
      </w:r>
      <w:r>
        <w:rPr>
          <w:rFonts w:ascii="Arial" w:hAnsi="Arial" w:cs="Arial"/>
          <w:sz w:val="20"/>
          <w:szCs w:val="20"/>
        </w:rPr>
        <w:t xml:space="preserve"> million, plus accrued interest of </w:t>
      </w:r>
      <w:r>
        <w:rPr>
          <w:rFonts w:ascii="Arial" w:hAnsi="Arial" w:cs="Arial"/>
          <w:sz w:val="20"/>
          <w:szCs w:val="20"/>
        </w:rPr>
        <w:t>$</w:t>
      </w:r>
      <w:r>
        <w:rPr>
          <w:rFonts w:ascii="Arial" w:hAnsi="Arial" w:cs="Arial"/>
          <w:sz w:val="20"/>
          <w:szCs w:val="20"/>
        </w:rPr>
        <w:t>0.</w:t>
      </w:r>
      <w:r>
        <w:rPr>
          <w:rFonts w:ascii="Arial" w:hAnsi="Arial" w:cs="Arial"/>
          <w:sz w:val="20"/>
          <w:szCs w:val="20"/>
        </w:rPr>
        <w:t>2</w:t>
      </w:r>
      <w:r>
        <w:rPr>
          <w:rFonts w:ascii="Arial" w:hAnsi="Arial" w:cs="Arial"/>
          <w:sz w:val="20"/>
          <w:szCs w:val="20"/>
        </w:rPr>
        <w:t xml:space="preserve"> million for a total payment of </w:t>
      </w:r>
      <w:r>
        <w:rPr>
          <w:rFonts w:ascii="Arial" w:hAnsi="Arial" w:cs="Arial"/>
          <w:sz w:val="20"/>
          <w:szCs w:val="20"/>
        </w:rPr>
        <w:t>$</w:t>
      </w:r>
      <w:r>
        <w:rPr>
          <w:rFonts w:ascii="Arial" w:hAnsi="Arial" w:cs="Arial"/>
          <w:sz w:val="20"/>
          <w:szCs w:val="20"/>
        </w:rPr>
        <w:t>1.</w:t>
      </w:r>
      <w:r>
        <w:rPr>
          <w:rFonts w:ascii="Arial" w:hAnsi="Arial" w:cs="Arial"/>
          <w:sz w:val="20"/>
          <w:szCs w:val="20"/>
        </w:rPr>
        <w:t>0</w:t>
      </w:r>
      <w:r>
        <w:rPr>
          <w:rFonts w:ascii="Arial" w:hAnsi="Arial" w:cs="Arial"/>
          <w:sz w:val="20"/>
          <w:szCs w:val="20"/>
        </w:rPr>
        <w:t xml:space="preserve"> million</w:t>
      </w:r>
      <w:r>
        <w:rPr>
          <w:rFonts w:ascii="Arial" w:hAnsi="Arial" w:cs="Arial"/>
          <w:sz w:val="20"/>
          <w:szCs w:val="20"/>
        </w:rPr>
        <w:t>.</w:t>
      </w:r>
    </w:p>
    <w:p w:rsidR="00000000" w:rsidRDefault="00010F15">
      <w:pPr>
        <w:pStyle w:val="a3"/>
        <w:spacing w:before="120" w:beforeAutospacing="0" w:after="0" w:afterAutospacing="0"/>
        <w:jc w:val="center"/>
        <w:divId w:val="1218081684"/>
        <w:rPr>
          <w:sz w:val="20"/>
          <w:szCs w:val="20"/>
        </w:rPr>
      </w:pPr>
      <w:r>
        <w:rPr>
          <w:rFonts w:ascii="Arial" w:hAnsi="Arial" w:cs="Arial"/>
          <w:sz w:val="20"/>
          <w:szCs w:val="20"/>
        </w:rPr>
        <w:t>9</w:t>
      </w:r>
      <w:r>
        <w:rPr>
          <w:rFonts w:ascii="Arial" w:hAnsi="Arial" w:cs="Arial"/>
          <w:sz w:val="20"/>
          <w:szCs w:val="20"/>
        </w:rPr>
        <w:t>8</w:t>
      </w:r>
    </w:p>
    <w:p w:rsidR="00000000" w:rsidRDefault="00010F15">
      <w:pPr>
        <w:divId w:val="1218081684"/>
        <w:rPr>
          <w:rFonts w:ascii="Arial" w:eastAsia="Times New Roman" w:hAnsi="Arial" w:cs="Arial"/>
          <w:sz w:val="20"/>
          <w:szCs w:val="20"/>
        </w:rPr>
      </w:pPr>
      <w:r>
        <w:rPr>
          <w:rFonts w:ascii="Arial" w:eastAsia="Times New Roman" w:hAnsi="Arial" w:cs="Arial"/>
          <w:sz w:val="20"/>
          <w:szCs w:val="20"/>
        </w:rPr>
        <w:pict>
          <v:rect id="_x0000_i1123" style="width:0;height:1.5pt" o:hralign="center" o:hrstd="t" o:hr="t" fillcolor="#a0a0a0" stroked="f"/>
        </w:pict>
      </w:r>
    </w:p>
    <w:p w:rsidR="00000000" w:rsidRDefault="00010F15">
      <w:pPr>
        <w:pStyle w:val="a3"/>
        <w:spacing w:before="0" w:beforeAutospacing="0" w:after="0" w:afterAutospacing="0"/>
        <w:divId w:val="1218081684"/>
        <w:rPr>
          <w:sz w:val="20"/>
          <w:szCs w:val="20"/>
        </w:rPr>
      </w:pPr>
      <w:r>
        <w:rPr>
          <w:sz w:val="20"/>
          <w:szCs w:val="20"/>
        </w:rPr>
        <w:t> </w:t>
      </w:r>
    </w:p>
    <w:p w:rsidR="00000000" w:rsidRDefault="00010F15">
      <w:pPr>
        <w:pStyle w:val="a3"/>
        <w:spacing w:before="120" w:beforeAutospacing="0" w:after="0" w:afterAutospacing="0"/>
        <w:ind w:firstLine="539"/>
        <w:divId w:val="1218081684"/>
        <w:rPr>
          <w:sz w:val="20"/>
          <w:szCs w:val="20"/>
        </w:rPr>
      </w:pPr>
      <w:r>
        <w:rPr>
          <w:rFonts w:ascii="Arial" w:hAnsi="Arial" w:cs="Arial"/>
          <w:sz w:val="20"/>
          <w:szCs w:val="20"/>
        </w:rPr>
        <w:t>The wife of the Company’s Chief Executive Officer serves</w:t>
      </w:r>
      <w:r>
        <w:rPr>
          <w:rFonts w:ascii="Arial" w:hAnsi="Arial" w:cs="Arial"/>
          <w:sz w:val="20"/>
          <w:szCs w:val="20"/>
        </w:rPr>
        <w:t xml:space="preserve"> as a vice president for the Company. She received aggregate compensation, inclusive of her base salary and bonus of </w:t>
      </w:r>
      <w:r>
        <w:rPr>
          <w:rFonts w:ascii="Arial" w:hAnsi="Arial" w:cs="Arial"/>
          <w:sz w:val="20"/>
          <w:szCs w:val="20"/>
        </w:rPr>
        <w:t>$</w:t>
      </w:r>
      <w:r>
        <w:rPr>
          <w:rFonts w:ascii="Arial" w:hAnsi="Arial" w:cs="Arial"/>
          <w:sz w:val="20"/>
          <w:szCs w:val="20"/>
        </w:rPr>
        <w:t>0.</w:t>
      </w:r>
      <w:r>
        <w:rPr>
          <w:rFonts w:ascii="Arial" w:hAnsi="Arial" w:cs="Arial"/>
          <w:sz w:val="20"/>
          <w:szCs w:val="20"/>
        </w:rPr>
        <w:t>2</w:t>
      </w:r>
      <w:r>
        <w:rPr>
          <w:rFonts w:ascii="Arial" w:hAnsi="Arial" w:cs="Arial"/>
          <w:sz w:val="20"/>
          <w:szCs w:val="20"/>
        </w:rPr>
        <w:t xml:space="preserve"> million for her employment with the Company for each of the years ended December 31, 2021, 2020 and 2019. In addition, the son of a me</w:t>
      </w:r>
      <w:r>
        <w:rPr>
          <w:rFonts w:ascii="Arial" w:hAnsi="Arial" w:cs="Arial"/>
          <w:sz w:val="20"/>
          <w:szCs w:val="20"/>
        </w:rPr>
        <w:t xml:space="preserve">mber of the Company’s board of directors serves as a vice president of the Company and he received aggregate compensation, inclusive of his base salary and bonus, of </w:t>
      </w:r>
      <w:r>
        <w:rPr>
          <w:rFonts w:ascii="Arial" w:hAnsi="Arial" w:cs="Arial"/>
          <w:sz w:val="20"/>
          <w:szCs w:val="20"/>
        </w:rPr>
        <w:t>$</w:t>
      </w:r>
      <w:r>
        <w:rPr>
          <w:rFonts w:ascii="Arial" w:hAnsi="Arial" w:cs="Arial"/>
          <w:sz w:val="20"/>
          <w:szCs w:val="20"/>
        </w:rPr>
        <w:t>0.</w:t>
      </w:r>
      <w:r>
        <w:rPr>
          <w:rFonts w:ascii="Arial" w:hAnsi="Arial" w:cs="Arial"/>
          <w:sz w:val="20"/>
          <w:szCs w:val="20"/>
        </w:rPr>
        <w:t>3</w:t>
      </w:r>
      <w:r>
        <w:rPr>
          <w:rFonts w:ascii="Arial" w:hAnsi="Arial" w:cs="Arial"/>
          <w:sz w:val="20"/>
          <w:szCs w:val="20"/>
        </w:rPr>
        <w:t xml:space="preserve"> million, </w:t>
      </w:r>
      <w:r>
        <w:rPr>
          <w:rFonts w:ascii="Arial" w:hAnsi="Arial" w:cs="Arial"/>
          <w:sz w:val="20"/>
          <w:szCs w:val="20"/>
        </w:rPr>
        <w:t>$</w:t>
      </w:r>
      <w:r>
        <w:rPr>
          <w:rFonts w:ascii="Arial" w:hAnsi="Arial" w:cs="Arial"/>
          <w:sz w:val="20"/>
          <w:szCs w:val="20"/>
        </w:rPr>
        <w:t>0.</w:t>
      </w:r>
      <w:r>
        <w:rPr>
          <w:rFonts w:ascii="Arial" w:hAnsi="Arial" w:cs="Arial"/>
          <w:sz w:val="20"/>
          <w:szCs w:val="20"/>
        </w:rPr>
        <w:t>3</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0.</w:t>
      </w:r>
      <w:r>
        <w:rPr>
          <w:rFonts w:ascii="Arial" w:hAnsi="Arial" w:cs="Arial"/>
          <w:sz w:val="20"/>
          <w:szCs w:val="20"/>
        </w:rPr>
        <w:t>2</w:t>
      </w:r>
      <w:r>
        <w:rPr>
          <w:rFonts w:ascii="Arial" w:hAnsi="Arial" w:cs="Arial"/>
          <w:sz w:val="20"/>
          <w:szCs w:val="20"/>
        </w:rPr>
        <w:t xml:space="preserve"> million for his employment with the Company for the ye</w:t>
      </w:r>
      <w:r>
        <w:rPr>
          <w:rFonts w:ascii="Arial" w:hAnsi="Arial" w:cs="Arial"/>
          <w:sz w:val="20"/>
          <w:szCs w:val="20"/>
        </w:rPr>
        <w:t>ars ended December 31, 2021, 2020 and 2019, respectively</w:t>
      </w:r>
      <w:r>
        <w:rPr>
          <w:rFonts w:ascii="Arial" w:hAnsi="Arial" w:cs="Arial"/>
          <w:sz w:val="20"/>
          <w:szCs w:val="20"/>
        </w:rPr>
        <w:t>.</w:t>
      </w:r>
    </w:p>
    <w:p w:rsidR="00000000" w:rsidRDefault="00010F15">
      <w:pPr>
        <w:pStyle w:val="a3"/>
        <w:spacing w:before="0" w:beforeAutospacing="0" w:after="0" w:afterAutospacing="0"/>
        <w:divId w:val="1218081684"/>
        <w:rPr>
          <w:sz w:val="20"/>
          <w:szCs w:val="20"/>
        </w:rPr>
      </w:pPr>
      <w:r>
        <w:rPr>
          <w:sz w:val="20"/>
          <w:szCs w:val="20"/>
        </w:rPr>
        <w:t> </w:t>
      </w:r>
    </w:p>
    <w:p w:rsidR="00000000" w:rsidRDefault="00010F15">
      <w:pPr>
        <w:pStyle w:val="a3"/>
        <w:spacing w:before="120" w:beforeAutospacing="0" w:after="0" w:afterAutospacing="0"/>
        <w:jc w:val="center"/>
        <w:divId w:val="1218081684"/>
        <w:rPr>
          <w:sz w:val="20"/>
          <w:szCs w:val="20"/>
        </w:rPr>
      </w:pPr>
      <w:r>
        <w:rPr>
          <w:rFonts w:ascii="Arial" w:hAnsi="Arial" w:cs="Arial"/>
          <w:sz w:val="20"/>
          <w:szCs w:val="20"/>
        </w:rPr>
        <w:t>9</w:t>
      </w:r>
      <w:r>
        <w:rPr>
          <w:rFonts w:ascii="Arial" w:hAnsi="Arial" w:cs="Arial"/>
          <w:sz w:val="20"/>
          <w:szCs w:val="20"/>
        </w:rPr>
        <w:t>9</w:t>
      </w:r>
    </w:p>
    <w:p w:rsidR="00000000" w:rsidRDefault="00010F15">
      <w:pPr>
        <w:divId w:val="1218081684"/>
        <w:rPr>
          <w:rFonts w:ascii="Arial" w:eastAsia="Times New Roman" w:hAnsi="Arial" w:cs="Arial"/>
          <w:sz w:val="20"/>
          <w:szCs w:val="20"/>
        </w:rPr>
      </w:pPr>
      <w:r>
        <w:rPr>
          <w:rFonts w:ascii="Arial" w:eastAsia="Times New Roman" w:hAnsi="Arial" w:cs="Arial"/>
          <w:sz w:val="20"/>
          <w:szCs w:val="20"/>
        </w:rPr>
        <w:pict>
          <v:rect id="_x0000_i1124" style="width:0;height:1.5pt" o:hralign="center" o:hrstd="t" o:hr="t" fillcolor="#a0a0a0" stroked="f"/>
        </w:pict>
      </w:r>
    </w:p>
    <w:p w:rsidR="00000000" w:rsidRDefault="00010F15">
      <w:pPr>
        <w:pStyle w:val="a3"/>
        <w:spacing w:before="0" w:beforeAutospacing="0" w:after="0" w:afterAutospacing="0"/>
        <w:divId w:val="1218081684"/>
        <w:rPr>
          <w:sz w:val="20"/>
          <w:szCs w:val="20"/>
        </w:rPr>
      </w:pPr>
      <w:r>
        <w:rPr>
          <w:sz w:val="20"/>
          <w:szCs w:val="20"/>
        </w:rPr>
        <w:t> </w:t>
      </w:r>
    </w:p>
    <w:p w:rsidR="00000000" w:rsidRDefault="00010F15">
      <w:pPr>
        <w:pStyle w:val="a3"/>
        <w:spacing w:before="120" w:beforeAutospacing="0" w:after="0" w:afterAutospacing="0"/>
        <w:ind w:firstLine="539"/>
        <w:rPr>
          <w:sz w:val="20"/>
          <w:szCs w:val="20"/>
        </w:rPr>
      </w:pPr>
      <w:r>
        <w:rPr>
          <w:rFonts w:ascii="Arial" w:hAnsi="Arial" w:cs="Arial"/>
          <w:sz w:val="20"/>
          <w:szCs w:val="20"/>
        </w:rPr>
        <w:t> </w:t>
      </w:r>
    </w:p>
    <w:p w:rsidR="00000000" w:rsidRDefault="00010F15">
      <w:pPr>
        <w:pStyle w:val="a3"/>
        <w:spacing w:before="240" w:beforeAutospacing="0" w:after="120" w:afterAutospacing="0"/>
        <w:rPr>
          <w:sz w:val="20"/>
          <w:szCs w:val="20"/>
        </w:rPr>
      </w:pPr>
      <w:hyperlink w:anchor="item_9" w:history="1">
        <w:r>
          <w:rPr>
            <w:rStyle w:val="a4"/>
            <w:rFonts w:ascii="Arial" w:hAnsi="Arial" w:cs="Arial"/>
            <w:b/>
            <w:bCs/>
            <w:sz w:val="20"/>
            <w:szCs w:val="20"/>
          </w:rPr>
          <w:t>Item 9.</w:t>
        </w:r>
        <w:r>
          <w:rPr>
            <w:rStyle w:val="a4"/>
            <w:rFonts w:ascii="Arial" w:hAnsi="Arial" w:cs="Arial"/>
            <w:b/>
            <w:bCs/>
            <w:sz w:val="20"/>
            <w:szCs w:val="20"/>
          </w:rPr>
          <w:t xml:space="preserve"> </w:t>
        </w:r>
        <w:r>
          <w:rPr>
            <w:rStyle w:val="a4"/>
            <w:rFonts w:ascii="Arial" w:hAnsi="Arial" w:cs="Arial"/>
            <w:b/>
            <w:bCs/>
            <w:sz w:val="20"/>
            <w:szCs w:val="20"/>
          </w:rPr>
          <w:t>Changes in and Disagreements with Accountants On Accounting and Financial Disclosur</w:t>
        </w:r>
        <w:r>
          <w:rPr>
            <w:rStyle w:val="a4"/>
            <w:rFonts w:ascii="Arial" w:hAnsi="Arial" w:cs="Arial"/>
            <w:b/>
            <w:bCs/>
            <w:sz w:val="20"/>
            <w:szCs w:val="20"/>
          </w:rPr>
          <w:t>e</w:t>
        </w:r>
      </w:hyperlink>
    </w:p>
    <w:p w:rsidR="00000000" w:rsidRDefault="00010F15">
      <w:pPr>
        <w:pStyle w:val="a3"/>
        <w:spacing w:before="120" w:beforeAutospacing="0" w:after="120" w:afterAutospacing="0"/>
        <w:ind w:firstLine="539"/>
        <w:rPr>
          <w:sz w:val="20"/>
          <w:szCs w:val="20"/>
        </w:rPr>
      </w:pPr>
      <w:r>
        <w:rPr>
          <w:rFonts w:ascii="Arial" w:hAnsi="Arial" w:cs="Arial"/>
          <w:sz w:val="20"/>
          <w:szCs w:val="20"/>
        </w:rPr>
        <w:t>None</w:t>
      </w:r>
      <w:r>
        <w:rPr>
          <w:rFonts w:ascii="Arial" w:hAnsi="Arial" w:cs="Arial"/>
          <w:sz w:val="20"/>
          <w:szCs w:val="20"/>
        </w:rPr>
        <w:t>.</w:t>
      </w:r>
    </w:p>
    <w:p w:rsidR="00000000" w:rsidRDefault="00010F15">
      <w:pPr>
        <w:pStyle w:val="a3"/>
        <w:spacing w:before="240" w:beforeAutospacing="0" w:after="120" w:afterAutospacing="0"/>
        <w:rPr>
          <w:sz w:val="20"/>
          <w:szCs w:val="20"/>
        </w:rPr>
      </w:pPr>
      <w:hyperlink w:anchor="item_9a" w:history="1">
        <w:r>
          <w:rPr>
            <w:rStyle w:val="a4"/>
            <w:rFonts w:ascii="Arial" w:hAnsi="Arial" w:cs="Arial"/>
            <w:b/>
            <w:bCs/>
            <w:sz w:val="20"/>
            <w:szCs w:val="20"/>
          </w:rPr>
          <w:t>Item 9A. Co</w:t>
        </w:r>
        <w:r>
          <w:rPr>
            <w:rStyle w:val="a4"/>
            <w:rFonts w:ascii="Arial" w:hAnsi="Arial" w:cs="Arial"/>
            <w:b/>
            <w:bCs/>
            <w:sz w:val="20"/>
            <w:szCs w:val="20"/>
          </w:rPr>
          <w:t>n</w:t>
        </w:r>
        <w:r>
          <w:rPr>
            <w:rStyle w:val="a4"/>
            <w:rFonts w:ascii="Arial" w:hAnsi="Arial" w:cs="Arial"/>
            <w:b/>
            <w:bCs/>
            <w:sz w:val="20"/>
            <w:szCs w:val="20"/>
          </w:rPr>
          <w:t>trols and Procedure</w:t>
        </w:r>
        <w:r>
          <w:rPr>
            <w:rStyle w:val="a4"/>
            <w:rFonts w:ascii="Arial" w:hAnsi="Arial" w:cs="Arial"/>
            <w:b/>
            <w:bCs/>
            <w:sz w:val="20"/>
            <w:szCs w:val="20"/>
          </w:rPr>
          <w:t>s</w:t>
        </w:r>
      </w:hyperlink>
    </w:p>
    <w:p w:rsidR="00000000" w:rsidRDefault="00010F15">
      <w:pPr>
        <w:pStyle w:val="a3"/>
        <w:spacing w:before="240" w:beforeAutospacing="0" w:after="0" w:afterAutospacing="0"/>
        <w:rPr>
          <w:sz w:val="20"/>
          <w:szCs w:val="20"/>
        </w:rPr>
      </w:pPr>
      <w:r>
        <w:rPr>
          <w:rFonts w:ascii="Arial" w:hAnsi="Arial" w:cs="Arial"/>
          <w:b/>
          <w:bCs/>
          <w:i/>
          <w:iCs/>
          <w:sz w:val="20"/>
          <w:szCs w:val="20"/>
        </w:rPr>
        <w:t>Evaluation of Disclosure Controls and Procedure</w:t>
      </w:r>
      <w:r>
        <w:rPr>
          <w:rFonts w:ascii="Arial" w:hAnsi="Arial" w:cs="Arial"/>
          <w:b/>
          <w:bCs/>
          <w:i/>
          <w:iCs/>
          <w:sz w:val="20"/>
          <w:szCs w:val="20"/>
        </w:rPr>
        <w:t>s</w:t>
      </w:r>
    </w:p>
    <w:p w:rsidR="00000000" w:rsidRDefault="00010F15">
      <w:pPr>
        <w:pStyle w:val="a3"/>
        <w:spacing w:before="120" w:beforeAutospacing="0" w:after="0" w:afterAutospacing="0"/>
        <w:ind w:firstLine="539"/>
        <w:rPr>
          <w:sz w:val="20"/>
          <w:szCs w:val="20"/>
        </w:rPr>
      </w:pPr>
      <w:r>
        <w:rPr>
          <w:rFonts w:ascii="Arial" w:hAnsi="Arial" w:cs="Arial"/>
          <w:sz w:val="20"/>
          <w:szCs w:val="20"/>
        </w:rPr>
        <w:t>We maintain disclosure controls and procedures (as defined in Rule 13a-15(e) of the Exchange Act) that are designed to ensure that information r</w:t>
      </w:r>
      <w:r>
        <w:rPr>
          <w:rFonts w:ascii="Arial" w:hAnsi="Arial" w:cs="Arial"/>
          <w:sz w:val="20"/>
          <w:szCs w:val="20"/>
        </w:rPr>
        <w:t>equired to be disclosed in our reports under the Exchange Act is recorded, processed, summarized and reported within the time periods specified in the SEC's rules and forms and that such information is accumulated and communicated to our management, includ</w:t>
      </w:r>
      <w:r>
        <w:rPr>
          <w:rFonts w:ascii="Arial" w:hAnsi="Arial" w:cs="Arial"/>
          <w:sz w:val="20"/>
          <w:szCs w:val="20"/>
        </w:rPr>
        <w:t>ing our chief executive officer and chief financial officer, as appropriate, to allow timely decisions regarding required disclosures. Any controls and procedures, no matter how well designed and operated, can provide only reasonable assurance of achieving</w:t>
      </w:r>
      <w:r>
        <w:rPr>
          <w:rFonts w:ascii="Arial" w:hAnsi="Arial" w:cs="Arial"/>
          <w:sz w:val="20"/>
          <w:szCs w:val="20"/>
        </w:rPr>
        <w:t xml:space="preserve"> the desired control objectives</w:t>
      </w:r>
      <w:r>
        <w:rPr>
          <w:rFonts w:ascii="Arial"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Our management, with the participation of our Chief Executive Officer and Chief Financial Officer, evaluated, as of the end of the period covered by this Annual Report on Form 10-K, the effectiveness of our disclosure contr</w:t>
      </w:r>
      <w:r>
        <w:rPr>
          <w:rFonts w:ascii="Arial" w:hAnsi="Arial" w:cs="Arial"/>
          <w:sz w:val="20"/>
          <w:szCs w:val="20"/>
        </w:rPr>
        <w:t>ols and procedures (as defined in Rules 13a-15(e) and 15d-15(e) under the Securities Exchange Act of 1934, as amended, or the Exchange Act). Based on that evaluation, and as a result of the material weaknesses in internal control over financial reporting d</w:t>
      </w:r>
      <w:r>
        <w:rPr>
          <w:rFonts w:ascii="Arial" w:hAnsi="Arial" w:cs="Arial"/>
          <w:sz w:val="20"/>
          <w:szCs w:val="20"/>
        </w:rPr>
        <w:t>escribed below, our Chief Executive Officer and Chief Financial Officer concluded that, as of December 31, 2021, our disclosure controls and procedures were not effective at the reasonable assurance level. In light of this fact, our management has performe</w:t>
      </w:r>
      <w:r>
        <w:rPr>
          <w:rFonts w:ascii="Arial" w:hAnsi="Arial" w:cs="Arial"/>
          <w:sz w:val="20"/>
          <w:szCs w:val="20"/>
        </w:rPr>
        <w:t>d additional analyses, reconciliations, and other post-closing procedures and has concluded that, notwithstanding the material weaknesses in our internal control over financial reporting, the consolidated financial statements for the periods covered by and</w:t>
      </w:r>
      <w:r>
        <w:rPr>
          <w:rFonts w:ascii="Arial" w:hAnsi="Arial" w:cs="Arial"/>
          <w:sz w:val="20"/>
          <w:szCs w:val="20"/>
        </w:rPr>
        <w:t xml:space="preserve"> included in this Annual Report on Form 10-K fairly state, in all material respects, our financial position, results of operations and cash flows for the periods presented in conformity with GAAP</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Management’s Report on Internal Control over Financial Repo</w:t>
      </w:r>
      <w:r>
        <w:rPr>
          <w:rFonts w:ascii="Arial" w:hAnsi="Arial" w:cs="Arial"/>
          <w:b/>
          <w:bCs/>
          <w:i/>
          <w:iCs/>
          <w:sz w:val="20"/>
          <w:szCs w:val="20"/>
        </w:rPr>
        <w:t>rtin</w:t>
      </w:r>
      <w:r>
        <w:rPr>
          <w:rFonts w:ascii="Arial" w:hAnsi="Arial" w:cs="Arial"/>
          <w:b/>
          <w:bCs/>
          <w:i/>
          <w:iCs/>
          <w:sz w:val="20"/>
          <w:szCs w:val="20"/>
        </w:rPr>
        <w:t>g</w:t>
      </w:r>
    </w:p>
    <w:p w:rsidR="00000000" w:rsidRDefault="00010F15">
      <w:pPr>
        <w:pStyle w:val="a3"/>
        <w:spacing w:before="120" w:beforeAutospacing="0" w:after="0" w:afterAutospacing="0"/>
        <w:ind w:firstLine="539"/>
        <w:rPr>
          <w:sz w:val="20"/>
          <w:szCs w:val="20"/>
        </w:rPr>
      </w:pPr>
      <w:r>
        <w:rPr>
          <w:rFonts w:ascii="Arial" w:hAnsi="Arial" w:cs="Arial"/>
          <w:sz w:val="20"/>
          <w:szCs w:val="20"/>
        </w:rPr>
        <w:t>This Annual Report on Form 10-K does not include a report of management’s assessment regarding internal control over financial reporting or an attestation report of our registered public accounting firm due to a transition period established by SEC r</w:t>
      </w:r>
      <w:r>
        <w:rPr>
          <w:rFonts w:ascii="Arial" w:hAnsi="Arial" w:cs="Arial"/>
          <w:sz w:val="20"/>
          <w:szCs w:val="20"/>
        </w:rPr>
        <w:t>ules for newly public companies</w:t>
      </w:r>
      <w:r>
        <w:rPr>
          <w:rFonts w:ascii="Arial" w:hAnsi="Arial" w:cs="Arial"/>
          <w:sz w:val="20"/>
          <w:szCs w:val="20"/>
        </w:rPr>
        <w:t>.</w:t>
      </w:r>
    </w:p>
    <w:p w:rsidR="00000000" w:rsidRDefault="00010F15">
      <w:pPr>
        <w:pStyle w:val="a3"/>
        <w:spacing w:before="240" w:beforeAutospacing="0" w:after="0" w:afterAutospacing="0"/>
        <w:rPr>
          <w:sz w:val="20"/>
          <w:szCs w:val="20"/>
        </w:rPr>
      </w:pPr>
      <w:r>
        <w:rPr>
          <w:rFonts w:ascii="Arial" w:hAnsi="Arial" w:cs="Arial"/>
          <w:b/>
          <w:bCs/>
          <w:i/>
          <w:iCs/>
          <w:sz w:val="20"/>
          <w:szCs w:val="20"/>
        </w:rPr>
        <w:t>Material Weaknesses in Internal Control over Financial Reportin</w:t>
      </w:r>
      <w:r>
        <w:rPr>
          <w:rFonts w:ascii="Arial" w:hAnsi="Arial" w:cs="Arial"/>
          <w:b/>
          <w:bCs/>
          <w:i/>
          <w:iCs/>
          <w:sz w:val="20"/>
          <w:szCs w:val="20"/>
        </w:rPr>
        <w:t>g</w:t>
      </w:r>
    </w:p>
    <w:p w:rsidR="00000000" w:rsidRDefault="00010F15">
      <w:pPr>
        <w:pStyle w:val="a3"/>
        <w:spacing w:before="120" w:beforeAutospacing="0" w:after="0" w:afterAutospacing="0"/>
        <w:ind w:firstLine="539"/>
        <w:rPr>
          <w:sz w:val="20"/>
          <w:szCs w:val="20"/>
        </w:rPr>
      </w:pPr>
      <w:r>
        <w:rPr>
          <w:rFonts w:ascii="Arial" w:hAnsi="Arial" w:cs="Arial"/>
          <w:sz w:val="20"/>
          <w:szCs w:val="20"/>
        </w:rPr>
        <w:t xml:space="preserve">A material weakness is a deficiency, or a combination of deficiencies, in internal control over financial reporting such that there is a reasonable possibility that a material misstatement of our financial statements will not be prevented or detected on a </w:t>
      </w:r>
      <w:r>
        <w:rPr>
          <w:rFonts w:ascii="Arial" w:hAnsi="Arial" w:cs="Arial"/>
          <w:sz w:val="20"/>
          <w:szCs w:val="20"/>
        </w:rPr>
        <w:t>timely basis. As of the end of the period covered by this report, our material weaknesses are as follows</w:t>
      </w:r>
      <w:r>
        <w:rPr>
          <w:rFonts w:ascii="Arial" w:hAnsi="Arial" w:cs="Arial"/>
          <w:sz w:val="20"/>
          <w:szCs w:val="20"/>
        </w:rPr>
        <w:t>:</w:t>
      </w:r>
    </w:p>
    <w:p w:rsidR="00000000" w:rsidRDefault="00010F15">
      <w:pPr>
        <w:divId w:val="1734234101"/>
        <w:rPr>
          <w:rFonts w:eastAsia="Times New Roman"/>
        </w:rPr>
      </w:pPr>
      <w:r>
        <w:rPr>
          <w:rFonts w:eastAsia="Times New Roman"/>
          <w:sz w:val="20"/>
          <w:szCs w:val="20"/>
        </w:rPr>
        <w:t>•</w:t>
      </w:r>
    </w:p>
    <w:p w:rsidR="00000000" w:rsidRDefault="00010F15">
      <w:pPr>
        <w:divId w:val="230115622"/>
        <w:rPr>
          <w:rFonts w:eastAsia="Times New Roman"/>
        </w:rPr>
      </w:pPr>
      <w:r>
        <w:rPr>
          <w:rFonts w:ascii="Arial" w:eastAsia="Times New Roman" w:hAnsi="Arial" w:cs="Arial"/>
          <w:sz w:val="20"/>
          <w:szCs w:val="20"/>
        </w:rPr>
        <w:t>We lacked a sufficient number of trained professionals with an appropriate level of accounting knowledge, training and experience to appropriately a</w:t>
      </w:r>
      <w:r>
        <w:rPr>
          <w:rFonts w:ascii="Arial" w:eastAsia="Times New Roman" w:hAnsi="Arial" w:cs="Arial"/>
          <w:sz w:val="20"/>
          <w:szCs w:val="20"/>
        </w:rPr>
        <w:t>nalyze, record and disclose accounting matters, including accounting for capitalized internal-use software development costs, identification of reporting units, translation of foreign currency in consolidation, accounting for deferred compensation, calcula</w:t>
      </w:r>
      <w:r>
        <w:rPr>
          <w:rFonts w:ascii="Arial" w:eastAsia="Times New Roman" w:hAnsi="Arial" w:cs="Arial"/>
          <w:sz w:val="20"/>
          <w:szCs w:val="20"/>
        </w:rPr>
        <w:t>tion of earnings per share and classification of accounts in the financial statements. Additionally, we did not design and maintain effective controls over verifying the appropriate review and approval of journal entries.</w:t>
      </w:r>
      <w:r>
        <w:rPr>
          <w:rFonts w:ascii="Arial" w:eastAsia="Times New Roman" w:hAnsi="Arial" w:cs="Arial"/>
          <w:sz w:val="20"/>
          <w:szCs w:val="20"/>
        </w:rPr>
        <w:t xml:space="preserve"> </w:t>
      </w:r>
    </w:p>
    <w:p w:rsidR="00000000" w:rsidRDefault="00010F15">
      <w:pPr>
        <w:divId w:val="626737662"/>
        <w:rPr>
          <w:rFonts w:eastAsia="Times New Roman"/>
        </w:rPr>
      </w:pPr>
      <w:r>
        <w:rPr>
          <w:rFonts w:eastAsia="Times New Roman"/>
          <w:sz w:val="20"/>
          <w:szCs w:val="20"/>
        </w:rPr>
        <w:t>•</w:t>
      </w:r>
    </w:p>
    <w:p w:rsidR="00000000" w:rsidRDefault="00010F15">
      <w:pPr>
        <w:divId w:val="151071915"/>
        <w:rPr>
          <w:rFonts w:eastAsia="Times New Roman"/>
        </w:rPr>
      </w:pPr>
      <w:r>
        <w:rPr>
          <w:rFonts w:ascii="Arial" w:eastAsia="Times New Roman" w:hAnsi="Arial" w:cs="Arial"/>
          <w:sz w:val="20"/>
          <w:szCs w:val="20"/>
        </w:rPr>
        <w:t xml:space="preserve">We did not design and maintain </w:t>
      </w:r>
      <w:r>
        <w:rPr>
          <w:rFonts w:ascii="Arial" w:eastAsia="Times New Roman" w:hAnsi="Arial" w:cs="Arial"/>
          <w:sz w:val="20"/>
          <w:szCs w:val="20"/>
        </w:rPr>
        <w:t>effective controls relevant to the preparation of our financial statements with respect to certain IT general controls for information systems. Specifically, we did not design and maintain (1) program change management controls to ensure that IT program an</w:t>
      </w:r>
      <w:r>
        <w:rPr>
          <w:rFonts w:ascii="Arial" w:eastAsia="Times New Roman" w:hAnsi="Arial" w:cs="Arial"/>
          <w:sz w:val="20"/>
          <w:szCs w:val="20"/>
        </w:rPr>
        <w:t xml:space="preserve">d data changes affecting certain IT applications and underlying accounting records are identified, tested, authorized and implemented appropriately; and (2) user access controls to ensure appropriate segregation of duties and that adequately restrict user </w:t>
      </w:r>
      <w:r>
        <w:rPr>
          <w:rFonts w:ascii="Arial" w:eastAsia="Times New Roman" w:hAnsi="Arial" w:cs="Arial"/>
          <w:sz w:val="20"/>
          <w:szCs w:val="20"/>
        </w:rPr>
        <w:t>and privileged access to financial applications, programs and data to appropriate company personnel</w:t>
      </w:r>
      <w:r>
        <w:rPr>
          <w:rFonts w:ascii="Arial" w:eastAsia="Times New Roman" w:hAnsi="Arial" w:cs="Arial"/>
          <w:sz w:val="20"/>
          <w:szCs w:val="20"/>
        </w:rPr>
        <w:t>.</w:t>
      </w:r>
    </w:p>
    <w:p w:rsidR="00000000" w:rsidRDefault="00010F15">
      <w:pPr>
        <w:pStyle w:val="a3"/>
        <w:spacing w:before="120" w:beforeAutospacing="0" w:after="0" w:afterAutospacing="0"/>
        <w:ind w:firstLine="539"/>
        <w:rPr>
          <w:sz w:val="20"/>
          <w:szCs w:val="20"/>
        </w:rPr>
      </w:pPr>
      <w:r>
        <w:rPr>
          <w:rFonts w:ascii="Arial" w:hAnsi="Arial" w:cs="Arial"/>
          <w:sz w:val="20"/>
          <w:szCs w:val="20"/>
        </w:rPr>
        <w:t>These material weaknesses resulted in misstatements related to capitalized internal-use software development costs, accumulated other comprehensive income,</w:t>
      </w:r>
      <w:r>
        <w:rPr>
          <w:rFonts w:ascii="Arial" w:hAnsi="Arial" w:cs="Arial"/>
          <w:sz w:val="20"/>
          <w:szCs w:val="20"/>
        </w:rPr>
        <w:t xml:space="preserve"> cost of revenue, sales and marketing expenses, research and development expenses, general and administrative expenses, income tax expense, the disclosure of deferred compensation, the classification of revenue, sales and marketing expenses, research and d</w:t>
      </w:r>
      <w:r>
        <w:rPr>
          <w:rFonts w:ascii="Arial" w:hAnsi="Arial" w:cs="Arial"/>
          <w:sz w:val="20"/>
          <w:szCs w:val="20"/>
        </w:rPr>
        <w:t>evelopment expenses and general and administrative expenses, the calculation of earnings per share and the disclosure of revenue by geography as of and for the year ended December 31, 2019, which resulted in the restatement of the 2019 consolidated financi</w:t>
      </w:r>
      <w:r>
        <w:rPr>
          <w:rFonts w:ascii="Arial" w:hAnsi="Arial" w:cs="Arial"/>
          <w:sz w:val="20"/>
          <w:szCs w:val="20"/>
        </w:rPr>
        <w:t>al statements and a classification adjustment that was recorded to revenue and sales and marketing expenses in the 2020 consolidated financial statements. Additionally, these material weaknesses could result in a misstatement of substantiall</w:t>
      </w:r>
      <w:r>
        <w:rPr>
          <w:rFonts w:ascii="Arial" w:hAnsi="Arial" w:cs="Arial"/>
          <w:sz w:val="20"/>
          <w:szCs w:val="20"/>
        </w:rPr>
        <w:t>y</w:t>
      </w:r>
      <w:r>
        <w:rPr>
          <w:rFonts w:ascii="Arial" w:hAnsi="Arial" w:cs="Arial"/>
          <w:sz w:val="20"/>
          <w:szCs w:val="20"/>
        </w:rPr>
        <w:t xml:space="preserve"> </w:t>
      </w:r>
    </w:p>
    <w:p w:rsidR="00000000" w:rsidRDefault="00010F15">
      <w:pPr>
        <w:pStyle w:val="a3"/>
        <w:spacing w:before="120" w:beforeAutospacing="0" w:after="0" w:afterAutospacing="0"/>
        <w:jc w:val="center"/>
        <w:rPr>
          <w:sz w:val="20"/>
          <w:szCs w:val="20"/>
        </w:rPr>
      </w:pPr>
      <w:r>
        <w:rPr>
          <w:rFonts w:ascii="Arial" w:hAnsi="Arial" w:cs="Arial"/>
          <w:sz w:val="20"/>
          <w:szCs w:val="20"/>
        </w:rPr>
        <w:t>10</w:t>
      </w:r>
      <w:r>
        <w:rPr>
          <w:rFonts w:ascii="Arial" w:hAnsi="Arial" w:cs="Arial"/>
          <w:sz w:val="20"/>
          <w:szCs w:val="20"/>
        </w:rPr>
        <w:t>0</w:t>
      </w:r>
    </w:p>
    <w:p w:rsidR="00000000" w:rsidRDefault="00010F15">
      <w:pPr>
        <w:rPr>
          <w:rFonts w:eastAsia="Times New Roman"/>
        </w:rPr>
      </w:pPr>
      <w:r>
        <w:rPr>
          <w:rFonts w:eastAsia="Times New Roman"/>
        </w:rPr>
        <w:pict>
          <v:rect id="_x0000_i1125"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120" w:beforeAutospacing="0" w:after="0" w:afterAutospacing="0"/>
        <w:rPr>
          <w:sz w:val="20"/>
          <w:szCs w:val="20"/>
        </w:rPr>
      </w:pPr>
      <w:r>
        <w:rPr>
          <w:rFonts w:ascii="Arial" w:hAnsi="Arial" w:cs="Arial"/>
          <w:sz w:val="20"/>
          <w:szCs w:val="20"/>
        </w:rPr>
        <w:t>all of our accounts or disclosures that would result in a material misstatement to the annual or interim consolidated financial statements that would not be prevented or detected</w:t>
      </w:r>
      <w:r>
        <w:rPr>
          <w:rFonts w:ascii="Arial" w:hAnsi="Arial" w:cs="Arial"/>
          <w:sz w:val="20"/>
          <w:szCs w:val="20"/>
        </w:rPr>
        <w:t>.</w:t>
      </w:r>
    </w:p>
    <w:p w:rsidR="00000000" w:rsidRDefault="00010F15">
      <w:pPr>
        <w:pStyle w:val="a3"/>
        <w:spacing w:before="240" w:beforeAutospacing="0" w:after="0" w:afterAutospacing="0"/>
        <w:jc w:val="both"/>
        <w:rPr>
          <w:sz w:val="20"/>
          <w:szCs w:val="20"/>
        </w:rPr>
      </w:pPr>
      <w:r>
        <w:rPr>
          <w:rFonts w:ascii="Arial" w:hAnsi="Arial" w:cs="Arial"/>
          <w:b/>
          <w:bCs/>
          <w:i/>
          <w:iCs/>
          <w:sz w:val="20"/>
          <w:szCs w:val="20"/>
        </w:rPr>
        <w:t>Remediation Pla</w:t>
      </w:r>
      <w:r>
        <w:rPr>
          <w:rFonts w:ascii="Arial" w:hAnsi="Arial" w:cs="Arial"/>
          <w:b/>
          <w:bCs/>
          <w:i/>
          <w:iCs/>
          <w:sz w:val="20"/>
          <w:szCs w:val="20"/>
        </w:rPr>
        <w:t>n</w:t>
      </w:r>
    </w:p>
    <w:p w:rsidR="00000000" w:rsidRDefault="00010F15">
      <w:pPr>
        <w:pStyle w:val="a3"/>
        <w:spacing w:before="120" w:beforeAutospacing="0" w:after="0" w:afterAutospacing="0"/>
        <w:ind w:firstLine="539"/>
        <w:rPr>
          <w:sz w:val="20"/>
          <w:szCs w:val="20"/>
        </w:rPr>
      </w:pPr>
      <w:r>
        <w:rPr>
          <w:rFonts w:ascii="Arial" w:hAnsi="Arial" w:cs="Arial"/>
          <w:sz w:val="20"/>
          <w:szCs w:val="20"/>
        </w:rPr>
        <w:t xml:space="preserve">We are in process of remediating the material weaknesses described above. In 2020, we implemented a new general ledger accounting system, including the design of permissions within that system which allow for effective restricted access and segregation of </w:t>
      </w:r>
      <w:r>
        <w:rPr>
          <w:rFonts w:ascii="Arial" w:hAnsi="Arial" w:cs="Arial"/>
          <w:sz w:val="20"/>
          <w:szCs w:val="20"/>
        </w:rPr>
        <w:t>duties to govern the preparation and review of journal entries. Additional remediation measures are ongoing and include the following</w:t>
      </w:r>
      <w:r>
        <w:rPr>
          <w:rFonts w:ascii="Arial" w:hAnsi="Arial" w:cs="Arial"/>
          <w:sz w:val="20"/>
          <w:szCs w:val="20"/>
        </w:rPr>
        <w:t>:</w:t>
      </w:r>
      <w:r>
        <w:rPr>
          <w:rFonts w:ascii="Arial" w:hAnsi="Arial" w:cs="Arial"/>
          <w:sz w:val="20"/>
          <w:szCs w:val="20"/>
        </w:rPr>
        <w:t xml:space="preserve"> </w:t>
      </w:r>
    </w:p>
    <w:p w:rsidR="00000000" w:rsidRDefault="00010F15">
      <w:pPr>
        <w:divId w:val="1546025297"/>
        <w:rPr>
          <w:rFonts w:eastAsia="Times New Roman"/>
        </w:rPr>
      </w:pPr>
      <w:r>
        <w:rPr>
          <w:rFonts w:eastAsia="Times New Roman"/>
          <w:sz w:val="20"/>
          <w:szCs w:val="20"/>
        </w:rPr>
        <w:t>•</w:t>
      </w:r>
    </w:p>
    <w:p w:rsidR="00000000" w:rsidRDefault="00010F15">
      <w:pPr>
        <w:divId w:val="1472670982"/>
        <w:rPr>
          <w:rFonts w:eastAsia="Times New Roman"/>
        </w:rPr>
      </w:pPr>
      <w:r>
        <w:rPr>
          <w:rFonts w:ascii="Arial" w:eastAsia="Times New Roman" w:hAnsi="Arial" w:cs="Arial"/>
          <w:sz w:val="20"/>
          <w:szCs w:val="20"/>
        </w:rPr>
        <w:t>enhancing and documenting management review controls over the review of journal entries and the identification and rev</w:t>
      </w:r>
      <w:r>
        <w:rPr>
          <w:rFonts w:ascii="Arial" w:eastAsia="Times New Roman" w:hAnsi="Arial" w:cs="Arial"/>
          <w:sz w:val="20"/>
          <w:szCs w:val="20"/>
        </w:rPr>
        <w:t>iew of complex transactions</w:t>
      </w:r>
      <w:r>
        <w:rPr>
          <w:rFonts w:ascii="Arial" w:eastAsia="Times New Roman" w:hAnsi="Arial" w:cs="Arial"/>
          <w:sz w:val="20"/>
          <w:szCs w:val="20"/>
        </w:rPr>
        <w:t>;</w:t>
      </w:r>
    </w:p>
    <w:p w:rsidR="00000000" w:rsidRDefault="00010F15">
      <w:pPr>
        <w:divId w:val="1366755834"/>
        <w:rPr>
          <w:rFonts w:eastAsia="Times New Roman"/>
        </w:rPr>
      </w:pPr>
      <w:r>
        <w:rPr>
          <w:rFonts w:eastAsia="Times New Roman"/>
          <w:sz w:val="20"/>
          <w:szCs w:val="20"/>
        </w:rPr>
        <w:t>•</w:t>
      </w:r>
    </w:p>
    <w:p w:rsidR="00000000" w:rsidRDefault="00010F15">
      <w:pPr>
        <w:divId w:val="943419846"/>
        <w:rPr>
          <w:rFonts w:eastAsia="Times New Roman"/>
        </w:rPr>
      </w:pPr>
      <w:r>
        <w:rPr>
          <w:rFonts w:ascii="Arial" w:eastAsia="Times New Roman" w:hAnsi="Arial" w:cs="Arial"/>
          <w:sz w:val="20"/>
          <w:szCs w:val="20"/>
        </w:rPr>
        <w:t>continuing to hire additional personnel with public company experience for our accounting and finance function; an</w:t>
      </w:r>
      <w:r>
        <w:rPr>
          <w:rFonts w:ascii="Arial" w:eastAsia="Times New Roman" w:hAnsi="Arial" w:cs="Arial"/>
          <w:sz w:val="20"/>
          <w:szCs w:val="20"/>
        </w:rPr>
        <w:t>d</w:t>
      </w:r>
    </w:p>
    <w:p w:rsidR="00000000" w:rsidRDefault="00010F15">
      <w:pPr>
        <w:divId w:val="1428043207"/>
        <w:rPr>
          <w:rFonts w:eastAsia="Times New Roman"/>
        </w:rPr>
      </w:pPr>
      <w:r>
        <w:rPr>
          <w:rFonts w:eastAsia="Times New Roman"/>
          <w:sz w:val="20"/>
          <w:szCs w:val="20"/>
        </w:rPr>
        <w:t>•</w:t>
      </w:r>
    </w:p>
    <w:p w:rsidR="00000000" w:rsidRDefault="00010F15">
      <w:pPr>
        <w:divId w:val="986710115"/>
        <w:rPr>
          <w:rFonts w:eastAsia="Times New Roman"/>
        </w:rPr>
      </w:pPr>
      <w:r>
        <w:rPr>
          <w:rFonts w:ascii="Arial" w:eastAsia="Times New Roman" w:hAnsi="Arial" w:cs="Arial"/>
          <w:sz w:val="20"/>
          <w:szCs w:val="20"/>
        </w:rPr>
        <w:t>designing and implementing comprehensive access control protocols for our relevant IT applications to enfor</w:t>
      </w:r>
      <w:r>
        <w:rPr>
          <w:rFonts w:ascii="Arial" w:eastAsia="Times New Roman" w:hAnsi="Arial" w:cs="Arial"/>
          <w:sz w:val="20"/>
          <w:szCs w:val="20"/>
        </w:rPr>
        <w:t>ce restricted user and privileged access and implementing controls to review the activities for those users who have privileged access</w:t>
      </w:r>
      <w:r>
        <w:rPr>
          <w:rFonts w:ascii="Arial" w:eastAsia="Times New Roman" w:hAnsi="Arial" w:cs="Arial"/>
          <w:sz w:val="20"/>
          <w:szCs w:val="20"/>
        </w:rPr>
        <w:t>.</w:t>
      </w:r>
    </w:p>
    <w:p w:rsidR="00000000" w:rsidRDefault="00010F15">
      <w:pPr>
        <w:pStyle w:val="a3"/>
        <w:spacing w:before="120" w:beforeAutospacing="0" w:after="0" w:afterAutospacing="0"/>
        <w:ind w:firstLine="539"/>
        <w:jc w:val="both"/>
        <w:rPr>
          <w:sz w:val="20"/>
          <w:szCs w:val="20"/>
        </w:rPr>
      </w:pPr>
      <w:r>
        <w:rPr>
          <w:rFonts w:ascii="Arial" w:hAnsi="Arial" w:cs="Arial"/>
          <w:sz w:val="20"/>
          <w:szCs w:val="20"/>
        </w:rPr>
        <w:t>While we believe these efforts will remediate the material weaknesses, these material weaknesses cannot be considered fu</w:t>
      </w:r>
      <w:r>
        <w:rPr>
          <w:rFonts w:ascii="Arial" w:hAnsi="Arial" w:cs="Arial"/>
          <w:sz w:val="20"/>
          <w:szCs w:val="20"/>
        </w:rPr>
        <w:t>lly remediated until the applicable remedial controls operate for a sufficient period of time and management has concluded, through testing, that these controls are operating effectively</w:t>
      </w:r>
      <w:r>
        <w:rPr>
          <w:rFonts w:ascii="Arial" w:hAnsi="Arial" w:cs="Arial"/>
          <w:sz w:val="20"/>
          <w:szCs w:val="20"/>
        </w:rPr>
        <w:t>.</w:t>
      </w:r>
    </w:p>
    <w:p w:rsidR="00000000" w:rsidRDefault="00010F15">
      <w:pPr>
        <w:pStyle w:val="a3"/>
        <w:spacing w:before="240" w:beforeAutospacing="0" w:after="0" w:afterAutospacing="0"/>
        <w:jc w:val="both"/>
        <w:rPr>
          <w:sz w:val="20"/>
          <w:szCs w:val="20"/>
        </w:rPr>
      </w:pPr>
      <w:r>
        <w:rPr>
          <w:rFonts w:ascii="Arial" w:hAnsi="Arial" w:cs="Arial"/>
          <w:b/>
          <w:bCs/>
          <w:i/>
          <w:iCs/>
          <w:sz w:val="20"/>
          <w:szCs w:val="20"/>
        </w:rPr>
        <w:t>Changes in Internal Control over Financial Reportin</w:t>
      </w:r>
      <w:r>
        <w:rPr>
          <w:rFonts w:ascii="Arial" w:hAnsi="Arial" w:cs="Arial"/>
          <w:b/>
          <w:bCs/>
          <w:i/>
          <w:iCs/>
          <w:sz w:val="20"/>
          <w:szCs w:val="20"/>
        </w:rPr>
        <w:t>g</w:t>
      </w:r>
      <w:r>
        <w:rPr>
          <w:rFonts w:ascii="Arial" w:hAnsi="Arial" w:cs="Arial"/>
          <w:b/>
          <w:bCs/>
          <w:i/>
          <w:iCs/>
          <w:sz w:val="20"/>
          <w:szCs w:val="20"/>
        </w:rPr>
        <w:t xml:space="preserve"> </w:t>
      </w:r>
    </w:p>
    <w:p w:rsidR="00000000" w:rsidRDefault="00010F15">
      <w:pPr>
        <w:pStyle w:val="a3"/>
        <w:spacing w:before="120" w:beforeAutospacing="0" w:after="0" w:afterAutospacing="0"/>
        <w:ind w:firstLine="539"/>
        <w:rPr>
          <w:sz w:val="20"/>
          <w:szCs w:val="20"/>
        </w:rPr>
      </w:pPr>
      <w:r>
        <w:rPr>
          <w:rFonts w:ascii="Arial" w:hAnsi="Arial" w:cs="Arial"/>
          <w:sz w:val="20"/>
          <w:szCs w:val="20"/>
        </w:rPr>
        <w:t xml:space="preserve">There were no </w:t>
      </w:r>
      <w:r>
        <w:rPr>
          <w:rFonts w:ascii="Arial" w:hAnsi="Arial" w:cs="Arial"/>
          <w:sz w:val="20"/>
          <w:szCs w:val="20"/>
        </w:rPr>
        <w:t xml:space="preserve">changes in our internal control over financial reporting (as defined in Rules 13a-15(f) and 15d-15(f) under the Exchange Act) during the three months ended December 31, 2021 that have materially affected, or are reasonably likely to materially affect, our </w:t>
      </w:r>
      <w:r>
        <w:rPr>
          <w:rFonts w:ascii="Arial" w:hAnsi="Arial" w:cs="Arial"/>
          <w:sz w:val="20"/>
          <w:szCs w:val="20"/>
        </w:rPr>
        <w:t>internal control over financial reporting</w:t>
      </w:r>
      <w:r>
        <w:rPr>
          <w:rFonts w:ascii="Arial" w:hAnsi="Arial" w:cs="Arial"/>
          <w:sz w:val="20"/>
          <w:szCs w:val="20"/>
        </w:rPr>
        <w:t>.</w:t>
      </w:r>
    </w:p>
    <w:p w:rsidR="00000000" w:rsidRDefault="00010F15">
      <w:pPr>
        <w:pStyle w:val="a3"/>
        <w:spacing w:before="240" w:beforeAutospacing="0" w:after="0" w:afterAutospacing="0"/>
        <w:jc w:val="both"/>
        <w:rPr>
          <w:sz w:val="20"/>
          <w:szCs w:val="20"/>
        </w:rPr>
      </w:pPr>
      <w:r>
        <w:rPr>
          <w:rFonts w:ascii="Arial" w:hAnsi="Arial" w:cs="Arial"/>
          <w:b/>
          <w:bCs/>
          <w:i/>
          <w:iCs/>
          <w:sz w:val="20"/>
          <w:szCs w:val="20"/>
        </w:rPr>
        <w:t>Inherent Limitations on Effectiveness of Control</w:t>
      </w:r>
      <w:r>
        <w:rPr>
          <w:rFonts w:ascii="Arial" w:hAnsi="Arial" w:cs="Arial"/>
          <w:b/>
          <w:bCs/>
          <w:i/>
          <w:iCs/>
          <w:sz w:val="20"/>
          <w:szCs w:val="20"/>
        </w:rPr>
        <w:t>s</w:t>
      </w:r>
    </w:p>
    <w:p w:rsidR="00000000" w:rsidRDefault="00010F15">
      <w:pPr>
        <w:pStyle w:val="a3"/>
        <w:spacing w:before="120" w:beforeAutospacing="0" w:after="0" w:afterAutospacing="0"/>
        <w:ind w:firstLine="539"/>
        <w:rPr>
          <w:sz w:val="20"/>
          <w:szCs w:val="20"/>
        </w:rPr>
      </w:pPr>
      <w:r>
        <w:rPr>
          <w:rFonts w:ascii="Arial" w:hAnsi="Arial" w:cs="Arial"/>
          <w:sz w:val="20"/>
          <w:szCs w:val="20"/>
        </w:rPr>
        <w:t>Management does not expect that our disclosure controls and procedures or our internal control over financial reporting will prevent or detect all errors and all f</w:t>
      </w:r>
      <w:r>
        <w:rPr>
          <w:rFonts w:ascii="Arial" w:hAnsi="Arial" w:cs="Arial"/>
          <w:sz w:val="20"/>
          <w:szCs w:val="20"/>
        </w:rPr>
        <w:t>raud. A control system, no matter how well conceived and operated, can provide only reasonable, not absolute, assurance that the objectives of the control system are met. Because of the inherent limitations in all control systems, no evaluation of controls</w:t>
      </w:r>
      <w:r>
        <w:rPr>
          <w:rFonts w:ascii="Arial" w:hAnsi="Arial" w:cs="Arial"/>
          <w:sz w:val="20"/>
          <w:szCs w:val="20"/>
        </w:rPr>
        <w:t xml:space="preserve"> can provide absolute assurance that all control issues and instances of fraud, if any, within the company have been detected. The design of any system of controls also is based in part upon certain assumptions about the likelihood of future events, and th</w:t>
      </w:r>
      <w:r>
        <w:rPr>
          <w:rFonts w:ascii="Arial" w:hAnsi="Arial" w:cs="Arial"/>
          <w:sz w:val="20"/>
          <w:szCs w:val="20"/>
        </w:rPr>
        <w:t>ere can be no assurance that any design will succeed in achieving its stated goals under all potential future conditions. Over time, controls may become inadequate because of changes in conditions, or the degree of compliance with the policies or procedure</w:t>
      </w:r>
      <w:r>
        <w:rPr>
          <w:rFonts w:ascii="Arial" w:hAnsi="Arial" w:cs="Arial"/>
          <w:sz w:val="20"/>
          <w:szCs w:val="20"/>
        </w:rPr>
        <w:t>s may deteriorate. Because of the inherent limitations in a cost-effective control system, misstatements due to error or fraud may occur and not be detected</w:t>
      </w:r>
      <w:r>
        <w:rPr>
          <w:rFonts w:ascii="Arial" w:hAnsi="Arial" w:cs="Arial"/>
          <w:sz w:val="20"/>
          <w:szCs w:val="20"/>
        </w:rPr>
        <w:t>.</w:t>
      </w:r>
    </w:p>
    <w:p w:rsidR="00000000" w:rsidRDefault="00010F15">
      <w:pPr>
        <w:pStyle w:val="a3"/>
        <w:spacing w:before="360" w:beforeAutospacing="0" w:after="0" w:afterAutospacing="0"/>
        <w:rPr>
          <w:sz w:val="20"/>
          <w:szCs w:val="20"/>
        </w:rPr>
      </w:pPr>
      <w:hyperlink w:anchor="item_9b" w:history="1">
        <w:r>
          <w:rPr>
            <w:rStyle w:val="a4"/>
            <w:rFonts w:ascii="Arial" w:hAnsi="Arial" w:cs="Arial"/>
            <w:b/>
            <w:bCs/>
            <w:sz w:val="20"/>
            <w:szCs w:val="20"/>
          </w:rPr>
          <w:t xml:space="preserve">Item 9B. </w:t>
        </w:r>
        <w:r>
          <w:rPr>
            <w:rStyle w:val="a4"/>
            <w:rFonts w:ascii="Arial" w:hAnsi="Arial" w:cs="Arial"/>
            <w:b/>
            <w:bCs/>
            <w:sz w:val="20"/>
            <w:szCs w:val="20"/>
          </w:rPr>
          <w:t>O</w:t>
        </w:r>
        <w:r>
          <w:rPr>
            <w:rStyle w:val="a4"/>
            <w:rFonts w:ascii="Arial" w:hAnsi="Arial" w:cs="Arial"/>
            <w:b/>
            <w:bCs/>
            <w:sz w:val="20"/>
            <w:szCs w:val="20"/>
          </w:rPr>
          <w:t>ther Informatio</w:t>
        </w:r>
        <w:r>
          <w:rPr>
            <w:rStyle w:val="a4"/>
            <w:rFonts w:ascii="Arial" w:hAnsi="Arial" w:cs="Arial"/>
            <w:b/>
            <w:bCs/>
            <w:sz w:val="20"/>
            <w:szCs w:val="20"/>
          </w:rPr>
          <w:t>n</w:t>
        </w:r>
      </w:hyperlink>
    </w:p>
    <w:p w:rsidR="00000000" w:rsidRDefault="00010F15">
      <w:pPr>
        <w:pStyle w:val="a3"/>
        <w:spacing w:before="240" w:beforeAutospacing="0" w:after="0" w:afterAutospacing="0"/>
        <w:ind w:firstLine="555"/>
        <w:rPr>
          <w:sz w:val="20"/>
          <w:szCs w:val="20"/>
        </w:rPr>
      </w:pPr>
      <w:r>
        <w:rPr>
          <w:rFonts w:ascii="Arial" w:hAnsi="Arial" w:cs="Arial"/>
          <w:sz w:val="20"/>
          <w:szCs w:val="20"/>
        </w:rPr>
        <w:t>Not applicable</w:t>
      </w:r>
      <w:r>
        <w:rPr>
          <w:rFonts w:ascii="Arial" w:hAnsi="Arial" w:cs="Arial"/>
          <w:sz w:val="20"/>
          <w:szCs w:val="20"/>
        </w:rPr>
        <w:t>.</w:t>
      </w:r>
    </w:p>
    <w:p w:rsidR="00000000" w:rsidRDefault="00010F15">
      <w:pPr>
        <w:pStyle w:val="a3"/>
        <w:spacing w:before="360" w:beforeAutospacing="0" w:after="0" w:afterAutospacing="0"/>
        <w:rPr>
          <w:sz w:val="20"/>
          <w:szCs w:val="20"/>
        </w:rPr>
      </w:pPr>
      <w:hyperlink w:anchor="item_9c" w:history="1">
        <w:r>
          <w:rPr>
            <w:rStyle w:val="a4"/>
            <w:rFonts w:ascii="Arial" w:hAnsi="Arial" w:cs="Arial"/>
            <w:b/>
            <w:bCs/>
            <w:sz w:val="20"/>
            <w:szCs w:val="20"/>
          </w:rPr>
          <w:t>Item 9C. Disclosure Regarding Fo</w:t>
        </w:r>
        <w:r>
          <w:rPr>
            <w:rStyle w:val="a4"/>
            <w:rFonts w:ascii="Arial" w:hAnsi="Arial" w:cs="Arial"/>
            <w:b/>
            <w:bCs/>
            <w:sz w:val="20"/>
            <w:szCs w:val="20"/>
          </w:rPr>
          <w:t>r</w:t>
        </w:r>
        <w:r>
          <w:rPr>
            <w:rStyle w:val="a4"/>
            <w:rFonts w:ascii="Arial" w:hAnsi="Arial" w:cs="Arial"/>
            <w:b/>
            <w:bCs/>
            <w:sz w:val="20"/>
            <w:szCs w:val="20"/>
          </w:rPr>
          <w:t>e</w:t>
        </w:r>
        <w:r>
          <w:rPr>
            <w:rStyle w:val="a4"/>
            <w:rFonts w:ascii="Arial" w:hAnsi="Arial" w:cs="Arial"/>
            <w:b/>
            <w:bCs/>
            <w:sz w:val="20"/>
            <w:szCs w:val="20"/>
          </w:rPr>
          <w:t>ign Jurisdictions that Prevent Inspection</w:t>
        </w:r>
        <w:r>
          <w:rPr>
            <w:rStyle w:val="a4"/>
            <w:rFonts w:ascii="Arial" w:hAnsi="Arial" w:cs="Arial"/>
            <w:b/>
            <w:bCs/>
            <w:sz w:val="20"/>
            <w:szCs w:val="20"/>
          </w:rPr>
          <w:t>s</w:t>
        </w:r>
      </w:hyperlink>
    </w:p>
    <w:p w:rsidR="00000000" w:rsidRDefault="00010F15">
      <w:pPr>
        <w:pStyle w:val="a3"/>
        <w:spacing w:before="240" w:beforeAutospacing="0" w:after="0" w:afterAutospacing="0"/>
        <w:ind w:firstLine="555"/>
        <w:rPr>
          <w:sz w:val="20"/>
          <w:szCs w:val="20"/>
        </w:rPr>
      </w:pPr>
      <w:r>
        <w:rPr>
          <w:rFonts w:ascii="Arial" w:hAnsi="Arial" w:cs="Arial"/>
          <w:sz w:val="20"/>
          <w:szCs w:val="20"/>
        </w:rPr>
        <w:t>Not applicable</w:t>
      </w:r>
      <w:r>
        <w:rPr>
          <w:rFonts w:ascii="Arial" w:hAnsi="Arial" w:cs="Arial"/>
          <w:sz w:val="20"/>
          <w:szCs w:val="20"/>
        </w:rPr>
        <w:t>.</w:t>
      </w:r>
      <w:r>
        <w:rPr>
          <w:rFonts w:ascii="Arial" w:hAnsi="Arial" w:cs="Arial"/>
          <w:sz w:val="20"/>
          <w:szCs w:val="20"/>
        </w:rPr>
        <w:t xml:space="preserve"> </w: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120" w:beforeAutospacing="0" w:after="0" w:afterAutospacing="0"/>
        <w:jc w:val="center"/>
        <w:rPr>
          <w:sz w:val="20"/>
          <w:szCs w:val="20"/>
        </w:rPr>
      </w:pPr>
      <w:r>
        <w:rPr>
          <w:rFonts w:ascii="Arial" w:hAnsi="Arial" w:cs="Arial"/>
          <w:sz w:val="20"/>
          <w:szCs w:val="20"/>
        </w:rPr>
        <w:t>10</w:t>
      </w:r>
      <w:r>
        <w:rPr>
          <w:rFonts w:ascii="Arial" w:hAnsi="Arial" w:cs="Arial"/>
          <w:sz w:val="20"/>
          <w:szCs w:val="20"/>
        </w:rPr>
        <w:t>1</w:t>
      </w:r>
    </w:p>
    <w:p w:rsidR="00000000" w:rsidRDefault="00010F15">
      <w:pPr>
        <w:rPr>
          <w:rFonts w:eastAsia="Times New Roman"/>
        </w:rPr>
      </w:pPr>
      <w:r>
        <w:rPr>
          <w:rFonts w:eastAsia="Times New Roman"/>
        </w:rPr>
        <w:pict>
          <v:rect id="_x0000_i1126"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360" w:beforeAutospacing="0" w:after="0" w:afterAutospacing="0"/>
        <w:jc w:val="center"/>
        <w:rPr>
          <w:sz w:val="20"/>
          <w:szCs w:val="20"/>
        </w:rPr>
      </w:pPr>
      <w:r>
        <w:rPr>
          <w:rFonts w:ascii="Arial" w:hAnsi="Arial" w:cs="Arial"/>
          <w:b/>
          <w:bCs/>
          <w:sz w:val="20"/>
          <w:szCs w:val="20"/>
        </w:rPr>
        <w:t>PART II</w:t>
      </w:r>
      <w:r>
        <w:rPr>
          <w:rFonts w:ascii="Arial" w:hAnsi="Arial" w:cs="Arial"/>
          <w:b/>
          <w:bCs/>
          <w:sz w:val="20"/>
          <w:szCs w:val="20"/>
        </w:rPr>
        <w:t>I</w:t>
      </w:r>
    </w:p>
    <w:p w:rsidR="00000000" w:rsidRDefault="00010F15">
      <w:pPr>
        <w:pStyle w:val="a3"/>
        <w:spacing w:before="120" w:beforeAutospacing="0" w:after="0" w:afterAutospacing="0"/>
        <w:ind w:firstLine="555"/>
        <w:rPr>
          <w:sz w:val="20"/>
          <w:szCs w:val="20"/>
        </w:rPr>
      </w:pPr>
      <w:r>
        <w:rPr>
          <w:rFonts w:ascii="Arial" w:hAnsi="Arial" w:cs="Arial"/>
          <w:sz w:val="20"/>
          <w:szCs w:val="20"/>
        </w:rPr>
        <w:t>We expect to file a definitive proxy statement relating to our 2022 Annual Meeting of Stockholders with the SEC pursuant to Regulation 14A, not later than 120 days after the end of our most recent fiscal year. Accordingly, certain information required by P</w:t>
      </w:r>
      <w:r>
        <w:rPr>
          <w:rFonts w:ascii="Arial" w:hAnsi="Arial" w:cs="Arial"/>
          <w:sz w:val="20"/>
          <w:szCs w:val="20"/>
        </w:rPr>
        <w:t>art III of this Annual Report has been omitted under General Instruction G(3) to Form 10-K. Only the information from the definitive proxy statement that specifically addresses disclosure requirements of Items 10-14 below is incorporated by reference</w:t>
      </w:r>
      <w:r>
        <w:rPr>
          <w:rFonts w:ascii="Arial" w:hAnsi="Arial" w:cs="Arial"/>
          <w:sz w:val="20"/>
          <w:szCs w:val="20"/>
        </w:rPr>
        <w:t>.</w:t>
      </w:r>
    </w:p>
    <w:p w:rsidR="00000000" w:rsidRDefault="00010F15">
      <w:pPr>
        <w:pStyle w:val="a3"/>
        <w:spacing w:before="240" w:beforeAutospacing="0" w:after="120" w:afterAutospacing="0"/>
        <w:rPr>
          <w:sz w:val="20"/>
          <w:szCs w:val="20"/>
        </w:rPr>
      </w:pPr>
      <w:hyperlink w:anchor="item_10" w:history="1">
        <w:r>
          <w:rPr>
            <w:rStyle w:val="a4"/>
            <w:rFonts w:ascii="Arial" w:hAnsi="Arial" w:cs="Arial"/>
            <w:b/>
            <w:bCs/>
            <w:sz w:val="20"/>
            <w:szCs w:val="20"/>
          </w:rPr>
          <w:t xml:space="preserve">Item 10. Directors, Executive </w:t>
        </w:r>
        <w:r>
          <w:rPr>
            <w:rStyle w:val="a4"/>
            <w:rFonts w:ascii="Arial" w:hAnsi="Arial" w:cs="Arial"/>
            <w:b/>
            <w:bCs/>
            <w:sz w:val="20"/>
            <w:szCs w:val="20"/>
          </w:rPr>
          <w:t>O</w:t>
        </w:r>
        <w:r>
          <w:rPr>
            <w:rStyle w:val="a4"/>
            <w:rFonts w:ascii="Arial" w:hAnsi="Arial" w:cs="Arial"/>
            <w:b/>
            <w:bCs/>
            <w:sz w:val="20"/>
            <w:szCs w:val="20"/>
          </w:rPr>
          <w:t>fficers and Corporate Governanc</w:t>
        </w:r>
        <w:r>
          <w:rPr>
            <w:rStyle w:val="a4"/>
            <w:rFonts w:ascii="Arial" w:hAnsi="Arial" w:cs="Arial"/>
            <w:b/>
            <w:bCs/>
            <w:sz w:val="20"/>
            <w:szCs w:val="20"/>
          </w:rPr>
          <w:t>e</w:t>
        </w:r>
      </w:hyperlink>
    </w:p>
    <w:p w:rsidR="00000000" w:rsidRDefault="00010F15">
      <w:pPr>
        <w:pStyle w:val="a3"/>
        <w:spacing w:before="240" w:beforeAutospacing="0" w:after="0" w:afterAutospacing="0"/>
        <w:ind w:firstLine="555"/>
        <w:rPr>
          <w:sz w:val="20"/>
          <w:szCs w:val="20"/>
        </w:rPr>
      </w:pPr>
      <w:r>
        <w:rPr>
          <w:rFonts w:ascii="Arial" w:hAnsi="Arial" w:cs="Arial"/>
          <w:sz w:val="20"/>
          <w:szCs w:val="20"/>
        </w:rPr>
        <w:t>The information required under this Item is incorporated herein by reference to the information set forth in our Proxy Statement for the 2022 Annual Meeting of Stockh</w:t>
      </w:r>
      <w:r>
        <w:rPr>
          <w:rFonts w:ascii="Arial" w:hAnsi="Arial" w:cs="Arial"/>
          <w:sz w:val="20"/>
          <w:szCs w:val="20"/>
        </w:rPr>
        <w:t>olders, or the Proxy Statement</w:t>
      </w:r>
      <w:r>
        <w:rPr>
          <w:rFonts w:ascii="Arial" w:hAnsi="Arial" w:cs="Arial"/>
          <w:sz w:val="20"/>
          <w:szCs w:val="20"/>
        </w:rPr>
        <w:t>.</w:t>
      </w:r>
    </w:p>
    <w:p w:rsidR="00000000" w:rsidRDefault="00010F15">
      <w:pPr>
        <w:pStyle w:val="a3"/>
        <w:spacing w:before="240" w:beforeAutospacing="0" w:after="0" w:afterAutospacing="0"/>
        <w:rPr>
          <w:sz w:val="20"/>
          <w:szCs w:val="20"/>
        </w:rPr>
      </w:pPr>
      <w:hyperlink w:anchor="item_11" w:history="1">
        <w:r>
          <w:rPr>
            <w:rStyle w:val="a4"/>
            <w:rFonts w:ascii="Arial" w:hAnsi="Arial" w:cs="Arial"/>
            <w:b/>
            <w:bCs/>
            <w:sz w:val="20"/>
            <w:szCs w:val="20"/>
          </w:rPr>
          <w:t>Item 11. Exe</w:t>
        </w:r>
        <w:r>
          <w:rPr>
            <w:rStyle w:val="a4"/>
            <w:rFonts w:ascii="Arial" w:hAnsi="Arial" w:cs="Arial"/>
            <w:b/>
            <w:bCs/>
            <w:sz w:val="20"/>
            <w:szCs w:val="20"/>
          </w:rPr>
          <w:t>c</w:t>
        </w:r>
        <w:r>
          <w:rPr>
            <w:rStyle w:val="a4"/>
            <w:rFonts w:ascii="Arial" w:hAnsi="Arial" w:cs="Arial"/>
            <w:b/>
            <w:bCs/>
            <w:sz w:val="20"/>
            <w:szCs w:val="20"/>
          </w:rPr>
          <w:t>utive Compensatio</w:t>
        </w:r>
        <w:r>
          <w:rPr>
            <w:rStyle w:val="a4"/>
            <w:rFonts w:ascii="Arial" w:hAnsi="Arial" w:cs="Arial"/>
            <w:b/>
            <w:bCs/>
            <w:sz w:val="20"/>
            <w:szCs w:val="20"/>
          </w:rPr>
          <w:t>n</w:t>
        </w:r>
      </w:hyperlink>
    </w:p>
    <w:p w:rsidR="00000000" w:rsidRDefault="00010F15">
      <w:pPr>
        <w:pStyle w:val="a3"/>
        <w:spacing w:before="240" w:beforeAutospacing="0" w:after="0" w:afterAutospacing="0"/>
        <w:ind w:firstLine="555"/>
        <w:rPr>
          <w:sz w:val="20"/>
          <w:szCs w:val="20"/>
        </w:rPr>
      </w:pPr>
      <w:r>
        <w:rPr>
          <w:rFonts w:ascii="Arial" w:hAnsi="Arial" w:cs="Arial"/>
          <w:sz w:val="20"/>
          <w:szCs w:val="20"/>
        </w:rPr>
        <w:t>The information required under this Item is incorporated herein by reference to the information set forth in the Proxy Statement</w:t>
      </w:r>
      <w:r>
        <w:rPr>
          <w:rFonts w:ascii="Arial" w:hAnsi="Arial" w:cs="Arial"/>
          <w:sz w:val="20"/>
          <w:szCs w:val="20"/>
        </w:rPr>
        <w:t>.</w:t>
      </w:r>
    </w:p>
    <w:p w:rsidR="00000000" w:rsidRDefault="00010F15">
      <w:pPr>
        <w:pStyle w:val="a3"/>
        <w:spacing w:before="240" w:beforeAutospacing="0" w:after="0" w:afterAutospacing="0"/>
        <w:rPr>
          <w:sz w:val="20"/>
          <w:szCs w:val="20"/>
        </w:rPr>
      </w:pPr>
      <w:hyperlink w:anchor="item_12" w:history="1">
        <w:r>
          <w:rPr>
            <w:rStyle w:val="a4"/>
            <w:rFonts w:ascii="Arial" w:hAnsi="Arial" w:cs="Arial"/>
            <w:b/>
            <w:bCs/>
            <w:sz w:val="20"/>
            <w:szCs w:val="20"/>
          </w:rPr>
          <w:t>It</w:t>
        </w:r>
        <w:r>
          <w:rPr>
            <w:rStyle w:val="a4"/>
            <w:rFonts w:ascii="Arial" w:hAnsi="Arial" w:cs="Arial"/>
            <w:b/>
            <w:bCs/>
            <w:sz w:val="20"/>
            <w:szCs w:val="20"/>
          </w:rPr>
          <w:t xml:space="preserve">em 12. Security </w:t>
        </w:r>
        <w:r>
          <w:rPr>
            <w:rStyle w:val="a4"/>
            <w:rFonts w:ascii="Arial" w:hAnsi="Arial" w:cs="Arial"/>
            <w:b/>
            <w:bCs/>
            <w:sz w:val="20"/>
            <w:szCs w:val="20"/>
          </w:rPr>
          <w:t>O</w:t>
        </w:r>
        <w:r>
          <w:rPr>
            <w:rStyle w:val="a4"/>
            <w:rFonts w:ascii="Arial" w:hAnsi="Arial" w:cs="Arial"/>
            <w:b/>
            <w:bCs/>
            <w:sz w:val="20"/>
            <w:szCs w:val="20"/>
          </w:rPr>
          <w:t>wnership of Certain Beneficial Owners and Management and Related Shareholder Matter</w:t>
        </w:r>
        <w:r>
          <w:rPr>
            <w:rStyle w:val="a4"/>
            <w:rFonts w:ascii="Arial" w:hAnsi="Arial" w:cs="Arial"/>
            <w:b/>
            <w:bCs/>
            <w:sz w:val="20"/>
            <w:szCs w:val="20"/>
          </w:rPr>
          <w:t>s</w:t>
        </w:r>
      </w:hyperlink>
    </w:p>
    <w:p w:rsidR="00000000" w:rsidRDefault="00010F15">
      <w:pPr>
        <w:pStyle w:val="a3"/>
        <w:spacing w:before="240" w:beforeAutospacing="0" w:after="0" w:afterAutospacing="0"/>
        <w:ind w:firstLine="555"/>
        <w:rPr>
          <w:sz w:val="20"/>
          <w:szCs w:val="20"/>
        </w:rPr>
      </w:pPr>
      <w:r>
        <w:rPr>
          <w:rFonts w:ascii="Arial" w:hAnsi="Arial" w:cs="Arial"/>
          <w:sz w:val="20"/>
          <w:szCs w:val="20"/>
        </w:rPr>
        <w:t>The information required under this Item is incorporated herein by reference to the information set forth in the Proxy Statement</w:t>
      </w:r>
      <w:r>
        <w:rPr>
          <w:rFonts w:ascii="Arial" w:hAnsi="Arial" w:cs="Arial"/>
          <w:sz w:val="20"/>
          <w:szCs w:val="20"/>
        </w:rPr>
        <w:t>.</w:t>
      </w:r>
    </w:p>
    <w:p w:rsidR="00000000" w:rsidRDefault="00010F15">
      <w:pPr>
        <w:pStyle w:val="a3"/>
        <w:spacing w:before="240" w:beforeAutospacing="0" w:after="0" w:afterAutospacing="0"/>
        <w:rPr>
          <w:sz w:val="20"/>
          <w:szCs w:val="20"/>
        </w:rPr>
      </w:pPr>
      <w:hyperlink w:anchor="item_13" w:history="1">
        <w:r>
          <w:rPr>
            <w:rStyle w:val="a4"/>
            <w:rFonts w:ascii="Arial" w:hAnsi="Arial" w:cs="Arial"/>
            <w:b/>
            <w:bCs/>
            <w:sz w:val="20"/>
            <w:szCs w:val="20"/>
          </w:rPr>
          <w:t xml:space="preserve">Item 13. Certain Relationships </w:t>
        </w:r>
        <w:r>
          <w:rPr>
            <w:rStyle w:val="a4"/>
            <w:rFonts w:ascii="Arial" w:hAnsi="Arial" w:cs="Arial"/>
            <w:b/>
            <w:bCs/>
            <w:sz w:val="20"/>
            <w:szCs w:val="20"/>
          </w:rPr>
          <w:t>a</w:t>
        </w:r>
        <w:r>
          <w:rPr>
            <w:rStyle w:val="a4"/>
            <w:rFonts w:ascii="Arial" w:hAnsi="Arial" w:cs="Arial"/>
            <w:b/>
            <w:bCs/>
            <w:sz w:val="20"/>
            <w:szCs w:val="20"/>
          </w:rPr>
          <w:t>nd Related Transactions, and Director Independenc</w:t>
        </w:r>
        <w:r>
          <w:rPr>
            <w:rStyle w:val="a4"/>
            <w:rFonts w:ascii="Arial" w:hAnsi="Arial" w:cs="Arial"/>
            <w:b/>
            <w:bCs/>
            <w:sz w:val="20"/>
            <w:szCs w:val="20"/>
          </w:rPr>
          <w:t>e</w:t>
        </w:r>
      </w:hyperlink>
    </w:p>
    <w:p w:rsidR="00000000" w:rsidRDefault="00010F15">
      <w:pPr>
        <w:pStyle w:val="a3"/>
        <w:spacing w:before="240" w:beforeAutospacing="0" w:after="0" w:afterAutospacing="0"/>
        <w:ind w:firstLine="555"/>
        <w:rPr>
          <w:sz w:val="20"/>
          <w:szCs w:val="20"/>
        </w:rPr>
      </w:pPr>
      <w:r>
        <w:rPr>
          <w:rFonts w:ascii="Arial" w:hAnsi="Arial" w:cs="Arial"/>
          <w:sz w:val="20"/>
          <w:szCs w:val="20"/>
        </w:rPr>
        <w:t>The information required under this Item is incorporated herein by reference to the information set forth in the Proxy Statement</w:t>
      </w:r>
      <w:r>
        <w:rPr>
          <w:rFonts w:ascii="Arial" w:hAnsi="Arial" w:cs="Arial"/>
          <w:sz w:val="20"/>
          <w:szCs w:val="20"/>
        </w:rPr>
        <w:t>.</w:t>
      </w:r>
    </w:p>
    <w:p w:rsidR="00000000" w:rsidRDefault="00010F15">
      <w:pPr>
        <w:pStyle w:val="a3"/>
        <w:spacing w:before="240" w:beforeAutospacing="0" w:after="0" w:afterAutospacing="0"/>
        <w:rPr>
          <w:sz w:val="20"/>
          <w:szCs w:val="20"/>
        </w:rPr>
      </w:pPr>
      <w:hyperlink w:anchor="item_14" w:history="1">
        <w:r>
          <w:rPr>
            <w:rStyle w:val="a4"/>
            <w:rFonts w:ascii="Arial" w:hAnsi="Arial" w:cs="Arial"/>
            <w:b/>
            <w:bCs/>
            <w:sz w:val="20"/>
            <w:szCs w:val="20"/>
          </w:rPr>
          <w:t>Item 14</w:t>
        </w:r>
        <w:r>
          <w:rPr>
            <w:rStyle w:val="a4"/>
            <w:rFonts w:ascii="Arial" w:hAnsi="Arial" w:cs="Arial"/>
            <w:b/>
            <w:bCs/>
            <w:sz w:val="20"/>
            <w:szCs w:val="20"/>
          </w:rPr>
          <w:t>. Principal Ac</w:t>
        </w:r>
        <w:r>
          <w:rPr>
            <w:rStyle w:val="a4"/>
            <w:rFonts w:ascii="Arial" w:hAnsi="Arial" w:cs="Arial"/>
            <w:b/>
            <w:bCs/>
            <w:sz w:val="20"/>
            <w:szCs w:val="20"/>
          </w:rPr>
          <w:t>c</w:t>
        </w:r>
        <w:r>
          <w:rPr>
            <w:rStyle w:val="a4"/>
            <w:rFonts w:ascii="Arial" w:hAnsi="Arial" w:cs="Arial"/>
            <w:b/>
            <w:bCs/>
            <w:sz w:val="20"/>
            <w:szCs w:val="20"/>
          </w:rPr>
          <w:t>o</w:t>
        </w:r>
        <w:r>
          <w:rPr>
            <w:rStyle w:val="a4"/>
            <w:rFonts w:ascii="Arial" w:hAnsi="Arial" w:cs="Arial"/>
            <w:b/>
            <w:bCs/>
            <w:sz w:val="20"/>
            <w:szCs w:val="20"/>
          </w:rPr>
          <w:t>untant Fees and Service</w:t>
        </w:r>
        <w:r>
          <w:rPr>
            <w:rStyle w:val="a4"/>
            <w:rFonts w:ascii="Arial" w:hAnsi="Arial" w:cs="Arial"/>
            <w:b/>
            <w:bCs/>
            <w:sz w:val="20"/>
            <w:szCs w:val="20"/>
          </w:rPr>
          <w:t>s</w:t>
        </w:r>
      </w:hyperlink>
    </w:p>
    <w:p w:rsidR="00000000" w:rsidRDefault="00010F15">
      <w:pPr>
        <w:pStyle w:val="a3"/>
        <w:spacing w:before="240" w:beforeAutospacing="0" w:after="0" w:afterAutospacing="0"/>
        <w:ind w:firstLine="555"/>
        <w:rPr>
          <w:sz w:val="20"/>
          <w:szCs w:val="20"/>
        </w:rPr>
      </w:pPr>
      <w:r>
        <w:rPr>
          <w:rFonts w:ascii="Arial" w:hAnsi="Arial" w:cs="Arial"/>
          <w:sz w:val="20"/>
          <w:szCs w:val="20"/>
        </w:rPr>
        <w:t>The information required under this Item is incorporated herein by reference to the information set forth in the Proxy Statement</w:t>
      </w:r>
      <w:r>
        <w:rPr>
          <w:rFonts w:ascii="Arial" w:hAnsi="Arial" w:cs="Arial"/>
          <w:sz w:val="20"/>
          <w:szCs w:val="20"/>
        </w:rPr>
        <w:t>.</w:t>
      </w:r>
    </w:p>
    <w:p w:rsidR="00000000" w:rsidRDefault="00010F15">
      <w:pPr>
        <w:pStyle w:val="a3"/>
        <w:spacing w:before="120" w:beforeAutospacing="0" w:after="0" w:afterAutospacing="0"/>
        <w:jc w:val="center"/>
        <w:rPr>
          <w:sz w:val="20"/>
          <w:szCs w:val="20"/>
        </w:rPr>
      </w:pPr>
      <w:r>
        <w:rPr>
          <w:rFonts w:ascii="Arial" w:hAnsi="Arial" w:cs="Arial"/>
          <w:sz w:val="20"/>
          <w:szCs w:val="20"/>
        </w:rPr>
        <w:t>10</w:t>
      </w:r>
      <w:r>
        <w:rPr>
          <w:rFonts w:ascii="Arial" w:hAnsi="Arial" w:cs="Arial"/>
          <w:sz w:val="20"/>
          <w:szCs w:val="20"/>
        </w:rPr>
        <w:t>2</w:t>
      </w:r>
    </w:p>
    <w:p w:rsidR="00000000" w:rsidRDefault="00010F15">
      <w:pPr>
        <w:rPr>
          <w:rFonts w:eastAsia="Times New Roman"/>
        </w:rPr>
      </w:pPr>
      <w:r>
        <w:rPr>
          <w:rFonts w:eastAsia="Times New Roman"/>
        </w:rPr>
        <w:pict>
          <v:rect id="_x0000_i1127"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360" w:beforeAutospacing="0" w:after="0" w:afterAutospacing="0"/>
        <w:jc w:val="center"/>
        <w:rPr>
          <w:sz w:val="20"/>
          <w:szCs w:val="20"/>
        </w:rPr>
      </w:pPr>
      <w:r>
        <w:rPr>
          <w:rFonts w:ascii="Arial" w:hAnsi="Arial" w:cs="Arial"/>
          <w:b/>
          <w:bCs/>
          <w:sz w:val="20"/>
          <w:szCs w:val="20"/>
        </w:rPr>
        <w:t>PART I</w:t>
      </w:r>
      <w:r>
        <w:rPr>
          <w:rFonts w:ascii="Arial" w:hAnsi="Arial" w:cs="Arial"/>
          <w:b/>
          <w:bCs/>
          <w:sz w:val="20"/>
          <w:szCs w:val="20"/>
        </w:rPr>
        <w:t>V</w:t>
      </w:r>
    </w:p>
    <w:p w:rsidR="00000000" w:rsidRDefault="00010F15">
      <w:pPr>
        <w:pStyle w:val="a3"/>
        <w:spacing w:before="360" w:beforeAutospacing="0" w:after="0" w:afterAutospacing="0"/>
        <w:rPr>
          <w:sz w:val="20"/>
          <w:szCs w:val="20"/>
        </w:rPr>
      </w:pPr>
      <w:hyperlink w:anchor="item_15_1" w:history="1">
        <w:r>
          <w:rPr>
            <w:rStyle w:val="a4"/>
            <w:rFonts w:ascii="Arial" w:hAnsi="Arial" w:cs="Arial"/>
            <w:b/>
            <w:bCs/>
            <w:sz w:val="20"/>
            <w:szCs w:val="20"/>
          </w:rPr>
          <w:t>It</w:t>
        </w:r>
        <w:r>
          <w:rPr>
            <w:rStyle w:val="a4"/>
            <w:rFonts w:ascii="Arial" w:hAnsi="Arial" w:cs="Arial"/>
            <w:b/>
            <w:bCs/>
            <w:sz w:val="20"/>
            <w:szCs w:val="20"/>
          </w:rPr>
          <w:t>em 15. Exhibits and Financ</w:t>
        </w:r>
        <w:r>
          <w:rPr>
            <w:rStyle w:val="a4"/>
            <w:rFonts w:ascii="Arial" w:hAnsi="Arial" w:cs="Arial"/>
            <w:b/>
            <w:bCs/>
            <w:sz w:val="20"/>
            <w:szCs w:val="20"/>
          </w:rPr>
          <w:t>i</w:t>
        </w:r>
        <w:r>
          <w:rPr>
            <w:rStyle w:val="a4"/>
            <w:rFonts w:ascii="Arial" w:hAnsi="Arial" w:cs="Arial"/>
            <w:b/>
            <w:bCs/>
            <w:sz w:val="20"/>
            <w:szCs w:val="20"/>
          </w:rPr>
          <w:t>al Statement Schedule</w:t>
        </w:r>
        <w:r>
          <w:rPr>
            <w:rStyle w:val="a4"/>
            <w:rFonts w:ascii="Arial" w:hAnsi="Arial" w:cs="Arial"/>
            <w:b/>
            <w:bCs/>
            <w:sz w:val="20"/>
            <w:szCs w:val="20"/>
          </w:rPr>
          <w:t>s</w:t>
        </w:r>
      </w:hyperlink>
    </w:p>
    <w:p w:rsidR="00000000" w:rsidRDefault="00010F15">
      <w:pPr>
        <w:pStyle w:val="a3"/>
        <w:spacing w:before="240" w:beforeAutospacing="0" w:after="0" w:afterAutospacing="0"/>
        <w:rPr>
          <w:sz w:val="20"/>
          <w:szCs w:val="20"/>
        </w:rPr>
      </w:pPr>
      <w:r>
        <w:rPr>
          <w:rFonts w:ascii="Arial" w:hAnsi="Arial" w:cs="Arial"/>
          <w:sz w:val="20"/>
          <w:szCs w:val="20"/>
        </w:rPr>
        <w:t>(a) List of Documents Filed as Part of this Report</w:t>
      </w:r>
      <w:r>
        <w:rPr>
          <w:rFonts w:ascii="Arial" w:hAnsi="Arial" w:cs="Arial"/>
          <w:sz w:val="20"/>
          <w:szCs w:val="20"/>
        </w:rPr>
        <w:t>:</w:t>
      </w:r>
    </w:p>
    <w:p w:rsidR="00000000" w:rsidRDefault="00010F15">
      <w:pPr>
        <w:pStyle w:val="a3"/>
        <w:spacing w:before="120" w:beforeAutospacing="0" w:after="0" w:afterAutospacing="0"/>
        <w:ind w:firstLine="555"/>
        <w:rPr>
          <w:sz w:val="20"/>
          <w:szCs w:val="20"/>
        </w:rPr>
      </w:pPr>
      <w:r>
        <w:rPr>
          <w:rFonts w:ascii="Arial" w:hAnsi="Arial" w:cs="Arial"/>
          <w:sz w:val="20"/>
          <w:szCs w:val="20"/>
        </w:rPr>
        <w:t>(1) Consolidated Financial Statements</w:t>
      </w:r>
      <w:r>
        <w:rPr>
          <w:rFonts w:ascii="Arial" w:hAnsi="Arial" w:cs="Arial"/>
          <w:sz w:val="20"/>
          <w:szCs w:val="20"/>
        </w:rPr>
        <w:t>:</w:t>
      </w:r>
    </w:p>
    <w:p w:rsidR="00000000" w:rsidRDefault="00010F15">
      <w:pPr>
        <w:pStyle w:val="a3"/>
        <w:spacing w:before="120" w:beforeAutospacing="0" w:after="0" w:afterAutospacing="0"/>
        <w:ind w:left="476" w:firstLine="581"/>
        <w:rPr>
          <w:sz w:val="20"/>
          <w:szCs w:val="20"/>
        </w:rPr>
      </w:pPr>
      <w:r>
        <w:rPr>
          <w:rFonts w:ascii="Arial" w:hAnsi="Arial" w:cs="Arial"/>
          <w:sz w:val="20"/>
          <w:szCs w:val="20"/>
        </w:rPr>
        <w:t>Our consolidated financial statements are included in Part II, Item 8, "Financial Statements and Supplementary Data.</w:t>
      </w:r>
      <w:r>
        <w:rPr>
          <w:rFonts w:ascii="Arial" w:hAnsi="Arial" w:cs="Arial"/>
          <w:sz w:val="20"/>
          <w:szCs w:val="20"/>
        </w:rPr>
        <w:t>"</w:t>
      </w:r>
    </w:p>
    <w:p w:rsidR="00000000" w:rsidRDefault="00010F15">
      <w:pPr>
        <w:pStyle w:val="a3"/>
        <w:spacing w:before="120" w:beforeAutospacing="0" w:after="0" w:afterAutospacing="0"/>
        <w:ind w:firstLine="555"/>
        <w:rPr>
          <w:sz w:val="20"/>
          <w:szCs w:val="20"/>
        </w:rPr>
      </w:pPr>
      <w:r>
        <w:rPr>
          <w:rFonts w:ascii="Arial" w:hAnsi="Arial" w:cs="Arial"/>
          <w:sz w:val="20"/>
          <w:szCs w:val="20"/>
        </w:rPr>
        <w:t>(2) Index to Financial Statement Schedules</w:t>
      </w:r>
      <w:r>
        <w:rPr>
          <w:rFonts w:ascii="Arial" w:hAnsi="Arial" w:cs="Arial"/>
          <w:sz w:val="20"/>
          <w:szCs w:val="20"/>
        </w:rPr>
        <w:t>:</w:t>
      </w:r>
    </w:p>
    <w:p w:rsidR="00000000" w:rsidRDefault="00010F15">
      <w:pPr>
        <w:pStyle w:val="a3"/>
        <w:spacing w:before="120" w:beforeAutospacing="0" w:after="0" w:afterAutospacing="0"/>
        <w:ind w:left="476" w:firstLine="581"/>
        <w:rPr>
          <w:sz w:val="20"/>
          <w:szCs w:val="20"/>
        </w:rPr>
      </w:pPr>
      <w:r>
        <w:rPr>
          <w:rFonts w:ascii="Arial" w:hAnsi="Arial" w:cs="Arial"/>
          <w:sz w:val="20"/>
          <w:szCs w:val="20"/>
        </w:rPr>
        <w:t>All schedules have been omitted because the required information is included in the consolidat</w:t>
      </w:r>
      <w:r>
        <w:rPr>
          <w:rFonts w:ascii="Arial" w:hAnsi="Arial" w:cs="Arial"/>
          <w:sz w:val="20"/>
          <w:szCs w:val="20"/>
        </w:rPr>
        <w:t>ed financial statements or notes, thereto, or because it is not required</w:t>
      </w:r>
      <w:r>
        <w:rPr>
          <w:rFonts w:ascii="Arial" w:hAnsi="Arial" w:cs="Arial"/>
          <w:sz w:val="20"/>
          <w:szCs w:val="20"/>
        </w:rPr>
        <w:t>.</w:t>
      </w:r>
    </w:p>
    <w:p w:rsidR="00000000" w:rsidRDefault="00010F15">
      <w:pPr>
        <w:pStyle w:val="a3"/>
        <w:spacing w:before="120" w:beforeAutospacing="0" w:after="0" w:afterAutospacing="0"/>
        <w:ind w:firstLine="555"/>
        <w:rPr>
          <w:sz w:val="20"/>
          <w:szCs w:val="20"/>
        </w:rPr>
      </w:pPr>
      <w:r>
        <w:rPr>
          <w:rFonts w:ascii="Arial" w:hAnsi="Arial" w:cs="Arial"/>
          <w:sz w:val="20"/>
          <w:szCs w:val="20"/>
        </w:rPr>
        <w:t>(3) Index to Exhibit</w:t>
      </w:r>
      <w:r>
        <w:rPr>
          <w:rFonts w:ascii="Arial" w:hAnsi="Arial" w:cs="Arial"/>
          <w:sz w:val="20"/>
          <w:szCs w:val="20"/>
        </w:rPr>
        <w:t>s</w:t>
      </w:r>
    </w:p>
    <w:p w:rsidR="00000000" w:rsidRDefault="00010F15">
      <w:pPr>
        <w:pStyle w:val="a3"/>
        <w:spacing w:before="120" w:beforeAutospacing="0" w:after="0" w:afterAutospacing="0"/>
        <w:ind w:left="476" w:firstLine="581"/>
        <w:rPr>
          <w:sz w:val="20"/>
          <w:szCs w:val="20"/>
        </w:rPr>
      </w:pPr>
      <w:r>
        <w:rPr>
          <w:rFonts w:ascii="Arial" w:hAnsi="Arial" w:cs="Arial"/>
          <w:sz w:val="20"/>
          <w:szCs w:val="20"/>
        </w:rPr>
        <w:t>See exhibits listed under Part (b) below</w:t>
      </w:r>
      <w:r>
        <w:rPr>
          <w:rFonts w:ascii="Arial" w:hAnsi="Arial" w:cs="Arial"/>
          <w:sz w:val="20"/>
          <w:szCs w:val="20"/>
        </w:rPr>
        <w:t>:</w:t>
      </w:r>
    </w:p>
    <w:p w:rsidR="00000000" w:rsidRDefault="00010F15">
      <w:pPr>
        <w:pStyle w:val="a3"/>
        <w:spacing w:before="240" w:beforeAutospacing="0" w:after="120" w:afterAutospacing="0"/>
        <w:rPr>
          <w:sz w:val="20"/>
          <w:szCs w:val="20"/>
        </w:rPr>
      </w:pPr>
      <w:r>
        <w:rPr>
          <w:rFonts w:ascii="Arial" w:hAnsi="Arial" w:cs="Arial"/>
          <w:sz w:val="20"/>
          <w:szCs w:val="20"/>
        </w:rPr>
        <w:t>(b) Exhibit</w:t>
      </w:r>
      <w:r>
        <w:rPr>
          <w:rFonts w:ascii="Arial" w:hAnsi="Arial" w:cs="Arial"/>
          <w:sz w:val="20"/>
          <w:szCs w:val="20"/>
        </w:rPr>
        <w:t>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56"/>
        <w:gridCol w:w="111"/>
        <w:gridCol w:w="3018"/>
        <w:gridCol w:w="111"/>
        <w:gridCol w:w="738"/>
        <w:gridCol w:w="904"/>
        <w:gridCol w:w="661"/>
        <w:gridCol w:w="1061"/>
        <w:gridCol w:w="946"/>
      </w:tblGrid>
      <w:tr w:rsidR="00000000">
        <w:trPr>
          <w:tblCellSpacing w:w="15" w:type="dxa"/>
        </w:trPr>
        <w:tc>
          <w:tcPr>
            <w:tcW w:w="457" w:type="pct"/>
            <w:vAlign w:val="center"/>
            <w:hideMark/>
          </w:tcPr>
          <w:p w:rsidR="00000000" w:rsidRDefault="00010F15">
            <w:pPr>
              <w:rPr>
                <w:sz w:val="20"/>
                <w:szCs w:val="20"/>
              </w:rPr>
            </w:pPr>
          </w:p>
        </w:tc>
        <w:tc>
          <w:tcPr>
            <w:tcW w:w="6" w:type="pct"/>
            <w:vAlign w:val="center"/>
            <w:hideMark/>
          </w:tcPr>
          <w:p w:rsidR="00000000" w:rsidRDefault="00010F15">
            <w:pPr>
              <w:rPr>
                <w:rFonts w:eastAsia="Times New Roman"/>
                <w:sz w:val="20"/>
                <w:szCs w:val="20"/>
              </w:rPr>
            </w:pPr>
          </w:p>
        </w:tc>
        <w:tc>
          <w:tcPr>
            <w:tcW w:w="1881" w:type="pct"/>
            <w:vAlign w:val="center"/>
            <w:hideMark/>
          </w:tcPr>
          <w:p w:rsidR="00000000" w:rsidRDefault="00010F15">
            <w:pPr>
              <w:rPr>
                <w:rFonts w:eastAsia="Times New Roman"/>
                <w:sz w:val="20"/>
                <w:szCs w:val="20"/>
              </w:rPr>
            </w:pPr>
          </w:p>
        </w:tc>
        <w:tc>
          <w:tcPr>
            <w:tcW w:w="6" w:type="pct"/>
            <w:vAlign w:val="center"/>
            <w:hideMark/>
          </w:tcPr>
          <w:p w:rsidR="00000000" w:rsidRDefault="00010F15">
            <w:pPr>
              <w:rPr>
                <w:rFonts w:eastAsia="Times New Roman"/>
                <w:sz w:val="20"/>
                <w:szCs w:val="20"/>
              </w:rPr>
            </w:pPr>
          </w:p>
        </w:tc>
        <w:tc>
          <w:tcPr>
            <w:tcW w:w="456" w:type="pct"/>
            <w:vAlign w:val="center"/>
            <w:hideMark/>
          </w:tcPr>
          <w:p w:rsidR="00000000" w:rsidRDefault="00010F15">
            <w:pPr>
              <w:rPr>
                <w:rFonts w:eastAsia="Times New Roman"/>
                <w:sz w:val="20"/>
                <w:szCs w:val="20"/>
              </w:rPr>
            </w:pPr>
          </w:p>
        </w:tc>
        <w:tc>
          <w:tcPr>
            <w:tcW w:w="560" w:type="pct"/>
            <w:vAlign w:val="center"/>
            <w:hideMark/>
          </w:tcPr>
          <w:p w:rsidR="00000000" w:rsidRDefault="00010F15">
            <w:pPr>
              <w:rPr>
                <w:rFonts w:eastAsia="Times New Roman"/>
                <w:sz w:val="20"/>
                <w:szCs w:val="20"/>
              </w:rPr>
            </w:pPr>
          </w:p>
        </w:tc>
        <w:tc>
          <w:tcPr>
            <w:tcW w:w="406" w:type="pct"/>
            <w:vAlign w:val="center"/>
            <w:hideMark/>
          </w:tcPr>
          <w:p w:rsidR="00000000" w:rsidRDefault="00010F15">
            <w:pPr>
              <w:rPr>
                <w:rFonts w:eastAsia="Times New Roman"/>
                <w:sz w:val="20"/>
                <w:szCs w:val="20"/>
              </w:rPr>
            </w:pPr>
          </w:p>
        </w:tc>
        <w:tc>
          <w:tcPr>
            <w:tcW w:w="661" w:type="pct"/>
            <w:vAlign w:val="center"/>
            <w:hideMark/>
          </w:tcPr>
          <w:p w:rsidR="00000000" w:rsidRDefault="00010F15">
            <w:pPr>
              <w:rPr>
                <w:rFonts w:eastAsia="Times New Roman"/>
                <w:sz w:val="20"/>
                <w:szCs w:val="20"/>
              </w:rPr>
            </w:pPr>
          </w:p>
        </w:tc>
        <w:tc>
          <w:tcPr>
            <w:tcW w:w="561" w:type="pct"/>
            <w:vAlign w:val="center"/>
            <w:hideMark/>
          </w:tcPr>
          <w:p w:rsidR="00000000" w:rsidRDefault="00010F15">
            <w:pPr>
              <w:rPr>
                <w:rFonts w:eastAsia="Times New Roman"/>
                <w:sz w:val="20"/>
                <w:szCs w:val="20"/>
              </w:rPr>
            </w:pPr>
          </w:p>
        </w:tc>
      </w:tr>
      <w:tr w:rsidR="00000000">
        <w:trPr>
          <w:trHeight w:val="180"/>
          <w:tblCellSpacing w:w="15" w:type="dxa"/>
        </w:trPr>
        <w:tc>
          <w:tcPr>
            <w:tcW w:w="0" w:type="auto"/>
            <w:vAlign w:val="bottom"/>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rPr>
                <w:sz w:val="12"/>
                <w:szCs w:val="12"/>
              </w:rPr>
            </w:pPr>
            <w:r>
              <w:rPr>
                <w:rFonts w:ascii="Arial" w:hAnsi="Arial" w:cs="Arial"/>
                <w:sz w:val="12"/>
                <w:szCs w:val="12"/>
              </w:rPr>
              <w:t> </w:t>
            </w:r>
          </w:p>
        </w:tc>
        <w:tc>
          <w:tcPr>
            <w:tcW w:w="0" w:type="auto"/>
            <w:vAlign w:val="bottom"/>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rPr>
                <w:sz w:val="12"/>
                <w:szCs w:val="12"/>
              </w:rPr>
            </w:pPr>
            <w:r>
              <w:rPr>
                <w:rFonts w:ascii="Arial" w:hAnsi="Arial" w:cs="Arial"/>
                <w:sz w:val="12"/>
                <w:szCs w:val="12"/>
              </w:rPr>
              <w:t> </w:t>
            </w:r>
          </w:p>
        </w:tc>
        <w:tc>
          <w:tcPr>
            <w:tcW w:w="0" w:type="auto"/>
            <w:gridSpan w:val="4"/>
            <w:tcBorders>
              <w:bottom w:val="single" w:sz="4" w:space="0" w:color="auto"/>
            </w:tcBorders>
            <w:vAlign w:val="bottom"/>
            <w:hideMark/>
          </w:tcPr>
          <w:p w:rsidR="00000000" w:rsidRDefault="00010F15">
            <w:pPr>
              <w:pStyle w:val="a3"/>
              <w:spacing w:before="0" w:beforeAutospacing="0" w:after="0" w:afterAutospacing="0"/>
              <w:jc w:val="center"/>
              <w:rPr>
                <w:sz w:val="18"/>
                <w:szCs w:val="18"/>
              </w:rPr>
            </w:pPr>
            <w:r>
              <w:rPr>
                <w:rFonts w:ascii="Arial" w:hAnsi="Arial" w:cs="Arial"/>
                <w:b/>
                <w:bCs/>
                <w:sz w:val="18"/>
                <w:szCs w:val="18"/>
              </w:rPr>
              <w:t>Incorporated by Referenc</w:t>
            </w:r>
            <w:r>
              <w:rPr>
                <w:rFonts w:ascii="Arial" w:hAnsi="Arial" w:cs="Arial"/>
                <w:b/>
                <w:bCs/>
                <w:sz w:val="18"/>
                <w:szCs w:val="18"/>
              </w:rPr>
              <w:t>e</w:t>
            </w:r>
            <w:r>
              <w:rPr>
                <w:rFonts w:ascii="Arial" w:hAnsi="Arial" w:cs="Arial"/>
                <w:sz w:val="12"/>
                <w:szCs w:val="12"/>
              </w:rPr>
              <w:t xml:space="preserve"> </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 </w:t>
            </w:r>
          </w:p>
        </w:tc>
      </w:tr>
      <w:tr w:rsidR="00000000">
        <w:trPr>
          <w:trHeight w:val="180"/>
          <w:tblCellSpacing w:w="15" w:type="dxa"/>
        </w:trPr>
        <w:tc>
          <w:tcPr>
            <w:tcW w:w="0" w:type="auto"/>
            <w:tcBorders>
              <w:bottom w:val="single" w:sz="4" w:space="0" w:color="auto"/>
            </w:tcBorders>
            <w:vAlign w:val="bottom"/>
            <w:hideMark/>
          </w:tcPr>
          <w:p w:rsidR="00000000" w:rsidRDefault="00010F15">
            <w:pPr>
              <w:pStyle w:val="a3"/>
              <w:spacing w:before="0" w:beforeAutospacing="0" w:after="0" w:afterAutospacing="0"/>
              <w:jc w:val="center"/>
              <w:rPr>
                <w:sz w:val="18"/>
                <w:szCs w:val="18"/>
              </w:rPr>
            </w:pPr>
            <w:r>
              <w:rPr>
                <w:rFonts w:ascii="Arial" w:hAnsi="Arial" w:cs="Arial"/>
                <w:b/>
                <w:bCs/>
                <w:sz w:val="18"/>
                <w:szCs w:val="18"/>
              </w:rPr>
              <w:t>Exhibi</w:t>
            </w:r>
            <w:r>
              <w:rPr>
                <w:rFonts w:ascii="Arial" w:hAnsi="Arial" w:cs="Arial"/>
                <w:b/>
                <w:bCs/>
                <w:sz w:val="18"/>
                <w:szCs w:val="18"/>
              </w:rPr>
              <w:t>t</w:t>
            </w:r>
          </w:p>
          <w:p w:rsidR="00000000" w:rsidRDefault="00010F15">
            <w:pPr>
              <w:pStyle w:val="a3"/>
              <w:spacing w:before="0" w:beforeAutospacing="0" w:after="0" w:afterAutospacing="0"/>
              <w:jc w:val="center"/>
              <w:rPr>
                <w:sz w:val="18"/>
                <w:szCs w:val="18"/>
              </w:rPr>
            </w:pPr>
            <w:r>
              <w:rPr>
                <w:rFonts w:ascii="Arial" w:hAnsi="Arial" w:cs="Arial"/>
                <w:b/>
                <w:bCs/>
                <w:sz w:val="18"/>
                <w:szCs w:val="18"/>
              </w:rPr>
              <w:t>Numbe</w:t>
            </w:r>
            <w:r>
              <w:rPr>
                <w:rFonts w:ascii="Arial" w:hAnsi="Arial" w:cs="Arial"/>
                <w:b/>
                <w:bCs/>
                <w:sz w:val="18"/>
                <w:szCs w:val="18"/>
              </w:rPr>
              <w:t>r</w:t>
            </w:r>
          </w:p>
        </w:tc>
        <w:tc>
          <w:tcPr>
            <w:tcW w:w="0" w:type="auto"/>
            <w:tcBorders>
              <w:bottom w:val="single" w:sz="4" w:space="0" w:color="auto"/>
            </w:tcBorders>
            <w:hideMark/>
          </w:tcPr>
          <w:p w:rsidR="00000000" w:rsidRDefault="00010F15">
            <w:pPr>
              <w:pStyle w:val="a3"/>
              <w:spacing w:before="0" w:beforeAutospacing="0" w:after="0" w:afterAutospacing="0"/>
              <w:rPr>
                <w:sz w:val="12"/>
                <w:szCs w:val="12"/>
              </w:rPr>
            </w:pPr>
            <w:r>
              <w:rPr>
                <w:sz w:val="12"/>
                <w:szCs w:val="12"/>
              </w:rPr>
              <w:t> </w:t>
            </w:r>
          </w:p>
        </w:tc>
        <w:tc>
          <w:tcPr>
            <w:tcW w:w="0" w:type="auto"/>
            <w:tcBorders>
              <w:bottom w:val="single" w:sz="4" w:space="0" w:color="auto"/>
            </w:tcBorders>
            <w:vAlign w:val="bottom"/>
            <w:hideMark/>
          </w:tcPr>
          <w:p w:rsidR="00000000" w:rsidRDefault="00010F15">
            <w:pPr>
              <w:pStyle w:val="a3"/>
              <w:spacing w:before="0" w:beforeAutospacing="0" w:after="0" w:afterAutospacing="0"/>
              <w:jc w:val="center"/>
              <w:rPr>
                <w:sz w:val="18"/>
                <w:szCs w:val="18"/>
              </w:rPr>
            </w:pPr>
            <w:r>
              <w:rPr>
                <w:rFonts w:ascii="Arial" w:hAnsi="Arial" w:cs="Arial"/>
                <w:b/>
                <w:bCs/>
                <w:sz w:val="18"/>
                <w:szCs w:val="18"/>
              </w:rPr>
              <w:t>Descriptio</w:t>
            </w:r>
            <w:r>
              <w:rPr>
                <w:rFonts w:ascii="Arial" w:hAnsi="Arial" w:cs="Arial"/>
                <w:b/>
                <w:bCs/>
                <w:sz w:val="18"/>
                <w:szCs w:val="18"/>
              </w:rPr>
              <w:t>n</w:t>
            </w:r>
          </w:p>
        </w:tc>
        <w:tc>
          <w:tcPr>
            <w:tcW w:w="0" w:type="auto"/>
            <w:tcBorders>
              <w:bottom w:val="single" w:sz="4" w:space="0" w:color="auto"/>
            </w:tcBorders>
            <w:hideMark/>
          </w:tcPr>
          <w:p w:rsidR="00000000" w:rsidRDefault="00010F15">
            <w:pPr>
              <w:pStyle w:val="a3"/>
              <w:spacing w:before="0" w:beforeAutospacing="0" w:after="0" w:afterAutospacing="0"/>
              <w:rPr>
                <w:sz w:val="12"/>
                <w:szCs w:val="12"/>
              </w:rPr>
            </w:pPr>
            <w:r>
              <w:rPr>
                <w:sz w:val="12"/>
                <w:szCs w:val="12"/>
              </w:rPr>
              <w:t> </w:t>
            </w:r>
          </w:p>
        </w:tc>
        <w:tc>
          <w:tcPr>
            <w:tcW w:w="0" w:type="auto"/>
            <w:tcBorders>
              <w:bottom w:val="single" w:sz="4" w:space="0" w:color="auto"/>
            </w:tcBorders>
            <w:vAlign w:val="bottom"/>
            <w:hideMark/>
          </w:tcPr>
          <w:p w:rsidR="00000000" w:rsidRDefault="00010F15">
            <w:pPr>
              <w:pStyle w:val="a3"/>
              <w:spacing w:before="0" w:beforeAutospacing="0" w:after="0" w:afterAutospacing="0"/>
              <w:jc w:val="center"/>
              <w:rPr>
                <w:sz w:val="18"/>
                <w:szCs w:val="18"/>
              </w:rPr>
            </w:pPr>
            <w:r>
              <w:rPr>
                <w:rFonts w:ascii="Arial" w:hAnsi="Arial" w:cs="Arial"/>
                <w:b/>
                <w:bCs/>
                <w:sz w:val="18"/>
                <w:szCs w:val="18"/>
              </w:rPr>
              <w:t>For</w:t>
            </w:r>
            <w:r>
              <w:rPr>
                <w:rFonts w:ascii="Arial" w:hAnsi="Arial" w:cs="Arial"/>
                <w:b/>
                <w:bCs/>
                <w:sz w:val="18"/>
                <w:szCs w:val="18"/>
              </w:rPr>
              <w:t>m</w:t>
            </w:r>
          </w:p>
        </w:tc>
        <w:tc>
          <w:tcPr>
            <w:tcW w:w="0" w:type="auto"/>
            <w:tcBorders>
              <w:bottom w:val="single" w:sz="4" w:space="0" w:color="auto"/>
            </w:tcBorders>
            <w:vAlign w:val="bottom"/>
            <w:hideMark/>
          </w:tcPr>
          <w:p w:rsidR="00000000" w:rsidRDefault="00010F15">
            <w:pPr>
              <w:pStyle w:val="a3"/>
              <w:spacing w:before="0" w:beforeAutospacing="0" w:after="0" w:afterAutospacing="0"/>
              <w:jc w:val="center"/>
              <w:rPr>
                <w:sz w:val="18"/>
                <w:szCs w:val="18"/>
              </w:rPr>
            </w:pPr>
            <w:r>
              <w:rPr>
                <w:rFonts w:ascii="Arial" w:hAnsi="Arial" w:cs="Arial"/>
                <w:b/>
                <w:bCs/>
                <w:sz w:val="18"/>
                <w:szCs w:val="18"/>
              </w:rPr>
              <w:t>File No</w:t>
            </w:r>
            <w:r>
              <w:rPr>
                <w:rFonts w:ascii="Arial" w:hAnsi="Arial" w:cs="Arial"/>
                <w:b/>
                <w:bCs/>
                <w:sz w:val="18"/>
                <w:szCs w:val="18"/>
              </w:rPr>
              <w:t>.</w:t>
            </w:r>
            <w:r>
              <w:rPr>
                <w:rFonts w:ascii="Arial" w:hAnsi="Arial" w:cs="Arial"/>
                <w:sz w:val="12"/>
                <w:szCs w:val="12"/>
              </w:rPr>
              <w:t xml:space="preserve"> </w:t>
            </w:r>
          </w:p>
        </w:tc>
        <w:tc>
          <w:tcPr>
            <w:tcW w:w="0" w:type="auto"/>
            <w:tcBorders>
              <w:bottom w:val="single" w:sz="4" w:space="0" w:color="auto"/>
            </w:tcBorders>
            <w:vAlign w:val="bottom"/>
            <w:hideMark/>
          </w:tcPr>
          <w:p w:rsidR="00000000" w:rsidRDefault="00010F15">
            <w:pPr>
              <w:pStyle w:val="a3"/>
              <w:spacing w:before="0" w:beforeAutospacing="0" w:after="0" w:afterAutospacing="0"/>
              <w:jc w:val="center"/>
              <w:rPr>
                <w:sz w:val="18"/>
                <w:szCs w:val="18"/>
              </w:rPr>
            </w:pPr>
            <w:r>
              <w:rPr>
                <w:rFonts w:ascii="Arial" w:hAnsi="Arial" w:cs="Arial"/>
                <w:b/>
                <w:bCs/>
                <w:sz w:val="18"/>
                <w:szCs w:val="18"/>
              </w:rPr>
              <w:t>Exhibi</w:t>
            </w:r>
            <w:r>
              <w:rPr>
                <w:rFonts w:ascii="Arial" w:hAnsi="Arial" w:cs="Arial"/>
                <w:b/>
                <w:bCs/>
                <w:sz w:val="18"/>
                <w:szCs w:val="18"/>
              </w:rPr>
              <w:t>t</w:t>
            </w:r>
          </w:p>
        </w:tc>
        <w:tc>
          <w:tcPr>
            <w:tcW w:w="0" w:type="auto"/>
            <w:tcBorders>
              <w:bottom w:val="single" w:sz="4" w:space="0" w:color="auto"/>
            </w:tcBorders>
            <w:vAlign w:val="bottom"/>
            <w:hideMark/>
          </w:tcPr>
          <w:p w:rsidR="00000000" w:rsidRDefault="00010F15">
            <w:pPr>
              <w:pStyle w:val="a3"/>
              <w:spacing w:before="0" w:beforeAutospacing="0" w:after="0" w:afterAutospacing="0"/>
              <w:jc w:val="center"/>
              <w:rPr>
                <w:sz w:val="18"/>
                <w:szCs w:val="18"/>
              </w:rPr>
            </w:pPr>
            <w:r>
              <w:rPr>
                <w:rFonts w:ascii="Arial" w:hAnsi="Arial" w:cs="Arial"/>
                <w:b/>
                <w:bCs/>
                <w:sz w:val="18"/>
                <w:szCs w:val="18"/>
              </w:rPr>
              <w:t>Filing Dat</w:t>
            </w:r>
            <w:r>
              <w:rPr>
                <w:rFonts w:ascii="Arial" w:hAnsi="Arial" w:cs="Arial"/>
                <w:b/>
                <w:bCs/>
                <w:sz w:val="18"/>
                <w:szCs w:val="18"/>
              </w:rPr>
              <w:t>e</w:t>
            </w:r>
            <w:r>
              <w:rPr>
                <w:rFonts w:ascii="Arial" w:hAnsi="Arial" w:cs="Arial"/>
                <w:sz w:val="12"/>
                <w:szCs w:val="12"/>
              </w:rPr>
              <w:t xml:space="preserve"> </w:t>
            </w:r>
          </w:p>
        </w:tc>
        <w:tc>
          <w:tcPr>
            <w:tcW w:w="0" w:type="auto"/>
            <w:tcBorders>
              <w:bottom w:val="single" w:sz="4" w:space="0" w:color="auto"/>
            </w:tcBorders>
            <w:hideMark/>
          </w:tcPr>
          <w:p w:rsidR="00000000" w:rsidRDefault="00010F15">
            <w:pPr>
              <w:pStyle w:val="a3"/>
              <w:spacing w:before="0" w:beforeAutospacing="0" w:after="0" w:afterAutospacing="0"/>
              <w:jc w:val="center"/>
              <w:rPr>
                <w:sz w:val="18"/>
                <w:szCs w:val="18"/>
              </w:rPr>
            </w:pPr>
            <w:r>
              <w:rPr>
                <w:rFonts w:ascii="Arial" w:hAnsi="Arial" w:cs="Arial"/>
                <w:b/>
                <w:bCs/>
                <w:sz w:val="18"/>
                <w:szCs w:val="18"/>
              </w:rPr>
              <w:t>Filed</w:t>
            </w:r>
            <w:r>
              <w:rPr>
                <w:rFonts w:ascii="Arial" w:hAnsi="Arial" w:cs="Arial"/>
                <w:b/>
                <w:bCs/>
                <w:sz w:val="18"/>
                <w:szCs w:val="18"/>
              </w:rPr>
              <w:t>/</w:t>
            </w:r>
          </w:p>
          <w:p w:rsidR="00000000" w:rsidRDefault="00010F15">
            <w:pPr>
              <w:pStyle w:val="a3"/>
              <w:spacing w:before="0" w:beforeAutospacing="0" w:after="0" w:afterAutospacing="0"/>
              <w:jc w:val="center"/>
              <w:rPr>
                <w:sz w:val="18"/>
                <w:szCs w:val="18"/>
              </w:rPr>
            </w:pPr>
            <w:r>
              <w:rPr>
                <w:rFonts w:ascii="Arial" w:hAnsi="Arial" w:cs="Arial"/>
                <w:b/>
                <w:bCs/>
                <w:sz w:val="18"/>
                <w:szCs w:val="18"/>
              </w:rPr>
              <w:t>Furnished Herewit</w:t>
            </w:r>
            <w:r>
              <w:rPr>
                <w:rFonts w:ascii="Arial" w:hAnsi="Arial" w:cs="Arial"/>
                <w:b/>
                <w:bCs/>
                <w:sz w:val="18"/>
                <w:szCs w:val="18"/>
              </w:rPr>
              <w:t>h</w:t>
            </w:r>
            <w:r>
              <w:rPr>
                <w:rFonts w:ascii="Arial" w:hAnsi="Arial" w:cs="Arial"/>
                <w:b/>
                <w:bCs/>
                <w:sz w:val="18"/>
                <w:szCs w:val="18"/>
              </w:rPr>
              <w:t xml:space="preserve"> </w:t>
            </w:r>
          </w:p>
        </w:tc>
      </w:tr>
      <w:tr w:rsidR="00000000">
        <w:trPr>
          <w:trHeight w:val="180"/>
          <w:tblCellSpacing w:w="15" w:type="dxa"/>
        </w:trPr>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2.</w:t>
            </w:r>
            <w:r>
              <w:rPr>
                <w:rFonts w:ascii="Arial" w:hAnsi="Arial" w:cs="Arial"/>
                <w:sz w:val="18"/>
                <w:szCs w:val="18"/>
              </w:rPr>
              <w:t>1</w:t>
            </w:r>
          </w:p>
        </w:tc>
        <w:tc>
          <w:tcPr>
            <w:tcW w:w="0" w:type="auto"/>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010F15">
            <w:pPr>
              <w:pStyle w:val="a3"/>
              <w:spacing w:before="0" w:beforeAutospacing="0" w:after="0" w:afterAutospacing="0"/>
              <w:rPr>
                <w:sz w:val="18"/>
                <w:szCs w:val="18"/>
              </w:rPr>
            </w:pPr>
            <w:hyperlink r:id="rId5" w:history="1">
              <w:r>
                <w:rPr>
                  <w:rStyle w:val="a4"/>
                  <w:rFonts w:ascii="Arial" w:hAnsi="Arial" w:cs="Arial"/>
                  <w:sz w:val="18"/>
                  <w:szCs w:val="18"/>
                </w:rPr>
                <w:t>Agreement and Plan of Merger, dated as of August 9, 2021, by and among Paymentus Holdings, Inc., Paymentus Group, Inc., Peacock Merger Sub, LLC, Payveris, LLC and Shareholder Representative Services LLC, as the equityholders' representativ</w:t>
              </w:r>
              <w:r>
                <w:rPr>
                  <w:rStyle w:val="a4"/>
                  <w:rFonts w:ascii="Arial" w:hAnsi="Arial" w:cs="Arial"/>
                  <w:sz w:val="18"/>
                  <w:szCs w:val="18"/>
                </w:rPr>
                <w:t>e</w:t>
              </w:r>
            </w:hyperlink>
          </w:p>
        </w:tc>
        <w:tc>
          <w:tcPr>
            <w:tcW w:w="0" w:type="auto"/>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010F15">
            <w:pPr>
              <w:pStyle w:val="a3"/>
              <w:spacing w:before="0" w:beforeAutospacing="0" w:after="0" w:afterAutospacing="0"/>
              <w:jc w:val="center"/>
              <w:rPr>
                <w:sz w:val="18"/>
                <w:szCs w:val="18"/>
              </w:rPr>
            </w:pPr>
            <w:r>
              <w:rPr>
                <w:rFonts w:ascii="Arial" w:hAnsi="Arial" w:cs="Arial"/>
                <w:sz w:val="18"/>
                <w:szCs w:val="18"/>
              </w:rPr>
              <w:t>10-</w:t>
            </w:r>
            <w:r>
              <w:rPr>
                <w:rFonts w:ascii="Arial" w:hAnsi="Arial" w:cs="Arial"/>
                <w:sz w:val="18"/>
                <w:szCs w:val="18"/>
              </w:rPr>
              <w:t>Q</w:t>
            </w:r>
          </w:p>
        </w:tc>
        <w:tc>
          <w:tcPr>
            <w:tcW w:w="0" w:type="auto"/>
            <w:vAlign w:val="bottom"/>
            <w:hideMark/>
          </w:tcPr>
          <w:p w:rsidR="00000000" w:rsidRDefault="00010F15">
            <w:pPr>
              <w:pStyle w:val="a3"/>
              <w:spacing w:before="0" w:beforeAutospacing="0" w:after="0" w:afterAutospacing="0"/>
              <w:jc w:val="center"/>
              <w:rPr>
                <w:sz w:val="18"/>
                <w:szCs w:val="18"/>
              </w:rPr>
            </w:pPr>
            <w:r>
              <w:rPr>
                <w:rFonts w:ascii="Arial" w:hAnsi="Arial" w:cs="Arial"/>
                <w:sz w:val="18"/>
                <w:szCs w:val="18"/>
              </w:rPr>
              <w:t>001-4042</w:t>
            </w:r>
            <w:r>
              <w:rPr>
                <w:rFonts w:ascii="Arial" w:hAnsi="Arial" w:cs="Arial"/>
                <w:sz w:val="18"/>
                <w:szCs w:val="18"/>
              </w:rPr>
              <w:t>9</w:t>
            </w:r>
          </w:p>
        </w:tc>
        <w:tc>
          <w:tcPr>
            <w:tcW w:w="0" w:type="auto"/>
            <w:vAlign w:val="bottom"/>
            <w:hideMark/>
          </w:tcPr>
          <w:p w:rsidR="00000000" w:rsidRDefault="00010F15">
            <w:pPr>
              <w:pStyle w:val="a3"/>
              <w:spacing w:before="0" w:beforeAutospacing="0" w:after="0" w:afterAutospacing="0"/>
              <w:jc w:val="center"/>
              <w:rPr>
                <w:sz w:val="18"/>
                <w:szCs w:val="18"/>
              </w:rPr>
            </w:pPr>
            <w:r>
              <w:rPr>
                <w:rFonts w:ascii="Arial" w:hAnsi="Arial" w:cs="Arial"/>
                <w:sz w:val="18"/>
                <w:szCs w:val="18"/>
              </w:rPr>
              <w:t>2.</w:t>
            </w:r>
            <w:r>
              <w:rPr>
                <w:rFonts w:ascii="Arial" w:hAnsi="Arial" w:cs="Arial"/>
                <w:sz w:val="18"/>
                <w:szCs w:val="18"/>
              </w:rPr>
              <w:t>1</w:t>
            </w:r>
          </w:p>
        </w:tc>
        <w:tc>
          <w:tcPr>
            <w:tcW w:w="0" w:type="auto"/>
            <w:vAlign w:val="bottom"/>
            <w:hideMark/>
          </w:tcPr>
          <w:p w:rsidR="00000000" w:rsidRDefault="00010F15">
            <w:pPr>
              <w:pStyle w:val="a3"/>
              <w:spacing w:before="0" w:beforeAutospacing="0" w:after="0" w:afterAutospacing="0"/>
              <w:jc w:val="center"/>
              <w:rPr>
                <w:sz w:val="18"/>
                <w:szCs w:val="18"/>
              </w:rPr>
            </w:pPr>
            <w:r>
              <w:rPr>
                <w:rFonts w:ascii="Arial" w:hAnsi="Arial" w:cs="Arial"/>
                <w:sz w:val="18"/>
                <w:szCs w:val="18"/>
              </w:rPr>
              <w:t>November 10, 202</w:t>
            </w:r>
            <w:r>
              <w:rPr>
                <w:rFonts w:ascii="Arial" w:hAnsi="Arial" w:cs="Arial"/>
                <w:sz w:val="18"/>
                <w:szCs w:val="18"/>
              </w:rPr>
              <w:t>1</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 </w:t>
            </w:r>
          </w:p>
        </w:tc>
      </w:tr>
      <w:tr w:rsidR="00000000">
        <w:trPr>
          <w:tblCellSpacing w:w="15" w:type="dxa"/>
        </w:trPr>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r>
      <w:tr w:rsidR="00000000">
        <w:trPr>
          <w:trHeight w:val="180"/>
          <w:tblCellSpacing w:w="15" w:type="dxa"/>
        </w:trPr>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3.</w:t>
            </w:r>
            <w:r>
              <w:rPr>
                <w:rFonts w:ascii="Arial" w:hAnsi="Arial" w:cs="Arial"/>
                <w:sz w:val="18"/>
                <w:szCs w:val="18"/>
              </w:rPr>
              <w:t>1</w:t>
            </w:r>
            <w:r>
              <w:rPr>
                <w:rFonts w:ascii="Arial" w:hAnsi="Arial" w:cs="Arial"/>
                <w:sz w:val="18"/>
                <w:szCs w:val="18"/>
              </w:rPr>
              <w:t xml:space="preserve"> </w:t>
            </w:r>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rPr>
                <w:sz w:val="18"/>
                <w:szCs w:val="18"/>
              </w:rPr>
            </w:pPr>
            <w:hyperlink r:id="rId6" w:history="1">
              <w:r>
                <w:rPr>
                  <w:rStyle w:val="a4"/>
                  <w:rFonts w:ascii="Arial" w:hAnsi="Arial" w:cs="Arial"/>
                  <w:sz w:val="18"/>
                  <w:szCs w:val="18"/>
                </w:rPr>
                <w:t>Amended and Restated Certificate of Incorporation of Paymentus Holdings, Inc</w:t>
              </w:r>
              <w:r>
                <w:rPr>
                  <w:rStyle w:val="a4"/>
                  <w:rFonts w:ascii="Arial" w:hAnsi="Arial" w:cs="Arial"/>
                  <w:sz w:val="18"/>
                  <w:szCs w:val="18"/>
                </w:rPr>
                <w:t>.</w:t>
              </w:r>
            </w:hyperlink>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8-</w:t>
            </w:r>
            <w:r>
              <w:rPr>
                <w:rFonts w:ascii="Arial" w:hAnsi="Arial" w:cs="Arial"/>
                <w:sz w:val="18"/>
                <w:szCs w:val="18"/>
              </w:rPr>
              <w:t>K</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001-4042</w:t>
            </w:r>
            <w:r>
              <w:rPr>
                <w:rFonts w:ascii="Arial" w:hAnsi="Arial" w:cs="Arial"/>
                <w:sz w:val="18"/>
                <w:szCs w:val="18"/>
              </w:rPr>
              <w:t>9</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3.</w:t>
            </w:r>
            <w:r>
              <w:rPr>
                <w:rFonts w:ascii="Arial" w:hAnsi="Arial" w:cs="Arial"/>
                <w:sz w:val="18"/>
                <w:szCs w:val="18"/>
              </w:rPr>
              <w:t>1</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May 28, 202</w:t>
            </w:r>
            <w:r>
              <w:rPr>
                <w:rFonts w:ascii="Arial" w:hAnsi="Arial" w:cs="Arial"/>
                <w:sz w:val="18"/>
                <w:szCs w:val="18"/>
              </w:rPr>
              <w:t>1</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r>
      <w:tr w:rsidR="00000000">
        <w:trPr>
          <w:trHeight w:val="180"/>
          <w:tblCellSpacing w:w="15" w:type="dxa"/>
        </w:trPr>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3.</w:t>
            </w:r>
            <w:r>
              <w:rPr>
                <w:rFonts w:ascii="Arial" w:hAnsi="Arial" w:cs="Arial"/>
                <w:sz w:val="18"/>
                <w:szCs w:val="18"/>
              </w:rPr>
              <w:t>2</w:t>
            </w:r>
            <w:r>
              <w:rPr>
                <w:rFonts w:ascii="Arial" w:hAnsi="Arial" w:cs="Arial"/>
                <w:sz w:val="18"/>
                <w:szCs w:val="18"/>
              </w:rPr>
              <w:t xml:space="preserve"> </w:t>
            </w:r>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rPr>
                <w:sz w:val="18"/>
                <w:szCs w:val="18"/>
              </w:rPr>
            </w:pPr>
            <w:hyperlink r:id="rId7" w:history="1">
              <w:r>
                <w:rPr>
                  <w:rStyle w:val="a4"/>
                  <w:rFonts w:ascii="Arial" w:hAnsi="Arial" w:cs="Arial"/>
                  <w:sz w:val="18"/>
                  <w:szCs w:val="18"/>
                </w:rPr>
                <w:t>Amended and Restated Bylaws of Paymentus Holdings, Inc</w:t>
              </w:r>
              <w:r>
                <w:rPr>
                  <w:rStyle w:val="a4"/>
                  <w:rFonts w:ascii="Arial" w:hAnsi="Arial" w:cs="Arial"/>
                  <w:sz w:val="18"/>
                  <w:szCs w:val="18"/>
                </w:rPr>
                <w:t>.</w:t>
              </w:r>
            </w:hyperlink>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8-</w:t>
            </w:r>
            <w:r>
              <w:rPr>
                <w:rFonts w:ascii="Arial" w:hAnsi="Arial" w:cs="Arial"/>
                <w:sz w:val="18"/>
                <w:szCs w:val="18"/>
              </w:rPr>
              <w:t>K</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001-4042</w:t>
            </w:r>
            <w:r>
              <w:rPr>
                <w:rFonts w:ascii="Arial" w:hAnsi="Arial" w:cs="Arial"/>
                <w:sz w:val="18"/>
                <w:szCs w:val="18"/>
              </w:rPr>
              <w:t>9</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3.</w:t>
            </w:r>
            <w:r>
              <w:rPr>
                <w:rFonts w:ascii="Arial" w:hAnsi="Arial" w:cs="Arial"/>
                <w:sz w:val="18"/>
                <w:szCs w:val="18"/>
              </w:rPr>
              <w:t>2</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May 28, 202</w:t>
            </w:r>
            <w:r>
              <w:rPr>
                <w:rFonts w:ascii="Arial" w:hAnsi="Arial" w:cs="Arial"/>
                <w:sz w:val="18"/>
                <w:szCs w:val="18"/>
              </w:rPr>
              <w:t>1</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r>
      <w:tr w:rsidR="00000000">
        <w:trPr>
          <w:trHeight w:val="180"/>
          <w:tblCellSpacing w:w="15" w:type="dxa"/>
        </w:trPr>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4.</w:t>
            </w:r>
            <w:r>
              <w:rPr>
                <w:rFonts w:ascii="Arial" w:hAnsi="Arial" w:cs="Arial"/>
                <w:sz w:val="18"/>
                <w:szCs w:val="18"/>
              </w:rPr>
              <w:t>1</w:t>
            </w:r>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rPr>
                <w:sz w:val="18"/>
                <w:szCs w:val="18"/>
              </w:rPr>
            </w:pPr>
            <w:hyperlink r:id="rId8" w:history="1">
              <w:r>
                <w:rPr>
                  <w:rStyle w:val="a4"/>
                  <w:rFonts w:ascii="Arial" w:hAnsi="Arial" w:cs="Arial"/>
                  <w:sz w:val="18"/>
                  <w:szCs w:val="18"/>
                </w:rPr>
                <w:t>Form of Class A Common Stock Certificat</w:t>
              </w:r>
              <w:r>
                <w:rPr>
                  <w:rStyle w:val="a4"/>
                  <w:rFonts w:ascii="Arial" w:hAnsi="Arial" w:cs="Arial"/>
                  <w:sz w:val="18"/>
                  <w:szCs w:val="18"/>
                </w:rPr>
                <w:t>e</w:t>
              </w:r>
            </w:hyperlink>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S-1/</w:t>
            </w:r>
            <w:r>
              <w:rPr>
                <w:rFonts w:ascii="Arial" w:hAnsi="Arial" w:cs="Arial"/>
                <w:sz w:val="18"/>
                <w:szCs w:val="18"/>
              </w:rPr>
              <w:t>A</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333- 25568</w:t>
            </w:r>
            <w:r>
              <w:rPr>
                <w:rFonts w:ascii="Arial" w:hAnsi="Arial" w:cs="Arial"/>
                <w:sz w:val="18"/>
                <w:szCs w:val="18"/>
              </w:rPr>
              <w:t>3</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4.</w:t>
            </w:r>
            <w:r>
              <w:rPr>
                <w:rFonts w:ascii="Arial" w:hAnsi="Arial" w:cs="Arial"/>
                <w:sz w:val="18"/>
                <w:szCs w:val="18"/>
              </w:rPr>
              <w:t>1</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May 13, 202</w:t>
            </w:r>
            <w:r>
              <w:rPr>
                <w:rFonts w:ascii="Arial" w:hAnsi="Arial" w:cs="Arial"/>
                <w:sz w:val="18"/>
                <w:szCs w:val="18"/>
              </w:rPr>
              <w:t>1</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r>
      <w:tr w:rsidR="00000000">
        <w:trPr>
          <w:trHeight w:val="180"/>
          <w:tblCellSpacing w:w="15" w:type="dxa"/>
        </w:trPr>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4.</w:t>
            </w:r>
            <w:r>
              <w:rPr>
                <w:rFonts w:ascii="Arial" w:hAnsi="Arial" w:cs="Arial"/>
                <w:sz w:val="18"/>
                <w:szCs w:val="18"/>
              </w:rPr>
              <w:t>2</w:t>
            </w:r>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rPr>
                <w:sz w:val="18"/>
                <w:szCs w:val="18"/>
              </w:rPr>
            </w:pPr>
            <w:hyperlink r:id="rId9" w:history="1">
              <w:r>
                <w:rPr>
                  <w:rStyle w:val="a4"/>
                  <w:rFonts w:ascii="Arial" w:hAnsi="Arial" w:cs="Arial"/>
                  <w:sz w:val="18"/>
                  <w:szCs w:val="18"/>
                </w:rPr>
                <w:t>Registration Rights Agreement, dated as of May 24, 2021, by and among Paymentus Holdings, Inc. and the other signatories theret</w:t>
              </w:r>
              <w:r>
                <w:rPr>
                  <w:rStyle w:val="a4"/>
                  <w:rFonts w:ascii="Arial" w:hAnsi="Arial" w:cs="Arial"/>
                  <w:sz w:val="18"/>
                  <w:szCs w:val="18"/>
                </w:rPr>
                <w:t>o</w:t>
              </w:r>
              <w:r>
                <w:rPr>
                  <w:rStyle w:val="a4"/>
                  <w:rFonts w:ascii="Arial" w:hAnsi="Arial" w:cs="Arial"/>
                  <w:sz w:val="18"/>
                  <w:szCs w:val="18"/>
                </w:rPr>
                <w:t xml:space="preserve"> </w:t>
              </w:r>
            </w:hyperlink>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8-</w:t>
            </w:r>
            <w:r>
              <w:rPr>
                <w:rFonts w:ascii="Arial" w:hAnsi="Arial" w:cs="Arial"/>
                <w:sz w:val="18"/>
                <w:szCs w:val="18"/>
              </w:rPr>
              <w:t>K</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001-4042</w:t>
            </w:r>
            <w:r>
              <w:rPr>
                <w:rFonts w:ascii="Arial" w:hAnsi="Arial" w:cs="Arial"/>
                <w:sz w:val="18"/>
                <w:szCs w:val="18"/>
              </w:rPr>
              <w:t>9</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4.</w:t>
            </w:r>
            <w:r>
              <w:rPr>
                <w:rFonts w:ascii="Arial" w:hAnsi="Arial" w:cs="Arial"/>
                <w:sz w:val="18"/>
                <w:szCs w:val="18"/>
              </w:rPr>
              <w:t>1</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May 28, 202</w:t>
            </w:r>
            <w:r>
              <w:rPr>
                <w:rFonts w:ascii="Arial" w:hAnsi="Arial" w:cs="Arial"/>
                <w:sz w:val="18"/>
                <w:szCs w:val="18"/>
              </w:rPr>
              <w:t>1</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r>
      <w:tr w:rsidR="00000000">
        <w:trPr>
          <w:trHeight w:val="180"/>
          <w:tblCellSpacing w:w="15" w:type="dxa"/>
        </w:trPr>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4.</w:t>
            </w:r>
            <w:r>
              <w:rPr>
                <w:rFonts w:ascii="Arial" w:hAnsi="Arial" w:cs="Arial"/>
                <w:sz w:val="18"/>
                <w:szCs w:val="18"/>
              </w:rPr>
              <w:t>3</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8"/>
                <w:szCs w:val="18"/>
              </w:rPr>
            </w:pPr>
            <w:hyperlink r:id="rId10" w:history="1">
              <w:r>
                <w:rPr>
                  <w:rStyle w:val="a4"/>
                  <w:rFonts w:ascii="Arial" w:hAnsi="Arial" w:cs="Arial"/>
                  <w:sz w:val="18"/>
                  <w:szCs w:val="18"/>
                </w:rPr>
                <w:t>Description of Securitie</w:t>
              </w:r>
              <w:r>
                <w:rPr>
                  <w:rStyle w:val="a4"/>
                  <w:rFonts w:ascii="Arial" w:hAnsi="Arial" w:cs="Arial"/>
                  <w:sz w:val="18"/>
                  <w:szCs w:val="18"/>
                </w:rPr>
                <w:t>s</w:t>
              </w:r>
            </w:hyperlink>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X</w:t>
            </w:r>
          </w:p>
        </w:tc>
      </w:tr>
      <w:tr w:rsidR="00000000">
        <w:trPr>
          <w:tblCellSpacing w:w="15" w:type="dxa"/>
        </w:trPr>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r>
      <w:tr w:rsidR="00000000">
        <w:trPr>
          <w:trHeight w:val="180"/>
          <w:tblCellSpacing w:w="15" w:type="dxa"/>
        </w:trPr>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10.</w:t>
            </w:r>
            <w:r>
              <w:rPr>
                <w:rFonts w:ascii="Arial" w:hAnsi="Arial" w:cs="Arial"/>
                <w:sz w:val="18"/>
                <w:szCs w:val="18"/>
              </w:rPr>
              <w:t>1</w:t>
            </w:r>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rPr>
                <w:sz w:val="18"/>
                <w:szCs w:val="18"/>
              </w:rPr>
            </w:pPr>
            <w:hyperlink r:id="rId11" w:history="1">
              <w:r>
                <w:rPr>
                  <w:rStyle w:val="a4"/>
                  <w:rFonts w:ascii="Arial" w:hAnsi="Arial" w:cs="Arial"/>
                  <w:sz w:val="18"/>
                  <w:szCs w:val="18"/>
                </w:rPr>
                <w:t>Form of Director and Officer Indemnification Agreemen</w:t>
              </w:r>
              <w:r>
                <w:rPr>
                  <w:rStyle w:val="a4"/>
                  <w:rFonts w:ascii="Arial" w:hAnsi="Arial" w:cs="Arial"/>
                  <w:sz w:val="18"/>
                  <w:szCs w:val="18"/>
                </w:rPr>
                <w:t>t</w:t>
              </w:r>
            </w:hyperlink>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S-1/</w:t>
            </w:r>
            <w:r>
              <w:rPr>
                <w:rFonts w:ascii="Arial" w:hAnsi="Arial" w:cs="Arial"/>
                <w:sz w:val="18"/>
                <w:szCs w:val="18"/>
              </w:rPr>
              <w:t>A</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333- 25568</w:t>
            </w:r>
            <w:r>
              <w:rPr>
                <w:rFonts w:ascii="Arial" w:hAnsi="Arial" w:cs="Arial"/>
                <w:sz w:val="18"/>
                <w:szCs w:val="18"/>
              </w:rPr>
              <w:t>3</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10.</w:t>
            </w:r>
            <w:r>
              <w:rPr>
                <w:rFonts w:ascii="Arial" w:hAnsi="Arial" w:cs="Arial"/>
                <w:sz w:val="18"/>
                <w:szCs w:val="18"/>
              </w:rPr>
              <w:t>1</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May 13, 202</w:t>
            </w:r>
            <w:r>
              <w:rPr>
                <w:rFonts w:ascii="Arial" w:hAnsi="Arial" w:cs="Arial"/>
                <w:sz w:val="18"/>
                <w:szCs w:val="18"/>
              </w:rPr>
              <w:t>1</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r>
      <w:tr w:rsidR="00000000">
        <w:trPr>
          <w:trHeight w:val="180"/>
          <w:tblCellSpacing w:w="15" w:type="dxa"/>
        </w:trPr>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10.2</w:t>
            </w:r>
            <w:r>
              <w:rPr>
                <w:rFonts w:ascii="Arial" w:hAnsi="Arial" w:cs="Arial"/>
                <w:sz w:val="18"/>
                <w:szCs w:val="18"/>
              </w:rPr>
              <w:t>+</w:t>
            </w:r>
            <w:r>
              <w:rPr>
                <w:rFonts w:ascii="Arial" w:hAnsi="Arial" w:cs="Arial"/>
                <w:sz w:val="18"/>
                <w:szCs w:val="18"/>
              </w:rPr>
              <w:t xml:space="preserve"> </w:t>
            </w:r>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rPr>
                <w:sz w:val="18"/>
                <w:szCs w:val="18"/>
              </w:rPr>
            </w:pPr>
            <w:hyperlink r:id="rId12" w:history="1">
              <w:r>
                <w:rPr>
                  <w:rStyle w:val="a4"/>
                  <w:rFonts w:ascii="Arial" w:hAnsi="Arial" w:cs="Arial"/>
                  <w:sz w:val="18"/>
                  <w:szCs w:val="18"/>
                </w:rPr>
                <w:t>2012 Equity Incentive Plan and related form agreement</w:t>
              </w:r>
              <w:r>
                <w:rPr>
                  <w:rStyle w:val="a4"/>
                  <w:rFonts w:ascii="Arial" w:hAnsi="Arial" w:cs="Arial"/>
                  <w:sz w:val="18"/>
                  <w:szCs w:val="18"/>
                </w:rPr>
                <w:t>s</w:t>
              </w:r>
            </w:hyperlink>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S-1/</w:t>
            </w:r>
            <w:r>
              <w:rPr>
                <w:rFonts w:ascii="Arial" w:hAnsi="Arial" w:cs="Arial"/>
                <w:sz w:val="18"/>
                <w:szCs w:val="18"/>
              </w:rPr>
              <w:t>A</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333- 25568</w:t>
            </w:r>
            <w:r>
              <w:rPr>
                <w:rFonts w:ascii="Arial" w:hAnsi="Arial" w:cs="Arial"/>
                <w:sz w:val="18"/>
                <w:szCs w:val="18"/>
              </w:rPr>
              <w:t>3</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10.</w:t>
            </w:r>
            <w:r>
              <w:rPr>
                <w:rFonts w:ascii="Arial" w:hAnsi="Arial" w:cs="Arial"/>
                <w:sz w:val="18"/>
                <w:szCs w:val="18"/>
              </w:rPr>
              <w:t>2</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May 17, 202</w:t>
            </w:r>
            <w:r>
              <w:rPr>
                <w:rFonts w:ascii="Arial" w:hAnsi="Arial" w:cs="Arial"/>
                <w:sz w:val="18"/>
                <w:szCs w:val="18"/>
              </w:rPr>
              <w:t>1</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r>
      <w:tr w:rsidR="00000000">
        <w:trPr>
          <w:trHeight w:val="180"/>
          <w:tblCellSpacing w:w="15" w:type="dxa"/>
        </w:trPr>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10.4</w:t>
            </w:r>
            <w:r>
              <w:rPr>
                <w:rFonts w:ascii="Arial" w:hAnsi="Arial" w:cs="Arial"/>
                <w:sz w:val="18"/>
                <w:szCs w:val="18"/>
              </w:rPr>
              <w:t>+</w:t>
            </w:r>
            <w:r>
              <w:rPr>
                <w:rFonts w:ascii="Arial" w:hAnsi="Arial" w:cs="Arial"/>
                <w:sz w:val="18"/>
                <w:szCs w:val="18"/>
              </w:rPr>
              <w:t xml:space="preserve"> </w:t>
            </w:r>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rPr>
                <w:sz w:val="18"/>
                <w:szCs w:val="18"/>
              </w:rPr>
            </w:pPr>
            <w:hyperlink r:id="rId13" w:history="1">
              <w:r>
                <w:rPr>
                  <w:rStyle w:val="a4"/>
                  <w:rFonts w:ascii="Arial" w:hAnsi="Arial" w:cs="Arial"/>
                  <w:sz w:val="18"/>
                  <w:szCs w:val="18"/>
                </w:rPr>
                <w:t>Executive Incentive Compensation Pla</w:t>
              </w:r>
              <w:r>
                <w:rPr>
                  <w:rStyle w:val="a4"/>
                  <w:rFonts w:ascii="Arial" w:hAnsi="Arial" w:cs="Arial"/>
                  <w:sz w:val="18"/>
                  <w:szCs w:val="18"/>
                </w:rPr>
                <w:t>n</w:t>
              </w:r>
            </w:hyperlink>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S-1/</w:t>
            </w:r>
            <w:r>
              <w:rPr>
                <w:rFonts w:ascii="Arial" w:hAnsi="Arial" w:cs="Arial"/>
                <w:sz w:val="18"/>
                <w:szCs w:val="18"/>
              </w:rPr>
              <w:t>A</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333- 25568</w:t>
            </w:r>
            <w:r>
              <w:rPr>
                <w:rFonts w:ascii="Arial" w:hAnsi="Arial" w:cs="Arial"/>
                <w:sz w:val="18"/>
                <w:szCs w:val="18"/>
              </w:rPr>
              <w:t>3</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 10.</w:t>
            </w:r>
            <w:r>
              <w:rPr>
                <w:rFonts w:ascii="Arial" w:hAnsi="Arial" w:cs="Arial"/>
                <w:sz w:val="18"/>
                <w:szCs w:val="18"/>
              </w:rPr>
              <w:t>4</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May 17, 202</w:t>
            </w:r>
            <w:r>
              <w:rPr>
                <w:rFonts w:ascii="Arial" w:hAnsi="Arial" w:cs="Arial"/>
                <w:sz w:val="18"/>
                <w:szCs w:val="18"/>
              </w:rPr>
              <w:t>1</w:t>
            </w:r>
            <w:r>
              <w:rPr>
                <w:rFonts w:ascii="Arial" w:hAnsi="Arial" w:cs="Arial"/>
                <w:sz w:val="18"/>
                <w:szCs w:val="18"/>
              </w:rPr>
              <w:t xml:space="preserve"> </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 </w:t>
            </w:r>
          </w:p>
        </w:tc>
      </w:tr>
      <w:tr w:rsidR="00000000">
        <w:trPr>
          <w:tblCellSpacing w:w="15" w:type="dxa"/>
        </w:trPr>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r>
      <w:tr w:rsidR="00000000">
        <w:trPr>
          <w:trHeight w:val="180"/>
          <w:tblCellSpacing w:w="15" w:type="dxa"/>
        </w:trPr>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10.5</w:t>
            </w:r>
            <w:r>
              <w:rPr>
                <w:rFonts w:ascii="Arial" w:hAnsi="Arial" w:cs="Arial"/>
                <w:sz w:val="18"/>
                <w:szCs w:val="18"/>
              </w:rPr>
              <w:t>+</w:t>
            </w:r>
            <w:r>
              <w:rPr>
                <w:rFonts w:ascii="Arial" w:hAnsi="Arial" w:cs="Arial"/>
                <w:sz w:val="18"/>
                <w:szCs w:val="18"/>
              </w:rPr>
              <w:t xml:space="preserve">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8"/>
                <w:szCs w:val="18"/>
              </w:rPr>
            </w:pPr>
            <w:hyperlink r:id="rId14" w:history="1">
              <w:r>
                <w:rPr>
                  <w:rStyle w:val="a4"/>
                  <w:rFonts w:ascii="Arial" w:hAnsi="Arial" w:cs="Arial"/>
                  <w:sz w:val="18"/>
                  <w:szCs w:val="18"/>
                </w:rPr>
                <w:t>Outside Director Compensation Polic</w:t>
              </w:r>
              <w:r>
                <w:rPr>
                  <w:rStyle w:val="a4"/>
                  <w:rFonts w:ascii="Arial" w:hAnsi="Arial" w:cs="Arial"/>
                  <w:sz w:val="18"/>
                  <w:szCs w:val="18"/>
                </w:rPr>
                <w:t>y</w:t>
              </w:r>
            </w:hyperlink>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S-1/</w:t>
            </w:r>
            <w:r>
              <w:rPr>
                <w:rFonts w:ascii="Arial" w:hAnsi="Arial" w:cs="Arial"/>
                <w:sz w:val="18"/>
                <w:szCs w:val="18"/>
              </w:rPr>
              <w:t>A</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333- 25568</w:t>
            </w:r>
            <w:r>
              <w:rPr>
                <w:rFonts w:ascii="Arial" w:hAnsi="Arial" w:cs="Arial"/>
                <w:sz w:val="18"/>
                <w:szCs w:val="18"/>
              </w:rPr>
              <w:t>3</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10.</w:t>
            </w:r>
            <w:r>
              <w:rPr>
                <w:rFonts w:ascii="Arial" w:hAnsi="Arial" w:cs="Arial"/>
                <w:sz w:val="18"/>
                <w:szCs w:val="18"/>
              </w:rPr>
              <w:t>5</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May 17, 202</w:t>
            </w:r>
            <w:r>
              <w:rPr>
                <w:rFonts w:ascii="Arial" w:hAnsi="Arial" w:cs="Arial"/>
                <w:sz w:val="18"/>
                <w:szCs w:val="18"/>
              </w:rPr>
              <w:t>1</w:t>
            </w:r>
            <w:r>
              <w:rPr>
                <w:rFonts w:ascii="Arial" w:hAnsi="Arial" w:cs="Arial"/>
                <w:sz w:val="18"/>
                <w:szCs w:val="18"/>
              </w:rPr>
              <w:t xml:space="preserve"> </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 </w:t>
            </w:r>
          </w:p>
        </w:tc>
      </w:tr>
    </w:tbl>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120" w:beforeAutospacing="0" w:after="0" w:afterAutospacing="0"/>
        <w:jc w:val="center"/>
        <w:rPr>
          <w:sz w:val="20"/>
          <w:szCs w:val="20"/>
        </w:rPr>
      </w:pPr>
      <w:r>
        <w:rPr>
          <w:rFonts w:ascii="Arial" w:hAnsi="Arial" w:cs="Arial"/>
          <w:sz w:val="20"/>
          <w:szCs w:val="20"/>
        </w:rPr>
        <w:t>10</w:t>
      </w:r>
      <w:r>
        <w:rPr>
          <w:rFonts w:ascii="Arial" w:hAnsi="Arial" w:cs="Arial"/>
          <w:sz w:val="20"/>
          <w:szCs w:val="20"/>
        </w:rPr>
        <w:t>3</w:t>
      </w:r>
    </w:p>
    <w:p w:rsidR="00000000" w:rsidRDefault="00010F15">
      <w:pPr>
        <w:rPr>
          <w:rFonts w:eastAsia="Times New Roman"/>
        </w:rPr>
      </w:pPr>
      <w:r>
        <w:rPr>
          <w:rFonts w:eastAsia="Times New Roman"/>
        </w:rPr>
        <w:pict>
          <v:rect id="_x0000_i1128"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79"/>
        <w:gridCol w:w="113"/>
        <w:gridCol w:w="2972"/>
        <w:gridCol w:w="113"/>
        <w:gridCol w:w="763"/>
        <w:gridCol w:w="847"/>
        <w:gridCol w:w="683"/>
        <w:gridCol w:w="1090"/>
        <w:gridCol w:w="946"/>
      </w:tblGrid>
      <w:tr w:rsidR="00000000">
        <w:trPr>
          <w:tblCellSpacing w:w="15" w:type="dxa"/>
        </w:trPr>
        <w:tc>
          <w:tcPr>
            <w:tcW w:w="459" w:type="pct"/>
            <w:vAlign w:val="center"/>
            <w:hideMark/>
          </w:tcPr>
          <w:p w:rsidR="00000000" w:rsidRDefault="00010F15">
            <w:pPr>
              <w:rPr>
                <w:sz w:val="20"/>
                <w:szCs w:val="20"/>
              </w:rPr>
            </w:pPr>
          </w:p>
        </w:tc>
        <w:tc>
          <w:tcPr>
            <w:tcW w:w="51" w:type="pct"/>
            <w:vAlign w:val="center"/>
            <w:hideMark/>
          </w:tcPr>
          <w:p w:rsidR="00000000" w:rsidRDefault="00010F15">
            <w:pPr>
              <w:rPr>
                <w:rFonts w:eastAsia="Times New Roman"/>
                <w:sz w:val="20"/>
                <w:szCs w:val="20"/>
              </w:rPr>
            </w:pPr>
          </w:p>
        </w:tc>
        <w:tc>
          <w:tcPr>
            <w:tcW w:w="1837" w:type="pct"/>
            <w:vAlign w:val="center"/>
            <w:hideMark/>
          </w:tcPr>
          <w:p w:rsidR="00000000" w:rsidRDefault="00010F15">
            <w:pPr>
              <w:rPr>
                <w:rFonts w:eastAsia="Times New Roman"/>
                <w:sz w:val="20"/>
                <w:szCs w:val="20"/>
              </w:rPr>
            </w:pPr>
          </w:p>
        </w:tc>
        <w:tc>
          <w:tcPr>
            <w:tcW w:w="51" w:type="pct"/>
            <w:vAlign w:val="center"/>
            <w:hideMark/>
          </w:tcPr>
          <w:p w:rsidR="00000000" w:rsidRDefault="00010F15">
            <w:pPr>
              <w:rPr>
                <w:rFonts w:eastAsia="Times New Roman"/>
                <w:sz w:val="20"/>
                <w:szCs w:val="20"/>
              </w:rPr>
            </w:pPr>
          </w:p>
        </w:tc>
        <w:tc>
          <w:tcPr>
            <w:tcW w:w="458" w:type="pct"/>
            <w:vAlign w:val="center"/>
            <w:hideMark/>
          </w:tcPr>
          <w:p w:rsidR="00000000" w:rsidRDefault="00010F15">
            <w:pPr>
              <w:rPr>
                <w:rFonts w:eastAsia="Times New Roman"/>
                <w:sz w:val="20"/>
                <w:szCs w:val="20"/>
              </w:rPr>
            </w:pPr>
          </w:p>
        </w:tc>
        <w:tc>
          <w:tcPr>
            <w:tcW w:w="510" w:type="pct"/>
            <w:vAlign w:val="center"/>
            <w:hideMark/>
          </w:tcPr>
          <w:p w:rsidR="00000000" w:rsidRDefault="00010F15">
            <w:pPr>
              <w:rPr>
                <w:rFonts w:eastAsia="Times New Roman"/>
                <w:sz w:val="20"/>
                <w:szCs w:val="20"/>
              </w:rPr>
            </w:pPr>
          </w:p>
        </w:tc>
        <w:tc>
          <w:tcPr>
            <w:tcW w:w="408" w:type="pct"/>
            <w:vAlign w:val="center"/>
            <w:hideMark/>
          </w:tcPr>
          <w:p w:rsidR="00000000" w:rsidRDefault="00010F15">
            <w:pPr>
              <w:rPr>
                <w:rFonts w:eastAsia="Times New Roman"/>
                <w:sz w:val="20"/>
                <w:szCs w:val="20"/>
              </w:rPr>
            </w:pPr>
          </w:p>
        </w:tc>
        <w:tc>
          <w:tcPr>
            <w:tcW w:w="662" w:type="pct"/>
            <w:vAlign w:val="center"/>
            <w:hideMark/>
          </w:tcPr>
          <w:p w:rsidR="00000000" w:rsidRDefault="00010F15">
            <w:pPr>
              <w:rPr>
                <w:rFonts w:eastAsia="Times New Roman"/>
                <w:sz w:val="20"/>
                <w:szCs w:val="20"/>
              </w:rPr>
            </w:pPr>
          </w:p>
        </w:tc>
        <w:tc>
          <w:tcPr>
            <w:tcW w:w="561" w:type="pct"/>
            <w:vAlign w:val="center"/>
            <w:hideMark/>
          </w:tcPr>
          <w:p w:rsidR="00000000" w:rsidRDefault="00010F15">
            <w:pPr>
              <w:rPr>
                <w:rFonts w:eastAsia="Times New Roman"/>
                <w:sz w:val="20"/>
                <w:szCs w:val="20"/>
              </w:rPr>
            </w:pPr>
          </w:p>
        </w:tc>
      </w:tr>
      <w:tr w:rsidR="00000000">
        <w:trPr>
          <w:trHeight w:val="180"/>
          <w:tblCellSpacing w:w="15" w:type="dxa"/>
        </w:trPr>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010F15">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010F15">
            <w:pPr>
              <w:pStyle w:val="a3"/>
              <w:spacing w:before="0" w:beforeAutospacing="0" w:after="0" w:afterAutospacing="0"/>
              <w:rPr>
                <w:sz w:val="12"/>
                <w:szCs w:val="12"/>
              </w:rPr>
            </w:pPr>
            <w:r>
              <w:rPr>
                <w:rFonts w:ascii="Arial" w:hAnsi="Arial" w:cs="Arial"/>
                <w:sz w:val="12"/>
                <w:szCs w:val="12"/>
              </w:rPr>
              <w:t> </w:t>
            </w:r>
          </w:p>
        </w:tc>
        <w:tc>
          <w:tcPr>
            <w:tcW w:w="0" w:type="auto"/>
            <w:gridSpan w:val="4"/>
            <w:tcBorders>
              <w:bottom w:val="single" w:sz="4" w:space="0" w:color="auto"/>
            </w:tcBorders>
            <w:hideMark/>
          </w:tcPr>
          <w:p w:rsidR="00000000" w:rsidRDefault="00010F15">
            <w:pPr>
              <w:pStyle w:val="a3"/>
              <w:spacing w:before="0" w:beforeAutospacing="0" w:after="0" w:afterAutospacing="0"/>
              <w:jc w:val="center"/>
              <w:rPr>
                <w:sz w:val="18"/>
                <w:szCs w:val="18"/>
              </w:rPr>
            </w:pPr>
            <w:r>
              <w:rPr>
                <w:rFonts w:ascii="Arial" w:hAnsi="Arial" w:cs="Arial"/>
                <w:b/>
                <w:bCs/>
                <w:sz w:val="18"/>
                <w:szCs w:val="18"/>
              </w:rPr>
              <w:t>Incorporated by Referenc</w:t>
            </w:r>
            <w:r>
              <w:rPr>
                <w:rFonts w:ascii="Arial" w:hAnsi="Arial" w:cs="Arial"/>
                <w:b/>
                <w:bCs/>
                <w:sz w:val="18"/>
                <w:szCs w:val="18"/>
              </w:rPr>
              <w:t>e</w:t>
            </w:r>
            <w:r>
              <w:rPr>
                <w:rFonts w:ascii="Arial" w:hAnsi="Arial" w:cs="Arial"/>
                <w:sz w:val="12"/>
                <w:szCs w:val="12"/>
              </w:rPr>
              <w:t xml:space="preserve"> </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 </w:t>
            </w:r>
          </w:p>
        </w:tc>
      </w:tr>
      <w:tr w:rsidR="00000000">
        <w:trPr>
          <w:trHeight w:val="180"/>
          <w:tblCellSpacing w:w="15" w:type="dxa"/>
        </w:trPr>
        <w:tc>
          <w:tcPr>
            <w:tcW w:w="0" w:type="auto"/>
            <w:tcBorders>
              <w:bottom w:val="single" w:sz="4" w:space="0" w:color="auto"/>
            </w:tcBorders>
            <w:vAlign w:val="bottom"/>
            <w:hideMark/>
          </w:tcPr>
          <w:p w:rsidR="00000000" w:rsidRDefault="00010F15">
            <w:pPr>
              <w:pStyle w:val="a3"/>
              <w:spacing w:before="0" w:beforeAutospacing="0" w:after="0" w:afterAutospacing="0"/>
              <w:jc w:val="center"/>
              <w:rPr>
                <w:sz w:val="18"/>
                <w:szCs w:val="18"/>
              </w:rPr>
            </w:pPr>
            <w:r>
              <w:rPr>
                <w:rFonts w:ascii="Arial" w:hAnsi="Arial" w:cs="Arial"/>
                <w:b/>
                <w:bCs/>
                <w:sz w:val="18"/>
                <w:szCs w:val="18"/>
              </w:rPr>
              <w:t>Exhibi</w:t>
            </w:r>
            <w:r>
              <w:rPr>
                <w:rFonts w:ascii="Arial" w:hAnsi="Arial" w:cs="Arial"/>
                <w:b/>
                <w:bCs/>
                <w:sz w:val="18"/>
                <w:szCs w:val="18"/>
              </w:rPr>
              <w:t>t</w:t>
            </w:r>
          </w:p>
          <w:p w:rsidR="00000000" w:rsidRDefault="00010F15">
            <w:pPr>
              <w:pStyle w:val="a3"/>
              <w:spacing w:before="0" w:beforeAutospacing="0" w:after="0" w:afterAutospacing="0"/>
              <w:jc w:val="center"/>
              <w:rPr>
                <w:sz w:val="18"/>
                <w:szCs w:val="18"/>
              </w:rPr>
            </w:pPr>
            <w:r>
              <w:rPr>
                <w:rFonts w:ascii="Arial" w:hAnsi="Arial" w:cs="Arial"/>
                <w:b/>
                <w:bCs/>
                <w:sz w:val="18"/>
                <w:szCs w:val="18"/>
              </w:rPr>
              <w:t>Numbe</w:t>
            </w:r>
            <w:r>
              <w:rPr>
                <w:rFonts w:ascii="Arial" w:hAnsi="Arial" w:cs="Arial"/>
                <w:b/>
                <w:bCs/>
                <w:sz w:val="18"/>
                <w:szCs w:val="18"/>
              </w:rPr>
              <w:t>r</w:t>
            </w:r>
          </w:p>
        </w:tc>
        <w:tc>
          <w:tcPr>
            <w:tcW w:w="0" w:type="auto"/>
            <w:hideMark/>
          </w:tcPr>
          <w:p w:rsidR="00000000" w:rsidRDefault="00010F15">
            <w:pPr>
              <w:pStyle w:val="a3"/>
              <w:spacing w:before="0" w:beforeAutospacing="0" w:after="0" w:afterAutospacing="0"/>
              <w:rPr>
                <w:sz w:val="12"/>
                <w:szCs w:val="12"/>
              </w:rPr>
            </w:pPr>
            <w:r>
              <w:rPr>
                <w:rFonts w:ascii="Arial" w:hAnsi="Arial" w:cs="Arial"/>
                <w:sz w:val="12"/>
                <w:szCs w:val="12"/>
              </w:rPr>
              <w:t> </w:t>
            </w:r>
          </w:p>
        </w:tc>
        <w:tc>
          <w:tcPr>
            <w:tcW w:w="0" w:type="auto"/>
            <w:tcBorders>
              <w:bottom w:val="single" w:sz="4" w:space="0" w:color="auto"/>
            </w:tcBorders>
            <w:vAlign w:val="bottom"/>
            <w:hideMark/>
          </w:tcPr>
          <w:p w:rsidR="00000000" w:rsidRDefault="00010F15">
            <w:pPr>
              <w:pStyle w:val="a3"/>
              <w:spacing w:before="0" w:beforeAutospacing="0" w:after="0" w:afterAutospacing="0"/>
              <w:jc w:val="center"/>
              <w:rPr>
                <w:sz w:val="18"/>
                <w:szCs w:val="18"/>
              </w:rPr>
            </w:pPr>
            <w:r>
              <w:rPr>
                <w:rFonts w:ascii="Arial" w:hAnsi="Arial" w:cs="Arial"/>
                <w:b/>
                <w:bCs/>
                <w:sz w:val="18"/>
                <w:szCs w:val="18"/>
              </w:rPr>
              <w:t>Descriptio</w:t>
            </w:r>
            <w:r>
              <w:rPr>
                <w:rFonts w:ascii="Arial" w:hAnsi="Arial" w:cs="Arial"/>
                <w:b/>
                <w:bCs/>
                <w:sz w:val="18"/>
                <w:szCs w:val="18"/>
              </w:rPr>
              <w:t>n</w:t>
            </w:r>
          </w:p>
        </w:tc>
        <w:tc>
          <w:tcPr>
            <w:tcW w:w="0" w:type="auto"/>
            <w:tcBorders>
              <w:bottom w:val="single" w:sz="4" w:space="0" w:color="auto"/>
            </w:tcBorders>
            <w:vAlign w:val="bottom"/>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tcBorders>
              <w:bottom w:val="single" w:sz="4" w:space="0" w:color="auto"/>
            </w:tcBorders>
            <w:vAlign w:val="bottom"/>
            <w:hideMark/>
          </w:tcPr>
          <w:p w:rsidR="00000000" w:rsidRDefault="00010F15">
            <w:pPr>
              <w:pStyle w:val="a3"/>
              <w:spacing w:before="0" w:beforeAutospacing="0" w:after="0" w:afterAutospacing="0"/>
              <w:jc w:val="center"/>
              <w:rPr>
                <w:sz w:val="18"/>
                <w:szCs w:val="18"/>
              </w:rPr>
            </w:pPr>
            <w:r>
              <w:rPr>
                <w:rFonts w:ascii="Arial" w:hAnsi="Arial" w:cs="Arial"/>
                <w:b/>
                <w:bCs/>
                <w:sz w:val="18"/>
                <w:szCs w:val="18"/>
              </w:rPr>
              <w:t>For</w:t>
            </w:r>
            <w:r>
              <w:rPr>
                <w:rFonts w:ascii="Arial" w:hAnsi="Arial" w:cs="Arial"/>
                <w:b/>
                <w:bCs/>
                <w:sz w:val="18"/>
                <w:szCs w:val="18"/>
              </w:rPr>
              <w:t>m</w:t>
            </w:r>
          </w:p>
        </w:tc>
        <w:tc>
          <w:tcPr>
            <w:tcW w:w="0" w:type="auto"/>
            <w:tcBorders>
              <w:bottom w:val="single" w:sz="4" w:space="0" w:color="auto"/>
            </w:tcBorders>
            <w:vAlign w:val="bottom"/>
            <w:hideMark/>
          </w:tcPr>
          <w:p w:rsidR="00000000" w:rsidRDefault="00010F15">
            <w:pPr>
              <w:pStyle w:val="a3"/>
              <w:spacing w:before="0" w:beforeAutospacing="0" w:after="0" w:afterAutospacing="0"/>
              <w:jc w:val="center"/>
              <w:rPr>
                <w:sz w:val="18"/>
                <w:szCs w:val="18"/>
              </w:rPr>
            </w:pPr>
            <w:r>
              <w:rPr>
                <w:rFonts w:ascii="Arial" w:hAnsi="Arial" w:cs="Arial"/>
                <w:b/>
                <w:bCs/>
                <w:sz w:val="18"/>
                <w:szCs w:val="18"/>
              </w:rPr>
              <w:t>File No</w:t>
            </w:r>
            <w:r>
              <w:rPr>
                <w:rFonts w:ascii="Arial" w:hAnsi="Arial" w:cs="Arial"/>
                <w:b/>
                <w:bCs/>
                <w:sz w:val="18"/>
                <w:szCs w:val="18"/>
              </w:rPr>
              <w:t>.</w:t>
            </w:r>
            <w:r>
              <w:rPr>
                <w:rFonts w:ascii="Arial" w:hAnsi="Arial" w:cs="Arial"/>
                <w:sz w:val="12"/>
                <w:szCs w:val="12"/>
              </w:rPr>
              <w:t xml:space="preserve"> </w:t>
            </w:r>
          </w:p>
        </w:tc>
        <w:tc>
          <w:tcPr>
            <w:tcW w:w="0" w:type="auto"/>
            <w:tcBorders>
              <w:bottom w:val="single" w:sz="4" w:space="0" w:color="auto"/>
            </w:tcBorders>
            <w:vAlign w:val="bottom"/>
            <w:hideMark/>
          </w:tcPr>
          <w:p w:rsidR="00000000" w:rsidRDefault="00010F15">
            <w:pPr>
              <w:pStyle w:val="a3"/>
              <w:spacing w:before="0" w:beforeAutospacing="0" w:after="0" w:afterAutospacing="0"/>
              <w:jc w:val="center"/>
              <w:rPr>
                <w:sz w:val="18"/>
                <w:szCs w:val="18"/>
              </w:rPr>
            </w:pPr>
            <w:r>
              <w:rPr>
                <w:rFonts w:ascii="Arial" w:hAnsi="Arial" w:cs="Arial"/>
                <w:b/>
                <w:bCs/>
                <w:sz w:val="18"/>
                <w:szCs w:val="18"/>
              </w:rPr>
              <w:t>Exhibi</w:t>
            </w:r>
            <w:r>
              <w:rPr>
                <w:rFonts w:ascii="Arial" w:hAnsi="Arial" w:cs="Arial"/>
                <w:b/>
                <w:bCs/>
                <w:sz w:val="18"/>
                <w:szCs w:val="18"/>
              </w:rPr>
              <w:t>t</w:t>
            </w:r>
          </w:p>
        </w:tc>
        <w:tc>
          <w:tcPr>
            <w:tcW w:w="0" w:type="auto"/>
            <w:tcBorders>
              <w:bottom w:val="single" w:sz="4" w:space="0" w:color="auto"/>
            </w:tcBorders>
            <w:vAlign w:val="bottom"/>
            <w:hideMark/>
          </w:tcPr>
          <w:p w:rsidR="00000000" w:rsidRDefault="00010F15">
            <w:pPr>
              <w:pStyle w:val="a3"/>
              <w:spacing w:before="0" w:beforeAutospacing="0" w:after="0" w:afterAutospacing="0"/>
              <w:jc w:val="center"/>
              <w:rPr>
                <w:sz w:val="18"/>
                <w:szCs w:val="18"/>
              </w:rPr>
            </w:pPr>
            <w:r>
              <w:rPr>
                <w:rFonts w:ascii="Arial" w:hAnsi="Arial" w:cs="Arial"/>
                <w:b/>
                <w:bCs/>
                <w:sz w:val="18"/>
                <w:szCs w:val="18"/>
              </w:rPr>
              <w:t>Filing Dat</w:t>
            </w:r>
            <w:r>
              <w:rPr>
                <w:rFonts w:ascii="Arial" w:hAnsi="Arial" w:cs="Arial"/>
                <w:b/>
                <w:bCs/>
                <w:sz w:val="18"/>
                <w:szCs w:val="18"/>
              </w:rPr>
              <w:t>e</w:t>
            </w:r>
            <w:r>
              <w:rPr>
                <w:rFonts w:ascii="Arial" w:hAnsi="Arial" w:cs="Arial"/>
                <w:sz w:val="12"/>
                <w:szCs w:val="12"/>
              </w:rPr>
              <w:t xml:space="preserve"> </w:t>
            </w:r>
          </w:p>
        </w:tc>
        <w:tc>
          <w:tcPr>
            <w:tcW w:w="0" w:type="auto"/>
            <w:tcBorders>
              <w:bottom w:val="single" w:sz="4" w:space="0" w:color="auto"/>
            </w:tcBorders>
            <w:hideMark/>
          </w:tcPr>
          <w:p w:rsidR="00000000" w:rsidRDefault="00010F15">
            <w:pPr>
              <w:pStyle w:val="a3"/>
              <w:spacing w:before="0" w:beforeAutospacing="0" w:after="0" w:afterAutospacing="0"/>
              <w:jc w:val="center"/>
              <w:rPr>
                <w:sz w:val="18"/>
                <w:szCs w:val="18"/>
              </w:rPr>
            </w:pPr>
            <w:r>
              <w:rPr>
                <w:rFonts w:ascii="Arial" w:hAnsi="Arial" w:cs="Arial"/>
                <w:b/>
                <w:bCs/>
                <w:sz w:val="18"/>
                <w:szCs w:val="18"/>
              </w:rPr>
              <w:t>Filed</w:t>
            </w:r>
            <w:r>
              <w:rPr>
                <w:rFonts w:ascii="Arial" w:hAnsi="Arial" w:cs="Arial"/>
                <w:b/>
                <w:bCs/>
                <w:sz w:val="18"/>
                <w:szCs w:val="18"/>
              </w:rPr>
              <w:t>/</w:t>
            </w:r>
          </w:p>
          <w:p w:rsidR="00000000" w:rsidRDefault="00010F15">
            <w:pPr>
              <w:pStyle w:val="a3"/>
              <w:spacing w:before="0" w:beforeAutospacing="0" w:after="0" w:afterAutospacing="0"/>
              <w:jc w:val="center"/>
              <w:rPr>
                <w:sz w:val="18"/>
                <w:szCs w:val="18"/>
              </w:rPr>
            </w:pPr>
            <w:r>
              <w:rPr>
                <w:rFonts w:ascii="Arial" w:hAnsi="Arial" w:cs="Arial"/>
                <w:b/>
                <w:bCs/>
                <w:sz w:val="18"/>
                <w:szCs w:val="18"/>
              </w:rPr>
              <w:t>Furnished Herewit</w:t>
            </w:r>
            <w:r>
              <w:rPr>
                <w:rFonts w:ascii="Arial" w:hAnsi="Arial" w:cs="Arial"/>
                <w:b/>
                <w:bCs/>
                <w:sz w:val="18"/>
                <w:szCs w:val="18"/>
              </w:rPr>
              <w:t>h</w:t>
            </w:r>
          </w:p>
        </w:tc>
      </w:tr>
      <w:tr w:rsidR="00000000">
        <w:trPr>
          <w:trHeight w:val="120"/>
          <w:tblCellSpacing w:w="15" w:type="dxa"/>
        </w:trPr>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r>
      <w:tr w:rsidR="00000000">
        <w:trPr>
          <w:trHeight w:val="180"/>
          <w:tblCellSpacing w:w="15" w:type="dxa"/>
        </w:trPr>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10.6</w:t>
            </w:r>
            <w:r>
              <w:rPr>
                <w:rFonts w:ascii="Arial" w:hAnsi="Arial" w:cs="Arial"/>
                <w:sz w:val="18"/>
                <w:szCs w:val="18"/>
              </w:rPr>
              <w:t>+</w:t>
            </w:r>
            <w:r>
              <w:rPr>
                <w:rFonts w:ascii="Arial" w:hAnsi="Arial" w:cs="Arial"/>
                <w:sz w:val="18"/>
                <w:szCs w:val="18"/>
              </w:rPr>
              <w:t xml:space="preserve"> </w:t>
            </w:r>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rPr>
                <w:sz w:val="18"/>
                <w:szCs w:val="18"/>
              </w:rPr>
            </w:pPr>
            <w:hyperlink r:id="rId15" w:history="1">
              <w:r>
                <w:rPr>
                  <w:rStyle w:val="a4"/>
                  <w:rFonts w:ascii="Arial" w:hAnsi="Arial" w:cs="Arial"/>
                  <w:sz w:val="18"/>
                  <w:szCs w:val="18"/>
                </w:rPr>
                <w:t>Confirmatory Employment Letter by and between the registrant and Dushyant Sharm</w:t>
              </w:r>
              <w:r>
                <w:rPr>
                  <w:rStyle w:val="a4"/>
                  <w:rFonts w:ascii="Arial" w:hAnsi="Arial" w:cs="Arial"/>
                  <w:sz w:val="18"/>
                  <w:szCs w:val="18"/>
                </w:rPr>
                <w:t>a</w:t>
              </w:r>
            </w:hyperlink>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S-1/</w:t>
            </w:r>
            <w:r>
              <w:rPr>
                <w:rFonts w:ascii="Arial" w:hAnsi="Arial" w:cs="Arial"/>
                <w:sz w:val="18"/>
                <w:szCs w:val="18"/>
              </w:rPr>
              <w:t>A</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333- 25568</w:t>
            </w:r>
            <w:r>
              <w:rPr>
                <w:rFonts w:ascii="Arial" w:hAnsi="Arial" w:cs="Arial"/>
                <w:sz w:val="18"/>
                <w:szCs w:val="18"/>
              </w:rPr>
              <w:t>3</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10.</w:t>
            </w:r>
            <w:r>
              <w:rPr>
                <w:rFonts w:ascii="Arial" w:hAnsi="Arial" w:cs="Arial"/>
                <w:sz w:val="18"/>
                <w:szCs w:val="18"/>
              </w:rPr>
              <w:t>6</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May 17, 202</w:t>
            </w:r>
            <w:r>
              <w:rPr>
                <w:rFonts w:ascii="Arial" w:hAnsi="Arial" w:cs="Arial"/>
                <w:sz w:val="18"/>
                <w:szCs w:val="18"/>
              </w:rPr>
              <w:t>1</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r>
      <w:tr w:rsidR="00000000">
        <w:trPr>
          <w:trHeight w:val="120"/>
          <w:tblCellSpacing w:w="15" w:type="dxa"/>
        </w:trPr>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r>
      <w:tr w:rsidR="00000000">
        <w:trPr>
          <w:trHeight w:val="180"/>
          <w:tblCellSpacing w:w="15" w:type="dxa"/>
        </w:trPr>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10.7</w:t>
            </w:r>
            <w:r>
              <w:rPr>
                <w:rFonts w:ascii="Arial" w:hAnsi="Arial" w:cs="Arial"/>
                <w:sz w:val="18"/>
                <w:szCs w:val="18"/>
              </w:rPr>
              <w:t>+</w:t>
            </w:r>
            <w:r>
              <w:rPr>
                <w:rFonts w:ascii="Arial" w:hAnsi="Arial" w:cs="Arial"/>
                <w:sz w:val="18"/>
                <w:szCs w:val="18"/>
              </w:rPr>
              <w:t xml:space="preserve"> </w:t>
            </w:r>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rPr>
                <w:sz w:val="18"/>
                <w:szCs w:val="18"/>
              </w:rPr>
            </w:pPr>
            <w:hyperlink r:id="rId16" w:history="1">
              <w:r>
                <w:rPr>
                  <w:rStyle w:val="a4"/>
                  <w:rFonts w:ascii="Arial" w:hAnsi="Arial" w:cs="Arial"/>
                  <w:sz w:val="18"/>
                  <w:szCs w:val="18"/>
                </w:rPr>
                <w:t>Confirmatory Employment Letter by and between the registrant and Matt Parso</w:t>
              </w:r>
              <w:r>
                <w:rPr>
                  <w:rStyle w:val="a4"/>
                  <w:rFonts w:ascii="Arial" w:hAnsi="Arial" w:cs="Arial"/>
                  <w:sz w:val="18"/>
                  <w:szCs w:val="18"/>
                </w:rPr>
                <w:t>n</w:t>
              </w:r>
            </w:hyperlink>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S-1/</w:t>
            </w:r>
            <w:r>
              <w:rPr>
                <w:rFonts w:ascii="Arial" w:hAnsi="Arial" w:cs="Arial"/>
                <w:sz w:val="18"/>
                <w:szCs w:val="18"/>
              </w:rPr>
              <w:t>A</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333- 25568</w:t>
            </w:r>
            <w:r>
              <w:rPr>
                <w:rFonts w:ascii="Arial" w:hAnsi="Arial" w:cs="Arial"/>
                <w:sz w:val="18"/>
                <w:szCs w:val="18"/>
              </w:rPr>
              <w:t>3</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10.</w:t>
            </w:r>
            <w:r>
              <w:rPr>
                <w:rFonts w:ascii="Arial" w:hAnsi="Arial" w:cs="Arial"/>
                <w:sz w:val="18"/>
                <w:szCs w:val="18"/>
              </w:rPr>
              <w:t>7</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May 17, 202</w:t>
            </w:r>
            <w:r>
              <w:rPr>
                <w:rFonts w:ascii="Arial" w:hAnsi="Arial" w:cs="Arial"/>
                <w:sz w:val="18"/>
                <w:szCs w:val="18"/>
              </w:rPr>
              <w:t>1</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r>
      <w:tr w:rsidR="00000000">
        <w:trPr>
          <w:trHeight w:val="120"/>
          <w:tblCellSpacing w:w="15" w:type="dxa"/>
        </w:trPr>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r>
      <w:tr w:rsidR="00000000">
        <w:trPr>
          <w:trHeight w:val="180"/>
          <w:tblCellSpacing w:w="15" w:type="dxa"/>
        </w:trPr>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10.8</w:t>
            </w:r>
            <w:r>
              <w:rPr>
                <w:rFonts w:ascii="Arial" w:hAnsi="Arial" w:cs="Arial"/>
                <w:sz w:val="18"/>
                <w:szCs w:val="18"/>
              </w:rPr>
              <w:t>+</w:t>
            </w:r>
            <w:r>
              <w:rPr>
                <w:rFonts w:ascii="Arial" w:hAnsi="Arial" w:cs="Arial"/>
                <w:sz w:val="18"/>
                <w:szCs w:val="18"/>
              </w:rPr>
              <w:t xml:space="preserve"> </w:t>
            </w:r>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rPr>
                <w:sz w:val="18"/>
                <w:szCs w:val="18"/>
              </w:rPr>
            </w:pPr>
            <w:hyperlink r:id="rId17" w:history="1">
              <w:r>
                <w:rPr>
                  <w:rStyle w:val="a4"/>
                  <w:rFonts w:ascii="Arial" w:hAnsi="Arial" w:cs="Arial"/>
                  <w:sz w:val="18"/>
                  <w:szCs w:val="18"/>
                </w:rPr>
                <w:t>Confirmatory Employment Letter by and between the registrant and John Morro</w:t>
              </w:r>
              <w:r>
                <w:rPr>
                  <w:rStyle w:val="a4"/>
                  <w:rFonts w:ascii="Arial" w:hAnsi="Arial" w:cs="Arial"/>
                  <w:sz w:val="18"/>
                  <w:szCs w:val="18"/>
                </w:rPr>
                <w:t>w</w:t>
              </w:r>
            </w:hyperlink>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S-1/</w:t>
            </w:r>
            <w:r>
              <w:rPr>
                <w:rFonts w:ascii="Arial" w:hAnsi="Arial" w:cs="Arial"/>
                <w:sz w:val="18"/>
                <w:szCs w:val="18"/>
              </w:rPr>
              <w:t>A</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333- 25568</w:t>
            </w:r>
            <w:r>
              <w:rPr>
                <w:rFonts w:ascii="Arial" w:hAnsi="Arial" w:cs="Arial"/>
                <w:sz w:val="18"/>
                <w:szCs w:val="18"/>
              </w:rPr>
              <w:t>3</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10.</w:t>
            </w:r>
            <w:r>
              <w:rPr>
                <w:rFonts w:ascii="Arial" w:hAnsi="Arial" w:cs="Arial"/>
                <w:sz w:val="18"/>
                <w:szCs w:val="18"/>
              </w:rPr>
              <w:t>8</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May 17, 202</w:t>
            </w:r>
            <w:r>
              <w:rPr>
                <w:rFonts w:ascii="Arial" w:hAnsi="Arial" w:cs="Arial"/>
                <w:sz w:val="18"/>
                <w:szCs w:val="18"/>
              </w:rPr>
              <w:t>1</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r>
      <w:tr w:rsidR="00000000">
        <w:trPr>
          <w:trHeight w:val="120"/>
          <w:tblCellSpacing w:w="15" w:type="dxa"/>
        </w:trPr>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r>
      <w:tr w:rsidR="00000000">
        <w:trPr>
          <w:trHeight w:val="180"/>
          <w:tblCellSpacing w:w="15" w:type="dxa"/>
        </w:trPr>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10.9</w:t>
            </w:r>
            <w:r>
              <w:rPr>
                <w:rFonts w:ascii="Arial" w:hAnsi="Arial" w:cs="Arial"/>
                <w:sz w:val="18"/>
                <w:szCs w:val="18"/>
              </w:rPr>
              <w:t>+</w:t>
            </w:r>
            <w:r>
              <w:rPr>
                <w:rFonts w:ascii="Arial" w:hAnsi="Arial" w:cs="Arial"/>
                <w:sz w:val="18"/>
                <w:szCs w:val="18"/>
              </w:rPr>
              <w:t xml:space="preserve">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8"/>
                <w:szCs w:val="18"/>
              </w:rPr>
            </w:pPr>
            <w:hyperlink r:id="rId18" w:history="1">
              <w:r>
                <w:rPr>
                  <w:rStyle w:val="a4"/>
                  <w:rFonts w:ascii="Arial" w:hAnsi="Arial" w:cs="Arial"/>
                  <w:sz w:val="18"/>
                  <w:szCs w:val="18"/>
                </w:rPr>
                <w:t>Confirmatory Employment Letter by and between the registrant and Gerasimos (Jerry) Portocali</w:t>
              </w:r>
              <w:r>
                <w:rPr>
                  <w:rStyle w:val="a4"/>
                  <w:rFonts w:ascii="Arial" w:hAnsi="Arial" w:cs="Arial"/>
                  <w:sz w:val="18"/>
                  <w:szCs w:val="18"/>
                </w:rPr>
                <w:t>s</w:t>
              </w:r>
            </w:hyperlink>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X</w:t>
            </w:r>
          </w:p>
        </w:tc>
      </w:tr>
      <w:tr w:rsidR="00000000">
        <w:trPr>
          <w:trHeight w:val="120"/>
          <w:tblCellSpacing w:w="15" w:type="dxa"/>
        </w:trPr>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r>
      <w:tr w:rsidR="00000000">
        <w:trPr>
          <w:trHeight w:val="180"/>
          <w:tblCellSpacing w:w="15" w:type="dxa"/>
        </w:trPr>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10.10</w:t>
            </w:r>
            <w:r>
              <w:rPr>
                <w:rFonts w:ascii="Arial" w:hAnsi="Arial" w:cs="Arial"/>
                <w:sz w:val="18"/>
                <w:szCs w:val="18"/>
              </w:rPr>
              <w:t>+</w:t>
            </w:r>
            <w:r>
              <w:rPr>
                <w:rFonts w:ascii="Arial" w:hAnsi="Arial" w:cs="Arial"/>
                <w:sz w:val="18"/>
                <w:szCs w:val="18"/>
              </w:rPr>
              <w:t xml:space="preserve"> </w:t>
            </w:r>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rPr>
                <w:sz w:val="18"/>
                <w:szCs w:val="18"/>
              </w:rPr>
            </w:pPr>
            <w:hyperlink r:id="rId19" w:history="1">
              <w:r>
                <w:rPr>
                  <w:rStyle w:val="a4"/>
                  <w:rFonts w:ascii="Arial" w:hAnsi="Arial" w:cs="Arial"/>
                  <w:sz w:val="18"/>
                  <w:szCs w:val="18"/>
                </w:rPr>
                <w:t>Change in Control and Severance Agreement by and between the registrant and Dushyant Sharm</w:t>
              </w:r>
              <w:r>
                <w:rPr>
                  <w:rStyle w:val="a4"/>
                  <w:rFonts w:ascii="Arial" w:hAnsi="Arial" w:cs="Arial"/>
                  <w:sz w:val="18"/>
                  <w:szCs w:val="18"/>
                </w:rPr>
                <w:t>a</w:t>
              </w:r>
            </w:hyperlink>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S-1/</w:t>
            </w:r>
            <w:r>
              <w:rPr>
                <w:rFonts w:ascii="Arial" w:hAnsi="Arial" w:cs="Arial"/>
                <w:sz w:val="18"/>
                <w:szCs w:val="18"/>
              </w:rPr>
              <w:t>A</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333- 25568</w:t>
            </w:r>
            <w:r>
              <w:rPr>
                <w:rFonts w:ascii="Arial" w:hAnsi="Arial" w:cs="Arial"/>
                <w:sz w:val="18"/>
                <w:szCs w:val="18"/>
              </w:rPr>
              <w:t>3</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10.</w:t>
            </w:r>
            <w:r>
              <w:rPr>
                <w:rFonts w:ascii="Arial" w:hAnsi="Arial" w:cs="Arial"/>
                <w:sz w:val="18"/>
                <w:szCs w:val="18"/>
              </w:rPr>
              <w:t>9</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May 17, 202</w:t>
            </w:r>
            <w:r>
              <w:rPr>
                <w:rFonts w:ascii="Arial" w:hAnsi="Arial" w:cs="Arial"/>
                <w:sz w:val="18"/>
                <w:szCs w:val="18"/>
              </w:rPr>
              <w:t>1</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r>
      <w:tr w:rsidR="00000000">
        <w:trPr>
          <w:trHeight w:val="120"/>
          <w:tblCellSpacing w:w="15" w:type="dxa"/>
        </w:trPr>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r>
      <w:tr w:rsidR="00000000">
        <w:trPr>
          <w:trHeight w:val="180"/>
          <w:tblCellSpacing w:w="15" w:type="dxa"/>
        </w:trPr>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10.11</w:t>
            </w:r>
            <w:r>
              <w:rPr>
                <w:rFonts w:ascii="Arial" w:hAnsi="Arial" w:cs="Arial"/>
                <w:sz w:val="18"/>
                <w:szCs w:val="18"/>
              </w:rPr>
              <w:t>+</w:t>
            </w:r>
            <w:r>
              <w:rPr>
                <w:rFonts w:ascii="Arial" w:hAnsi="Arial" w:cs="Arial"/>
                <w:sz w:val="18"/>
                <w:szCs w:val="18"/>
              </w:rPr>
              <w:t xml:space="preserve"> </w:t>
            </w:r>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rPr>
                <w:sz w:val="18"/>
                <w:szCs w:val="18"/>
              </w:rPr>
            </w:pPr>
            <w:hyperlink r:id="rId20" w:history="1">
              <w:r>
                <w:rPr>
                  <w:rStyle w:val="a4"/>
                  <w:rFonts w:ascii="Arial" w:hAnsi="Arial" w:cs="Arial"/>
                  <w:sz w:val="18"/>
                  <w:szCs w:val="18"/>
                </w:rPr>
                <w:t>Change in Control and Severance Agreement by and between the registrant and Matt Parso</w:t>
              </w:r>
              <w:r>
                <w:rPr>
                  <w:rStyle w:val="a4"/>
                  <w:rFonts w:ascii="Arial" w:hAnsi="Arial" w:cs="Arial"/>
                  <w:sz w:val="18"/>
                  <w:szCs w:val="18"/>
                </w:rPr>
                <w:t>n</w:t>
              </w:r>
            </w:hyperlink>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S-1/</w:t>
            </w:r>
            <w:r>
              <w:rPr>
                <w:rFonts w:ascii="Arial" w:hAnsi="Arial" w:cs="Arial"/>
                <w:sz w:val="18"/>
                <w:szCs w:val="18"/>
              </w:rPr>
              <w:t>A</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333- 25568</w:t>
            </w:r>
            <w:r>
              <w:rPr>
                <w:rFonts w:ascii="Arial" w:hAnsi="Arial" w:cs="Arial"/>
                <w:sz w:val="18"/>
                <w:szCs w:val="18"/>
              </w:rPr>
              <w:t>3</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10.1</w:t>
            </w:r>
            <w:r>
              <w:rPr>
                <w:rFonts w:ascii="Arial" w:hAnsi="Arial" w:cs="Arial"/>
                <w:sz w:val="18"/>
                <w:szCs w:val="18"/>
              </w:rPr>
              <w:t>0</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May 17, 202</w:t>
            </w:r>
            <w:r>
              <w:rPr>
                <w:rFonts w:ascii="Arial" w:hAnsi="Arial" w:cs="Arial"/>
                <w:sz w:val="18"/>
                <w:szCs w:val="18"/>
              </w:rPr>
              <w:t>1</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r>
      <w:tr w:rsidR="00000000">
        <w:trPr>
          <w:trHeight w:val="120"/>
          <w:tblCellSpacing w:w="15" w:type="dxa"/>
        </w:trPr>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r>
      <w:tr w:rsidR="00000000">
        <w:trPr>
          <w:trHeight w:val="180"/>
          <w:tblCellSpacing w:w="15" w:type="dxa"/>
        </w:trPr>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10.12</w:t>
            </w:r>
            <w:r>
              <w:rPr>
                <w:rFonts w:ascii="Arial" w:hAnsi="Arial" w:cs="Arial"/>
                <w:sz w:val="18"/>
                <w:szCs w:val="18"/>
              </w:rPr>
              <w:t>+</w:t>
            </w:r>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rPr>
                <w:sz w:val="18"/>
                <w:szCs w:val="18"/>
              </w:rPr>
            </w:pPr>
            <w:hyperlink r:id="rId21" w:history="1">
              <w:r>
                <w:rPr>
                  <w:rStyle w:val="a4"/>
                  <w:rFonts w:ascii="Arial" w:hAnsi="Arial" w:cs="Arial"/>
                  <w:sz w:val="18"/>
                  <w:szCs w:val="18"/>
                </w:rPr>
                <w:t>Change in Control and Severance Agreement by and between the registrant and John Morro</w:t>
              </w:r>
              <w:r>
                <w:rPr>
                  <w:rStyle w:val="a4"/>
                  <w:rFonts w:ascii="Arial" w:hAnsi="Arial" w:cs="Arial"/>
                  <w:sz w:val="18"/>
                  <w:szCs w:val="18"/>
                </w:rPr>
                <w:t>w</w:t>
              </w:r>
            </w:hyperlink>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S-1/</w:t>
            </w:r>
            <w:r>
              <w:rPr>
                <w:rFonts w:ascii="Arial" w:hAnsi="Arial" w:cs="Arial"/>
                <w:sz w:val="18"/>
                <w:szCs w:val="18"/>
              </w:rPr>
              <w:t>A</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333- 25568</w:t>
            </w:r>
            <w:r>
              <w:rPr>
                <w:rFonts w:ascii="Arial" w:hAnsi="Arial" w:cs="Arial"/>
                <w:sz w:val="18"/>
                <w:szCs w:val="18"/>
              </w:rPr>
              <w:t>3</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10.1</w:t>
            </w:r>
            <w:r>
              <w:rPr>
                <w:rFonts w:ascii="Arial" w:hAnsi="Arial" w:cs="Arial"/>
                <w:sz w:val="18"/>
                <w:szCs w:val="18"/>
              </w:rPr>
              <w:t>1</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May 17, 202</w:t>
            </w:r>
            <w:r>
              <w:rPr>
                <w:rFonts w:ascii="Arial" w:hAnsi="Arial" w:cs="Arial"/>
                <w:sz w:val="18"/>
                <w:szCs w:val="18"/>
              </w:rPr>
              <w:t>1</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r>
      <w:tr w:rsidR="00000000">
        <w:trPr>
          <w:trHeight w:val="120"/>
          <w:tblCellSpacing w:w="15" w:type="dxa"/>
        </w:trPr>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r>
      <w:tr w:rsidR="00000000">
        <w:trPr>
          <w:trHeight w:val="180"/>
          <w:tblCellSpacing w:w="15" w:type="dxa"/>
        </w:trPr>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10.13</w:t>
            </w:r>
            <w:r>
              <w:rPr>
                <w:rFonts w:ascii="Arial" w:hAnsi="Arial" w:cs="Arial"/>
                <w:sz w:val="18"/>
                <w:szCs w:val="18"/>
              </w:rPr>
              <w:t>+</w:t>
            </w:r>
            <w:r>
              <w:rPr>
                <w:rFonts w:ascii="Arial" w:hAnsi="Arial" w:cs="Arial"/>
                <w:sz w:val="18"/>
                <w:szCs w:val="18"/>
              </w:rPr>
              <w:t xml:space="preserve">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8"/>
                <w:szCs w:val="18"/>
              </w:rPr>
            </w:pPr>
            <w:hyperlink r:id="rId22" w:history="1">
              <w:r>
                <w:rPr>
                  <w:rStyle w:val="a4"/>
                  <w:rFonts w:ascii="Arial" w:hAnsi="Arial" w:cs="Arial"/>
                  <w:sz w:val="18"/>
                  <w:szCs w:val="18"/>
                </w:rPr>
                <w:t>Change in Control and Severance Agreement by and between the registrant and Gerasimos (Jerry) Portocali</w:t>
              </w:r>
              <w:r>
                <w:rPr>
                  <w:rStyle w:val="a4"/>
                  <w:rFonts w:ascii="Arial" w:hAnsi="Arial" w:cs="Arial"/>
                  <w:sz w:val="18"/>
                  <w:szCs w:val="18"/>
                </w:rPr>
                <w:t>s</w:t>
              </w:r>
            </w:hyperlink>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X</w:t>
            </w:r>
          </w:p>
        </w:tc>
      </w:tr>
      <w:tr w:rsidR="00000000">
        <w:trPr>
          <w:trHeight w:val="120"/>
          <w:tblCellSpacing w:w="15" w:type="dxa"/>
        </w:trPr>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r>
      <w:tr w:rsidR="00000000">
        <w:trPr>
          <w:trHeight w:val="180"/>
          <w:tblCellSpacing w:w="15" w:type="dxa"/>
        </w:trPr>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10.1</w:t>
            </w:r>
            <w:r>
              <w:rPr>
                <w:rFonts w:ascii="Arial" w:hAnsi="Arial" w:cs="Arial"/>
                <w:sz w:val="18"/>
                <w:szCs w:val="18"/>
              </w:rPr>
              <w:t>4</w:t>
            </w:r>
            <w:r>
              <w:rPr>
                <w:rFonts w:ascii="Arial" w:hAnsi="Arial" w:cs="Arial"/>
                <w:sz w:val="18"/>
                <w:szCs w:val="18"/>
              </w:rPr>
              <w:t xml:space="preserve"> </w:t>
            </w:r>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rPr>
                <w:sz w:val="18"/>
                <w:szCs w:val="18"/>
              </w:rPr>
            </w:pPr>
            <w:hyperlink r:id="rId23" w:history="1">
              <w:r>
                <w:rPr>
                  <w:rStyle w:val="a4"/>
                  <w:rFonts w:ascii="Arial" w:hAnsi="Arial" w:cs="Arial"/>
                  <w:sz w:val="18"/>
                  <w:szCs w:val="18"/>
                </w:rPr>
                <w:t>Stockholders Agreement, dated as of May 24, 2021, by and among Paymentus Holdings, Inc. and the other signatories theret</w:t>
              </w:r>
              <w:r>
                <w:rPr>
                  <w:rStyle w:val="a4"/>
                  <w:rFonts w:ascii="Arial" w:hAnsi="Arial" w:cs="Arial"/>
                  <w:sz w:val="18"/>
                  <w:szCs w:val="18"/>
                </w:rPr>
                <w:t>o</w:t>
              </w:r>
            </w:hyperlink>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8-</w:t>
            </w:r>
            <w:r>
              <w:rPr>
                <w:rFonts w:ascii="Arial" w:hAnsi="Arial" w:cs="Arial"/>
                <w:sz w:val="18"/>
                <w:szCs w:val="18"/>
              </w:rPr>
              <w:t>K</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001-4042</w:t>
            </w:r>
            <w:r>
              <w:rPr>
                <w:rFonts w:ascii="Arial" w:hAnsi="Arial" w:cs="Arial"/>
                <w:sz w:val="18"/>
                <w:szCs w:val="18"/>
              </w:rPr>
              <w:t>9</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10.</w:t>
            </w:r>
            <w:r>
              <w:rPr>
                <w:rFonts w:ascii="Arial" w:hAnsi="Arial" w:cs="Arial"/>
                <w:sz w:val="18"/>
                <w:szCs w:val="18"/>
              </w:rPr>
              <w:t>1</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May 2</w:t>
            </w:r>
            <w:r>
              <w:rPr>
                <w:rFonts w:ascii="Arial" w:hAnsi="Arial" w:cs="Arial"/>
                <w:sz w:val="18"/>
                <w:szCs w:val="18"/>
              </w:rPr>
              <w:t>8, 202</w:t>
            </w:r>
            <w:r>
              <w:rPr>
                <w:rFonts w:ascii="Arial" w:hAnsi="Arial" w:cs="Arial"/>
                <w:sz w:val="18"/>
                <w:szCs w:val="18"/>
              </w:rPr>
              <w:t>1</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r>
      <w:tr w:rsidR="00000000">
        <w:trPr>
          <w:trHeight w:val="120"/>
          <w:tblCellSpacing w:w="15" w:type="dxa"/>
        </w:trPr>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r>
      <w:tr w:rsidR="00000000">
        <w:trPr>
          <w:trHeight w:val="180"/>
          <w:tblCellSpacing w:w="15" w:type="dxa"/>
        </w:trPr>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10.1</w:t>
            </w:r>
            <w:r>
              <w:rPr>
                <w:rFonts w:ascii="Arial" w:hAnsi="Arial" w:cs="Arial"/>
                <w:sz w:val="18"/>
                <w:szCs w:val="18"/>
              </w:rPr>
              <w:t>5</w:t>
            </w:r>
            <w:r>
              <w:rPr>
                <w:rFonts w:ascii="Arial" w:hAnsi="Arial" w:cs="Arial"/>
                <w:sz w:val="18"/>
                <w:szCs w:val="18"/>
              </w:rPr>
              <w:t xml:space="preserve"> </w:t>
            </w:r>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rPr>
                <w:sz w:val="18"/>
                <w:szCs w:val="18"/>
              </w:rPr>
            </w:pPr>
            <w:hyperlink r:id="rId24" w:history="1">
              <w:r>
                <w:rPr>
                  <w:rStyle w:val="a4"/>
                  <w:rFonts w:ascii="Arial" w:hAnsi="Arial" w:cs="Arial"/>
                  <w:sz w:val="18"/>
                  <w:szCs w:val="18"/>
                </w:rPr>
                <w:t xml:space="preserve">Warrant Agreement, dated as of May 13, 2021, by and between the registrant and JPMC Strategic Investments </w:t>
              </w:r>
              <w:r>
                <w:rPr>
                  <w:rStyle w:val="a4"/>
                  <w:rFonts w:ascii="Arial" w:hAnsi="Arial" w:cs="Arial"/>
                  <w:sz w:val="18"/>
                  <w:szCs w:val="18"/>
                </w:rPr>
                <w:t>I Corporatio</w:t>
              </w:r>
              <w:r>
                <w:rPr>
                  <w:rStyle w:val="a4"/>
                  <w:rFonts w:ascii="Arial" w:hAnsi="Arial" w:cs="Arial"/>
                  <w:sz w:val="18"/>
                  <w:szCs w:val="18"/>
                </w:rPr>
                <w:t>n</w:t>
              </w:r>
            </w:hyperlink>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S-1/</w:t>
            </w:r>
            <w:r>
              <w:rPr>
                <w:rFonts w:ascii="Arial" w:hAnsi="Arial" w:cs="Arial"/>
                <w:sz w:val="18"/>
                <w:szCs w:val="18"/>
              </w:rPr>
              <w:t>A</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333- 25568</w:t>
            </w:r>
            <w:r>
              <w:rPr>
                <w:rFonts w:ascii="Arial" w:hAnsi="Arial" w:cs="Arial"/>
                <w:sz w:val="18"/>
                <w:szCs w:val="18"/>
              </w:rPr>
              <w:t>3</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10.1</w:t>
            </w:r>
            <w:r>
              <w:rPr>
                <w:rFonts w:ascii="Arial" w:hAnsi="Arial" w:cs="Arial"/>
                <w:sz w:val="18"/>
                <w:szCs w:val="18"/>
              </w:rPr>
              <w:t>4</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May 17, 202</w:t>
            </w:r>
            <w:r>
              <w:rPr>
                <w:rFonts w:ascii="Arial" w:hAnsi="Arial" w:cs="Arial"/>
                <w:sz w:val="18"/>
                <w:szCs w:val="18"/>
              </w:rPr>
              <w:t>1</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r>
      <w:tr w:rsidR="00000000">
        <w:trPr>
          <w:tblCellSpacing w:w="15" w:type="dxa"/>
        </w:trPr>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r>
      <w:tr w:rsidR="00000000">
        <w:trPr>
          <w:trHeight w:val="180"/>
          <w:tblCellSpacing w:w="15" w:type="dxa"/>
        </w:trPr>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10.16</w:t>
            </w:r>
            <w:r>
              <w:rPr>
                <w:rFonts w:ascii="Arial" w:hAnsi="Arial" w:cs="Arial"/>
                <w:sz w:val="18"/>
                <w:szCs w:val="18"/>
              </w:rPr>
              <w:t>+</w:t>
            </w:r>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rPr>
                <w:sz w:val="18"/>
                <w:szCs w:val="18"/>
              </w:rPr>
            </w:pPr>
            <w:hyperlink r:id="rId25" w:history="1">
              <w:r>
                <w:rPr>
                  <w:rStyle w:val="a4"/>
                  <w:rFonts w:ascii="Arial" w:hAnsi="Arial" w:cs="Arial"/>
                  <w:sz w:val="18"/>
                  <w:szCs w:val="18"/>
                </w:rPr>
                <w:t>2021 Equity Incentive Pla</w:t>
              </w:r>
              <w:r>
                <w:rPr>
                  <w:rStyle w:val="a4"/>
                  <w:rFonts w:ascii="Arial" w:hAnsi="Arial" w:cs="Arial"/>
                  <w:sz w:val="18"/>
                  <w:szCs w:val="18"/>
                </w:rPr>
                <w:t>n</w:t>
              </w:r>
            </w:hyperlink>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X</w:t>
            </w:r>
            <w:r>
              <w:rPr>
                <w:rFonts w:ascii="Arial" w:hAnsi="Arial" w:cs="Arial"/>
                <w:sz w:val="18"/>
                <w:szCs w:val="18"/>
              </w:rPr>
              <w:t xml:space="preserve"> </w:t>
            </w:r>
          </w:p>
        </w:tc>
      </w:tr>
      <w:tr w:rsidR="00000000">
        <w:trPr>
          <w:trHeight w:val="120"/>
          <w:tblCellSpacing w:w="15" w:type="dxa"/>
        </w:trPr>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r>
      <w:tr w:rsidR="00000000">
        <w:trPr>
          <w:trHeight w:val="180"/>
          <w:tblCellSpacing w:w="15" w:type="dxa"/>
        </w:trPr>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10.17</w:t>
            </w:r>
            <w:r>
              <w:rPr>
                <w:rFonts w:ascii="Arial" w:hAnsi="Arial" w:cs="Arial"/>
                <w:sz w:val="18"/>
                <w:szCs w:val="18"/>
              </w:rPr>
              <w:t>+</w:t>
            </w:r>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rPr>
                <w:sz w:val="18"/>
                <w:szCs w:val="18"/>
              </w:rPr>
            </w:pPr>
            <w:hyperlink r:id="rId26" w:history="1">
              <w:r>
                <w:rPr>
                  <w:rStyle w:val="a4"/>
                  <w:rFonts w:ascii="Arial" w:hAnsi="Arial" w:cs="Arial"/>
                  <w:sz w:val="18"/>
                  <w:szCs w:val="18"/>
                </w:rPr>
                <w:t>Form of Stock Option Award Agreement under the 2021 Equity Incentive Pla</w:t>
              </w:r>
              <w:r>
                <w:rPr>
                  <w:rStyle w:val="a4"/>
                  <w:rFonts w:ascii="Arial" w:hAnsi="Arial" w:cs="Arial"/>
                  <w:sz w:val="18"/>
                  <w:szCs w:val="18"/>
                </w:rPr>
                <w:t>n</w:t>
              </w:r>
            </w:hyperlink>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X</w:t>
            </w:r>
          </w:p>
        </w:tc>
      </w:tr>
      <w:tr w:rsidR="00000000">
        <w:trPr>
          <w:tblCellSpacing w:w="15" w:type="dxa"/>
        </w:trPr>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r>
      <w:tr w:rsidR="00000000">
        <w:trPr>
          <w:trHeight w:val="180"/>
          <w:tblCellSpacing w:w="15" w:type="dxa"/>
        </w:trPr>
        <w:tc>
          <w:tcPr>
            <w:tcW w:w="0" w:type="auto"/>
            <w:hideMark/>
          </w:tcPr>
          <w:p w:rsidR="00000000" w:rsidRDefault="00010F15">
            <w:pPr>
              <w:pStyle w:val="a3"/>
              <w:spacing w:before="0" w:beforeAutospacing="0" w:after="0" w:afterAutospacing="0"/>
              <w:jc w:val="center"/>
              <w:rPr>
                <w:sz w:val="19"/>
                <w:szCs w:val="19"/>
              </w:rPr>
            </w:pPr>
            <w:r>
              <w:rPr>
                <w:rFonts w:ascii="Arial" w:hAnsi="Arial" w:cs="Arial"/>
                <w:sz w:val="19"/>
                <w:szCs w:val="19"/>
              </w:rPr>
              <w:t>10.18</w:t>
            </w:r>
            <w:r>
              <w:rPr>
                <w:rFonts w:ascii="Arial" w:hAnsi="Arial" w:cs="Arial"/>
                <w:sz w:val="19"/>
                <w:szCs w:val="19"/>
              </w:rPr>
              <w:t>+</w:t>
            </w:r>
          </w:p>
        </w:tc>
        <w:tc>
          <w:tcPr>
            <w:tcW w:w="0" w:type="auto"/>
            <w:hideMark/>
          </w:tcPr>
          <w:p w:rsidR="00000000" w:rsidRDefault="00010F15">
            <w:pPr>
              <w:pStyle w:val="a3"/>
              <w:spacing w:before="0" w:beforeAutospacing="0" w:after="0" w:afterAutospacing="0"/>
              <w:rPr>
                <w:sz w:val="19"/>
                <w:szCs w:val="19"/>
              </w:rPr>
            </w:pPr>
            <w:r>
              <w:rPr>
                <w:rFonts w:ascii="Arial" w:hAnsi="Arial" w:cs="Arial"/>
                <w:sz w:val="19"/>
                <w:szCs w:val="19"/>
              </w:rPr>
              <w:t> </w:t>
            </w:r>
          </w:p>
        </w:tc>
        <w:tc>
          <w:tcPr>
            <w:tcW w:w="0" w:type="auto"/>
            <w:hideMark/>
          </w:tcPr>
          <w:p w:rsidR="00000000" w:rsidRDefault="00010F15">
            <w:pPr>
              <w:pStyle w:val="a3"/>
              <w:spacing w:before="0" w:beforeAutospacing="0" w:after="0" w:afterAutospacing="0"/>
              <w:rPr>
                <w:sz w:val="18"/>
                <w:szCs w:val="18"/>
              </w:rPr>
            </w:pPr>
            <w:hyperlink r:id="rId27" w:history="1">
              <w:r>
                <w:rPr>
                  <w:rStyle w:val="a4"/>
                  <w:rFonts w:ascii="Arial" w:hAnsi="Arial" w:cs="Arial"/>
                  <w:sz w:val="18"/>
                  <w:szCs w:val="18"/>
                </w:rPr>
                <w:t>Form of Restricted Stock Unit Award Agreement under the 2021 Equity Incentive Pla</w:t>
              </w:r>
              <w:r>
                <w:rPr>
                  <w:rStyle w:val="a4"/>
                  <w:rFonts w:ascii="Arial" w:hAnsi="Arial" w:cs="Arial"/>
                  <w:sz w:val="18"/>
                  <w:szCs w:val="18"/>
                </w:rPr>
                <w:t>n</w:t>
              </w:r>
            </w:hyperlink>
          </w:p>
        </w:tc>
        <w:tc>
          <w:tcPr>
            <w:tcW w:w="0" w:type="auto"/>
            <w:hideMark/>
          </w:tcPr>
          <w:p w:rsidR="00000000" w:rsidRDefault="00010F15">
            <w:pPr>
              <w:pStyle w:val="a3"/>
              <w:spacing w:before="0" w:beforeAutospacing="0" w:after="0" w:afterAutospacing="0"/>
              <w:rPr>
                <w:sz w:val="19"/>
                <w:szCs w:val="19"/>
              </w:rPr>
            </w:pPr>
            <w:r>
              <w:rPr>
                <w:rFonts w:ascii="Arial" w:hAnsi="Arial" w:cs="Arial"/>
                <w:sz w:val="19"/>
                <w:szCs w:val="19"/>
              </w:rPr>
              <w:t> </w:t>
            </w:r>
          </w:p>
        </w:tc>
        <w:tc>
          <w:tcPr>
            <w:tcW w:w="0" w:type="auto"/>
            <w:hideMark/>
          </w:tcPr>
          <w:p w:rsidR="00000000" w:rsidRDefault="00010F15">
            <w:pPr>
              <w:pStyle w:val="a3"/>
              <w:spacing w:before="0" w:beforeAutospacing="0" w:after="0" w:afterAutospacing="0"/>
              <w:jc w:val="center"/>
              <w:rPr>
                <w:sz w:val="19"/>
                <w:szCs w:val="19"/>
              </w:rPr>
            </w:pPr>
            <w:r>
              <w:rPr>
                <w:rFonts w:ascii="Arial" w:hAnsi="Arial" w:cs="Arial"/>
                <w:sz w:val="19"/>
                <w:szCs w:val="19"/>
              </w:rPr>
              <w:t> </w:t>
            </w:r>
          </w:p>
        </w:tc>
        <w:tc>
          <w:tcPr>
            <w:tcW w:w="0" w:type="auto"/>
            <w:hideMark/>
          </w:tcPr>
          <w:p w:rsidR="00000000" w:rsidRDefault="00010F15">
            <w:pPr>
              <w:pStyle w:val="a3"/>
              <w:spacing w:before="0" w:beforeAutospacing="0" w:after="0" w:afterAutospacing="0"/>
              <w:jc w:val="center"/>
              <w:rPr>
                <w:sz w:val="19"/>
                <w:szCs w:val="19"/>
              </w:rPr>
            </w:pPr>
            <w:r>
              <w:rPr>
                <w:rFonts w:ascii="Arial" w:hAnsi="Arial" w:cs="Arial"/>
                <w:sz w:val="19"/>
                <w:szCs w:val="19"/>
              </w:rPr>
              <w:t> </w:t>
            </w:r>
          </w:p>
        </w:tc>
        <w:tc>
          <w:tcPr>
            <w:tcW w:w="0" w:type="auto"/>
            <w:hideMark/>
          </w:tcPr>
          <w:p w:rsidR="00000000" w:rsidRDefault="00010F15">
            <w:pPr>
              <w:pStyle w:val="a3"/>
              <w:spacing w:before="0" w:beforeAutospacing="0" w:after="0" w:afterAutospacing="0"/>
              <w:jc w:val="center"/>
              <w:rPr>
                <w:sz w:val="19"/>
                <w:szCs w:val="19"/>
              </w:rPr>
            </w:pPr>
            <w:r>
              <w:rPr>
                <w:rFonts w:ascii="Arial" w:hAnsi="Arial" w:cs="Arial"/>
                <w:sz w:val="19"/>
                <w:szCs w:val="19"/>
              </w:rPr>
              <w:t> </w:t>
            </w:r>
          </w:p>
        </w:tc>
        <w:tc>
          <w:tcPr>
            <w:tcW w:w="0" w:type="auto"/>
            <w:hideMark/>
          </w:tcPr>
          <w:p w:rsidR="00000000" w:rsidRDefault="00010F15">
            <w:pPr>
              <w:pStyle w:val="a3"/>
              <w:spacing w:before="0" w:beforeAutospacing="0" w:after="0" w:afterAutospacing="0"/>
              <w:jc w:val="center"/>
              <w:rPr>
                <w:sz w:val="19"/>
                <w:szCs w:val="19"/>
              </w:rPr>
            </w:pPr>
            <w:r>
              <w:rPr>
                <w:rFonts w:ascii="Arial" w:hAnsi="Arial" w:cs="Arial"/>
                <w:sz w:val="19"/>
                <w:szCs w:val="19"/>
              </w:rPr>
              <w:t> </w:t>
            </w:r>
          </w:p>
        </w:tc>
        <w:tc>
          <w:tcPr>
            <w:tcW w:w="0" w:type="auto"/>
            <w:hideMark/>
          </w:tcPr>
          <w:p w:rsidR="00000000" w:rsidRDefault="00010F15">
            <w:pPr>
              <w:pStyle w:val="a3"/>
              <w:spacing w:before="0" w:beforeAutospacing="0" w:after="0" w:afterAutospacing="0"/>
              <w:jc w:val="center"/>
              <w:rPr>
                <w:sz w:val="19"/>
                <w:szCs w:val="19"/>
              </w:rPr>
            </w:pPr>
            <w:r>
              <w:rPr>
                <w:rFonts w:ascii="Arial" w:hAnsi="Arial" w:cs="Arial"/>
                <w:sz w:val="19"/>
                <w:szCs w:val="19"/>
              </w:rPr>
              <w:t>X</w:t>
            </w:r>
          </w:p>
        </w:tc>
      </w:tr>
      <w:tr w:rsidR="00000000">
        <w:trPr>
          <w:tblCellSpacing w:w="15" w:type="dxa"/>
        </w:trPr>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r>
      <w:tr w:rsidR="00000000">
        <w:trPr>
          <w:trHeight w:val="180"/>
          <w:tblCellSpacing w:w="15" w:type="dxa"/>
        </w:trPr>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21.</w:t>
            </w:r>
            <w:r>
              <w:rPr>
                <w:rFonts w:ascii="Arial" w:hAnsi="Arial" w:cs="Arial"/>
                <w:sz w:val="18"/>
                <w:szCs w:val="18"/>
              </w:rPr>
              <w:t>1</w:t>
            </w:r>
          </w:p>
        </w:tc>
        <w:tc>
          <w:tcPr>
            <w:tcW w:w="0" w:type="auto"/>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010F15">
            <w:pPr>
              <w:pStyle w:val="a3"/>
              <w:spacing w:before="0" w:beforeAutospacing="0" w:after="0" w:afterAutospacing="0"/>
              <w:rPr>
                <w:sz w:val="18"/>
                <w:szCs w:val="18"/>
              </w:rPr>
            </w:pPr>
            <w:hyperlink r:id="rId28" w:history="1">
              <w:r>
                <w:rPr>
                  <w:rStyle w:val="a4"/>
                  <w:rFonts w:ascii="Arial" w:hAnsi="Arial" w:cs="Arial"/>
                  <w:sz w:val="18"/>
                  <w:szCs w:val="18"/>
                </w:rPr>
                <w:t>Subsidiaries of the Registran</w:t>
              </w:r>
              <w:r>
                <w:rPr>
                  <w:rStyle w:val="a4"/>
                  <w:rFonts w:ascii="Arial" w:hAnsi="Arial" w:cs="Arial"/>
                  <w:sz w:val="18"/>
                  <w:szCs w:val="18"/>
                </w:rPr>
                <w:t>t</w:t>
              </w:r>
            </w:hyperlink>
          </w:p>
        </w:tc>
        <w:tc>
          <w:tcPr>
            <w:tcW w:w="0" w:type="auto"/>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X</w:t>
            </w:r>
          </w:p>
        </w:tc>
      </w:tr>
      <w:tr w:rsidR="00000000">
        <w:trPr>
          <w:tblCellSpacing w:w="15" w:type="dxa"/>
        </w:trPr>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r>
      <w:tr w:rsidR="00000000">
        <w:trPr>
          <w:trHeight w:val="180"/>
          <w:tblCellSpacing w:w="15" w:type="dxa"/>
        </w:trPr>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23.</w:t>
            </w:r>
            <w:r>
              <w:rPr>
                <w:rFonts w:ascii="Arial" w:hAnsi="Arial" w:cs="Arial"/>
                <w:sz w:val="18"/>
                <w:szCs w:val="18"/>
              </w:rPr>
              <w:t>1</w:t>
            </w:r>
          </w:p>
        </w:tc>
        <w:tc>
          <w:tcPr>
            <w:tcW w:w="0" w:type="auto"/>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010F15">
            <w:pPr>
              <w:pStyle w:val="a3"/>
              <w:spacing w:before="0" w:beforeAutospacing="0" w:after="0" w:afterAutospacing="0"/>
              <w:rPr>
                <w:sz w:val="18"/>
                <w:szCs w:val="18"/>
              </w:rPr>
            </w:pPr>
            <w:hyperlink r:id="rId29" w:history="1">
              <w:r>
                <w:rPr>
                  <w:rStyle w:val="a4"/>
                  <w:rFonts w:ascii="Arial" w:hAnsi="Arial" w:cs="Arial"/>
                  <w:sz w:val="18"/>
                  <w:szCs w:val="18"/>
                </w:rPr>
                <w:t>Consent of PricewaterhouseCoopers LLP, Independent Registered Public Accounting Fir</w:t>
              </w:r>
              <w:r>
                <w:rPr>
                  <w:rStyle w:val="a4"/>
                  <w:rFonts w:ascii="Arial" w:hAnsi="Arial" w:cs="Arial"/>
                  <w:sz w:val="18"/>
                  <w:szCs w:val="18"/>
                </w:rPr>
                <w:t>m</w:t>
              </w:r>
            </w:hyperlink>
          </w:p>
        </w:tc>
        <w:tc>
          <w:tcPr>
            <w:tcW w:w="0" w:type="auto"/>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X</w:t>
            </w:r>
          </w:p>
        </w:tc>
      </w:tr>
      <w:tr w:rsidR="00000000">
        <w:trPr>
          <w:tblCellSpacing w:w="15" w:type="dxa"/>
        </w:trPr>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r>
      <w:tr w:rsidR="00000000">
        <w:trPr>
          <w:trHeight w:val="180"/>
          <w:tblCellSpacing w:w="15" w:type="dxa"/>
        </w:trPr>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24.</w:t>
            </w:r>
            <w:r>
              <w:rPr>
                <w:rFonts w:ascii="Arial" w:hAnsi="Arial" w:cs="Arial"/>
                <w:sz w:val="18"/>
                <w:szCs w:val="18"/>
              </w:rPr>
              <w:t>1</w:t>
            </w:r>
          </w:p>
        </w:tc>
        <w:tc>
          <w:tcPr>
            <w:tcW w:w="0" w:type="auto"/>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010F15">
            <w:pPr>
              <w:pStyle w:val="a3"/>
              <w:spacing w:before="0" w:beforeAutospacing="0" w:after="0" w:afterAutospacing="0"/>
              <w:rPr>
                <w:sz w:val="18"/>
                <w:szCs w:val="18"/>
              </w:rPr>
            </w:pPr>
            <w:hyperlink w:anchor="signatures" w:history="1">
              <w:r>
                <w:rPr>
                  <w:rStyle w:val="a4"/>
                  <w:rFonts w:ascii="Arial" w:hAnsi="Arial" w:cs="Arial"/>
                  <w:sz w:val="18"/>
                  <w:szCs w:val="18"/>
                </w:rPr>
                <w:t>Power of Attorney (included on the signature page hereto</w:t>
              </w:r>
              <w:r>
                <w:rPr>
                  <w:rStyle w:val="a4"/>
                  <w:rFonts w:ascii="Arial" w:hAnsi="Arial" w:cs="Arial"/>
                  <w:sz w:val="18"/>
                  <w:szCs w:val="18"/>
                </w:rPr>
                <w:t>)</w:t>
              </w:r>
            </w:hyperlink>
          </w:p>
        </w:tc>
        <w:tc>
          <w:tcPr>
            <w:tcW w:w="0" w:type="auto"/>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X</w:t>
            </w:r>
          </w:p>
        </w:tc>
      </w:tr>
      <w:tr w:rsidR="00000000">
        <w:trPr>
          <w:tblCellSpacing w:w="15" w:type="dxa"/>
        </w:trPr>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c>
          <w:tcPr>
            <w:tcW w:w="0" w:type="auto"/>
            <w:hideMark/>
          </w:tcPr>
          <w:p w:rsidR="00000000" w:rsidRDefault="00010F15">
            <w:pPr>
              <w:pStyle w:val="a3"/>
              <w:spacing w:before="0" w:beforeAutospacing="0" w:after="0" w:afterAutospacing="0"/>
              <w:jc w:val="center"/>
              <w:rPr>
                <w:sz w:val="12"/>
                <w:szCs w:val="12"/>
              </w:rPr>
            </w:pPr>
            <w:r>
              <w:rPr>
                <w:rFonts w:ascii="Arial" w:hAnsi="Arial" w:cs="Arial"/>
                <w:sz w:val="12"/>
                <w:szCs w:val="12"/>
              </w:rPr>
              <w:t> </w:t>
            </w:r>
          </w:p>
        </w:tc>
      </w:tr>
      <w:tr w:rsidR="00000000">
        <w:trPr>
          <w:trHeight w:val="180"/>
          <w:tblCellSpacing w:w="15" w:type="dxa"/>
        </w:trPr>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31.</w:t>
            </w:r>
            <w:r>
              <w:rPr>
                <w:rFonts w:ascii="Arial" w:hAnsi="Arial" w:cs="Arial"/>
                <w:sz w:val="18"/>
                <w:szCs w:val="18"/>
              </w:rPr>
              <w:t>1</w:t>
            </w:r>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rPr>
                <w:sz w:val="18"/>
                <w:szCs w:val="18"/>
              </w:rPr>
            </w:pPr>
            <w:hyperlink r:id="rId30" w:history="1">
              <w:r>
                <w:rPr>
                  <w:rStyle w:val="a4"/>
                  <w:rFonts w:ascii="Arial" w:hAnsi="Arial" w:cs="Arial"/>
                  <w:sz w:val="18"/>
                  <w:szCs w:val="18"/>
                </w:rPr>
                <w:t>Certification of Principal Executive Officer Pursuant to Rules 13a-14(a) and 15d-14(a) under the Securities Exchange Act of 1934, as Adopted Pursuant to Section 302 of the Sarbanes-Oxley Act of 200</w:t>
              </w:r>
              <w:r>
                <w:rPr>
                  <w:rStyle w:val="a4"/>
                  <w:rFonts w:ascii="Arial" w:hAnsi="Arial" w:cs="Arial"/>
                  <w:sz w:val="18"/>
                  <w:szCs w:val="18"/>
                </w:rPr>
                <w:t>2</w:t>
              </w:r>
            </w:hyperlink>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X</w:t>
            </w:r>
          </w:p>
        </w:tc>
      </w:tr>
      <w:tr w:rsidR="00000000">
        <w:trPr>
          <w:tblCellSpacing w:w="15" w:type="dxa"/>
        </w:trPr>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r>
      <w:tr w:rsidR="00000000">
        <w:trPr>
          <w:trHeight w:val="180"/>
          <w:tblCellSpacing w:w="15" w:type="dxa"/>
        </w:trPr>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31.</w:t>
            </w:r>
            <w:r>
              <w:rPr>
                <w:rFonts w:ascii="Arial" w:hAnsi="Arial" w:cs="Arial"/>
                <w:sz w:val="18"/>
                <w:szCs w:val="18"/>
              </w:rPr>
              <w:t>2</w:t>
            </w:r>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rPr>
                <w:sz w:val="18"/>
                <w:szCs w:val="18"/>
              </w:rPr>
            </w:pPr>
            <w:hyperlink r:id="rId31" w:history="1">
              <w:r>
                <w:rPr>
                  <w:rStyle w:val="a4"/>
                  <w:rFonts w:ascii="Arial" w:hAnsi="Arial" w:cs="Arial"/>
                  <w:sz w:val="18"/>
                  <w:szCs w:val="18"/>
                </w:rPr>
                <w:t>Certification of Principal Financial Officer Pursuant to Rules 13a-14(a) and 15d-14(a) under the Securities Exchange Act of 1934, as Adopted Pursuant to Section 302 of the Sarbanes-Oxley Act of 200</w:t>
              </w:r>
              <w:r>
                <w:rPr>
                  <w:rStyle w:val="a4"/>
                  <w:rFonts w:ascii="Arial" w:hAnsi="Arial" w:cs="Arial"/>
                  <w:sz w:val="18"/>
                  <w:szCs w:val="18"/>
                </w:rPr>
                <w:t>2</w:t>
              </w:r>
            </w:hyperlink>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X</w:t>
            </w:r>
          </w:p>
        </w:tc>
      </w:tr>
      <w:tr w:rsidR="00000000">
        <w:trPr>
          <w:trHeight w:val="120"/>
          <w:tblCellSpacing w:w="15" w:type="dxa"/>
        </w:trPr>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r>
      <w:tr w:rsidR="00000000">
        <w:trPr>
          <w:trHeight w:val="180"/>
          <w:tblCellSpacing w:w="15" w:type="dxa"/>
        </w:trPr>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32.1</w:t>
            </w:r>
            <w:r>
              <w:rPr>
                <w:rFonts w:ascii="Arial" w:hAnsi="Arial" w:cs="Arial"/>
                <w:sz w:val="18"/>
                <w:szCs w:val="18"/>
              </w:rPr>
              <w:t>*</w:t>
            </w:r>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rPr>
                <w:sz w:val="18"/>
                <w:szCs w:val="18"/>
              </w:rPr>
            </w:pPr>
            <w:hyperlink r:id="rId32" w:history="1">
              <w:r>
                <w:rPr>
                  <w:rStyle w:val="a4"/>
                  <w:rFonts w:ascii="Arial" w:hAnsi="Arial" w:cs="Arial"/>
                  <w:sz w:val="18"/>
                  <w:szCs w:val="18"/>
                </w:rPr>
                <w:t>Certification of Principal Executive Officer Pursuant to 18 U.S.C. Section 1350, as Adopted Pursuant to Section 906 of the Sarbanes-Oxley Act of 200</w:t>
              </w:r>
              <w:r>
                <w:rPr>
                  <w:rStyle w:val="a4"/>
                  <w:rFonts w:ascii="Arial" w:hAnsi="Arial" w:cs="Arial"/>
                  <w:sz w:val="18"/>
                  <w:szCs w:val="18"/>
                </w:rPr>
                <w:t>2</w:t>
              </w:r>
            </w:hyperlink>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X</w:t>
            </w:r>
          </w:p>
        </w:tc>
      </w:tr>
    </w:tbl>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120" w:beforeAutospacing="0" w:after="0" w:afterAutospacing="0"/>
        <w:jc w:val="center"/>
        <w:rPr>
          <w:sz w:val="20"/>
          <w:szCs w:val="20"/>
        </w:rPr>
      </w:pPr>
      <w:r>
        <w:rPr>
          <w:rFonts w:ascii="Arial" w:hAnsi="Arial" w:cs="Arial"/>
          <w:sz w:val="20"/>
          <w:szCs w:val="20"/>
        </w:rPr>
        <w:t>10</w:t>
      </w:r>
      <w:r>
        <w:rPr>
          <w:rFonts w:ascii="Arial" w:hAnsi="Arial" w:cs="Arial"/>
          <w:sz w:val="20"/>
          <w:szCs w:val="20"/>
        </w:rPr>
        <w:t>4</w:t>
      </w:r>
    </w:p>
    <w:p w:rsidR="00000000" w:rsidRDefault="00010F15">
      <w:pPr>
        <w:rPr>
          <w:rFonts w:eastAsia="Times New Roman"/>
        </w:rPr>
      </w:pPr>
      <w:r>
        <w:rPr>
          <w:rFonts w:eastAsia="Times New Roman"/>
        </w:rPr>
        <w:pict>
          <v:rect id="_x0000_i1129"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6"/>
        <w:gridCol w:w="111"/>
        <w:gridCol w:w="2964"/>
        <w:gridCol w:w="111"/>
        <w:gridCol w:w="758"/>
        <w:gridCol w:w="843"/>
        <w:gridCol w:w="680"/>
        <w:gridCol w:w="1087"/>
        <w:gridCol w:w="946"/>
      </w:tblGrid>
      <w:tr w:rsidR="00000000">
        <w:trPr>
          <w:tblCellSpacing w:w="15" w:type="dxa"/>
        </w:trPr>
        <w:tc>
          <w:tcPr>
            <w:tcW w:w="459" w:type="pct"/>
            <w:vAlign w:val="center"/>
            <w:hideMark/>
          </w:tcPr>
          <w:p w:rsidR="00000000" w:rsidRDefault="00010F15">
            <w:pPr>
              <w:rPr>
                <w:sz w:val="20"/>
                <w:szCs w:val="20"/>
              </w:rPr>
            </w:pPr>
          </w:p>
        </w:tc>
        <w:tc>
          <w:tcPr>
            <w:tcW w:w="51" w:type="pct"/>
            <w:vAlign w:val="center"/>
            <w:hideMark/>
          </w:tcPr>
          <w:p w:rsidR="00000000" w:rsidRDefault="00010F15">
            <w:pPr>
              <w:rPr>
                <w:rFonts w:eastAsia="Times New Roman"/>
                <w:sz w:val="20"/>
                <w:szCs w:val="20"/>
              </w:rPr>
            </w:pPr>
          </w:p>
        </w:tc>
        <w:tc>
          <w:tcPr>
            <w:tcW w:w="1836" w:type="pct"/>
            <w:vAlign w:val="center"/>
            <w:hideMark/>
          </w:tcPr>
          <w:p w:rsidR="00000000" w:rsidRDefault="00010F15">
            <w:pPr>
              <w:rPr>
                <w:rFonts w:eastAsia="Times New Roman"/>
                <w:sz w:val="20"/>
                <w:szCs w:val="20"/>
              </w:rPr>
            </w:pPr>
          </w:p>
        </w:tc>
        <w:tc>
          <w:tcPr>
            <w:tcW w:w="51" w:type="pct"/>
            <w:vAlign w:val="center"/>
            <w:hideMark/>
          </w:tcPr>
          <w:p w:rsidR="00000000" w:rsidRDefault="00010F15">
            <w:pPr>
              <w:rPr>
                <w:rFonts w:eastAsia="Times New Roman"/>
                <w:sz w:val="20"/>
                <w:szCs w:val="20"/>
              </w:rPr>
            </w:pPr>
          </w:p>
        </w:tc>
        <w:tc>
          <w:tcPr>
            <w:tcW w:w="459" w:type="pct"/>
            <w:vAlign w:val="center"/>
            <w:hideMark/>
          </w:tcPr>
          <w:p w:rsidR="00000000" w:rsidRDefault="00010F15">
            <w:pPr>
              <w:rPr>
                <w:rFonts w:eastAsia="Times New Roman"/>
                <w:sz w:val="20"/>
                <w:szCs w:val="20"/>
              </w:rPr>
            </w:pPr>
          </w:p>
        </w:tc>
        <w:tc>
          <w:tcPr>
            <w:tcW w:w="510" w:type="pct"/>
            <w:vAlign w:val="center"/>
            <w:hideMark/>
          </w:tcPr>
          <w:p w:rsidR="00000000" w:rsidRDefault="00010F15">
            <w:pPr>
              <w:rPr>
                <w:rFonts w:eastAsia="Times New Roman"/>
                <w:sz w:val="20"/>
                <w:szCs w:val="20"/>
              </w:rPr>
            </w:pPr>
          </w:p>
        </w:tc>
        <w:tc>
          <w:tcPr>
            <w:tcW w:w="408" w:type="pct"/>
            <w:vAlign w:val="center"/>
            <w:hideMark/>
          </w:tcPr>
          <w:p w:rsidR="00000000" w:rsidRDefault="00010F15">
            <w:pPr>
              <w:rPr>
                <w:rFonts w:eastAsia="Times New Roman"/>
                <w:sz w:val="20"/>
                <w:szCs w:val="20"/>
              </w:rPr>
            </w:pPr>
          </w:p>
        </w:tc>
        <w:tc>
          <w:tcPr>
            <w:tcW w:w="662" w:type="pct"/>
            <w:vAlign w:val="center"/>
            <w:hideMark/>
          </w:tcPr>
          <w:p w:rsidR="00000000" w:rsidRDefault="00010F15">
            <w:pPr>
              <w:rPr>
                <w:rFonts w:eastAsia="Times New Roman"/>
                <w:sz w:val="20"/>
                <w:szCs w:val="20"/>
              </w:rPr>
            </w:pPr>
          </w:p>
        </w:tc>
        <w:tc>
          <w:tcPr>
            <w:tcW w:w="561" w:type="pct"/>
            <w:vAlign w:val="center"/>
            <w:hideMark/>
          </w:tcPr>
          <w:p w:rsidR="00000000" w:rsidRDefault="00010F15">
            <w:pPr>
              <w:rPr>
                <w:rFonts w:eastAsia="Times New Roman"/>
                <w:sz w:val="20"/>
                <w:szCs w:val="20"/>
              </w:rPr>
            </w:pPr>
          </w:p>
        </w:tc>
      </w:tr>
      <w:tr w:rsidR="00000000">
        <w:trPr>
          <w:trHeight w:val="180"/>
          <w:tblCellSpacing w:w="15" w:type="dxa"/>
        </w:trPr>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 </w:t>
            </w:r>
          </w:p>
        </w:tc>
        <w:tc>
          <w:tcPr>
            <w:tcW w:w="0" w:type="auto"/>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gridSpan w:val="4"/>
            <w:tcBorders>
              <w:bottom w:val="single" w:sz="4" w:space="0" w:color="auto"/>
            </w:tcBorders>
            <w:hideMark/>
          </w:tcPr>
          <w:p w:rsidR="00000000" w:rsidRDefault="00010F15">
            <w:pPr>
              <w:pStyle w:val="a3"/>
              <w:spacing w:before="0" w:beforeAutospacing="0" w:after="0" w:afterAutospacing="0"/>
              <w:jc w:val="center"/>
              <w:rPr>
                <w:sz w:val="18"/>
                <w:szCs w:val="18"/>
              </w:rPr>
            </w:pPr>
            <w:r>
              <w:rPr>
                <w:rFonts w:ascii="Arial" w:hAnsi="Arial" w:cs="Arial"/>
                <w:b/>
                <w:bCs/>
                <w:sz w:val="18"/>
                <w:szCs w:val="18"/>
              </w:rPr>
              <w:t>Incorporated by Referenc</w:t>
            </w:r>
            <w:r>
              <w:rPr>
                <w:rFonts w:ascii="Arial" w:hAnsi="Arial" w:cs="Arial"/>
                <w:b/>
                <w:bCs/>
                <w:sz w:val="18"/>
                <w:szCs w:val="18"/>
              </w:rPr>
              <w:t>e</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 </w:t>
            </w:r>
          </w:p>
        </w:tc>
      </w:tr>
      <w:tr w:rsidR="00000000">
        <w:trPr>
          <w:trHeight w:val="180"/>
          <w:tblCellSpacing w:w="15" w:type="dxa"/>
        </w:trPr>
        <w:tc>
          <w:tcPr>
            <w:tcW w:w="0" w:type="auto"/>
            <w:tcBorders>
              <w:bottom w:val="single" w:sz="4" w:space="0" w:color="auto"/>
            </w:tcBorders>
            <w:hideMark/>
          </w:tcPr>
          <w:p w:rsidR="00000000" w:rsidRDefault="00010F15">
            <w:pPr>
              <w:pStyle w:val="a3"/>
              <w:spacing w:before="0" w:beforeAutospacing="0" w:after="0" w:afterAutospacing="0"/>
              <w:jc w:val="center"/>
              <w:rPr>
                <w:sz w:val="18"/>
                <w:szCs w:val="18"/>
              </w:rPr>
            </w:pPr>
            <w:r>
              <w:rPr>
                <w:rFonts w:ascii="Arial" w:hAnsi="Arial" w:cs="Arial"/>
                <w:b/>
                <w:bCs/>
                <w:sz w:val="18"/>
                <w:szCs w:val="18"/>
              </w:rPr>
              <w:t>Exhibi</w:t>
            </w:r>
            <w:r>
              <w:rPr>
                <w:rFonts w:ascii="Arial" w:hAnsi="Arial" w:cs="Arial"/>
                <w:b/>
                <w:bCs/>
                <w:sz w:val="18"/>
                <w:szCs w:val="18"/>
              </w:rPr>
              <w:t>t</w:t>
            </w:r>
          </w:p>
          <w:p w:rsidR="00000000" w:rsidRDefault="00010F15">
            <w:pPr>
              <w:pStyle w:val="a3"/>
              <w:spacing w:before="0" w:beforeAutospacing="0" w:after="0" w:afterAutospacing="0"/>
              <w:jc w:val="center"/>
              <w:rPr>
                <w:sz w:val="18"/>
                <w:szCs w:val="18"/>
              </w:rPr>
            </w:pPr>
            <w:r>
              <w:rPr>
                <w:rFonts w:ascii="Arial" w:hAnsi="Arial" w:cs="Arial"/>
                <w:b/>
                <w:bCs/>
                <w:sz w:val="18"/>
                <w:szCs w:val="18"/>
              </w:rPr>
              <w:t>Numbe</w:t>
            </w:r>
            <w:r>
              <w:rPr>
                <w:rFonts w:ascii="Arial" w:hAnsi="Arial" w:cs="Arial"/>
                <w:b/>
                <w:bCs/>
                <w:sz w:val="18"/>
                <w:szCs w:val="18"/>
              </w:rPr>
              <w:t>r</w:t>
            </w:r>
          </w:p>
        </w:tc>
        <w:tc>
          <w:tcPr>
            <w:tcW w:w="0" w:type="auto"/>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tcBorders>
              <w:bottom w:val="single" w:sz="4" w:space="0" w:color="auto"/>
            </w:tcBorders>
            <w:vAlign w:val="bottom"/>
            <w:hideMark/>
          </w:tcPr>
          <w:p w:rsidR="00000000" w:rsidRDefault="00010F15">
            <w:pPr>
              <w:pStyle w:val="a3"/>
              <w:spacing w:before="0" w:beforeAutospacing="0" w:after="0" w:afterAutospacing="0"/>
              <w:jc w:val="center"/>
              <w:rPr>
                <w:sz w:val="18"/>
                <w:szCs w:val="18"/>
              </w:rPr>
            </w:pPr>
            <w:r>
              <w:rPr>
                <w:rFonts w:ascii="Arial" w:hAnsi="Arial" w:cs="Arial"/>
                <w:b/>
                <w:bCs/>
                <w:sz w:val="18"/>
                <w:szCs w:val="18"/>
              </w:rPr>
              <w:t>Descriptio</w:t>
            </w:r>
            <w:r>
              <w:rPr>
                <w:rFonts w:ascii="Arial" w:hAnsi="Arial" w:cs="Arial"/>
                <w:b/>
                <w:bCs/>
                <w:sz w:val="18"/>
                <w:szCs w:val="18"/>
              </w:rPr>
              <w:t>n</w:t>
            </w:r>
          </w:p>
        </w:tc>
        <w:tc>
          <w:tcPr>
            <w:tcW w:w="0" w:type="auto"/>
            <w:hideMark/>
          </w:tcPr>
          <w:p w:rsidR="00000000" w:rsidRDefault="00010F15">
            <w:pPr>
              <w:pStyle w:val="a3"/>
              <w:spacing w:before="0" w:beforeAutospacing="0" w:after="0" w:afterAutospacing="0"/>
              <w:rPr>
                <w:sz w:val="18"/>
                <w:szCs w:val="18"/>
              </w:rPr>
            </w:pPr>
            <w:r>
              <w:rPr>
                <w:rFonts w:ascii="Arial" w:hAnsi="Arial" w:cs="Arial"/>
                <w:sz w:val="18"/>
                <w:szCs w:val="18"/>
              </w:rPr>
              <w:t> </w:t>
            </w:r>
          </w:p>
        </w:tc>
        <w:tc>
          <w:tcPr>
            <w:tcW w:w="0" w:type="auto"/>
            <w:tcBorders>
              <w:bottom w:val="single" w:sz="4" w:space="0" w:color="auto"/>
            </w:tcBorders>
            <w:vAlign w:val="bottom"/>
            <w:hideMark/>
          </w:tcPr>
          <w:p w:rsidR="00000000" w:rsidRDefault="00010F15">
            <w:pPr>
              <w:pStyle w:val="a3"/>
              <w:spacing w:before="0" w:beforeAutospacing="0" w:after="0" w:afterAutospacing="0"/>
              <w:jc w:val="center"/>
              <w:rPr>
                <w:sz w:val="18"/>
                <w:szCs w:val="18"/>
              </w:rPr>
            </w:pPr>
            <w:r>
              <w:rPr>
                <w:rFonts w:ascii="Arial" w:hAnsi="Arial" w:cs="Arial"/>
                <w:b/>
                <w:bCs/>
                <w:sz w:val="18"/>
                <w:szCs w:val="18"/>
              </w:rPr>
              <w:t>For</w:t>
            </w:r>
            <w:r>
              <w:rPr>
                <w:rFonts w:ascii="Arial" w:hAnsi="Arial" w:cs="Arial"/>
                <w:b/>
                <w:bCs/>
                <w:sz w:val="18"/>
                <w:szCs w:val="18"/>
              </w:rPr>
              <w:t>m</w:t>
            </w:r>
          </w:p>
        </w:tc>
        <w:tc>
          <w:tcPr>
            <w:tcW w:w="0" w:type="auto"/>
            <w:tcBorders>
              <w:bottom w:val="single" w:sz="4" w:space="0" w:color="auto"/>
            </w:tcBorders>
            <w:vAlign w:val="bottom"/>
            <w:hideMark/>
          </w:tcPr>
          <w:p w:rsidR="00000000" w:rsidRDefault="00010F15">
            <w:pPr>
              <w:pStyle w:val="a3"/>
              <w:spacing w:before="0" w:beforeAutospacing="0" w:after="0" w:afterAutospacing="0"/>
              <w:jc w:val="center"/>
              <w:rPr>
                <w:sz w:val="18"/>
                <w:szCs w:val="18"/>
              </w:rPr>
            </w:pPr>
            <w:r>
              <w:rPr>
                <w:rFonts w:ascii="Arial" w:hAnsi="Arial" w:cs="Arial"/>
                <w:b/>
                <w:bCs/>
                <w:sz w:val="18"/>
                <w:szCs w:val="18"/>
              </w:rPr>
              <w:t>File No</w:t>
            </w:r>
            <w:r>
              <w:rPr>
                <w:rFonts w:ascii="Arial" w:hAnsi="Arial" w:cs="Arial"/>
                <w:b/>
                <w:bCs/>
                <w:sz w:val="18"/>
                <w:szCs w:val="18"/>
              </w:rPr>
              <w:t>.</w:t>
            </w:r>
          </w:p>
        </w:tc>
        <w:tc>
          <w:tcPr>
            <w:tcW w:w="0" w:type="auto"/>
            <w:tcBorders>
              <w:bottom w:val="single" w:sz="4" w:space="0" w:color="auto"/>
            </w:tcBorders>
            <w:vAlign w:val="bottom"/>
            <w:hideMark/>
          </w:tcPr>
          <w:p w:rsidR="00000000" w:rsidRDefault="00010F15">
            <w:pPr>
              <w:pStyle w:val="a3"/>
              <w:spacing w:before="0" w:beforeAutospacing="0" w:after="0" w:afterAutospacing="0"/>
              <w:jc w:val="center"/>
              <w:rPr>
                <w:sz w:val="18"/>
                <w:szCs w:val="18"/>
              </w:rPr>
            </w:pPr>
            <w:r>
              <w:rPr>
                <w:rFonts w:ascii="Arial" w:hAnsi="Arial" w:cs="Arial"/>
                <w:b/>
                <w:bCs/>
                <w:sz w:val="18"/>
                <w:szCs w:val="18"/>
              </w:rPr>
              <w:t>Exhibi</w:t>
            </w:r>
            <w:r>
              <w:rPr>
                <w:rFonts w:ascii="Arial" w:hAnsi="Arial" w:cs="Arial"/>
                <w:b/>
                <w:bCs/>
                <w:sz w:val="18"/>
                <w:szCs w:val="18"/>
              </w:rPr>
              <w:t>t</w:t>
            </w:r>
          </w:p>
        </w:tc>
        <w:tc>
          <w:tcPr>
            <w:tcW w:w="0" w:type="auto"/>
            <w:tcBorders>
              <w:bottom w:val="single" w:sz="4" w:space="0" w:color="auto"/>
            </w:tcBorders>
            <w:vAlign w:val="bottom"/>
            <w:hideMark/>
          </w:tcPr>
          <w:p w:rsidR="00000000" w:rsidRDefault="00010F15">
            <w:pPr>
              <w:pStyle w:val="a3"/>
              <w:spacing w:before="0" w:beforeAutospacing="0" w:after="0" w:afterAutospacing="0"/>
              <w:jc w:val="center"/>
              <w:rPr>
                <w:sz w:val="18"/>
                <w:szCs w:val="18"/>
              </w:rPr>
            </w:pPr>
            <w:r>
              <w:rPr>
                <w:rFonts w:ascii="Arial" w:hAnsi="Arial" w:cs="Arial"/>
                <w:b/>
                <w:bCs/>
                <w:sz w:val="18"/>
                <w:szCs w:val="18"/>
              </w:rPr>
              <w:t>Filing Dat</w:t>
            </w:r>
            <w:r>
              <w:rPr>
                <w:rFonts w:ascii="Arial" w:hAnsi="Arial" w:cs="Arial"/>
                <w:b/>
                <w:bCs/>
                <w:sz w:val="18"/>
                <w:szCs w:val="18"/>
              </w:rPr>
              <w:t>e</w:t>
            </w:r>
          </w:p>
        </w:tc>
        <w:tc>
          <w:tcPr>
            <w:tcW w:w="0" w:type="auto"/>
            <w:tcBorders>
              <w:bottom w:val="single" w:sz="4" w:space="0" w:color="auto"/>
            </w:tcBorders>
            <w:hideMark/>
          </w:tcPr>
          <w:p w:rsidR="00000000" w:rsidRDefault="00010F15">
            <w:pPr>
              <w:pStyle w:val="a3"/>
              <w:spacing w:before="0" w:beforeAutospacing="0" w:after="0" w:afterAutospacing="0"/>
              <w:jc w:val="center"/>
              <w:rPr>
                <w:sz w:val="18"/>
                <w:szCs w:val="18"/>
              </w:rPr>
            </w:pPr>
            <w:r>
              <w:rPr>
                <w:rFonts w:ascii="Arial" w:hAnsi="Arial" w:cs="Arial"/>
                <w:b/>
                <w:bCs/>
                <w:sz w:val="18"/>
                <w:szCs w:val="18"/>
              </w:rPr>
              <w:t>Filed</w:t>
            </w:r>
            <w:r>
              <w:rPr>
                <w:rFonts w:ascii="Arial" w:hAnsi="Arial" w:cs="Arial"/>
                <w:b/>
                <w:bCs/>
                <w:sz w:val="18"/>
                <w:szCs w:val="18"/>
              </w:rPr>
              <w:t>/</w:t>
            </w:r>
          </w:p>
          <w:p w:rsidR="00000000" w:rsidRDefault="00010F15">
            <w:pPr>
              <w:pStyle w:val="a3"/>
              <w:spacing w:before="0" w:beforeAutospacing="0" w:after="0" w:afterAutospacing="0"/>
              <w:jc w:val="center"/>
              <w:rPr>
                <w:sz w:val="18"/>
                <w:szCs w:val="18"/>
              </w:rPr>
            </w:pPr>
            <w:r>
              <w:rPr>
                <w:rFonts w:ascii="Arial" w:hAnsi="Arial" w:cs="Arial"/>
                <w:b/>
                <w:bCs/>
                <w:sz w:val="18"/>
                <w:szCs w:val="18"/>
              </w:rPr>
              <w:t>Furnished Herewit</w:t>
            </w:r>
            <w:r>
              <w:rPr>
                <w:rFonts w:ascii="Arial" w:hAnsi="Arial" w:cs="Arial"/>
                <w:b/>
                <w:bCs/>
                <w:sz w:val="18"/>
                <w:szCs w:val="18"/>
              </w:rPr>
              <w:t>h</w:t>
            </w:r>
          </w:p>
        </w:tc>
      </w:tr>
      <w:tr w:rsidR="00000000">
        <w:trPr>
          <w:trHeight w:val="180"/>
          <w:tblCellSpacing w:w="15" w:type="dxa"/>
        </w:trPr>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32.2</w:t>
            </w:r>
            <w:r>
              <w:rPr>
                <w:rFonts w:ascii="Arial" w:hAnsi="Arial" w:cs="Arial"/>
                <w:sz w:val="18"/>
                <w:szCs w:val="18"/>
              </w:rPr>
              <w:t>*</w:t>
            </w:r>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rPr>
                <w:sz w:val="18"/>
                <w:szCs w:val="18"/>
              </w:rPr>
            </w:pPr>
            <w:hyperlink r:id="rId33" w:history="1">
              <w:r>
                <w:rPr>
                  <w:rStyle w:val="a4"/>
                  <w:rFonts w:ascii="Arial" w:hAnsi="Arial" w:cs="Arial"/>
                  <w:sz w:val="18"/>
                  <w:szCs w:val="18"/>
                </w:rPr>
                <w:t>Certification of Principal Financial Officer Pursuant to 18 U.S.C. Section 1350, as Adopted Pursuant to Section 906 of the Sarbanes-Oxley Act of 200</w:t>
              </w:r>
              <w:r>
                <w:rPr>
                  <w:rStyle w:val="a4"/>
                  <w:rFonts w:ascii="Arial" w:hAnsi="Arial" w:cs="Arial"/>
                  <w:sz w:val="18"/>
                  <w:szCs w:val="18"/>
                </w:rPr>
                <w:t>2</w:t>
              </w:r>
            </w:hyperlink>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X</w:t>
            </w:r>
          </w:p>
        </w:tc>
      </w:tr>
      <w:tr w:rsidR="00000000">
        <w:trPr>
          <w:trHeight w:val="120"/>
          <w:tblCellSpacing w:w="15" w:type="dxa"/>
        </w:trPr>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r>
      <w:tr w:rsidR="00000000">
        <w:trPr>
          <w:trHeight w:val="200"/>
          <w:tblCellSpacing w:w="15" w:type="dxa"/>
        </w:trPr>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101.SC</w:t>
            </w:r>
            <w:r>
              <w:rPr>
                <w:rFonts w:ascii="Arial" w:hAnsi="Arial" w:cs="Arial"/>
                <w:sz w:val="18"/>
                <w:szCs w:val="18"/>
              </w:rPr>
              <w:t>H</w:t>
            </w:r>
          </w:p>
        </w:tc>
        <w:tc>
          <w:tcPr>
            <w:tcW w:w="0" w:type="auto"/>
            <w:hideMark/>
          </w:tcPr>
          <w:p w:rsidR="00000000" w:rsidRDefault="00010F15">
            <w:pPr>
              <w:pStyle w:val="a3"/>
              <w:spacing w:before="0" w:beforeAutospacing="0" w:after="0" w:afterAutospacing="0"/>
              <w:rPr>
                <w:sz w:val="20"/>
                <w:szCs w:val="20"/>
              </w:rPr>
            </w:pPr>
            <w:r>
              <w:rPr>
                <w:sz w:val="20"/>
                <w:szCs w:val="20"/>
              </w:rPr>
              <w:t> </w:t>
            </w:r>
          </w:p>
        </w:tc>
        <w:tc>
          <w:tcPr>
            <w:tcW w:w="0" w:type="auto"/>
            <w:hideMark/>
          </w:tcPr>
          <w:p w:rsidR="00000000" w:rsidRDefault="00010F15">
            <w:pPr>
              <w:pStyle w:val="a3"/>
              <w:spacing w:before="0" w:beforeAutospacing="0" w:after="0" w:afterAutospacing="0"/>
              <w:rPr>
                <w:sz w:val="18"/>
                <w:szCs w:val="18"/>
              </w:rPr>
            </w:pPr>
            <w:r>
              <w:rPr>
                <w:rFonts w:ascii="Arial" w:hAnsi="Arial" w:cs="Arial"/>
                <w:sz w:val="18"/>
                <w:szCs w:val="18"/>
              </w:rPr>
              <w:t>Inline XBRL Taxonomy Extension Schema Documen</w:t>
            </w:r>
            <w:r>
              <w:rPr>
                <w:rFonts w:ascii="Arial" w:hAnsi="Arial" w:cs="Arial"/>
                <w:sz w:val="18"/>
                <w:szCs w:val="18"/>
              </w:rPr>
              <w:t>t</w:t>
            </w:r>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X</w:t>
            </w:r>
          </w:p>
        </w:tc>
      </w:tr>
      <w:tr w:rsidR="00000000">
        <w:trPr>
          <w:trHeight w:val="120"/>
          <w:tblCellSpacing w:w="15" w:type="dxa"/>
        </w:trPr>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r>
      <w:tr w:rsidR="00000000">
        <w:trPr>
          <w:trHeight w:val="200"/>
          <w:tblCellSpacing w:w="15" w:type="dxa"/>
        </w:trPr>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101.CA</w:t>
            </w:r>
            <w:r>
              <w:rPr>
                <w:rFonts w:ascii="Arial" w:hAnsi="Arial" w:cs="Arial"/>
                <w:sz w:val="18"/>
                <w:szCs w:val="18"/>
              </w:rPr>
              <w:t>L</w:t>
            </w:r>
          </w:p>
        </w:tc>
        <w:tc>
          <w:tcPr>
            <w:tcW w:w="0" w:type="auto"/>
            <w:hideMark/>
          </w:tcPr>
          <w:p w:rsidR="00000000" w:rsidRDefault="00010F15">
            <w:pPr>
              <w:pStyle w:val="a3"/>
              <w:spacing w:before="0" w:beforeAutospacing="0" w:after="0" w:afterAutospacing="0"/>
              <w:rPr>
                <w:sz w:val="20"/>
                <w:szCs w:val="20"/>
              </w:rPr>
            </w:pPr>
            <w:r>
              <w:rPr>
                <w:sz w:val="20"/>
                <w:szCs w:val="20"/>
              </w:rPr>
              <w:t> </w:t>
            </w:r>
          </w:p>
        </w:tc>
        <w:tc>
          <w:tcPr>
            <w:tcW w:w="0" w:type="auto"/>
            <w:hideMark/>
          </w:tcPr>
          <w:p w:rsidR="00000000" w:rsidRDefault="00010F15">
            <w:pPr>
              <w:pStyle w:val="a3"/>
              <w:spacing w:before="0" w:beforeAutospacing="0" w:after="0" w:afterAutospacing="0"/>
              <w:rPr>
                <w:sz w:val="18"/>
                <w:szCs w:val="18"/>
              </w:rPr>
            </w:pPr>
            <w:r>
              <w:rPr>
                <w:rFonts w:ascii="Arial" w:hAnsi="Arial" w:cs="Arial"/>
                <w:sz w:val="18"/>
                <w:szCs w:val="18"/>
              </w:rPr>
              <w:t>Inline XBRL Taxonomy Extension Calculation Linkbase Documen</w:t>
            </w:r>
            <w:r>
              <w:rPr>
                <w:rFonts w:ascii="Arial" w:hAnsi="Arial" w:cs="Arial"/>
                <w:sz w:val="18"/>
                <w:szCs w:val="18"/>
              </w:rPr>
              <w:t>t</w:t>
            </w:r>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X</w:t>
            </w:r>
          </w:p>
        </w:tc>
      </w:tr>
      <w:tr w:rsidR="00000000">
        <w:trPr>
          <w:trHeight w:val="120"/>
          <w:tblCellSpacing w:w="15" w:type="dxa"/>
        </w:trPr>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r>
      <w:tr w:rsidR="00000000">
        <w:trPr>
          <w:trHeight w:val="200"/>
          <w:tblCellSpacing w:w="15" w:type="dxa"/>
        </w:trPr>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101.DE</w:t>
            </w:r>
            <w:r>
              <w:rPr>
                <w:rFonts w:ascii="Arial" w:hAnsi="Arial" w:cs="Arial"/>
                <w:sz w:val="18"/>
                <w:szCs w:val="18"/>
              </w:rPr>
              <w:t>F</w:t>
            </w:r>
          </w:p>
        </w:tc>
        <w:tc>
          <w:tcPr>
            <w:tcW w:w="0" w:type="auto"/>
            <w:hideMark/>
          </w:tcPr>
          <w:p w:rsidR="00000000" w:rsidRDefault="00010F15">
            <w:pPr>
              <w:pStyle w:val="a3"/>
              <w:spacing w:before="0" w:beforeAutospacing="0" w:after="0" w:afterAutospacing="0"/>
              <w:rPr>
                <w:sz w:val="20"/>
                <w:szCs w:val="20"/>
              </w:rPr>
            </w:pPr>
            <w:r>
              <w:rPr>
                <w:sz w:val="20"/>
                <w:szCs w:val="20"/>
              </w:rPr>
              <w:t> </w:t>
            </w:r>
          </w:p>
        </w:tc>
        <w:tc>
          <w:tcPr>
            <w:tcW w:w="0" w:type="auto"/>
            <w:hideMark/>
          </w:tcPr>
          <w:p w:rsidR="00000000" w:rsidRDefault="00010F15">
            <w:pPr>
              <w:pStyle w:val="a3"/>
              <w:spacing w:before="0" w:beforeAutospacing="0" w:after="0" w:afterAutospacing="0"/>
              <w:rPr>
                <w:sz w:val="18"/>
                <w:szCs w:val="18"/>
              </w:rPr>
            </w:pPr>
            <w:r>
              <w:rPr>
                <w:rFonts w:ascii="Arial" w:hAnsi="Arial" w:cs="Arial"/>
                <w:sz w:val="18"/>
                <w:szCs w:val="18"/>
              </w:rPr>
              <w:t>Inline XBRL Taxonomy Extension Definition Linkbase Documen</w:t>
            </w:r>
            <w:r>
              <w:rPr>
                <w:rFonts w:ascii="Arial" w:hAnsi="Arial" w:cs="Arial"/>
                <w:sz w:val="18"/>
                <w:szCs w:val="18"/>
              </w:rPr>
              <w:t>t</w:t>
            </w:r>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X</w:t>
            </w:r>
          </w:p>
        </w:tc>
      </w:tr>
      <w:tr w:rsidR="00000000">
        <w:trPr>
          <w:trHeight w:val="120"/>
          <w:tblCellSpacing w:w="15" w:type="dxa"/>
        </w:trPr>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r>
      <w:tr w:rsidR="00000000">
        <w:trPr>
          <w:trHeight w:val="200"/>
          <w:tblCellSpacing w:w="15" w:type="dxa"/>
        </w:trPr>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101.LA</w:t>
            </w:r>
            <w:r>
              <w:rPr>
                <w:rFonts w:ascii="Arial" w:hAnsi="Arial" w:cs="Arial"/>
                <w:sz w:val="18"/>
                <w:szCs w:val="18"/>
              </w:rPr>
              <w:t>B</w:t>
            </w:r>
          </w:p>
        </w:tc>
        <w:tc>
          <w:tcPr>
            <w:tcW w:w="0" w:type="auto"/>
            <w:hideMark/>
          </w:tcPr>
          <w:p w:rsidR="00000000" w:rsidRDefault="00010F15">
            <w:pPr>
              <w:pStyle w:val="a3"/>
              <w:spacing w:before="0" w:beforeAutospacing="0" w:after="0" w:afterAutospacing="0"/>
              <w:rPr>
                <w:sz w:val="20"/>
                <w:szCs w:val="20"/>
              </w:rPr>
            </w:pPr>
            <w:r>
              <w:rPr>
                <w:sz w:val="20"/>
                <w:szCs w:val="20"/>
              </w:rPr>
              <w:t> </w:t>
            </w:r>
          </w:p>
        </w:tc>
        <w:tc>
          <w:tcPr>
            <w:tcW w:w="0" w:type="auto"/>
            <w:hideMark/>
          </w:tcPr>
          <w:p w:rsidR="00000000" w:rsidRDefault="00010F15">
            <w:pPr>
              <w:pStyle w:val="a3"/>
              <w:spacing w:before="0" w:beforeAutospacing="0" w:after="0" w:afterAutospacing="0"/>
              <w:rPr>
                <w:sz w:val="18"/>
                <w:szCs w:val="18"/>
              </w:rPr>
            </w:pPr>
            <w:r>
              <w:rPr>
                <w:rFonts w:ascii="Arial" w:hAnsi="Arial" w:cs="Arial"/>
                <w:sz w:val="18"/>
                <w:szCs w:val="18"/>
              </w:rPr>
              <w:t>Inline XBRL Taxonomy Extension Label Linkbase Documen</w:t>
            </w:r>
            <w:r>
              <w:rPr>
                <w:rFonts w:ascii="Arial" w:hAnsi="Arial" w:cs="Arial"/>
                <w:sz w:val="18"/>
                <w:szCs w:val="18"/>
              </w:rPr>
              <w:t>t</w:t>
            </w:r>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X</w:t>
            </w:r>
          </w:p>
        </w:tc>
      </w:tr>
      <w:tr w:rsidR="00000000">
        <w:trPr>
          <w:trHeight w:val="120"/>
          <w:tblCellSpacing w:w="15" w:type="dxa"/>
        </w:trPr>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r>
      <w:tr w:rsidR="00000000">
        <w:trPr>
          <w:trHeight w:val="200"/>
          <w:tblCellSpacing w:w="15" w:type="dxa"/>
        </w:trPr>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101.PR</w:t>
            </w:r>
            <w:r>
              <w:rPr>
                <w:rFonts w:ascii="Arial" w:hAnsi="Arial" w:cs="Arial"/>
                <w:sz w:val="18"/>
                <w:szCs w:val="18"/>
              </w:rPr>
              <w:t>E</w:t>
            </w:r>
          </w:p>
        </w:tc>
        <w:tc>
          <w:tcPr>
            <w:tcW w:w="0" w:type="auto"/>
            <w:hideMark/>
          </w:tcPr>
          <w:p w:rsidR="00000000" w:rsidRDefault="00010F15">
            <w:pPr>
              <w:pStyle w:val="a3"/>
              <w:spacing w:before="0" w:beforeAutospacing="0" w:after="0" w:afterAutospacing="0"/>
              <w:rPr>
                <w:sz w:val="20"/>
                <w:szCs w:val="20"/>
              </w:rPr>
            </w:pPr>
            <w:r>
              <w:rPr>
                <w:sz w:val="20"/>
                <w:szCs w:val="20"/>
              </w:rPr>
              <w:t> </w:t>
            </w:r>
          </w:p>
        </w:tc>
        <w:tc>
          <w:tcPr>
            <w:tcW w:w="0" w:type="auto"/>
            <w:hideMark/>
          </w:tcPr>
          <w:p w:rsidR="00000000" w:rsidRDefault="00010F15">
            <w:pPr>
              <w:pStyle w:val="a3"/>
              <w:spacing w:before="0" w:beforeAutospacing="0" w:after="0" w:afterAutospacing="0"/>
              <w:rPr>
                <w:sz w:val="18"/>
                <w:szCs w:val="18"/>
              </w:rPr>
            </w:pPr>
            <w:r>
              <w:rPr>
                <w:rFonts w:ascii="Arial" w:hAnsi="Arial" w:cs="Arial"/>
                <w:sz w:val="18"/>
                <w:szCs w:val="18"/>
              </w:rPr>
              <w:t>Inline XBRL Taxonomy Extension Presentation Linkbase Documen</w:t>
            </w:r>
            <w:r>
              <w:rPr>
                <w:rFonts w:ascii="Arial" w:hAnsi="Arial" w:cs="Arial"/>
                <w:sz w:val="18"/>
                <w:szCs w:val="18"/>
              </w:rPr>
              <w:t>t</w:t>
            </w:r>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X</w:t>
            </w:r>
          </w:p>
        </w:tc>
      </w:tr>
      <w:tr w:rsidR="00000000">
        <w:trPr>
          <w:trHeight w:val="120"/>
          <w:tblCellSpacing w:w="15" w:type="dxa"/>
        </w:trPr>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c>
          <w:tcPr>
            <w:tcW w:w="0" w:type="auto"/>
            <w:hideMark/>
          </w:tcPr>
          <w:p w:rsidR="00000000" w:rsidRDefault="00010F15">
            <w:pPr>
              <w:pStyle w:val="a3"/>
              <w:spacing w:before="0" w:beforeAutospacing="0" w:after="0" w:afterAutospacing="0"/>
              <w:jc w:val="center"/>
              <w:rPr>
                <w:sz w:val="12"/>
                <w:szCs w:val="12"/>
              </w:rPr>
            </w:pPr>
            <w:r>
              <w:rPr>
                <w:sz w:val="12"/>
                <w:szCs w:val="12"/>
              </w:rPr>
              <w:t> </w:t>
            </w:r>
          </w:p>
        </w:tc>
      </w:tr>
      <w:tr w:rsidR="00000000">
        <w:trPr>
          <w:trHeight w:val="200"/>
          <w:tblCellSpacing w:w="15" w:type="dxa"/>
        </w:trPr>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10</w:t>
            </w:r>
            <w:r>
              <w:rPr>
                <w:rFonts w:ascii="Arial" w:hAnsi="Arial" w:cs="Arial"/>
                <w:sz w:val="18"/>
                <w:szCs w:val="18"/>
              </w:rPr>
              <w:t>4</w:t>
            </w:r>
          </w:p>
        </w:tc>
        <w:tc>
          <w:tcPr>
            <w:tcW w:w="0" w:type="auto"/>
            <w:hideMark/>
          </w:tcPr>
          <w:p w:rsidR="00000000" w:rsidRDefault="00010F15">
            <w:pPr>
              <w:pStyle w:val="a3"/>
              <w:spacing w:before="0" w:beforeAutospacing="0" w:after="0" w:afterAutospacing="0"/>
              <w:rPr>
                <w:sz w:val="20"/>
                <w:szCs w:val="20"/>
              </w:rPr>
            </w:pPr>
            <w:r>
              <w:rPr>
                <w:sz w:val="20"/>
                <w:szCs w:val="20"/>
              </w:rPr>
              <w:t> </w:t>
            </w:r>
          </w:p>
        </w:tc>
        <w:tc>
          <w:tcPr>
            <w:tcW w:w="0" w:type="auto"/>
            <w:hideMark/>
          </w:tcPr>
          <w:p w:rsidR="00000000" w:rsidRDefault="00010F15">
            <w:pPr>
              <w:pStyle w:val="a3"/>
              <w:spacing w:before="0" w:beforeAutospacing="0" w:after="0" w:afterAutospacing="0"/>
              <w:rPr>
                <w:sz w:val="18"/>
                <w:szCs w:val="18"/>
              </w:rPr>
            </w:pPr>
            <w:r>
              <w:rPr>
                <w:rFonts w:ascii="Arial" w:hAnsi="Arial" w:cs="Arial"/>
                <w:sz w:val="18"/>
                <w:szCs w:val="18"/>
              </w:rPr>
              <w:t>Cover Page Interactive Data File (formatted as Inline XBRL and contained in Exhibit 101</w:t>
            </w:r>
            <w:r>
              <w:rPr>
                <w:rFonts w:ascii="Arial" w:hAnsi="Arial" w:cs="Arial"/>
                <w:sz w:val="18"/>
                <w:szCs w:val="18"/>
              </w:rPr>
              <w:t>)</w:t>
            </w:r>
          </w:p>
        </w:tc>
        <w:tc>
          <w:tcPr>
            <w:tcW w:w="0" w:type="auto"/>
            <w:hideMark/>
          </w:tcPr>
          <w:p w:rsidR="00000000" w:rsidRDefault="00010F15">
            <w:pPr>
              <w:pStyle w:val="a3"/>
              <w:spacing w:before="0" w:beforeAutospacing="0" w:after="0" w:afterAutospacing="0"/>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sz w:val="18"/>
                <w:szCs w:val="18"/>
              </w:rPr>
              <w:t> </w:t>
            </w:r>
          </w:p>
        </w:tc>
        <w:tc>
          <w:tcPr>
            <w:tcW w:w="0" w:type="auto"/>
            <w:hideMark/>
          </w:tcPr>
          <w:p w:rsidR="00000000" w:rsidRDefault="00010F15">
            <w:pPr>
              <w:pStyle w:val="a3"/>
              <w:spacing w:before="0" w:beforeAutospacing="0" w:after="0" w:afterAutospacing="0"/>
              <w:jc w:val="center"/>
              <w:rPr>
                <w:sz w:val="18"/>
                <w:szCs w:val="18"/>
              </w:rPr>
            </w:pPr>
            <w:r>
              <w:rPr>
                <w:rFonts w:ascii="Arial" w:hAnsi="Arial" w:cs="Arial"/>
                <w:sz w:val="18"/>
                <w:szCs w:val="18"/>
              </w:rPr>
              <w:t>X</w:t>
            </w:r>
          </w:p>
        </w:tc>
      </w:tr>
    </w:tbl>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120" w:beforeAutospacing="0" w:after="0" w:afterAutospacing="0"/>
        <w:rPr>
          <w:sz w:val="20"/>
          <w:szCs w:val="20"/>
        </w:rPr>
      </w:pPr>
      <w:r>
        <w:rPr>
          <w:rFonts w:ascii="Arial" w:hAnsi="Arial" w:cs="Arial"/>
          <w:sz w:val="20"/>
          <w:szCs w:val="20"/>
        </w:rPr>
        <w:t>Where applicable, schedules and exhibits have been omitted pursuant to Item 601(a)(5) of Regulation S-K. The registrant agrees to furnish supplementally a copy of any omitted schedule or exhibit to the U.S. Securities and Exchange Commission upon request</w:t>
      </w:r>
      <w:r>
        <w:rPr>
          <w:rFonts w:ascii="Arial" w:hAnsi="Arial" w:cs="Arial"/>
          <w:sz w:val="20"/>
          <w:szCs w:val="20"/>
        </w:rPr>
        <w:t>.</w:t>
      </w:r>
    </w:p>
    <w:p w:rsidR="00000000" w:rsidRDefault="00010F15">
      <w:pPr>
        <w:pStyle w:val="a3"/>
        <w:spacing w:before="120" w:beforeAutospacing="0" w:after="0" w:afterAutospacing="0"/>
        <w:ind w:hanging="690"/>
        <w:rPr>
          <w:sz w:val="20"/>
          <w:szCs w:val="20"/>
        </w:rPr>
      </w:pPr>
      <w:r>
        <w:rPr>
          <w:rFonts w:ascii="Arial" w:hAnsi="Arial" w:cs="Arial"/>
          <w:sz w:val="20"/>
          <w:szCs w:val="20"/>
        </w:rPr>
        <w:t>+ Indicates a management contract or compensatory plan or arrangement</w:t>
      </w:r>
      <w:r>
        <w:rPr>
          <w:rFonts w:ascii="Arial" w:hAnsi="Arial" w:cs="Arial"/>
          <w:sz w:val="20"/>
          <w:szCs w:val="20"/>
        </w:rPr>
        <w:t>.</w:t>
      </w:r>
    </w:p>
    <w:p w:rsidR="00000000" w:rsidRDefault="00010F15">
      <w:pPr>
        <w:pStyle w:val="a3"/>
        <w:spacing w:before="0" w:beforeAutospacing="0" w:after="0" w:afterAutospacing="0"/>
        <w:rPr>
          <w:sz w:val="20"/>
          <w:szCs w:val="20"/>
        </w:rPr>
      </w:pPr>
      <w:r>
        <w:rPr>
          <w:rFonts w:ascii="Arial" w:hAnsi="Arial" w:cs="Arial"/>
          <w:sz w:val="20"/>
          <w:szCs w:val="20"/>
        </w:rPr>
        <w:t> </w:t>
      </w:r>
    </w:p>
    <w:p w:rsidR="00000000" w:rsidRDefault="00010F15">
      <w:pPr>
        <w:pStyle w:val="a3"/>
        <w:spacing w:before="0" w:beforeAutospacing="0" w:after="0" w:afterAutospacing="0"/>
        <w:rPr>
          <w:sz w:val="20"/>
          <w:szCs w:val="20"/>
        </w:rPr>
      </w:pPr>
      <w:r>
        <w:rPr>
          <w:rFonts w:ascii="Arial" w:hAnsi="Arial" w:cs="Arial"/>
          <w:sz w:val="20"/>
          <w:szCs w:val="20"/>
        </w:rPr>
        <w:t>* The certifications attached as Exhibit 32.1 and 32.2 that accompany this report are not deemed filed with the Securities and Exchange Commission and are not to be incorporated by re</w:t>
      </w:r>
      <w:r>
        <w:rPr>
          <w:rFonts w:ascii="Arial" w:hAnsi="Arial" w:cs="Arial"/>
          <w:sz w:val="20"/>
          <w:szCs w:val="20"/>
        </w:rPr>
        <w:t>ference into any filing of Paymentus Holdings, Inc. under the Securities Act of 1933, as amended, or the Securities Exchange Act of 1934, as amended, whether made before or after the date of this report, irrespective of any general incorporation language c</w:t>
      </w:r>
      <w:r>
        <w:rPr>
          <w:rFonts w:ascii="Arial" w:hAnsi="Arial" w:cs="Arial"/>
          <w:sz w:val="20"/>
          <w:szCs w:val="20"/>
        </w:rPr>
        <w:t>ontained in such filing</w:t>
      </w:r>
      <w:r>
        <w:rPr>
          <w:rFonts w:ascii="Arial" w:hAnsi="Arial" w:cs="Arial"/>
          <w:sz w:val="20"/>
          <w:szCs w:val="20"/>
        </w:rPr>
        <w:t>.</w:t>
      </w:r>
    </w:p>
    <w:p w:rsidR="00000000" w:rsidRDefault="00010F15">
      <w:pPr>
        <w:pStyle w:val="a3"/>
        <w:spacing w:before="360" w:beforeAutospacing="0" w:after="0" w:afterAutospacing="0"/>
        <w:rPr>
          <w:sz w:val="20"/>
          <w:szCs w:val="20"/>
        </w:rPr>
      </w:pPr>
      <w:r>
        <w:rPr>
          <w:sz w:val="20"/>
          <w:szCs w:val="20"/>
        </w:rPr>
        <w:t> </w:t>
      </w:r>
    </w:p>
    <w:p w:rsidR="00000000" w:rsidRDefault="00010F15">
      <w:pPr>
        <w:pStyle w:val="a3"/>
        <w:spacing w:before="120" w:beforeAutospacing="0" w:after="0" w:afterAutospacing="0"/>
        <w:jc w:val="center"/>
        <w:rPr>
          <w:sz w:val="20"/>
          <w:szCs w:val="20"/>
        </w:rPr>
      </w:pPr>
      <w:r>
        <w:rPr>
          <w:rFonts w:ascii="Arial" w:hAnsi="Arial" w:cs="Arial"/>
          <w:sz w:val="20"/>
          <w:szCs w:val="20"/>
        </w:rPr>
        <w:t>10</w:t>
      </w:r>
      <w:r>
        <w:rPr>
          <w:rFonts w:ascii="Arial" w:hAnsi="Arial" w:cs="Arial"/>
          <w:sz w:val="20"/>
          <w:szCs w:val="20"/>
        </w:rPr>
        <w:t>5</w:t>
      </w:r>
    </w:p>
    <w:p w:rsidR="00000000" w:rsidRDefault="00010F15">
      <w:pPr>
        <w:rPr>
          <w:rFonts w:eastAsia="Times New Roman"/>
        </w:rPr>
      </w:pPr>
      <w:r>
        <w:rPr>
          <w:rFonts w:eastAsia="Times New Roman"/>
        </w:rPr>
        <w:pict>
          <v:rect id="_x0000_i1130"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360" w:beforeAutospacing="0" w:after="0" w:afterAutospacing="0"/>
        <w:rPr>
          <w:sz w:val="20"/>
          <w:szCs w:val="20"/>
        </w:rPr>
      </w:pPr>
      <w:hyperlink w:anchor="item_16" w:history="1">
        <w:r>
          <w:rPr>
            <w:rStyle w:val="a4"/>
            <w:rFonts w:ascii="Arial" w:hAnsi="Arial" w:cs="Arial"/>
            <w:b/>
            <w:bCs/>
            <w:sz w:val="20"/>
            <w:szCs w:val="20"/>
          </w:rPr>
          <w:t>Item 16. Form 10-K Summar</w:t>
        </w:r>
        <w:r>
          <w:rPr>
            <w:rStyle w:val="a4"/>
            <w:rFonts w:ascii="Arial" w:hAnsi="Arial" w:cs="Arial"/>
            <w:b/>
            <w:bCs/>
            <w:sz w:val="20"/>
            <w:szCs w:val="20"/>
          </w:rPr>
          <w:t>y</w:t>
        </w:r>
      </w:hyperlink>
    </w:p>
    <w:p w:rsidR="00000000" w:rsidRDefault="00010F15">
      <w:pPr>
        <w:pStyle w:val="a3"/>
        <w:spacing w:before="240" w:beforeAutospacing="0" w:after="0" w:afterAutospacing="0"/>
        <w:ind w:firstLine="555"/>
        <w:rPr>
          <w:sz w:val="20"/>
          <w:szCs w:val="20"/>
        </w:rPr>
      </w:pPr>
      <w:r>
        <w:rPr>
          <w:rFonts w:ascii="Arial" w:hAnsi="Arial" w:cs="Arial"/>
          <w:sz w:val="20"/>
          <w:szCs w:val="20"/>
        </w:rPr>
        <w:t>None</w:t>
      </w:r>
      <w:r>
        <w:rPr>
          <w:rFonts w:ascii="Arial" w:hAnsi="Arial" w:cs="Arial"/>
          <w:sz w:val="20"/>
          <w:szCs w:val="20"/>
        </w:rPr>
        <w:t>.</w:t>
      </w:r>
    </w:p>
    <w:p w:rsidR="00000000" w:rsidRDefault="00010F15">
      <w:pPr>
        <w:pStyle w:val="a3"/>
        <w:spacing w:before="120" w:beforeAutospacing="0" w:after="0" w:afterAutospacing="0"/>
        <w:jc w:val="center"/>
        <w:rPr>
          <w:sz w:val="20"/>
          <w:szCs w:val="20"/>
        </w:rPr>
      </w:pPr>
      <w:r>
        <w:rPr>
          <w:rFonts w:ascii="Arial" w:hAnsi="Arial" w:cs="Arial"/>
          <w:sz w:val="20"/>
          <w:szCs w:val="20"/>
        </w:rPr>
        <w:t>10</w:t>
      </w:r>
      <w:r>
        <w:rPr>
          <w:rFonts w:ascii="Arial" w:hAnsi="Arial" w:cs="Arial"/>
          <w:sz w:val="20"/>
          <w:szCs w:val="20"/>
        </w:rPr>
        <w:t>6</w:t>
      </w:r>
    </w:p>
    <w:p w:rsidR="00000000" w:rsidRDefault="00010F15">
      <w:pPr>
        <w:rPr>
          <w:rFonts w:eastAsia="Times New Roman"/>
        </w:rPr>
      </w:pPr>
      <w:r>
        <w:rPr>
          <w:rFonts w:eastAsia="Times New Roman"/>
        </w:rPr>
        <w:pict>
          <v:rect id="_x0000_i1131" style="width:0;height:1.5pt" o:hralign="center" o:hrstd="t" o:hr="t" fillcolor="#a0a0a0" stroked="f"/>
        </w:pict>
      </w:r>
    </w:p>
    <w:p w:rsidR="00000000" w:rsidRDefault="00010F15">
      <w:pPr>
        <w:pStyle w:val="a3"/>
        <w:spacing w:before="0" w:beforeAutospacing="0" w:after="0" w:afterAutospacing="0"/>
        <w:rPr>
          <w:sz w:val="20"/>
          <w:szCs w:val="20"/>
        </w:rPr>
      </w:pPr>
      <w:r>
        <w:rPr>
          <w:sz w:val="20"/>
          <w:szCs w:val="20"/>
        </w:rPr>
        <w:t> </w:t>
      </w:r>
    </w:p>
    <w:p w:rsidR="00000000" w:rsidRDefault="00010F15">
      <w:pPr>
        <w:pStyle w:val="a3"/>
        <w:spacing w:before="0" w:beforeAutospacing="0" w:after="0" w:afterAutospacing="0"/>
        <w:jc w:val="center"/>
        <w:rPr>
          <w:sz w:val="20"/>
          <w:szCs w:val="20"/>
        </w:rPr>
      </w:pPr>
      <w:hyperlink w:anchor="signatures" w:history="1">
        <w:r>
          <w:rPr>
            <w:rStyle w:val="a4"/>
            <w:rFonts w:ascii="Arial" w:hAnsi="Arial" w:cs="Arial"/>
            <w:b/>
            <w:bCs/>
            <w:sz w:val="20"/>
            <w:szCs w:val="20"/>
          </w:rPr>
          <w:t>SI</w:t>
        </w:r>
        <w:r>
          <w:rPr>
            <w:rStyle w:val="a4"/>
            <w:rFonts w:ascii="Arial" w:hAnsi="Arial" w:cs="Arial"/>
            <w:b/>
            <w:bCs/>
            <w:sz w:val="20"/>
            <w:szCs w:val="20"/>
          </w:rPr>
          <w:t>G</w:t>
        </w:r>
        <w:r>
          <w:rPr>
            <w:rStyle w:val="a4"/>
            <w:rFonts w:ascii="Arial" w:hAnsi="Arial" w:cs="Arial"/>
            <w:b/>
            <w:bCs/>
            <w:sz w:val="20"/>
            <w:szCs w:val="20"/>
          </w:rPr>
          <w:t>NATURE</w:t>
        </w:r>
        <w:r>
          <w:rPr>
            <w:rStyle w:val="a4"/>
            <w:rFonts w:ascii="Arial" w:hAnsi="Arial" w:cs="Arial"/>
            <w:b/>
            <w:bCs/>
            <w:sz w:val="20"/>
            <w:szCs w:val="20"/>
          </w:rPr>
          <w:t>S</w:t>
        </w:r>
      </w:hyperlink>
    </w:p>
    <w:p w:rsidR="00000000" w:rsidRDefault="00010F15">
      <w:pPr>
        <w:pStyle w:val="a3"/>
        <w:spacing w:before="240" w:beforeAutospacing="0" w:after="0" w:afterAutospacing="0"/>
        <w:ind w:firstLine="555"/>
        <w:rPr>
          <w:sz w:val="20"/>
          <w:szCs w:val="20"/>
        </w:rPr>
      </w:pPr>
      <w:r>
        <w:rPr>
          <w:rFonts w:ascii="Arial" w:hAnsi="Arial" w:cs="Arial"/>
          <w:sz w:val="20"/>
          <w:szCs w:val="20"/>
        </w:rPr>
        <w:t>Pursuant to the requirements of Section 13 or 15(d) of the Securities Exchange Act of 1934, the Registrant has duly caused this Report to be signed on its behalf by the under</w:t>
      </w:r>
      <w:r>
        <w:rPr>
          <w:rFonts w:ascii="Arial" w:hAnsi="Arial" w:cs="Arial"/>
          <w:sz w:val="20"/>
          <w:szCs w:val="20"/>
        </w:rPr>
        <w:t>signed thereunto duly authorized</w:t>
      </w:r>
      <w:r>
        <w:rPr>
          <w:rFonts w:ascii="Arial" w:hAnsi="Arial" w:cs="Arial"/>
          <w:sz w:val="20"/>
          <w:szCs w:val="20"/>
        </w:rPr>
        <w:t>.</w:t>
      </w:r>
    </w:p>
    <w:p w:rsidR="00000000" w:rsidRDefault="00010F15">
      <w:pPr>
        <w:pStyle w:val="a3"/>
        <w:spacing w:before="0" w:beforeAutospacing="0" w:after="0" w:afterAutospacing="0"/>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24"/>
        <w:gridCol w:w="450"/>
        <w:gridCol w:w="358"/>
        <w:gridCol w:w="3774"/>
      </w:tblGrid>
      <w:tr w:rsidR="00000000">
        <w:trPr>
          <w:tblCellSpacing w:w="15" w:type="dxa"/>
        </w:trPr>
        <w:tc>
          <w:tcPr>
            <w:tcW w:w="2254" w:type="pct"/>
            <w:vAlign w:val="center"/>
            <w:hideMark/>
          </w:tcPr>
          <w:p w:rsidR="00000000" w:rsidRDefault="00010F15">
            <w:pPr>
              <w:rPr>
                <w:sz w:val="20"/>
                <w:szCs w:val="20"/>
              </w:rPr>
            </w:pPr>
          </w:p>
        </w:tc>
        <w:tc>
          <w:tcPr>
            <w:tcW w:w="257" w:type="pct"/>
            <w:vAlign w:val="center"/>
            <w:hideMark/>
          </w:tcPr>
          <w:p w:rsidR="00000000" w:rsidRDefault="00010F15">
            <w:pPr>
              <w:rPr>
                <w:rFonts w:eastAsia="Times New Roman"/>
                <w:sz w:val="20"/>
                <w:szCs w:val="20"/>
              </w:rPr>
            </w:pPr>
          </w:p>
        </w:tc>
        <w:tc>
          <w:tcPr>
            <w:tcW w:w="201" w:type="pct"/>
            <w:vAlign w:val="center"/>
            <w:hideMark/>
          </w:tcPr>
          <w:p w:rsidR="00000000" w:rsidRDefault="00010F15">
            <w:pPr>
              <w:rPr>
                <w:rFonts w:eastAsia="Times New Roman"/>
                <w:sz w:val="20"/>
                <w:szCs w:val="20"/>
              </w:rPr>
            </w:pPr>
          </w:p>
        </w:tc>
        <w:tc>
          <w:tcPr>
            <w:tcW w:w="2285" w:type="pct"/>
            <w:vAlign w:val="center"/>
            <w:hideMark/>
          </w:tcPr>
          <w:p w:rsidR="00000000" w:rsidRDefault="00010F15">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rPr>
                <w:sz w:val="20"/>
                <w:szCs w:val="20"/>
              </w:rPr>
            </w:pPr>
            <w:r>
              <w:rPr>
                <w:sz w:val="20"/>
                <w:szCs w:val="20"/>
              </w:rPr>
              <w:t> </w:t>
            </w:r>
          </w:p>
        </w:tc>
        <w:tc>
          <w:tcPr>
            <w:tcW w:w="0" w:type="auto"/>
            <w:gridSpan w:val="2"/>
            <w:tcBorders>
              <w:bottom w:val="single" w:sz="4" w:space="0" w:color="auto"/>
            </w:tcBorders>
            <w:tcMar>
              <w:top w:w="14" w:type="dxa"/>
              <w:left w:w="15" w:type="dxa"/>
              <w:bottom w:w="15" w:type="dxa"/>
              <w:right w:w="14" w:type="dxa"/>
            </w:tcMar>
            <w:vAlign w:val="bottom"/>
            <w:hideMark/>
          </w:tcPr>
          <w:p w:rsidR="00000000" w:rsidRDefault="00010F15">
            <w:pPr>
              <w:pStyle w:val="a3"/>
              <w:spacing w:before="0" w:beforeAutospacing="0" w:after="0" w:afterAutospacing="0"/>
              <w:rPr>
                <w:sz w:val="20"/>
                <w:szCs w:val="20"/>
              </w:rPr>
            </w:pPr>
            <w:r>
              <w:rPr>
                <w:rFonts w:ascii="Arial" w:hAnsi="Arial" w:cs="Arial"/>
                <w:b/>
                <w:bCs/>
                <w:sz w:val="20"/>
                <w:szCs w:val="20"/>
              </w:rPr>
              <w:t>PAYMENTUS HOLDINGS, INC</w:t>
            </w:r>
            <w:r>
              <w:rPr>
                <w:rFonts w:ascii="Arial" w:hAnsi="Arial" w:cs="Arial"/>
                <w:b/>
                <w:bCs/>
                <w:sz w:val="20"/>
                <w:szCs w:val="20"/>
              </w:rPr>
              <w:t>.</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010F15">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Date: March 3, 202</w:t>
            </w:r>
            <w:r>
              <w:rPr>
                <w:rFonts w:ascii="Arial" w:hAnsi="Arial" w:cs="Arial"/>
                <w:sz w:val="20"/>
                <w:szCs w:val="20"/>
              </w:rPr>
              <w:t>2</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010F15">
            <w:pPr>
              <w:pStyle w:val="a3"/>
              <w:spacing w:before="0" w:beforeAutospacing="0" w:after="0" w:afterAutospacing="0"/>
              <w:rPr>
                <w:sz w:val="20"/>
                <w:szCs w:val="20"/>
              </w:rPr>
            </w:pPr>
            <w:r>
              <w:rPr>
                <w:rFonts w:ascii="Arial" w:hAnsi="Arial" w:cs="Arial"/>
                <w:sz w:val="20"/>
                <w:szCs w:val="20"/>
              </w:rPr>
              <w:t>By</w:t>
            </w:r>
            <w:r>
              <w:rPr>
                <w:rFonts w:ascii="Arial" w:hAnsi="Arial" w:cs="Arial"/>
                <w:sz w:val="20"/>
                <w:szCs w:val="20"/>
              </w:rPr>
              <w:t>:</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/s/ Dushyant Sharm</w:t>
            </w:r>
            <w:r>
              <w:rPr>
                <w:rFonts w:ascii="Arial" w:hAnsi="Arial" w:cs="Arial"/>
                <w:sz w:val="20"/>
                <w:szCs w:val="20"/>
              </w:rPr>
              <w:t>a</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010F15">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Dushyant Sharm</w:t>
            </w:r>
            <w:r>
              <w:rPr>
                <w:rFonts w:ascii="Arial" w:hAnsi="Arial" w:cs="Arial"/>
                <w:sz w:val="20"/>
                <w:szCs w:val="20"/>
              </w:rPr>
              <w:t>a</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Chairman, President and Chief Executive Office</w:t>
            </w:r>
            <w:r>
              <w:rPr>
                <w:rFonts w:ascii="Arial" w:hAnsi="Arial" w:cs="Arial"/>
                <w:sz w:val="20"/>
                <w:szCs w:val="20"/>
              </w:rPr>
              <w:t>r</w:t>
            </w:r>
          </w:p>
        </w:tc>
      </w:tr>
    </w:tbl>
    <w:p w:rsidR="00000000" w:rsidRDefault="00010F15">
      <w:pPr>
        <w:pStyle w:val="a3"/>
        <w:spacing w:before="0" w:beforeAutospacing="0" w:after="0" w:afterAutospacing="0"/>
        <w:jc w:val="center"/>
        <w:rPr>
          <w:sz w:val="20"/>
          <w:szCs w:val="20"/>
        </w:rPr>
      </w:pPr>
      <w:r>
        <w:rPr>
          <w:rFonts w:ascii="Arial" w:hAnsi="Arial" w:cs="Arial"/>
          <w:sz w:val="20"/>
          <w:szCs w:val="20"/>
        </w:rPr>
        <w:t> </w:t>
      </w:r>
    </w:p>
    <w:p w:rsidR="00000000" w:rsidRDefault="00010F15">
      <w:pPr>
        <w:pStyle w:val="a3"/>
        <w:spacing w:before="0" w:beforeAutospacing="0" w:after="0" w:afterAutospacing="0"/>
        <w:jc w:val="center"/>
        <w:rPr>
          <w:sz w:val="20"/>
          <w:szCs w:val="20"/>
        </w:rPr>
      </w:pPr>
      <w:r>
        <w:rPr>
          <w:rFonts w:ascii="Arial" w:hAnsi="Arial" w:cs="Arial"/>
          <w:b/>
          <w:bCs/>
          <w:sz w:val="20"/>
          <w:szCs w:val="20"/>
        </w:rPr>
        <w:t>POWER OF ATTORNE</w:t>
      </w:r>
      <w:r>
        <w:rPr>
          <w:rFonts w:ascii="Arial" w:hAnsi="Arial" w:cs="Arial"/>
          <w:b/>
          <w:bCs/>
          <w:sz w:val="20"/>
          <w:szCs w:val="20"/>
        </w:rPr>
        <w:t>Y</w:t>
      </w:r>
    </w:p>
    <w:p w:rsidR="00000000" w:rsidRDefault="00010F15">
      <w:pPr>
        <w:pStyle w:val="a3"/>
        <w:spacing w:before="240" w:beforeAutospacing="0" w:after="0" w:afterAutospacing="0"/>
        <w:ind w:firstLine="555"/>
        <w:rPr>
          <w:sz w:val="20"/>
          <w:szCs w:val="20"/>
        </w:rPr>
      </w:pPr>
      <w:r>
        <w:rPr>
          <w:rFonts w:ascii="Arial" w:hAnsi="Arial" w:cs="Arial"/>
          <w:sz w:val="20"/>
          <w:szCs w:val="20"/>
        </w:rPr>
        <w:t>Each person whose signature appears below hereby severally constitutes and appoints each of Dushyant Sharma, Matt Parson and Andrew A. Gerber as his true and lawful attorney-in-fact and agent with full power of substitution and re-substitution, for him and</w:t>
      </w:r>
      <w:r>
        <w:rPr>
          <w:rFonts w:ascii="Arial" w:hAnsi="Arial" w:cs="Arial"/>
          <w:sz w:val="20"/>
          <w:szCs w:val="20"/>
        </w:rPr>
        <w:t xml:space="preserve"> in his name, place and stead, in any and all capacities, to sign any and all amendments to this report and to file the same, with all exhibits thereto, and other documents in connection therewith, with the Securities and Exchange Commission, and hereby gr</w:t>
      </w:r>
      <w:r>
        <w:rPr>
          <w:rFonts w:ascii="Arial" w:hAnsi="Arial" w:cs="Arial"/>
          <w:sz w:val="20"/>
          <w:szCs w:val="20"/>
        </w:rPr>
        <w:t>ants to each such attorney-in-fact and agent, full power and authority to do and perform each and every act and thing requisite and necessary to be done, as fully to all intents and purposes as he might or could do in person, hereby ratifying and confirmin</w:t>
      </w:r>
      <w:r>
        <w:rPr>
          <w:rFonts w:ascii="Arial" w:hAnsi="Arial" w:cs="Arial"/>
          <w:sz w:val="20"/>
          <w:szCs w:val="20"/>
        </w:rPr>
        <w:t>g all that each said attorney-in-fact and agent or his substitute or substitutes may lawfully do or cause to be done by virtue hereof</w:t>
      </w:r>
      <w:r>
        <w:rPr>
          <w:rFonts w:ascii="Arial" w:hAnsi="Arial" w:cs="Arial"/>
          <w:sz w:val="20"/>
          <w:szCs w:val="20"/>
        </w:rPr>
        <w:t>.</w:t>
      </w:r>
    </w:p>
    <w:p w:rsidR="00000000" w:rsidRDefault="00010F15">
      <w:pPr>
        <w:pStyle w:val="a3"/>
        <w:spacing w:before="0" w:beforeAutospacing="0" w:after="0" w:afterAutospacing="0"/>
        <w:jc w:val="center"/>
        <w:rPr>
          <w:sz w:val="20"/>
          <w:szCs w:val="20"/>
        </w:rPr>
      </w:pPr>
      <w:r>
        <w:rPr>
          <w:rFonts w:ascii="Arial" w:hAnsi="Arial" w:cs="Arial"/>
          <w:sz w:val="20"/>
          <w:szCs w:val="20"/>
        </w:rPr>
        <w:t> </w:t>
      </w:r>
    </w:p>
    <w:p w:rsidR="00000000" w:rsidRDefault="00010F15">
      <w:pPr>
        <w:pStyle w:val="a3"/>
        <w:spacing w:before="0" w:beforeAutospacing="0" w:after="120" w:afterAutospacing="0"/>
        <w:jc w:val="center"/>
        <w:rPr>
          <w:sz w:val="20"/>
          <w:szCs w:val="20"/>
        </w:rPr>
      </w:pPr>
      <w:r>
        <w:rPr>
          <w:rFonts w:ascii="Arial" w:hAnsi="Arial" w:cs="Arial"/>
          <w:sz w:val="20"/>
          <w:szCs w:val="20"/>
        </w:rPr>
        <w:t>Pursuant to the requirements of the Securities Exchange Act of 1934, as amended, this Report has been signed below by t</w:t>
      </w:r>
      <w:r>
        <w:rPr>
          <w:rFonts w:ascii="Arial" w:hAnsi="Arial" w:cs="Arial"/>
          <w:sz w:val="20"/>
          <w:szCs w:val="20"/>
        </w:rPr>
        <w:t>he following persons on behalf of the Registrant in the capacities and on the dates indicated.</w:t>
      </w:r>
      <w:r>
        <w:rPr>
          <w:rFonts w:ascii="Arial" w:hAnsi="Arial" w:cs="Arial"/>
          <w:sz w:val="20"/>
          <w:szCs w:val="20"/>
        </w:rPr>
        <w:t xml:space="preserve"> </w:t>
      </w:r>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2910"/>
        <w:gridCol w:w="3714"/>
        <w:gridCol w:w="1599"/>
      </w:tblGrid>
      <w:tr w:rsidR="00000000">
        <w:trPr>
          <w:tblCellSpacing w:w="15" w:type="dxa"/>
        </w:trPr>
        <w:tc>
          <w:tcPr>
            <w:tcW w:w="1767" w:type="pct"/>
            <w:vAlign w:val="center"/>
            <w:hideMark/>
          </w:tcPr>
          <w:p w:rsidR="00000000" w:rsidRDefault="00010F15">
            <w:pPr>
              <w:rPr>
                <w:sz w:val="20"/>
                <w:szCs w:val="20"/>
              </w:rPr>
            </w:pPr>
          </w:p>
        </w:tc>
        <w:tc>
          <w:tcPr>
            <w:tcW w:w="2272" w:type="pct"/>
            <w:vAlign w:val="center"/>
            <w:hideMark/>
          </w:tcPr>
          <w:p w:rsidR="00000000" w:rsidRDefault="00010F15">
            <w:pPr>
              <w:rPr>
                <w:rFonts w:eastAsia="Times New Roman"/>
                <w:sz w:val="20"/>
                <w:szCs w:val="20"/>
              </w:rPr>
            </w:pPr>
          </w:p>
        </w:tc>
        <w:tc>
          <w:tcPr>
            <w:tcW w:w="959" w:type="pct"/>
            <w:vAlign w:val="center"/>
            <w:hideMark/>
          </w:tcPr>
          <w:p w:rsidR="00000000" w:rsidRDefault="00010F15">
            <w:pPr>
              <w:rPr>
                <w:rFonts w:eastAsia="Times New Roman"/>
                <w:sz w:val="20"/>
                <w:szCs w:val="20"/>
              </w:rPr>
            </w:pPr>
          </w:p>
        </w:tc>
      </w:tr>
      <w:tr w:rsidR="00000000">
        <w:trPr>
          <w:trHeight w:val="200"/>
          <w:tblCellSpacing w:w="15" w:type="dxa"/>
        </w:trPr>
        <w:tc>
          <w:tcPr>
            <w:tcW w:w="0" w:type="auto"/>
            <w:tcBorders>
              <w:bottom w:val="single" w:sz="4" w:space="0" w:color="auto"/>
            </w:tcBorders>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b/>
                <w:bCs/>
                <w:sz w:val="20"/>
                <w:szCs w:val="20"/>
              </w:rPr>
              <w:t>Nam</w:t>
            </w:r>
            <w:r>
              <w:rPr>
                <w:rFonts w:ascii="Arial" w:hAnsi="Arial" w:cs="Arial"/>
                <w:b/>
                <w:bCs/>
                <w:sz w:val="20"/>
                <w:szCs w:val="20"/>
              </w:rPr>
              <w:t>e</w:t>
            </w:r>
          </w:p>
        </w:tc>
        <w:tc>
          <w:tcPr>
            <w:tcW w:w="0" w:type="auto"/>
            <w:tcBorders>
              <w:bottom w:val="single" w:sz="4" w:space="0" w:color="auto"/>
            </w:tcBorders>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b/>
                <w:bCs/>
                <w:sz w:val="20"/>
                <w:szCs w:val="20"/>
              </w:rPr>
              <w:t>Titl</w:t>
            </w:r>
            <w:r>
              <w:rPr>
                <w:rFonts w:ascii="Arial" w:hAnsi="Arial" w:cs="Arial"/>
                <w:b/>
                <w:bCs/>
                <w:sz w:val="20"/>
                <w:szCs w:val="20"/>
              </w:rPr>
              <w:t>e</w:t>
            </w:r>
          </w:p>
        </w:tc>
        <w:tc>
          <w:tcPr>
            <w:tcW w:w="0" w:type="auto"/>
            <w:tcBorders>
              <w:bottom w:val="single" w:sz="4" w:space="0" w:color="auto"/>
            </w:tcBorders>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b/>
                <w:bCs/>
                <w:sz w:val="20"/>
                <w:szCs w:val="20"/>
              </w:rPr>
              <w:t>Dat</w:t>
            </w:r>
            <w:r>
              <w:rPr>
                <w:rFonts w:ascii="Arial" w:hAnsi="Arial" w:cs="Arial"/>
                <w:b/>
                <w:bCs/>
                <w:sz w:val="20"/>
                <w:szCs w:val="20"/>
              </w:rPr>
              <w:t>e</w:t>
            </w:r>
          </w:p>
        </w:tc>
      </w:tr>
      <w:tr w:rsidR="00000000">
        <w:trPr>
          <w:trHeight w:val="200"/>
          <w:tblCellSpacing w:w="15" w:type="dxa"/>
        </w:trPr>
        <w:tc>
          <w:tcPr>
            <w:tcW w:w="0" w:type="auto"/>
            <w:tcBorders>
              <w:bottom w:val="single" w:sz="4" w:space="0" w:color="auto"/>
            </w:tcBorders>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/s/Dushyant Sharm</w:t>
            </w:r>
            <w:r>
              <w:rPr>
                <w:rFonts w:ascii="Arial" w:hAnsi="Arial" w:cs="Arial"/>
                <w:sz w:val="20"/>
                <w:szCs w:val="20"/>
              </w:rPr>
              <w:t>a</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Chairman, President, and Chief Executive Office</w:t>
            </w:r>
            <w:r>
              <w:rPr>
                <w:rFonts w:ascii="Arial" w:hAnsi="Arial" w:cs="Arial"/>
                <w:sz w:val="20"/>
                <w:szCs w:val="20"/>
              </w:rPr>
              <w:t>r</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March 3, 202</w:t>
            </w:r>
            <w:r>
              <w:rPr>
                <w:rFonts w:ascii="Arial" w:hAnsi="Arial" w:cs="Arial"/>
                <w:sz w:val="20"/>
                <w:szCs w:val="20"/>
              </w:rPr>
              <w:t>2</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Dushyant Sharm</w:t>
            </w:r>
            <w:r>
              <w:rPr>
                <w:rFonts w:ascii="Arial" w:hAnsi="Arial" w:cs="Arial"/>
                <w:sz w:val="20"/>
                <w:szCs w:val="20"/>
              </w:rPr>
              <w:t>a</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(Principle Executive Officer</w:t>
            </w:r>
            <w:r>
              <w:rPr>
                <w:rFonts w:ascii="Arial" w:hAnsi="Arial" w:cs="Arial"/>
                <w:sz w:val="20"/>
                <w:szCs w:val="20"/>
              </w:rPr>
              <w:t>)</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r>
      <w:tr w:rsidR="00000000">
        <w:trPr>
          <w:tblCellSpacing w:w="15" w:type="dxa"/>
        </w:trPr>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r>
      <w:tr w:rsidR="00000000">
        <w:trPr>
          <w:trHeight w:val="200"/>
          <w:tblCellSpacing w:w="15" w:type="dxa"/>
        </w:trPr>
        <w:tc>
          <w:tcPr>
            <w:tcW w:w="0" w:type="auto"/>
            <w:tcBorders>
              <w:bottom w:val="single" w:sz="4" w:space="0" w:color="auto"/>
            </w:tcBorders>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/s/ Matt Parso</w:t>
            </w:r>
            <w:r>
              <w:rPr>
                <w:rFonts w:ascii="Arial" w:hAnsi="Arial" w:cs="Arial"/>
                <w:sz w:val="20"/>
                <w:szCs w:val="20"/>
              </w:rPr>
              <w:t>n</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Chief Financial Office</w:t>
            </w:r>
            <w:r>
              <w:rPr>
                <w:rFonts w:ascii="Arial" w:hAnsi="Arial" w:cs="Arial"/>
                <w:sz w:val="20"/>
                <w:szCs w:val="20"/>
              </w:rPr>
              <w:t>r</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March 3, 202</w:t>
            </w:r>
            <w:r>
              <w:rPr>
                <w:rFonts w:ascii="Arial" w:hAnsi="Arial" w:cs="Arial"/>
                <w:sz w:val="20"/>
                <w:szCs w:val="20"/>
              </w:rPr>
              <w:t>2</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Matt Parso</w:t>
            </w:r>
            <w:r>
              <w:rPr>
                <w:rFonts w:ascii="Arial" w:hAnsi="Arial" w:cs="Arial"/>
                <w:sz w:val="20"/>
                <w:szCs w:val="20"/>
              </w:rPr>
              <w:t>n</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(Principle Financial and Accounting Officer</w:t>
            </w:r>
            <w:r>
              <w:rPr>
                <w:rFonts w:ascii="Arial" w:hAnsi="Arial" w:cs="Arial"/>
                <w:sz w:val="20"/>
                <w:szCs w:val="20"/>
              </w:rPr>
              <w:t>)</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r>
      <w:tr w:rsidR="00000000">
        <w:trPr>
          <w:tblCellSpacing w:w="15" w:type="dxa"/>
        </w:trPr>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r>
      <w:tr w:rsidR="00000000">
        <w:trPr>
          <w:trHeight w:val="200"/>
          <w:tblCellSpacing w:w="15" w:type="dxa"/>
        </w:trPr>
        <w:tc>
          <w:tcPr>
            <w:tcW w:w="0" w:type="auto"/>
            <w:tcBorders>
              <w:bottom w:val="single" w:sz="4" w:space="0" w:color="auto"/>
            </w:tcBorders>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/s/ William Ingra</w:t>
            </w:r>
            <w:r>
              <w:rPr>
                <w:rFonts w:ascii="Arial" w:hAnsi="Arial" w:cs="Arial"/>
                <w:sz w:val="20"/>
                <w:szCs w:val="20"/>
              </w:rPr>
              <w:t>m</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Directo</w:t>
            </w:r>
            <w:r>
              <w:rPr>
                <w:rFonts w:ascii="Arial" w:hAnsi="Arial" w:cs="Arial"/>
                <w:sz w:val="20"/>
                <w:szCs w:val="20"/>
              </w:rPr>
              <w:t>r</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March 3, 202</w:t>
            </w:r>
            <w:r>
              <w:rPr>
                <w:rFonts w:ascii="Arial" w:hAnsi="Arial" w:cs="Arial"/>
                <w:sz w:val="20"/>
                <w:szCs w:val="20"/>
              </w:rPr>
              <w:t>2</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William Ingra</w:t>
            </w:r>
            <w:r>
              <w:rPr>
                <w:rFonts w:ascii="Arial" w:hAnsi="Arial" w:cs="Arial"/>
                <w:sz w:val="20"/>
                <w:szCs w:val="20"/>
              </w:rPr>
              <w:t>m</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r>
      <w:tr w:rsidR="00000000">
        <w:trPr>
          <w:tblCellSpacing w:w="15" w:type="dxa"/>
        </w:trPr>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r>
      <w:tr w:rsidR="00000000">
        <w:trPr>
          <w:trHeight w:val="200"/>
          <w:tblCellSpacing w:w="15" w:type="dxa"/>
        </w:trPr>
        <w:tc>
          <w:tcPr>
            <w:tcW w:w="0" w:type="auto"/>
            <w:tcBorders>
              <w:bottom w:val="single" w:sz="4" w:space="0" w:color="auto"/>
            </w:tcBorders>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/s/ Jason Klei</w:t>
            </w:r>
            <w:r>
              <w:rPr>
                <w:rFonts w:ascii="Arial" w:hAnsi="Arial" w:cs="Arial"/>
                <w:sz w:val="20"/>
                <w:szCs w:val="20"/>
              </w:rPr>
              <w:t>n</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Directo</w:t>
            </w:r>
            <w:r>
              <w:rPr>
                <w:rFonts w:ascii="Arial" w:hAnsi="Arial" w:cs="Arial"/>
                <w:sz w:val="20"/>
                <w:szCs w:val="20"/>
              </w:rPr>
              <w:t>r</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March 3, 202</w:t>
            </w:r>
            <w:r>
              <w:rPr>
                <w:rFonts w:ascii="Arial" w:hAnsi="Arial" w:cs="Arial"/>
                <w:sz w:val="20"/>
                <w:szCs w:val="20"/>
              </w:rPr>
              <w:t>2</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Jason Klei</w:t>
            </w:r>
            <w:r>
              <w:rPr>
                <w:rFonts w:ascii="Arial" w:hAnsi="Arial" w:cs="Arial"/>
                <w:sz w:val="20"/>
                <w:szCs w:val="20"/>
              </w:rPr>
              <w:t>n</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r>
      <w:tr w:rsidR="00000000">
        <w:trPr>
          <w:tblCellSpacing w:w="15" w:type="dxa"/>
        </w:trPr>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r>
      <w:tr w:rsidR="00000000">
        <w:trPr>
          <w:trHeight w:val="200"/>
          <w:tblCellSpacing w:w="15" w:type="dxa"/>
        </w:trPr>
        <w:tc>
          <w:tcPr>
            <w:tcW w:w="0" w:type="auto"/>
            <w:tcBorders>
              <w:bottom w:val="single" w:sz="4" w:space="0" w:color="auto"/>
            </w:tcBorders>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/s/ Adam Malinowsk</w:t>
            </w:r>
            <w:r>
              <w:rPr>
                <w:rFonts w:ascii="Arial" w:hAnsi="Arial" w:cs="Arial"/>
                <w:sz w:val="20"/>
                <w:szCs w:val="20"/>
              </w:rPr>
              <w:t>i</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Directo</w:t>
            </w:r>
            <w:r>
              <w:rPr>
                <w:rFonts w:ascii="Arial" w:hAnsi="Arial" w:cs="Arial"/>
                <w:sz w:val="20"/>
                <w:szCs w:val="20"/>
              </w:rPr>
              <w:t>r</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March 3, 202</w:t>
            </w:r>
            <w:r>
              <w:rPr>
                <w:rFonts w:ascii="Arial" w:hAnsi="Arial" w:cs="Arial"/>
                <w:sz w:val="20"/>
                <w:szCs w:val="20"/>
              </w:rPr>
              <w:t>2</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Adam Malinowsk</w:t>
            </w:r>
            <w:r>
              <w:rPr>
                <w:rFonts w:ascii="Arial" w:hAnsi="Arial" w:cs="Arial"/>
                <w:sz w:val="20"/>
                <w:szCs w:val="20"/>
              </w:rPr>
              <w:t>i</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r>
      <w:tr w:rsidR="00000000">
        <w:trPr>
          <w:tblCellSpacing w:w="15" w:type="dxa"/>
        </w:trPr>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r>
      <w:tr w:rsidR="00000000">
        <w:trPr>
          <w:trHeight w:val="200"/>
          <w:tblCellSpacing w:w="15" w:type="dxa"/>
        </w:trPr>
        <w:tc>
          <w:tcPr>
            <w:tcW w:w="0" w:type="auto"/>
            <w:tcBorders>
              <w:bottom w:val="single" w:sz="4" w:space="0" w:color="auto"/>
            </w:tcBorders>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/s/ Robert Palumb</w:t>
            </w:r>
            <w:r>
              <w:rPr>
                <w:rFonts w:ascii="Arial" w:hAnsi="Arial" w:cs="Arial"/>
                <w:sz w:val="20"/>
                <w:szCs w:val="20"/>
              </w:rPr>
              <w:t>o</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Directo</w:t>
            </w:r>
            <w:r>
              <w:rPr>
                <w:rFonts w:ascii="Arial" w:hAnsi="Arial" w:cs="Arial"/>
                <w:sz w:val="20"/>
                <w:szCs w:val="20"/>
              </w:rPr>
              <w:t>r</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March 3, 202</w:t>
            </w:r>
            <w:r>
              <w:rPr>
                <w:rFonts w:ascii="Arial" w:hAnsi="Arial" w:cs="Arial"/>
                <w:sz w:val="20"/>
                <w:szCs w:val="20"/>
              </w:rPr>
              <w:t>2</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Robert Palumb</w:t>
            </w:r>
            <w:r>
              <w:rPr>
                <w:rFonts w:ascii="Arial" w:hAnsi="Arial" w:cs="Arial"/>
                <w:sz w:val="20"/>
                <w:szCs w:val="20"/>
              </w:rPr>
              <w:t>o</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r>
      <w:tr w:rsidR="00000000">
        <w:trPr>
          <w:tblCellSpacing w:w="15" w:type="dxa"/>
        </w:trPr>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r>
      <w:tr w:rsidR="00000000">
        <w:trPr>
          <w:trHeight w:val="200"/>
          <w:tblCellSpacing w:w="15" w:type="dxa"/>
        </w:trPr>
        <w:tc>
          <w:tcPr>
            <w:tcW w:w="0" w:type="auto"/>
            <w:tcBorders>
              <w:bottom w:val="single" w:sz="4" w:space="0" w:color="auto"/>
            </w:tcBorders>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/s/ Gary Traino</w:t>
            </w:r>
            <w:r>
              <w:rPr>
                <w:rFonts w:ascii="Arial" w:hAnsi="Arial" w:cs="Arial"/>
                <w:sz w:val="20"/>
                <w:szCs w:val="20"/>
              </w:rPr>
              <w:t>r</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rPr>
                <w:sz w:val="20"/>
                <w:szCs w:val="20"/>
              </w:rPr>
            </w:pPr>
            <w:r>
              <w:rPr>
                <w:rFonts w:ascii="Arial" w:hAnsi="Arial" w:cs="Arial"/>
                <w:sz w:val="20"/>
                <w:szCs w:val="20"/>
              </w:rPr>
              <w:t>Directo</w:t>
            </w:r>
            <w:r>
              <w:rPr>
                <w:rFonts w:ascii="Arial" w:hAnsi="Arial" w:cs="Arial"/>
                <w:sz w:val="20"/>
                <w:szCs w:val="20"/>
              </w:rPr>
              <w:t>r</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March 3, 202</w:t>
            </w:r>
            <w:r>
              <w:rPr>
                <w:rFonts w:ascii="Arial" w:hAnsi="Arial" w:cs="Arial"/>
                <w:sz w:val="20"/>
                <w:szCs w:val="20"/>
              </w:rPr>
              <w:t>2</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Gary Traino</w:t>
            </w:r>
            <w:r>
              <w:rPr>
                <w:rFonts w:ascii="Arial" w:hAnsi="Arial" w:cs="Arial"/>
                <w:sz w:val="20"/>
                <w:szCs w:val="20"/>
              </w:rPr>
              <w:t>r</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r>
      <w:tr w:rsidR="00000000">
        <w:trPr>
          <w:tblCellSpacing w:w="15" w:type="dxa"/>
        </w:trPr>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010F15">
            <w:pPr>
              <w:pStyle w:val="a3"/>
              <w:spacing w:before="0" w:beforeAutospacing="0" w:after="0" w:afterAutospacing="0"/>
              <w:jc w:val="center"/>
              <w:rPr>
                <w:sz w:val="20"/>
                <w:szCs w:val="20"/>
              </w:rPr>
            </w:pPr>
            <w:r>
              <w:rPr>
                <w:rFonts w:ascii="Arial" w:hAnsi="Arial" w:cs="Arial"/>
                <w:sz w:val="20"/>
                <w:szCs w:val="20"/>
              </w:rPr>
              <w:t> </w:t>
            </w:r>
          </w:p>
        </w:tc>
      </w:tr>
    </w:tbl>
    <w:p w:rsidR="00000000" w:rsidRDefault="00010F15">
      <w:pPr>
        <w:pStyle w:val="a3"/>
        <w:spacing w:before="0" w:beforeAutospacing="0" w:after="0" w:afterAutospacing="0"/>
        <w:jc w:val="center"/>
        <w:rPr>
          <w:sz w:val="20"/>
          <w:szCs w:val="20"/>
        </w:rPr>
      </w:pPr>
      <w:r>
        <w:rPr>
          <w:sz w:val="20"/>
          <w:szCs w:val="20"/>
        </w:rPr>
        <w:t> </w:t>
      </w:r>
    </w:p>
    <w:p w:rsidR="00000000" w:rsidRDefault="00010F15">
      <w:pPr>
        <w:pStyle w:val="a3"/>
        <w:spacing w:before="120" w:beforeAutospacing="0" w:after="0" w:afterAutospacing="0"/>
        <w:jc w:val="center"/>
        <w:rPr>
          <w:sz w:val="20"/>
          <w:szCs w:val="20"/>
        </w:rPr>
      </w:pPr>
      <w:r>
        <w:rPr>
          <w:rFonts w:ascii="Arial" w:hAnsi="Arial" w:cs="Arial"/>
          <w:sz w:val="20"/>
          <w:szCs w:val="20"/>
        </w:rPr>
        <w:t>10</w:t>
      </w:r>
      <w:r>
        <w:rPr>
          <w:rFonts w:ascii="Arial" w:hAnsi="Arial" w:cs="Arial"/>
          <w:sz w:val="20"/>
          <w:szCs w:val="20"/>
        </w:rPr>
        <w:t>7</w:t>
      </w:r>
    </w:p>
    <w:p w:rsidR="00010F15" w:rsidRDefault="00010F15">
      <w:pPr>
        <w:rPr>
          <w:rFonts w:eastAsia="Times New Roman"/>
        </w:rPr>
      </w:pPr>
      <w:r>
        <w:rPr>
          <w:rFonts w:eastAsia="Times New Roman"/>
        </w:rPr>
        <w:pict>
          <v:rect id="_x0000_i1132" style="width:0;height:1.5pt" o:hralign="center" o:hrstd="t" o:hr="t" fillcolor="#a0a0a0" stroked="f"/>
        </w:pict>
      </w:r>
    </w:p>
    <w:sectPr w:rsidR="00010F15">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10F15"/>
    <w:rsid w:val="00010F15"/>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xbrl.org/2005/xbrldt"/>
  <w:attachedSchema w:val="http://www.xbrl.org/2003/instance"/>
  <w:attachedSchema w:val="http://www.xbrl.org/2003/linkbase"/>
  <w:attachedSchema w:val="http://www.w3.org/1999/xlink"/>
  <w:attachedSchema w:val="http://www.xbrl.org/2013/inlineXBRL"/>
  <w:attachedSchema w:val="http://www.xbrl.org/dtr/type/non-numeric"/>
  <w:attachedSchema w:val="http://www.xbrl.org/inlineXBRL/transformation/2015-02-26"/>
  <w:attachedSchema w:val="http://www.sec.gov/inlineXBRL/transformation/2015-08-31"/>
  <w:attachedSchema w:val="http://www.paymentus.com/20211231"/>
  <w:attachedSchema w:val="http://xbrl.sec.gov/dei/2021q4"/>
  <w:attachedSchema w:val="http://fasb.org/us-gaap/2021-01-31"/>
  <w:attachedSchema w:val="http://www.xbrl.org/2003/iso4217"/>
  <w:attachedSchema w:val="http://www.xbrl.org/dtr/type/2020-01-21"/>
  <w:attachedSchema w:val="http://xbrl.sec.gov/country/2021"/>
  <w:attachedSchema w:val="http://fasb.org/srt/2021-01-31"/>
  <w:attachedSchema w:val="http://www.xbrl.org/2009/ut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5331">
      <w:marLeft w:val="4"/>
      <w:marRight w:val="0"/>
      <w:marTop w:val="120"/>
      <w:marBottom w:val="0"/>
      <w:divBdr>
        <w:top w:val="none" w:sz="0" w:space="0" w:color="auto"/>
        <w:left w:val="none" w:sz="0" w:space="0" w:color="auto"/>
        <w:bottom w:val="none" w:sz="0" w:space="0" w:color="auto"/>
        <w:right w:val="none" w:sz="0" w:space="0" w:color="auto"/>
      </w:divBdr>
      <w:divsChild>
        <w:div w:id="1670669656">
          <w:marLeft w:val="0"/>
          <w:marRight w:val="0"/>
          <w:marTop w:val="0"/>
          <w:marBottom w:val="0"/>
          <w:divBdr>
            <w:top w:val="none" w:sz="0" w:space="0" w:color="auto"/>
            <w:left w:val="none" w:sz="0" w:space="0" w:color="auto"/>
            <w:bottom w:val="none" w:sz="0" w:space="0" w:color="auto"/>
            <w:right w:val="none" w:sz="0" w:space="0" w:color="auto"/>
          </w:divBdr>
        </w:div>
      </w:divsChild>
    </w:div>
    <w:div w:id="45300956">
      <w:marLeft w:val="0"/>
      <w:marRight w:val="0"/>
      <w:marTop w:val="0"/>
      <w:marBottom w:val="0"/>
      <w:divBdr>
        <w:top w:val="none" w:sz="0" w:space="0" w:color="auto"/>
        <w:left w:val="none" w:sz="0" w:space="0" w:color="auto"/>
        <w:bottom w:val="none" w:sz="0" w:space="0" w:color="auto"/>
        <w:right w:val="none" w:sz="0" w:space="0" w:color="auto"/>
      </w:divBdr>
      <w:divsChild>
        <w:div w:id="384328933">
          <w:marLeft w:val="0"/>
          <w:marRight w:val="0"/>
          <w:marTop w:val="0"/>
          <w:marBottom w:val="0"/>
          <w:divBdr>
            <w:top w:val="none" w:sz="0" w:space="0" w:color="auto"/>
            <w:left w:val="none" w:sz="0" w:space="0" w:color="auto"/>
            <w:bottom w:val="none" w:sz="0" w:space="0" w:color="auto"/>
            <w:right w:val="none" w:sz="0" w:space="0" w:color="auto"/>
          </w:divBdr>
        </w:div>
        <w:div w:id="1737318023">
          <w:marLeft w:val="0"/>
          <w:marRight w:val="0"/>
          <w:marTop w:val="0"/>
          <w:marBottom w:val="0"/>
          <w:divBdr>
            <w:top w:val="none" w:sz="0" w:space="0" w:color="auto"/>
            <w:left w:val="none" w:sz="0" w:space="0" w:color="auto"/>
            <w:bottom w:val="none" w:sz="0" w:space="0" w:color="auto"/>
            <w:right w:val="none" w:sz="0" w:space="0" w:color="auto"/>
          </w:divBdr>
        </w:div>
        <w:div w:id="1854801313">
          <w:marLeft w:val="0"/>
          <w:marRight w:val="0"/>
          <w:marTop w:val="0"/>
          <w:marBottom w:val="0"/>
          <w:divBdr>
            <w:top w:val="none" w:sz="0" w:space="0" w:color="auto"/>
            <w:left w:val="none" w:sz="0" w:space="0" w:color="auto"/>
            <w:bottom w:val="none" w:sz="0" w:space="0" w:color="auto"/>
            <w:right w:val="none" w:sz="0" w:space="0" w:color="auto"/>
          </w:divBdr>
        </w:div>
      </w:divsChild>
    </w:div>
    <w:div w:id="62992795">
      <w:marLeft w:val="4"/>
      <w:marRight w:val="0"/>
      <w:marTop w:val="120"/>
      <w:marBottom w:val="0"/>
      <w:divBdr>
        <w:top w:val="none" w:sz="0" w:space="0" w:color="auto"/>
        <w:left w:val="none" w:sz="0" w:space="0" w:color="auto"/>
        <w:bottom w:val="none" w:sz="0" w:space="0" w:color="auto"/>
        <w:right w:val="none" w:sz="0" w:space="0" w:color="auto"/>
      </w:divBdr>
      <w:divsChild>
        <w:div w:id="1871065939">
          <w:marLeft w:val="0"/>
          <w:marRight w:val="0"/>
          <w:marTop w:val="0"/>
          <w:marBottom w:val="0"/>
          <w:divBdr>
            <w:top w:val="none" w:sz="0" w:space="0" w:color="auto"/>
            <w:left w:val="none" w:sz="0" w:space="0" w:color="auto"/>
            <w:bottom w:val="none" w:sz="0" w:space="0" w:color="auto"/>
            <w:right w:val="none" w:sz="0" w:space="0" w:color="auto"/>
          </w:divBdr>
        </w:div>
      </w:divsChild>
    </w:div>
    <w:div w:id="90396836">
      <w:marLeft w:val="0"/>
      <w:marRight w:val="0"/>
      <w:marTop w:val="0"/>
      <w:marBottom w:val="0"/>
      <w:divBdr>
        <w:top w:val="none" w:sz="0" w:space="0" w:color="auto"/>
        <w:left w:val="none" w:sz="0" w:space="0" w:color="auto"/>
        <w:bottom w:val="none" w:sz="0" w:space="0" w:color="auto"/>
        <w:right w:val="none" w:sz="0" w:space="0" w:color="auto"/>
      </w:divBdr>
    </w:div>
    <w:div w:id="91974955">
      <w:marLeft w:val="4"/>
      <w:marRight w:val="0"/>
      <w:marTop w:val="120"/>
      <w:marBottom w:val="0"/>
      <w:divBdr>
        <w:top w:val="none" w:sz="0" w:space="0" w:color="auto"/>
        <w:left w:val="none" w:sz="0" w:space="0" w:color="auto"/>
        <w:bottom w:val="none" w:sz="0" w:space="0" w:color="auto"/>
        <w:right w:val="none" w:sz="0" w:space="0" w:color="auto"/>
      </w:divBdr>
      <w:divsChild>
        <w:div w:id="1791169047">
          <w:marLeft w:val="0"/>
          <w:marRight w:val="0"/>
          <w:marTop w:val="0"/>
          <w:marBottom w:val="0"/>
          <w:divBdr>
            <w:top w:val="none" w:sz="0" w:space="0" w:color="auto"/>
            <w:left w:val="none" w:sz="0" w:space="0" w:color="auto"/>
            <w:bottom w:val="none" w:sz="0" w:space="0" w:color="auto"/>
            <w:right w:val="none" w:sz="0" w:space="0" w:color="auto"/>
          </w:divBdr>
        </w:div>
      </w:divsChild>
    </w:div>
    <w:div w:id="102001592">
      <w:marLeft w:val="4"/>
      <w:marRight w:val="0"/>
      <w:marTop w:val="120"/>
      <w:marBottom w:val="0"/>
      <w:divBdr>
        <w:top w:val="none" w:sz="0" w:space="0" w:color="auto"/>
        <w:left w:val="none" w:sz="0" w:space="0" w:color="auto"/>
        <w:bottom w:val="none" w:sz="0" w:space="0" w:color="auto"/>
        <w:right w:val="none" w:sz="0" w:space="0" w:color="auto"/>
      </w:divBdr>
      <w:divsChild>
        <w:div w:id="1452741647">
          <w:marLeft w:val="0"/>
          <w:marRight w:val="0"/>
          <w:marTop w:val="0"/>
          <w:marBottom w:val="0"/>
          <w:divBdr>
            <w:top w:val="none" w:sz="0" w:space="0" w:color="auto"/>
            <w:left w:val="none" w:sz="0" w:space="0" w:color="auto"/>
            <w:bottom w:val="none" w:sz="0" w:space="0" w:color="auto"/>
            <w:right w:val="none" w:sz="0" w:space="0" w:color="auto"/>
          </w:divBdr>
        </w:div>
      </w:divsChild>
    </w:div>
    <w:div w:id="118033514">
      <w:marLeft w:val="4"/>
      <w:marRight w:val="0"/>
      <w:marTop w:val="120"/>
      <w:marBottom w:val="0"/>
      <w:divBdr>
        <w:top w:val="none" w:sz="0" w:space="0" w:color="auto"/>
        <w:left w:val="none" w:sz="0" w:space="0" w:color="auto"/>
        <w:bottom w:val="none" w:sz="0" w:space="0" w:color="auto"/>
        <w:right w:val="none" w:sz="0" w:space="0" w:color="auto"/>
      </w:divBdr>
      <w:divsChild>
        <w:div w:id="1160923468">
          <w:marLeft w:val="0"/>
          <w:marRight w:val="0"/>
          <w:marTop w:val="0"/>
          <w:marBottom w:val="0"/>
          <w:divBdr>
            <w:top w:val="none" w:sz="0" w:space="0" w:color="auto"/>
            <w:left w:val="none" w:sz="0" w:space="0" w:color="auto"/>
            <w:bottom w:val="none" w:sz="0" w:space="0" w:color="auto"/>
            <w:right w:val="none" w:sz="0" w:space="0" w:color="auto"/>
          </w:divBdr>
        </w:div>
      </w:divsChild>
    </w:div>
    <w:div w:id="119305650">
      <w:marLeft w:val="4"/>
      <w:marRight w:val="0"/>
      <w:marTop w:val="120"/>
      <w:marBottom w:val="0"/>
      <w:divBdr>
        <w:top w:val="none" w:sz="0" w:space="0" w:color="auto"/>
        <w:left w:val="none" w:sz="0" w:space="0" w:color="auto"/>
        <w:bottom w:val="none" w:sz="0" w:space="0" w:color="auto"/>
        <w:right w:val="none" w:sz="0" w:space="0" w:color="auto"/>
      </w:divBdr>
      <w:divsChild>
        <w:div w:id="296111119">
          <w:marLeft w:val="0"/>
          <w:marRight w:val="0"/>
          <w:marTop w:val="0"/>
          <w:marBottom w:val="0"/>
          <w:divBdr>
            <w:top w:val="none" w:sz="0" w:space="0" w:color="auto"/>
            <w:left w:val="none" w:sz="0" w:space="0" w:color="auto"/>
            <w:bottom w:val="none" w:sz="0" w:space="0" w:color="auto"/>
            <w:right w:val="none" w:sz="0" w:space="0" w:color="auto"/>
          </w:divBdr>
        </w:div>
      </w:divsChild>
    </w:div>
    <w:div w:id="121466982">
      <w:marLeft w:val="4"/>
      <w:marRight w:val="0"/>
      <w:marTop w:val="120"/>
      <w:marBottom w:val="0"/>
      <w:divBdr>
        <w:top w:val="none" w:sz="0" w:space="0" w:color="auto"/>
        <w:left w:val="none" w:sz="0" w:space="0" w:color="auto"/>
        <w:bottom w:val="none" w:sz="0" w:space="0" w:color="auto"/>
        <w:right w:val="none" w:sz="0" w:space="0" w:color="auto"/>
      </w:divBdr>
      <w:divsChild>
        <w:div w:id="1044644294">
          <w:marLeft w:val="0"/>
          <w:marRight w:val="0"/>
          <w:marTop w:val="0"/>
          <w:marBottom w:val="0"/>
          <w:divBdr>
            <w:top w:val="none" w:sz="0" w:space="0" w:color="auto"/>
            <w:left w:val="none" w:sz="0" w:space="0" w:color="auto"/>
            <w:bottom w:val="none" w:sz="0" w:space="0" w:color="auto"/>
            <w:right w:val="none" w:sz="0" w:space="0" w:color="auto"/>
          </w:divBdr>
        </w:div>
      </w:divsChild>
    </w:div>
    <w:div w:id="134640396">
      <w:marLeft w:val="0"/>
      <w:marRight w:val="0"/>
      <w:marTop w:val="0"/>
      <w:marBottom w:val="0"/>
      <w:divBdr>
        <w:top w:val="none" w:sz="0" w:space="0" w:color="auto"/>
        <w:left w:val="none" w:sz="0" w:space="0" w:color="auto"/>
        <w:bottom w:val="none" w:sz="0" w:space="0" w:color="auto"/>
        <w:right w:val="none" w:sz="0" w:space="0" w:color="auto"/>
      </w:divBdr>
      <w:divsChild>
        <w:div w:id="442503039">
          <w:marLeft w:val="0"/>
          <w:marRight w:val="0"/>
          <w:marTop w:val="0"/>
          <w:marBottom w:val="0"/>
          <w:divBdr>
            <w:top w:val="none" w:sz="0" w:space="0" w:color="auto"/>
            <w:left w:val="none" w:sz="0" w:space="0" w:color="auto"/>
            <w:bottom w:val="none" w:sz="0" w:space="0" w:color="auto"/>
            <w:right w:val="none" w:sz="0" w:space="0" w:color="auto"/>
          </w:divBdr>
        </w:div>
      </w:divsChild>
    </w:div>
    <w:div w:id="137769447">
      <w:marLeft w:val="4"/>
      <w:marRight w:val="0"/>
      <w:marTop w:val="120"/>
      <w:marBottom w:val="0"/>
      <w:divBdr>
        <w:top w:val="none" w:sz="0" w:space="0" w:color="auto"/>
        <w:left w:val="none" w:sz="0" w:space="0" w:color="auto"/>
        <w:bottom w:val="none" w:sz="0" w:space="0" w:color="auto"/>
        <w:right w:val="none" w:sz="0" w:space="0" w:color="auto"/>
      </w:divBdr>
      <w:divsChild>
        <w:div w:id="53160526">
          <w:marLeft w:val="0"/>
          <w:marRight w:val="0"/>
          <w:marTop w:val="0"/>
          <w:marBottom w:val="0"/>
          <w:divBdr>
            <w:top w:val="none" w:sz="0" w:space="0" w:color="auto"/>
            <w:left w:val="none" w:sz="0" w:space="0" w:color="auto"/>
            <w:bottom w:val="none" w:sz="0" w:space="0" w:color="auto"/>
            <w:right w:val="none" w:sz="0" w:space="0" w:color="auto"/>
          </w:divBdr>
        </w:div>
      </w:divsChild>
    </w:div>
    <w:div w:id="139420239">
      <w:marLeft w:val="4"/>
      <w:marRight w:val="0"/>
      <w:marTop w:val="120"/>
      <w:marBottom w:val="0"/>
      <w:divBdr>
        <w:top w:val="none" w:sz="0" w:space="0" w:color="auto"/>
        <w:left w:val="none" w:sz="0" w:space="0" w:color="auto"/>
        <w:bottom w:val="none" w:sz="0" w:space="0" w:color="auto"/>
        <w:right w:val="none" w:sz="0" w:space="0" w:color="auto"/>
      </w:divBdr>
      <w:divsChild>
        <w:div w:id="1304970185">
          <w:marLeft w:val="0"/>
          <w:marRight w:val="0"/>
          <w:marTop w:val="0"/>
          <w:marBottom w:val="0"/>
          <w:divBdr>
            <w:top w:val="none" w:sz="0" w:space="0" w:color="auto"/>
            <w:left w:val="none" w:sz="0" w:space="0" w:color="auto"/>
            <w:bottom w:val="none" w:sz="0" w:space="0" w:color="auto"/>
            <w:right w:val="none" w:sz="0" w:space="0" w:color="auto"/>
          </w:divBdr>
        </w:div>
      </w:divsChild>
    </w:div>
    <w:div w:id="146871901">
      <w:marLeft w:val="4"/>
      <w:marRight w:val="0"/>
      <w:marTop w:val="120"/>
      <w:marBottom w:val="0"/>
      <w:divBdr>
        <w:top w:val="none" w:sz="0" w:space="0" w:color="auto"/>
        <w:left w:val="none" w:sz="0" w:space="0" w:color="auto"/>
        <w:bottom w:val="none" w:sz="0" w:space="0" w:color="auto"/>
        <w:right w:val="none" w:sz="0" w:space="0" w:color="auto"/>
      </w:divBdr>
      <w:divsChild>
        <w:div w:id="83305992">
          <w:marLeft w:val="0"/>
          <w:marRight w:val="0"/>
          <w:marTop w:val="0"/>
          <w:marBottom w:val="0"/>
          <w:divBdr>
            <w:top w:val="none" w:sz="0" w:space="0" w:color="auto"/>
            <w:left w:val="none" w:sz="0" w:space="0" w:color="auto"/>
            <w:bottom w:val="none" w:sz="0" w:space="0" w:color="auto"/>
            <w:right w:val="none" w:sz="0" w:space="0" w:color="auto"/>
          </w:divBdr>
        </w:div>
      </w:divsChild>
    </w:div>
    <w:div w:id="148447920">
      <w:marLeft w:val="4"/>
      <w:marRight w:val="0"/>
      <w:marTop w:val="120"/>
      <w:marBottom w:val="0"/>
      <w:divBdr>
        <w:top w:val="none" w:sz="0" w:space="0" w:color="auto"/>
        <w:left w:val="none" w:sz="0" w:space="0" w:color="auto"/>
        <w:bottom w:val="none" w:sz="0" w:space="0" w:color="auto"/>
        <w:right w:val="none" w:sz="0" w:space="0" w:color="auto"/>
      </w:divBdr>
      <w:divsChild>
        <w:div w:id="2011179164">
          <w:marLeft w:val="0"/>
          <w:marRight w:val="0"/>
          <w:marTop w:val="0"/>
          <w:marBottom w:val="0"/>
          <w:divBdr>
            <w:top w:val="none" w:sz="0" w:space="0" w:color="auto"/>
            <w:left w:val="none" w:sz="0" w:space="0" w:color="auto"/>
            <w:bottom w:val="none" w:sz="0" w:space="0" w:color="auto"/>
            <w:right w:val="none" w:sz="0" w:space="0" w:color="auto"/>
          </w:divBdr>
        </w:div>
      </w:divsChild>
    </w:div>
    <w:div w:id="159201792">
      <w:marLeft w:val="4"/>
      <w:marRight w:val="0"/>
      <w:marTop w:val="120"/>
      <w:marBottom w:val="0"/>
      <w:divBdr>
        <w:top w:val="none" w:sz="0" w:space="0" w:color="auto"/>
        <w:left w:val="none" w:sz="0" w:space="0" w:color="auto"/>
        <w:bottom w:val="none" w:sz="0" w:space="0" w:color="auto"/>
        <w:right w:val="none" w:sz="0" w:space="0" w:color="auto"/>
      </w:divBdr>
      <w:divsChild>
        <w:div w:id="975255816">
          <w:marLeft w:val="0"/>
          <w:marRight w:val="0"/>
          <w:marTop w:val="0"/>
          <w:marBottom w:val="0"/>
          <w:divBdr>
            <w:top w:val="none" w:sz="0" w:space="0" w:color="auto"/>
            <w:left w:val="none" w:sz="0" w:space="0" w:color="auto"/>
            <w:bottom w:val="none" w:sz="0" w:space="0" w:color="auto"/>
            <w:right w:val="none" w:sz="0" w:space="0" w:color="auto"/>
          </w:divBdr>
        </w:div>
      </w:divsChild>
    </w:div>
    <w:div w:id="163981934">
      <w:marLeft w:val="4"/>
      <w:marRight w:val="0"/>
      <w:marTop w:val="120"/>
      <w:marBottom w:val="0"/>
      <w:divBdr>
        <w:top w:val="none" w:sz="0" w:space="0" w:color="auto"/>
        <w:left w:val="none" w:sz="0" w:space="0" w:color="auto"/>
        <w:bottom w:val="none" w:sz="0" w:space="0" w:color="auto"/>
        <w:right w:val="none" w:sz="0" w:space="0" w:color="auto"/>
      </w:divBdr>
      <w:divsChild>
        <w:div w:id="993800616">
          <w:marLeft w:val="0"/>
          <w:marRight w:val="0"/>
          <w:marTop w:val="0"/>
          <w:marBottom w:val="0"/>
          <w:divBdr>
            <w:top w:val="none" w:sz="0" w:space="0" w:color="auto"/>
            <w:left w:val="none" w:sz="0" w:space="0" w:color="auto"/>
            <w:bottom w:val="none" w:sz="0" w:space="0" w:color="auto"/>
            <w:right w:val="none" w:sz="0" w:space="0" w:color="auto"/>
          </w:divBdr>
        </w:div>
      </w:divsChild>
    </w:div>
    <w:div w:id="176818151">
      <w:marLeft w:val="4"/>
      <w:marRight w:val="0"/>
      <w:marTop w:val="120"/>
      <w:marBottom w:val="0"/>
      <w:divBdr>
        <w:top w:val="none" w:sz="0" w:space="0" w:color="auto"/>
        <w:left w:val="none" w:sz="0" w:space="0" w:color="auto"/>
        <w:bottom w:val="none" w:sz="0" w:space="0" w:color="auto"/>
        <w:right w:val="none" w:sz="0" w:space="0" w:color="auto"/>
      </w:divBdr>
      <w:divsChild>
        <w:div w:id="1777367903">
          <w:marLeft w:val="0"/>
          <w:marRight w:val="0"/>
          <w:marTop w:val="0"/>
          <w:marBottom w:val="0"/>
          <w:divBdr>
            <w:top w:val="none" w:sz="0" w:space="0" w:color="auto"/>
            <w:left w:val="none" w:sz="0" w:space="0" w:color="auto"/>
            <w:bottom w:val="none" w:sz="0" w:space="0" w:color="auto"/>
            <w:right w:val="none" w:sz="0" w:space="0" w:color="auto"/>
          </w:divBdr>
        </w:div>
      </w:divsChild>
    </w:div>
    <w:div w:id="183905861">
      <w:marLeft w:val="0"/>
      <w:marRight w:val="0"/>
      <w:marTop w:val="0"/>
      <w:marBottom w:val="0"/>
      <w:divBdr>
        <w:top w:val="none" w:sz="0" w:space="0" w:color="auto"/>
        <w:left w:val="none" w:sz="0" w:space="0" w:color="auto"/>
        <w:bottom w:val="none" w:sz="0" w:space="0" w:color="auto"/>
        <w:right w:val="none" w:sz="0" w:space="0" w:color="auto"/>
      </w:divBdr>
      <w:divsChild>
        <w:div w:id="1470587180">
          <w:marLeft w:val="0"/>
          <w:marRight w:val="0"/>
          <w:marTop w:val="0"/>
          <w:marBottom w:val="0"/>
          <w:divBdr>
            <w:top w:val="none" w:sz="0" w:space="0" w:color="auto"/>
            <w:left w:val="none" w:sz="0" w:space="0" w:color="auto"/>
            <w:bottom w:val="none" w:sz="0" w:space="0" w:color="auto"/>
            <w:right w:val="none" w:sz="0" w:space="0" w:color="auto"/>
          </w:divBdr>
        </w:div>
        <w:div w:id="526602719">
          <w:marLeft w:val="0"/>
          <w:marRight w:val="0"/>
          <w:marTop w:val="0"/>
          <w:marBottom w:val="0"/>
          <w:divBdr>
            <w:top w:val="none" w:sz="0" w:space="0" w:color="auto"/>
            <w:left w:val="none" w:sz="0" w:space="0" w:color="auto"/>
            <w:bottom w:val="none" w:sz="0" w:space="0" w:color="auto"/>
            <w:right w:val="none" w:sz="0" w:space="0" w:color="auto"/>
          </w:divBdr>
        </w:div>
        <w:div w:id="570970506">
          <w:marLeft w:val="0"/>
          <w:marRight w:val="0"/>
          <w:marTop w:val="0"/>
          <w:marBottom w:val="0"/>
          <w:divBdr>
            <w:top w:val="none" w:sz="0" w:space="0" w:color="auto"/>
            <w:left w:val="none" w:sz="0" w:space="0" w:color="auto"/>
            <w:bottom w:val="none" w:sz="0" w:space="0" w:color="auto"/>
            <w:right w:val="none" w:sz="0" w:space="0" w:color="auto"/>
          </w:divBdr>
        </w:div>
        <w:div w:id="862666883">
          <w:marLeft w:val="0"/>
          <w:marRight w:val="0"/>
          <w:marTop w:val="0"/>
          <w:marBottom w:val="0"/>
          <w:divBdr>
            <w:top w:val="none" w:sz="0" w:space="0" w:color="auto"/>
            <w:left w:val="none" w:sz="0" w:space="0" w:color="auto"/>
            <w:bottom w:val="none" w:sz="0" w:space="0" w:color="auto"/>
            <w:right w:val="none" w:sz="0" w:space="0" w:color="auto"/>
          </w:divBdr>
        </w:div>
      </w:divsChild>
    </w:div>
    <w:div w:id="187333439">
      <w:marLeft w:val="0"/>
      <w:marRight w:val="0"/>
      <w:marTop w:val="0"/>
      <w:marBottom w:val="0"/>
      <w:divBdr>
        <w:top w:val="none" w:sz="0" w:space="0" w:color="auto"/>
        <w:left w:val="none" w:sz="0" w:space="0" w:color="auto"/>
        <w:bottom w:val="none" w:sz="0" w:space="0" w:color="auto"/>
        <w:right w:val="none" w:sz="0" w:space="0" w:color="auto"/>
      </w:divBdr>
      <w:divsChild>
        <w:div w:id="896432638">
          <w:marLeft w:val="4"/>
          <w:marRight w:val="0"/>
          <w:marTop w:val="120"/>
          <w:marBottom w:val="0"/>
          <w:divBdr>
            <w:top w:val="none" w:sz="0" w:space="0" w:color="auto"/>
            <w:left w:val="none" w:sz="0" w:space="0" w:color="auto"/>
            <w:bottom w:val="none" w:sz="0" w:space="0" w:color="auto"/>
            <w:right w:val="none" w:sz="0" w:space="0" w:color="auto"/>
          </w:divBdr>
          <w:divsChild>
            <w:div w:id="839810982">
              <w:marLeft w:val="0"/>
              <w:marRight w:val="0"/>
              <w:marTop w:val="0"/>
              <w:marBottom w:val="0"/>
              <w:divBdr>
                <w:top w:val="none" w:sz="0" w:space="0" w:color="auto"/>
                <w:left w:val="none" w:sz="0" w:space="0" w:color="auto"/>
                <w:bottom w:val="none" w:sz="0" w:space="0" w:color="auto"/>
                <w:right w:val="none" w:sz="0" w:space="0" w:color="auto"/>
              </w:divBdr>
            </w:div>
          </w:divsChild>
        </w:div>
        <w:div w:id="1371104927">
          <w:marLeft w:val="4"/>
          <w:marRight w:val="0"/>
          <w:marTop w:val="120"/>
          <w:marBottom w:val="0"/>
          <w:divBdr>
            <w:top w:val="none" w:sz="0" w:space="0" w:color="auto"/>
            <w:left w:val="none" w:sz="0" w:space="0" w:color="auto"/>
            <w:bottom w:val="none" w:sz="0" w:space="0" w:color="auto"/>
            <w:right w:val="none" w:sz="0" w:space="0" w:color="auto"/>
          </w:divBdr>
          <w:divsChild>
            <w:div w:id="7868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8230">
      <w:marLeft w:val="4"/>
      <w:marRight w:val="0"/>
      <w:marTop w:val="120"/>
      <w:marBottom w:val="0"/>
      <w:divBdr>
        <w:top w:val="none" w:sz="0" w:space="0" w:color="auto"/>
        <w:left w:val="none" w:sz="0" w:space="0" w:color="auto"/>
        <w:bottom w:val="none" w:sz="0" w:space="0" w:color="auto"/>
        <w:right w:val="none" w:sz="0" w:space="0" w:color="auto"/>
      </w:divBdr>
      <w:divsChild>
        <w:div w:id="2071346094">
          <w:marLeft w:val="0"/>
          <w:marRight w:val="0"/>
          <w:marTop w:val="0"/>
          <w:marBottom w:val="0"/>
          <w:divBdr>
            <w:top w:val="none" w:sz="0" w:space="0" w:color="auto"/>
            <w:left w:val="none" w:sz="0" w:space="0" w:color="auto"/>
            <w:bottom w:val="none" w:sz="0" w:space="0" w:color="auto"/>
            <w:right w:val="none" w:sz="0" w:space="0" w:color="auto"/>
          </w:divBdr>
        </w:div>
      </w:divsChild>
    </w:div>
    <w:div w:id="215163809">
      <w:marLeft w:val="4"/>
      <w:marRight w:val="0"/>
      <w:marTop w:val="120"/>
      <w:marBottom w:val="0"/>
      <w:divBdr>
        <w:top w:val="none" w:sz="0" w:space="0" w:color="auto"/>
        <w:left w:val="none" w:sz="0" w:space="0" w:color="auto"/>
        <w:bottom w:val="none" w:sz="0" w:space="0" w:color="auto"/>
        <w:right w:val="none" w:sz="0" w:space="0" w:color="auto"/>
      </w:divBdr>
      <w:divsChild>
        <w:div w:id="799684595">
          <w:marLeft w:val="0"/>
          <w:marRight w:val="0"/>
          <w:marTop w:val="0"/>
          <w:marBottom w:val="0"/>
          <w:divBdr>
            <w:top w:val="none" w:sz="0" w:space="0" w:color="auto"/>
            <w:left w:val="none" w:sz="0" w:space="0" w:color="auto"/>
            <w:bottom w:val="none" w:sz="0" w:space="0" w:color="auto"/>
            <w:right w:val="none" w:sz="0" w:space="0" w:color="auto"/>
          </w:divBdr>
        </w:div>
      </w:divsChild>
    </w:div>
    <w:div w:id="236521818">
      <w:marLeft w:val="4"/>
      <w:marRight w:val="0"/>
      <w:marTop w:val="120"/>
      <w:marBottom w:val="0"/>
      <w:divBdr>
        <w:top w:val="none" w:sz="0" w:space="0" w:color="auto"/>
        <w:left w:val="none" w:sz="0" w:space="0" w:color="auto"/>
        <w:bottom w:val="none" w:sz="0" w:space="0" w:color="auto"/>
        <w:right w:val="none" w:sz="0" w:space="0" w:color="auto"/>
      </w:divBdr>
      <w:divsChild>
        <w:div w:id="1727535079">
          <w:marLeft w:val="0"/>
          <w:marRight w:val="0"/>
          <w:marTop w:val="0"/>
          <w:marBottom w:val="0"/>
          <w:divBdr>
            <w:top w:val="none" w:sz="0" w:space="0" w:color="auto"/>
            <w:left w:val="none" w:sz="0" w:space="0" w:color="auto"/>
            <w:bottom w:val="none" w:sz="0" w:space="0" w:color="auto"/>
            <w:right w:val="none" w:sz="0" w:space="0" w:color="auto"/>
          </w:divBdr>
        </w:div>
      </w:divsChild>
    </w:div>
    <w:div w:id="247887343">
      <w:marLeft w:val="4"/>
      <w:marRight w:val="0"/>
      <w:marTop w:val="120"/>
      <w:marBottom w:val="0"/>
      <w:divBdr>
        <w:top w:val="none" w:sz="0" w:space="0" w:color="auto"/>
        <w:left w:val="none" w:sz="0" w:space="0" w:color="auto"/>
        <w:bottom w:val="none" w:sz="0" w:space="0" w:color="auto"/>
        <w:right w:val="none" w:sz="0" w:space="0" w:color="auto"/>
      </w:divBdr>
      <w:divsChild>
        <w:div w:id="536698143">
          <w:marLeft w:val="0"/>
          <w:marRight w:val="0"/>
          <w:marTop w:val="0"/>
          <w:marBottom w:val="0"/>
          <w:divBdr>
            <w:top w:val="none" w:sz="0" w:space="0" w:color="auto"/>
            <w:left w:val="none" w:sz="0" w:space="0" w:color="auto"/>
            <w:bottom w:val="none" w:sz="0" w:space="0" w:color="auto"/>
            <w:right w:val="none" w:sz="0" w:space="0" w:color="auto"/>
          </w:divBdr>
        </w:div>
      </w:divsChild>
    </w:div>
    <w:div w:id="259066579">
      <w:marLeft w:val="4"/>
      <w:marRight w:val="0"/>
      <w:marTop w:val="120"/>
      <w:marBottom w:val="0"/>
      <w:divBdr>
        <w:top w:val="none" w:sz="0" w:space="0" w:color="auto"/>
        <w:left w:val="none" w:sz="0" w:space="0" w:color="auto"/>
        <w:bottom w:val="none" w:sz="0" w:space="0" w:color="auto"/>
        <w:right w:val="none" w:sz="0" w:space="0" w:color="auto"/>
      </w:divBdr>
      <w:divsChild>
        <w:div w:id="1504514483">
          <w:marLeft w:val="0"/>
          <w:marRight w:val="0"/>
          <w:marTop w:val="0"/>
          <w:marBottom w:val="0"/>
          <w:divBdr>
            <w:top w:val="none" w:sz="0" w:space="0" w:color="auto"/>
            <w:left w:val="none" w:sz="0" w:space="0" w:color="auto"/>
            <w:bottom w:val="none" w:sz="0" w:space="0" w:color="auto"/>
            <w:right w:val="none" w:sz="0" w:space="0" w:color="auto"/>
          </w:divBdr>
        </w:div>
      </w:divsChild>
    </w:div>
    <w:div w:id="262031720">
      <w:marLeft w:val="4"/>
      <w:marRight w:val="0"/>
      <w:marTop w:val="120"/>
      <w:marBottom w:val="0"/>
      <w:divBdr>
        <w:top w:val="none" w:sz="0" w:space="0" w:color="auto"/>
        <w:left w:val="none" w:sz="0" w:space="0" w:color="auto"/>
        <w:bottom w:val="none" w:sz="0" w:space="0" w:color="auto"/>
        <w:right w:val="none" w:sz="0" w:space="0" w:color="auto"/>
      </w:divBdr>
      <w:divsChild>
        <w:div w:id="1621573393">
          <w:marLeft w:val="0"/>
          <w:marRight w:val="0"/>
          <w:marTop w:val="0"/>
          <w:marBottom w:val="0"/>
          <w:divBdr>
            <w:top w:val="none" w:sz="0" w:space="0" w:color="auto"/>
            <w:left w:val="none" w:sz="0" w:space="0" w:color="auto"/>
            <w:bottom w:val="none" w:sz="0" w:space="0" w:color="auto"/>
            <w:right w:val="none" w:sz="0" w:space="0" w:color="auto"/>
          </w:divBdr>
        </w:div>
      </w:divsChild>
    </w:div>
    <w:div w:id="265162135">
      <w:marLeft w:val="0"/>
      <w:marRight w:val="0"/>
      <w:marTop w:val="0"/>
      <w:marBottom w:val="0"/>
      <w:divBdr>
        <w:top w:val="none" w:sz="0" w:space="0" w:color="auto"/>
        <w:left w:val="none" w:sz="0" w:space="0" w:color="auto"/>
        <w:bottom w:val="none" w:sz="0" w:space="0" w:color="auto"/>
        <w:right w:val="none" w:sz="0" w:space="0" w:color="auto"/>
      </w:divBdr>
    </w:div>
    <w:div w:id="270279478">
      <w:marLeft w:val="4"/>
      <w:marRight w:val="0"/>
      <w:marTop w:val="120"/>
      <w:marBottom w:val="0"/>
      <w:divBdr>
        <w:top w:val="none" w:sz="0" w:space="0" w:color="auto"/>
        <w:left w:val="none" w:sz="0" w:space="0" w:color="auto"/>
        <w:bottom w:val="none" w:sz="0" w:space="0" w:color="auto"/>
        <w:right w:val="none" w:sz="0" w:space="0" w:color="auto"/>
      </w:divBdr>
      <w:divsChild>
        <w:div w:id="366878809">
          <w:marLeft w:val="0"/>
          <w:marRight w:val="0"/>
          <w:marTop w:val="0"/>
          <w:marBottom w:val="0"/>
          <w:divBdr>
            <w:top w:val="none" w:sz="0" w:space="0" w:color="auto"/>
            <w:left w:val="none" w:sz="0" w:space="0" w:color="auto"/>
            <w:bottom w:val="none" w:sz="0" w:space="0" w:color="auto"/>
            <w:right w:val="none" w:sz="0" w:space="0" w:color="auto"/>
          </w:divBdr>
        </w:div>
      </w:divsChild>
    </w:div>
    <w:div w:id="298923175">
      <w:marLeft w:val="4"/>
      <w:marRight w:val="0"/>
      <w:marTop w:val="120"/>
      <w:marBottom w:val="0"/>
      <w:divBdr>
        <w:top w:val="none" w:sz="0" w:space="0" w:color="auto"/>
        <w:left w:val="none" w:sz="0" w:space="0" w:color="auto"/>
        <w:bottom w:val="none" w:sz="0" w:space="0" w:color="auto"/>
        <w:right w:val="none" w:sz="0" w:space="0" w:color="auto"/>
      </w:divBdr>
      <w:divsChild>
        <w:div w:id="33503757">
          <w:marLeft w:val="0"/>
          <w:marRight w:val="0"/>
          <w:marTop w:val="0"/>
          <w:marBottom w:val="0"/>
          <w:divBdr>
            <w:top w:val="none" w:sz="0" w:space="0" w:color="auto"/>
            <w:left w:val="none" w:sz="0" w:space="0" w:color="auto"/>
            <w:bottom w:val="none" w:sz="0" w:space="0" w:color="auto"/>
            <w:right w:val="none" w:sz="0" w:space="0" w:color="auto"/>
          </w:divBdr>
        </w:div>
      </w:divsChild>
    </w:div>
    <w:div w:id="320430994">
      <w:marLeft w:val="4"/>
      <w:marRight w:val="0"/>
      <w:marTop w:val="120"/>
      <w:marBottom w:val="0"/>
      <w:divBdr>
        <w:top w:val="none" w:sz="0" w:space="0" w:color="auto"/>
        <w:left w:val="none" w:sz="0" w:space="0" w:color="auto"/>
        <w:bottom w:val="none" w:sz="0" w:space="0" w:color="auto"/>
        <w:right w:val="none" w:sz="0" w:space="0" w:color="auto"/>
      </w:divBdr>
      <w:divsChild>
        <w:div w:id="1273391595">
          <w:marLeft w:val="0"/>
          <w:marRight w:val="0"/>
          <w:marTop w:val="0"/>
          <w:marBottom w:val="0"/>
          <w:divBdr>
            <w:top w:val="none" w:sz="0" w:space="0" w:color="auto"/>
            <w:left w:val="none" w:sz="0" w:space="0" w:color="auto"/>
            <w:bottom w:val="none" w:sz="0" w:space="0" w:color="auto"/>
            <w:right w:val="none" w:sz="0" w:space="0" w:color="auto"/>
          </w:divBdr>
        </w:div>
      </w:divsChild>
    </w:div>
    <w:div w:id="327179407">
      <w:marLeft w:val="0"/>
      <w:marRight w:val="0"/>
      <w:marTop w:val="0"/>
      <w:marBottom w:val="0"/>
      <w:divBdr>
        <w:top w:val="none" w:sz="0" w:space="0" w:color="auto"/>
        <w:left w:val="none" w:sz="0" w:space="0" w:color="auto"/>
        <w:bottom w:val="none" w:sz="0" w:space="0" w:color="auto"/>
        <w:right w:val="none" w:sz="0" w:space="0" w:color="auto"/>
      </w:divBdr>
    </w:div>
    <w:div w:id="337657047">
      <w:marLeft w:val="4"/>
      <w:marRight w:val="0"/>
      <w:marTop w:val="120"/>
      <w:marBottom w:val="0"/>
      <w:divBdr>
        <w:top w:val="none" w:sz="0" w:space="0" w:color="auto"/>
        <w:left w:val="none" w:sz="0" w:space="0" w:color="auto"/>
        <w:bottom w:val="none" w:sz="0" w:space="0" w:color="auto"/>
        <w:right w:val="none" w:sz="0" w:space="0" w:color="auto"/>
      </w:divBdr>
      <w:divsChild>
        <w:div w:id="768617856">
          <w:marLeft w:val="0"/>
          <w:marRight w:val="0"/>
          <w:marTop w:val="0"/>
          <w:marBottom w:val="0"/>
          <w:divBdr>
            <w:top w:val="none" w:sz="0" w:space="0" w:color="auto"/>
            <w:left w:val="none" w:sz="0" w:space="0" w:color="auto"/>
            <w:bottom w:val="none" w:sz="0" w:space="0" w:color="auto"/>
            <w:right w:val="none" w:sz="0" w:space="0" w:color="auto"/>
          </w:divBdr>
        </w:div>
      </w:divsChild>
    </w:div>
    <w:div w:id="344554014">
      <w:marLeft w:val="4"/>
      <w:marRight w:val="0"/>
      <w:marTop w:val="120"/>
      <w:marBottom w:val="0"/>
      <w:divBdr>
        <w:top w:val="none" w:sz="0" w:space="0" w:color="auto"/>
        <w:left w:val="none" w:sz="0" w:space="0" w:color="auto"/>
        <w:bottom w:val="none" w:sz="0" w:space="0" w:color="auto"/>
        <w:right w:val="none" w:sz="0" w:space="0" w:color="auto"/>
      </w:divBdr>
      <w:divsChild>
        <w:div w:id="1553615654">
          <w:marLeft w:val="0"/>
          <w:marRight w:val="0"/>
          <w:marTop w:val="0"/>
          <w:marBottom w:val="0"/>
          <w:divBdr>
            <w:top w:val="none" w:sz="0" w:space="0" w:color="auto"/>
            <w:left w:val="none" w:sz="0" w:space="0" w:color="auto"/>
            <w:bottom w:val="none" w:sz="0" w:space="0" w:color="auto"/>
            <w:right w:val="none" w:sz="0" w:space="0" w:color="auto"/>
          </w:divBdr>
        </w:div>
      </w:divsChild>
    </w:div>
    <w:div w:id="349262123">
      <w:marLeft w:val="4"/>
      <w:marRight w:val="0"/>
      <w:marTop w:val="120"/>
      <w:marBottom w:val="0"/>
      <w:divBdr>
        <w:top w:val="none" w:sz="0" w:space="0" w:color="auto"/>
        <w:left w:val="none" w:sz="0" w:space="0" w:color="auto"/>
        <w:bottom w:val="none" w:sz="0" w:space="0" w:color="auto"/>
        <w:right w:val="none" w:sz="0" w:space="0" w:color="auto"/>
      </w:divBdr>
      <w:divsChild>
        <w:div w:id="1061555939">
          <w:marLeft w:val="0"/>
          <w:marRight w:val="0"/>
          <w:marTop w:val="0"/>
          <w:marBottom w:val="0"/>
          <w:divBdr>
            <w:top w:val="none" w:sz="0" w:space="0" w:color="auto"/>
            <w:left w:val="none" w:sz="0" w:space="0" w:color="auto"/>
            <w:bottom w:val="none" w:sz="0" w:space="0" w:color="auto"/>
            <w:right w:val="none" w:sz="0" w:space="0" w:color="auto"/>
          </w:divBdr>
        </w:div>
      </w:divsChild>
    </w:div>
    <w:div w:id="350300791">
      <w:marLeft w:val="4"/>
      <w:marRight w:val="0"/>
      <w:marTop w:val="120"/>
      <w:marBottom w:val="0"/>
      <w:divBdr>
        <w:top w:val="none" w:sz="0" w:space="0" w:color="auto"/>
        <w:left w:val="none" w:sz="0" w:space="0" w:color="auto"/>
        <w:bottom w:val="none" w:sz="0" w:space="0" w:color="auto"/>
        <w:right w:val="none" w:sz="0" w:space="0" w:color="auto"/>
      </w:divBdr>
      <w:divsChild>
        <w:div w:id="1906527511">
          <w:marLeft w:val="0"/>
          <w:marRight w:val="0"/>
          <w:marTop w:val="0"/>
          <w:marBottom w:val="0"/>
          <w:divBdr>
            <w:top w:val="none" w:sz="0" w:space="0" w:color="auto"/>
            <w:left w:val="none" w:sz="0" w:space="0" w:color="auto"/>
            <w:bottom w:val="none" w:sz="0" w:space="0" w:color="auto"/>
            <w:right w:val="none" w:sz="0" w:space="0" w:color="auto"/>
          </w:divBdr>
        </w:div>
      </w:divsChild>
    </w:div>
    <w:div w:id="353071275">
      <w:marLeft w:val="4"/>
      <w:marRight w:val="0"/>
      <w:marTop w:val="120"/>
      <w:marBottom w:val="0"/>
      <w:divBdr>
        <w:top w:val="none" w:sz="0" w:space="0" w:color="auto"/>
        <w:left w:val="none" w:sz="0" w:space="0" w:color="auto"/>
        <w:bottom w:val="none" w:sz="0" w:space="0" w:color="auto"/>
        <w:right w:val="none" w:sz="0" w:space="0" w:color="auto"/>
      </w:divBdr>
      <w:divsChild>
        <w:div w:id="822087998">
          <w:marLeft w:val="0"/>
          <w:marRight w:val="0"/>
          <w:marTop w:val="0"/>
          <w:marBottom w:val="0"/>
          <w:divBdr>
            <w:top w:val="none" w:sz="0" w:space="0" w:color="auto"/>
            <w:left w:val="none" w:sz="0" w:space="0" w:color="auto"/>
            <w:bottom w:val="none" w:sz="0" w:space="0" w:color="auto"/>
            <w:right w:val="none" w:sz="0" w:space="0" w:color="auto"/>
          </w:divBdr>
        </w:div>
      </w:divsChild>
    </w:div>
    <w:div w:id="357582557">
      <w:marLeft w:val="4"/>
      <w:marRight w:val="0"/>
      <w:marTop w:val="120"/>
      <w:marBottom w:val="0"/>
      <w:divBdr>
        <w:top w:val="none" w:sz="0" w:space="0" w:color="auto"/>
        <w:left w:val="none" w:sz="0" w:space="0" w:color="auto"/>
        <w:bottom w:val="none" w:sz="0" w:space="0" w:color="auto"/>
        <w:right w:val="none" w:sz="0" w:space="0" w:color="auto"/>
      </w:divBdr>
      <w:divsChild>
        <w:div w:id="1528641614">
          <w:marLeft w:val="0"/>
          <w:marRight w:val="0"/>
          <w:marTop w:val="0"/>
          <w:marBottom w:val="0"/>
          <w:divBdr>
            <w:top w:val="none" w:sz="0" w:space="0" w:color="auto"/>
            <w:left w:val="none" w:sz="0" w:space="0" w:color="auto"/>
            <w:bottom w:val="none" w:sz="0" w:space="0" w:color="auto"/>
            <w:right w:val="none" w:sz="0" w:space="0" w:color="auto"/>
          </w:divBdr>
        </w:div>
      </w:divsChild>
    </w:div>
    <w:div w:id="377318637">
      <w:marLeft w:val="4"/>
      <w:marRight w:val="0"/>
      <w:marTop w:val="120"/>
      <w:marBottom w:val="0"/>
      <w:divBdr>
        <w:top w:val="none" w:sz="0" w:space="0" w:color="auto"/>
        <w:left w:val="none" w:sz="0" w:space="0" w:color="auto"/>
        <w:bottom w:val="none" w:sz="0" w:space="0" w:color="auto"/>
        <w:right w:val="none" w:sz="0" w:space="0" w:color="auto"/>
      </w:divBdr>
      <w:divsChild>
        <w:div w:id="1023095128">
          <w:marLeft w:val="0"/>
          <w:marRight w:val="0"/>
          <w:marTop w:val="0"/>
          <w:marBottom w:val="0"/>
          <w:divBdr>
            <w:top w:val="none" w:sz="0" w:space="0" w:color="auto"/>
            <w:left w:val="none" w:sz="0" w:space="0" w:color="auto"/>
            <w:bottom w:val="none" w:sz="0" w:space="0" w:color="auto"/>
            <w:right w:val="none" w:sz="0" w:space="0" w:color="auto"/>
          </w:divBdr>
        </w:div>
      </w:divsChild>
    </w:div>
    <w:div w:id="396364502">
      <w:marLeft w:val="4"/>
      <w:marRight w:val="0"/>
      <w:marTop w:val="120"/>
      <w:marBottom w:val="0"/>
      <w:divBdr>
        <w:top w:val="none" w:sz="0" w:space="0" w:color="auto"/>
        <w:left w:val="none" w:sz="0" w:space="0" w:color="auto"/>
        <w:bottom w:val="none" w:sz="0" w:space="0" w:color="auto"/>
        <w:right w:val="none" w:sz="0" w:space="0" w:color="auto"/>
      </w:divBdr>
      <w:divsChild>
        <w:div w:id="1869946719">
          <w:marLeft w:val="0"/>
          <w:marRight w:val="0"/>
          <w:marTop w:val="0"/>
          <w:marBottom w:val="0"/>
          <w:divBdr>
            <w:top w:val="none" w:sz="0" w:space="0" w:color="auto"/>
            <w:left w:val="none" w:sz="0" w:space="0" w:color="auto"/>
            <w:bottom w:val="none" w:sz="0" w:space="0" w:color="auto"/>
            <w:right w:val="none" w:sz="0" w:space="0" w:color="auto"/>
          </w:divBdr>
        </w:div>
      </w:divsChild>
    </w:div>
    <w:div w:id="399864843">
      <w:marLeft w:val="4"/>
      <w:marRight w:val="0"/>
      <w:marTop w:val="120"/>
      <w:marBottom w:val="0"/>
      <w:divBdr>
        <w:top w:val="none" w:sz="0" w:space="0" w:color="auto"/>
        <w:left w:val="none" w:sz="0" w:space="0" w:color="auto"/>
        <w:bottom w:val="none" w:sz="0" w:space="0" w:color="auto"/>
        <w:right w:val="none" w:sz="0" w:space="0" w:color="auto"/>
      </w:divBdr>
      <w:divsChild>
        <w:div w:id="1434401760">
          <w:marLeft w:val="0"/>
          <w:marRight w:val="0"/>
          <w:marTop w:val="0"/>
          <w:marBottom w:val="0"/>
          <w:divBdr>
            <w:top w:val="none" w:sz="0" w:space="0" w:color="auto"/>
            <w:left w:val="none" w:sz="0" w:space="0" w:color="auto"/>
            <w:bottom w:val="none" w:sz="0" w:space="0" w:color="auto"/>
            <w:right w:val="none" w:sz="0" w:space="0" w:color="auto"/>
          </w:divBdr>
        </w:div>
      </w:divsChild>
    </w:div>
    <w:div w:id="415439829">
      <w:marLeft w:val="0"/>
      <w:marRight w:val="0"/>
      <w:marTop w:val="0"/>
      <w:marBottom w:val="0"/>
      <w:divBdr>
        <w:top w:val="none" w:sz="0" w:space="0" w:color="auto"/>
        <w:left w:val="none" w:sz="0" w:space="0" w:color="auto"/>
        <w:bottom w:val="none" w:sz="0" w:space="0" w:color="auto"/>
        <w:right w:val="none" w:sz="0" w:space="0" w:color="auto"/>
      </w:divBdr>
      <w:divsChild>
        <w:div w:id="739907663">
          <w:marLeft w:val="0"/>
          <w:marRight w:val="0"/>
          <w:marTop w:val="0"/>
          <w:marBottom w:val="0"/>
          <w:divBdr>
            <w:top w:val="none" w:sz="0" w:space="0" w:color="auto"/>
            <w:left w:val="none" w:sz="0" w:space="0" w:color="auto"/>
            <w:bottom w:val="none" w:sz="0" w:space="0" w:color="auto"/>
            <w:right w:val="none" w:sz="0" w:space="0" w:color="auto"/>
          </w:divBdr>
        </w:div>
      </w:divsChild>
    </w:div>
    <w:div w:id="418869713">
      <w:marLeft w:val="4"/>
      <w:marRight w:val="0"/>
      <w:marTop w:val="120"/>
      <w:marBottom w:val="0"/>
      <w:divBdr>
        <w:top w:val="none" w:sz="0" w:space="0" w:color="auto"/>
        <w:left w:val="none" w:sz="0" w:space="0" w:color="auto"/>
        <w:bottom w:val="none" w:sz="0" w:space="0" w:color="auto"/>
        <w:right w:val="none" w:sz="0" w:space="0" w:color="auto"/>
      </w:divBdr>
      <w:divsChild>
        <w:div w:id="1836337958">
          <w:marLeft w:val="0"/>
          <w:marRight w:val="0"/>
          <w:marTop w:val="0"/>
          <w:marBottom w:val="0"/>
          <w:divBdr>
            <w:top w:val="none" w:sz="0" w:space="0" w:color="auto"/>
            <w:left w:val="none" w:sz="0" w:space="0" w:color="auto"/>
            <w:bottom w:val="none" w:sz="0" w:space="0" w:color="auto"/>
            <w:right w:val="none" w:sz="0" w:space="0" w:color="auto"/>
          </w:divBdr>
        </w:div>
      </w:divsChild>
    </w:div>
    <w:div w:id="419639545">
      <w:marLeft w:val="4"/>
      <w:marRight w:val="0"/>
      <w:marTop w:val="120"/>
      <w:marBottom w:val="0"/>
      <w:divBdr>
        <w:top w:val="none" w:sz="0" w:space="0" w:color="auto"/>
        <w:left w:val="none" w:sz="0" w:space="0" w:color="auto"/>
        <w:bottom w:val="none" w:sz="0" w:space="0" w:color="auto"/>
        <w:right w:val="none" w:sz="0" w:space="0" w:color="auto"/>
      </w:divBdr>
      <w:divsChild>
        <w:div w:id="552235430">
          <w:marLeft w:val="0"/>
          <w:marRight w:val="0"/>
          <w:marTop w:val="0"/>
          <w:marBottom w:val="0"/>
          <w:divBdr>
            <w:top w:val="none" w:sz="0" w:space="0" w:color="auto"/>
            <w:left w:val="none" w:sz="0" w:space="0" w:color="auto"/>
            <w:bottom w:val="none" w:sz="0" w:space="0" w:color="auto"/>
            <w:right w:val="none" w:sz="0" w:space="0" w:color="auto"/>
          </w:divBdr>
        </w:div>
      </w:divsChild>
    </w:div>
    <w:div w:id="453906706">
      <w:marLeft w:val="4"/>
      <w:marRight w:val="0"/>
      <w:marTop w:val="120"/>
      <w:marBottom w:val="0"/>
      <w:divBdr>
        <w:top w:val="none" w:sz="0" w:space="0" w:color="auto"/>
        <w:left w:val="none" w:sz="0" w:space="0" w:color="auto"/>
        <w:bottom w:val="none" w:sz="0" w:space="0" w:color="auto"/>
        <w:right w:val="none" w:sz="0" w:space="0" w:color="auto"/>
      </w:divBdr>
      <w:divsChild>
        <w:div w:id="1975716785">
          <w:marLeft w:val="0"/>
          <w:marRight w:val="0"/>
          <w:marTop w:val="0"/>
          <w:marBottom w:val="0"/>
          <w:divBdr>
            <w:top w:val="none" w:sz="0" w:space="0" w:color="auto"/>
            <w:left w:val="none" w:sz="0" w:space="0" w:color="auto"/>
            <w:bottom w:val="none" w:sz="0" w:space="0" w:color="auto"/>
            <w:right w:val="none" w:sz="0" w:space="0" w:color="auto"/>
          </w:divBdr>
        </w:div>
      </w:divsChild>
    </w:div>
    <w:div w:id="463357327">
      <w:marLeft w:val="4"/>
      <w:marRight w:val="0"/>
      <w:marTop w:val="120"/>
      <w:marBottom w:val="0"/>
      <w:divBdr>
        <w:top w:val="none" w:sz="0" w:space="0" w:color="auto"/>
        <w:left w:val="none" w:sz="0" w:space="0" w:color="auto"/>
        <w:bottom w:val="none" w:sz="0" w:space="0" w:color="auto"/>
        <w:right w:val="none" w:sz="0" w:space="0" w:color="auto"/>
      </w:divBdr>
      <w:divsChild>
        <w:div w:id="32849785">
          <w:marLeft w:val="0"/>
          <w:marRight w:val="0"/>
          <w:marTop w:val="0"/>
          <w:marBottom w:val="0"/>
          <w:divBdr>
            <w:top w:val="none" w:sz="0" w:space="0" w:color="auto"/>
            <w:left w:val="none" w:sz="0" w:space="0" w:color="auto"/>
            <w:bottom w:val="none" w:sz="0" w:space="0" w:color="auto"/>
            <w:right w:val="none" w:sz="0" w:space="0" w:color="auto"/>
          </w:divBdr>
        </w:div>
      </w:divsChild>
    </w:div>
    <w:div w:id="467625131">
      <w:marLeft w:val="4"/>
      <w:marRight w:val="0"/>
      <w:marTop w:val="120"/>
      <w:marBottom w:val="0"/>
      <w:divBdr>
        <w:top w:val="none" w:sz="0" w:space="0" w:color="auto"/>
        <w:left w:val="none" w:sz="0" w:space="0" w:color="auto"/>
        <w:bottom w:val="none" w:sz="0" w:space="0" w:color="auto"/>
        <w:right w:val="none" w:sz="0" w:space="0" w:color="auto"/>
      </w:divBdr>
      <w:divsChild>
        <w:div w:id="1887138708">
          <w:marLeft w:val="0"/>
          <w:marRight w:val="0"/>
          <w:marTop w:val="0"/>
          <w:marBottom w:val="0"/>
          <w:divBdr>
            <w:top w:val="none" w:sz="0" w:space="0" w:color="auto"/>
            <w:left w:val="none" w:sz="0" w:space="0" w:color="auto"/>
            <w:bottom w:val="none" w:sz="0" w:space="0" w:color="auto"/>
            <w:right w:val="none" w:sz="0" w:space="0" w:color="auto"/>
          </w:divBdr>
        </w:div>
      </w:divsChild>
    </w:div>
    <w:div w:id="472063553">
      <w:marLeft w:val="4"/>
      <w:marRight w:val="0"/>
      <w:marTop w:val="120"/>
      <w:marBottom w:val="0"/>
      <w:divBdr>
        <w:top w:val="none" w:sz="0" w:space="0" w:color="auto"/>
        <w:left w:val="none" w:sz="0" w:space="0" w:color="auto"/>
        <w:bottom w:val="none" w:sz="0" w:space="0" w:color="auto"/>
        <w:right w:val="none" w:sz="0" w:space="0" w:color="auto"/>
      </w:divBdr>
      <w:divsChild>
        <w:div w:id="89397023">
          <w:marLeft w:val="0"/>
          <w:marRight w:val="0"/>
          <w:marTop w:val="0"/>
          <w:marBottom w:val="0"/>
          <w:divBdr>
            <w:top w:val="none" w:sz="0" w:space="0" w:color="auto"/>
            <w:left w:val="none" w:sz="0" w:space="0" w:color="auto"/>
            <w:bottom w:val="none" w:sz="0" w:space="0" w:color="auto"/>
            <w:right w:val="none" w:sz="0" w:space="0" w:color="auto"/>
          </w:divBdr>
        </w:div>
      </w:divsChild>
    </w:div>
    <w:div w:id="497890175">
      <w:marLeft w:val="4"/>
      <w:marRight w:val="0"/>
      <w:marTop w:val="120"/>
      <w:marBottom w:val="0"/>
      <w:divBdr>
        <w:top w:val="none" w:sz="0" w:space="0" w:color="auto"/>
        <w:left w:val="none" w:sz="0" w:space="0" w:color="auto"/>
        <w:bottom w:val="none" w:sz="0" w:space="0" w:color="auto"/>
        <w:right w:val="none" w:sz="0" w:space="0" w:color="auto"/>
      </w:divBdr>
      <w:divsChild>
        <w:div w:id="1651443079">
          <w:marLeft w:val="0"/>
          <w:marRight w:val="0"/>
          <w:marTop w:val="0"/>
          <w:marBottom w:val="0"/>
          <w:divBdr>
            <w:top w:val="none" w:sz="0" w:space="0" w:color="auto"/>
            <w:left w:val="none" w:sz="0" w:space="0" w:color="auto"/>
            <w:bottom w:val="none" w:sz="0" w:space="0" w:color="auto"/>
            <w:right w:val="none" w:sz="0" w:space="0" w:color="auto"/>
          </w:divBdr>
        </w:div>
      </w:divsChild>
    </w:div>
    <w:div w:id="502399969">
      <w:marLeft w:val="4"/>
      <w:marRight w:val="0"/>
      <w:marTop w:val="120"/>
      <w:marBottom w:val="0"/>
      <w:divBdr>
        <w:top w:val="none" w:sz="0" w:space="0" w:color="auto"/>
        <w:left w:val="none" w:sz="0" w:space="0" w:color="auto"/>
        <w:bottom w:val="none" w:sz="0" w:space="0" w:color="auto"/>
        <w:right w:val="none" w:sz="0" w:space="0" w:color="auto"/>
      </w:divBdr>
      <w:divsChild>
        <w:div w:id="808983398">
          <w:marLeft w:val="0"/>
          <w:marRight w:val="0"/>
          <w:marTop w:val="0"/>
          <w:marBottom w:val="0"/>
          <w:divBdr>
            <w:top w:val="none" w:sz="0" w:space="0" w:color="auto"/>
            <w:left w:val="none" w:sz="0" w:space="0" w:color="auto"/>
            <w:bottom w:val="none" w:sz="0" w:space="0" w:color="auto"/>
            <w:right w:val="none" w:sz="0" w:space="0" w:color="auto"/>
          </w:divBdr>
        </w:div>
      </w:divsChild>
    </w:div>
    <w:div w:id="551575062">
      <w:marLeft w:val="4"/>
      <w:marRight w:val="0"/>
      <w:marTop w:val="120"/>
      <w:marBottom w:val="0"/>
      <w:divBdr>
        <w:top w:val="none" w:sz="0" w:space="0" w:color="auto"/>
        <w:left w:val="none" w:sz="0" w:space="0" w:color="auto"/>
        <w:bottom w:val="none" w:sz="0" w:space="0" w:color="auto"/>
        <w:right w:val="none" w:sz="0" w:space="0" w:color="auto"/>
      </w:divBdr>
      <w:divsChild>
        <w:div w:id="661005762">
          <w:marLeft w:val="0"/>
          <w:marRight w:val="0"/>
          <w:marTop w:val="0"/>
          <w:marBottom w:val="0"/>
          <w:divBdr>
            <w:top w:val="none" w:sz="0" w:space="0" w:color="auto"/>
            <w:left w:val="none" w:sz="0" w:space="0" w:color="auto"/>
            <w:bottom w:val="none" w:sz="0" w:space="0" w:color="auto"/>
            <w:right w:val="none" w:sz="0" w:space="0" w:color="auto"/>
          </w:divBdr>
        </w:div>
      </w:divsChild>
    </w:div>
    <w:div w:id="555170234">
      <w:marLeft w:val="4"/>
      <w:marRight w:val="0"/>
      <w:marTop w:val="120"/>
      <w:marBottom w:val="0"/>
      <w:divBdr>
        <w:top w:val="none" w:sz="0" w:space="0" w:color="auto"/>
        <w:left w:val="none" w:sz="0" w:space="0" w:color="auto"/>
        <w:bottom w:val="none" w:sz="0" w:space="0" w:color="auto"/>
        <w:right w:val="none" w:sz="0" w:space="0" w:color="auto"/>
      </w:divBdr>
      <w:divsChild>
        <w:div w:id="1033118350">
          <w:marLeft w:val="0"/>
          <w:marRight w:val="0"/>
          <w:marTop w:val="0"/>
          <w:marBottom w:val="0"/>
          <w:divBdr>
            <w:top w:val="none" w:sz="0" w:space="0" w:color="auto"/>
            <w:left w:val="none" w:sz="0" w:space="0" w:color="auto"/>
            <w:bottom w:val="none" w:sz="0" w:space="0" w:color="auto"/>
            <w:right w:val="none" w:sz="0" w:space="0" w:color="auto"/>
          </w:divBdr>
        </w:div>
      </w:divsChild>
    </w:div>
    <w:div w:id="561065956">
      <w:marLeft w:val="4"/>
      <w:marRight w:val="0"/>
      <w:marTop w:val="120"/>
      <w:marBottom w:val="0"/>
      <w:divBdr>
        <w:top w:val="none" w:sz="0" w:space="0" w:color="auto"/>
        <w:left w:val="none" w:sz="0" w:space="0" w:color="auto"/>
        <w:bottom w:val="none" w:sz="0" w:space="0" w:color="auto"/>
        <w:right w:val="none" w:sz="0" w:space="0" w:color="auto"/>
      </w:divBdr>
      <w:divsChild>
        <w:div w:id="357004994">
          <w:marLeft w:val="0"/>
          <w:marRight w:val="0"/>
          <w:marTop w:val="0"/>
          <w:marBottom w:val="0"/>
          <w:divBdr>
            <w:top w:val="none" w:sz="0" w:space="0" w:color="auto"/>
            <w:left w:val="none" w:sz="0" w:space="0" w:color="auto"/>
            <w:bottom w:val="none" w:sz="0" w:space="0" w:color="auto"/>
            <w:right w:val="none" w:sz="0" w:space="0" w:color="auto"/>
          </w:divBdr>
        </w:div>
      </w:divsChild>
    </w:div>
    <w:div w:id="569191920">
      <w:marLeft w:val="4"/>
      <w:marRight w:val="0"/>
      <w:marTop w:val="120"/>
      <w:marBottom w:val="0"/>
      <w:divBdr>
        <w:top w:val="none" w:sz="0" w:space="0" w:color="auto"/>
        <w:left w:val="none" w:sz="0" w:space="0" w:color="auto"/>
        <w:bottom w:val="none" w:sz="0" w:space="0" w:color="auto"/>
        <w:right w:val="none" w:sz="0" w:space="0" w:color="auto"/>
      </w:divBdr>
      <w:divsChild>
        <w:div w:id="1216088492">
          <w:marLeft w:val="0"/>
          <w:marRight w:val="0"/>
          <w:marTop w:val="0"/>
          <w:marBottom w:val="0"/>
          <w:divBdr>
            <w:top w:val="none" w:sz="0" w:space="0" w:color="auto"/>
            <w:left w:val="none" w:sz="0" w:space="0" w:color="auto"/>
            <w:bottom w:val="none" w:sz="0" w:space="0" w:color="auto"/>
            <w:right w:val="none" w:sz="0" w:space="0" w:color="auto"/>
          </w:divBdr>
        </w:div>
      </w:divsChild>
    </w:div>
    <w:div w:id="570851268">
      <w:marLeft w:val="4"/>
      <w:marRight w:val="0"/>
      <w:marTop w:val="0"/>
      <w:marBottom w:val="0"/>
      <w:divBdr>
        <w:top w:val="none" w:sz="0" w:space="0" w:color="auto"/>
        <w:left w:val="none" w:sz="0" w:space="0" w:color="auto"/>
        <w:bottom w:val="none" w:sz="0" w:space="0" w:color="auto"/>
        <w:right w:val="none" w:sz="0" w:space="0" w:color="auto"/>
      </w:divBdr>
      <w:divsChild>
        <w:div w:id="491678635">
          <w:marLeft w:val="0"/>
          <w:marRight w:val="0"/>
          <w:marTop w:val="0"/>
          <w:marBottom w:val="0"/>
          <w:divBdr>
            <w:top w:val="none" w:sz="0" w:space="0" w:color="auto"/>
            <w:left w:val="none" w:sz="0" w:space="0" w:color="auto"/>
            <w:bottom w:val="none" w:sz="0" w:space="0" w:color="auto"/>
            <w:right w:val="none" w:sz="0" w:space="0" w:color="auto"/>
          </w:divBdr>
        </w:div>
      </w:divsChild>
    </w:div>
    <w:div w:id="585312080">
      <w:marLeft w:val="4"/>
      <w:marRight w:val="0"/>
      <w:marTop w:val="120"/>
      <w:marBottom w:val="0"/>
      <w:divBdr>
        <w:top w:val="none" w:sz="0" w:space="0" w:color="auto"/>
        <w:left w:val="none" w:sz="0" w:space="0" w:color="auto"/>
        <w:bottom w:val="none" w:sz="0" w:space="0" w:color="auto"/>
        <w:right w:val="none" w:sz="0" w:space="0" w:color="auto"/>
      </w:divBdr>
      <w:divsChild>
        <w:div w:id="823620877">
          <w:marLeft w:val="0"/>
          <w:marRight w:val="0"/>
          <w:marTop w:val="0"/>
          <w:marBottom w:val="0"/>
          <w:divBdr>
            <w:top w:val="none" w:sz="0" w:space="0" w:color="auto"/>
            <w:left w:val="none" w:sz="0" w:space="0" w:color="auto"/>
            <w:bottom w:val="none" w:sz="0" w:space="0" w:color="auto"/>
            <w:right w:val="none" w:sz="0" w:space="0" w:color="auto"/>
          </w:divBdr>
        </w:div>
      </w:divsChild>
    </w:div>
    <w:div w:id="591357879">
      <w:marLeft w:val="4"/>
      <w:marRight w:val="0"/>
      <w:marTop w:val="120"/>
      <w:marBottom w:val="0"/>
      <w:divBdr>
        <w:top w:val="none" w:sz="0" w:space="0" w:color="auto"/>
        <w:left w:val="none" w:sz="0" w:space="0" w:color="auto"/>
        <w:bottom w:val="none" w:sz="0" w:space="0" w:color="auto"/>
        <w:right w:val="none" w:sz="0" w:space="0" w:color="auto"/>
      </w:divBdr>
      <w:divsChild>
        <w:div w:id="1040398895">
          <w:marLeft w:val="0"/>
          <w:marRight w:val="0"/>
          <w:marTop w:val="0"/>
          <w:marBottom w:val="0"/>
          <w:divBdr>
            <w:top w:val="none" w:sz="0" w:space="0" w:color="auto"/>
            <w:left w:val="none" w:sz="0" w:space="0" w:color="auto"/>
            <w:bottom w:val="none" w:sz="0" w:space="0" w:color="auto"/>
            <w:right w:val="none" w:sz="0" w:space="0" w:color="auto"/>
          </w:divBdr>
        </w:div>
      </w:divsChild>
    </w:div>
    <w:div w:id="595791514">
      <w:marLeft w:val="4"/>
      <w:marRight w:val="0"/>
      <w:marTop w:val="120"/>
      <w:marBottom w:val="0"/>
      <w:divBdr>
        <w:top w:val="none" w:sz="0" w:space="0" w:color="auto"/>
        <w:left w:val="none" w:sz="0" w:space="0" w:color="auto"/>
        <w:bottom w:val="none" w:sz="0" w:space="0" w:color="auto"/>
        <w:right w:val="none" w:sz="0" w:space="0" w:color="auto"/>
      </w:divBdr>
      <w:divsChild>
        <w:div w:id="1889879252">
          <w:marLeft w:val="0"/>
          <w:marRight w:val="0"/>
          <w:marTop w:val="0"/>
          <w:marBottom w:val="0"/>
          <w:divBdr>
            <w:top w:val="none" w:sz="0" w:space="0" w:color="auto"/>
            <w:left w:val="none" w:sz="0" w:space="0" w:color="auto"/>
            <w:bottom w:val="none" w:sz="0" w:space="0" w:color="auto"/>
            <w:right w:val="none" w:sz="0" w:space="0" w:color="auto"/>
          </w:divBdr>
        </w:div>
      </w:divsChild>
    </w:div>
    <w:div w:id="604382986">
      <w:marLeft w:val="4"/>
      <w:marRight w:val="0"/>
      <w:marTop w:val="120"/>
      <w:marBottom w:val="0"/>
      <w:divBdr>
        <w:top w:val="none" w:sz="0" w:space="0" w:color="auto"/>
        <w:left w:val="none" w:sz="0" w:space="0" w:color="auto"/>
        <w:bottom w:val="none" w:sz="0" w:space="0" w:color="auto"/>
        <w:right w:val="none" w:sz="0" w:space="0" w:color="auto"/>
      </w:divBdr>
      <w:divsChild>
        <w:div w:id="356349814">
          <w:marLeft w:val="0"/>
          <w:marRight w:val="0"/>
          <w:marTop w:val="0"/>
          <w:marBottom w:val="0"/>
          <w:divBdr>
            <w:top w:val="none" w:sz="0" w:space="0" w:color="auto"/>
            <w:left w:val="none" w:sz="0" w:space="0" w:color="auto"/>
            <w:bottom w:val="none" w:sz="0" w:space="0" w:color="auto"/>
            <w:right w:val="none" w:sz="0" w:space="0" w:color="auto"/>
          </w:divBdr>
        </w:div>
      </w:divsChild>
    </w:div>
    <w:div w:id="611590847">
      <w:marLeft w:val="4"/>
      <w:marRight w:val="0"/>
      <w:marTop w:val="120"/>
      <w:marBottom w:val="0"/>
      <w:divBdr>
        <w:top w:val="none" w:sz="0" w:space="0" w:color="auto"/>
        <w:left w:val="none" w:sz="0" w:space="0" w:color="auto"/>
        <w:bottom w:val="none" w:sz="0" w:space="0" w:color="auto"/>
        <w:right w:val="none" w:sz="0" w:space="0" w:color="auto"/>
      </w:divBdr>
      <w:divsChild>
        <w:div w:id="833179748">
          <w:marLeft w:val="0"/>
          <w:marRight w:val="0"/>
          <w:marTop w:val="0"/>
          <w:marBottom w:val="0"/>
          <w:divBdr>
            <w:top w:val="none" w:sz="0" w:space="0" w:color="auto"/>
            <w:left w:val="none" w:sz="0" w:space="0" w:color="auto"/>
            <w:bottom w:val="none" w:sz="0" w:space="0" w:color="auto"/>
            <w:right w:val="none" w:sz="0" w:space="0" w:color="auto"/>
          </w:divBdr>
        </w:div>
      </w:divsChild>
    </w:div>
    <w:div w:id="613095327">
      <w:marLeft w:val="4"/>
      <w:marRight w:val="0"/>
      <w:marTop w:val="120"/>
      <w:marBottom w:val="0"/>
      <w:divBdr>
        <w:top w:val="none" w:sz="0" w:space="0" w:color="auto"/>
        <w:left w:val="none" w:sz="0" w:space="0" w:color="auto"/>
        <w:bottom w:val="none" w:sz="0" w:space="0" w:color="auto"/>
        <w:right w:val="none" w:sz="0" w:space="0" w:color="auto"/>
      </w:divBdr>
      <w:divsChild>
        <w:div w:id="139083384">
          <w:marLeft w:val="0"/>
          <w:marRight w:val="0"/>
          <w:marTop w:val="0"/>
          <w:marBottom w:val="0"/>
          <w:divBdr>
            <w:top w:val="none" w:sz="0" w:space="0" w:color="auto"/>
            <w:left w:val="none" w:sz="0" w:space="0" w:color="auto"/>
            <w:bottom w:val="none" w:sz="0" w:space="0" w:color="auto"/>
            <w:right w:val="none" w:sz="0" w:space="0" w:color="auto"/>
          </w:divBdr>
        </w:div>
      </w:divsChild>
    </w:div>
    <w:div w:id="626737662">
      <w:marLeft w:val="4"/>
      <w:marRight w:val="0"/>
      <w:marTop w:val="120"/>
      <w:marBottom w:val="0"/>
      <w:divBdr>
        <w:top w:val="none" w:sz="0" w:space="0" w:color="auto"/>
        <w:left w:val="none" w:sz="0" w:space="0" w:color="auto"/>
        <w:bottom w:val="none" w:sz="0" w:space="0" w:color="auto"/>
        <w:right w:val="none" w:sz="0" w:space="0" w:color="auto"/>
      </w:divBdr>
      <w:divsChild>
        <w:div w:id="151071915">
          <w:marLeft w:val="0"/>
          <w:marRight w:val="0"/>
          <w:marTop w:val="0"/>
          <w:marBottom w:val="0"/>
          <w:divBdr>
            <w:top w:val="none" w:sz="0" w:space="0" w:color="auto"/>
            <w:left w:val="none" w:sz="0" w:space="0" w:color="auto"/>
            <w:bottom w:val="none" w:sz="0" w:space="0" w:color="auto"/>
            <w:right w:val="none" w:sz="0" w:space="0" w:color="auto"/>
          </w:divBdr>
        </w:div>
      </w:divsChild>
    </w:div>
    <w:div w:id="629020123">
      <w:marLeft w:val="4"/>
      <w:marRight w:val="0"/>
      <w:marTop w:val="120"/>
      <w:marBottom w:val="0"/>
      <w:divBdr>
        <w:top w:val="none" w:sz="0" w:space="0" w:color="auto"/>
        <w:left w:val="none" w:sz="0" w:space="0" w:color="auto"/>
        <w:bottom w:val="none" w:sz="0" w:space="0" w:color="auto"/>
        <w:right w:val="none" w:sz="0" w:space="0" w:color="auto"/>
      </w:divBdr>
      <w:divsChild>
        <w:div w:id="2130082749">
          <w:marLeft w:val="0"/>
          <w:marRight w:val="0"/>
          <w:marTop w:val="0"/>
          <w:marBottom w:val="0"/>
          <w:divBdr>
            <w:top w:val="none" w:sz="0" w:space="0" w:color="auto"/>
            <w:left w:val="none" w:sz="0" w:space="0" w:color="auto"/>
            <w:bottom w:val="none" w:sz="0" w:space="0" w:color="auto"/>
            <w:right w:val="none" w:sz="0" w:space="0" w:color="auto"/>
          </w:divBdr>
        </w:div>
      </w:divsChild>
    </w:div>
    <w:div w:id="629439251">
      <w:marLeft w:val="4"/>
      <w:marRight w:val="0"/>
      <w:marTop w:val="120"/>
      <w:marBottom w:val="0"/>
      <w:divBdr>
        <w:top w:val="none" w:sz="0" w:space="0" w:color="auto"/>
        <w:left w:val="none" w:sz="0" w:space="0" w:color="auto"/>
        <w:bottom w:val="none" w:sz="0" w:space="0" w:color="auto"/>
        <w:right w:val="none" w:sz="0" w:space="0" w:color="auto"/>
      </w:divBdr>
      <w:divsChild>
        <w:div w:id="541946472">
          <w:marLeft w:val="0"/>
          <w:marRight w:val="0"/>
          <w:marTop w:val="0"/>
          <w:marBottom w:val="0"/>
          <w:divBdr>
            <w:top w:val="none" w:sz="0" w:space="0" w:color="auto"/>
            <w:left w:val="none" w:sz="0" w:space="0" w:color="auto"/>
            <w:bottom w:val="none" w:sz="0" w:space="0" w:color="auto"/>
            <w:right w:val="none" w:sz="0" w:space="0" w:color="auto"/>
          </w:divBdr>
        </w:div>
      </w:divsChild>
    </w:div>
    <w:div w:id="647445023">
      <w:marLeft w:val="4"/>
      <w:marRight w:val="0"/>
      <w:marTop w:val="120"/>
      <w:marBottom w:val="0"/>
      <w:divBdr>
        <w:top w:val="none" w:sz="0" w:space="0" w:color="auto"/>
        <w:left w:val="none" w:sz="0" w:space="0" w:color="auto"/>
        <w:bottom w:val="none" w:sz="0" w:space="0" w:color="auto"/>
        <w:right w:val="none" w:sz="0" w:space="0" w:color="auto"/>
      </w:divBdr>
      <w:divsChild>
        <w:div w:id="116678247">
          <w:marLeft w:val="0"/>
          <w:marRight w:val="0"/>
          <w:marTop w:val="0"/>
          <w:marBottom w:val="0"/>
          <w:divBdr>
            <w:top w:val="none" w:sz="0" w:space="0" w:color="auto"/>
            <w:left w:val="none" w:sz="0" w:space="0" w:color="auto"/>
            <w:bottom w:val="none" w:sz="0" w:space="0" w:color="auto"/>
            <w:right w:val="none" w:sz="0" w:space="0" w:color="auto"/>
          </w:divBdr>
        </w:div>
      </w:divsChild>
    </w:div>
    <w:div w:id="664354739">
      <w:marLeft w:val="4"/>
      <w:marRight w:val="0"/>
      <w:marTop w:val="120"/>
      <w:marBottom w:val="0"/>
      <w:divBdr>
        <w:top w:val="none" w:sz="0" w:space="0" w:color="auto"/>
        <w:left w:val="none" w:sz="0" w:space="0" w:color="auto"/>
        <w:bottom w:val="none" w:sz="0" w:space="0" w:color="auto"/>
        <w:right w:val="none" w:sz="0" w:space="0" w:color="auto"/>
      </w:divBdr>
      <w:divsChild>
        <w:div w:id="422068563">
          <w:marLeft w:val="0"/>
          <w:marRight w:val="0"/>
          <w:marTop w:val="0"/>
          <w:marBottom w:val="0"/>
          <w:divBdr>
            <w:top w:val="none" w:sz="0" w:space="0" w:color="auto"/>
            <w:left w:val="none" w:sz="0" w:space="0" w:color="auto"/>
            <w:bottom w:val="none" w:sz="0" w:space="0" w:color="auto"/>
            <w:right w:val="none" w:sz="0" w:space="0" w:color="auto"/>
          </w:divBdr>
        </w:div>
      </w:divsChild>
    </w:div>
    <w:div w:id="680618513">
      <w:marLeft w:val="4"/>
      <w:marRight w:val="0"/>
      <w:marTop w:val="120"/>
      <w:marBottom w:val="0"/>
      <w:divBdr>
        <w:top w:val="none" w:sz="0" w:space="0" w:color="auto"/>
        <w:left w:val="none" w:sz="0" w:space="0" w:color="auto"/>
        <w:bottom w:val="none" w:sz="0" w:space="0" w:color="auto"/>
        <w:right w:val="none" w:sz="0" w:space="0" w:color="auto"/>
      </w:divBdr>
      <w:divsChild>
        <w:div w:id="1104884944">
          <w:marLeft w:val="0"/>
          <w:marRight w:val="0"/>
          <w:marTop w:val="0"/>
          <w:marBottom w:val="0"/>
          <w:divBdr>
            <w:top w:val="none" w:sz="0" w:space="0" w:color="auto"/>
            <w:left w:val="none" w:sz="0" w:space="0" w:color="auto"/>
            <w:bottom w:val="none" w:sz="0" w:space="0" w:color="auto"/>
            <w:right w:val="none" w:sz="0" w:space="0" w:color="auto"/>
          </w:divBdr>
        </w:div>
      </w:divsChild>
    </w:div>
    <w:div w:id="683244395">
      <w:marLeft w:val="4"/>
      <w:marRight w:val="0"/>
      <w:marTop w:val="120"/>
      <w:marBottom w:val="0"/>
      <w:divBdr>
        <w:top w:val="none" w:sz="0" w:space="0" w:color="auto"/>
        <w:left w:val="none" w:sz="0" w:space="0" w:color="auto"/>
        <w:bottom w:val="none" w:sz="0" w:space="0" w:color="auto"/>
        <w:right w:val="none" w:sz="0" w:space="0" w:color="auto"/>
      </w:divBdr>
      <w:divsChild>
        <w:div w:id="2022587447">
          <w:marLeft w:val="0"/>
          <w:marRight w:val="0"/>
          <w:marTop w:val="0"/>
          <w:marBottom w:val="0"/>
          <w:divBdr>
            <w:top w:val="none" w:sz="0" w:space="0" w:color="auto"/>
            <w:left w:val="none" w:sz="0" w:space="0" w:color="auto"/>
            <w:bottom w:val="none" w:sz="0" w:space="0" w:color="auto"/>
            <w:right w:val="none" w:sz="0" w:space="0" w:color="auto"/>
          </w:divBdr>
        </w:div>
      </w:divsChild>
    </w:div>
    <w:div w:id="690765118">
      <w:marLeft w:val="4"/>
      <w:marRight w:val="0"/>
      <w:marTop w:val="120"/>
      <w:marBottom w:val="0"/>
      <w:divBdr>
        <w:top w:val="none" w:sz="0" w:space="0" w:color="auto"/>
        <w:left w:val="none" w:sz="0" w:space="0" w:color="auto"/>
        <w:bottom w:val="none" w:sz="0" w:space="0" w:color="auto"/>
        <w:right w:val="none" w:sz="0" w:space="0" w:color="auto"/>
      </w:divBdr>
      <w:divsChild>
        <w:div w:id="716321783">
          <w:marLeft w:val="0"/>
          <w:marRight w:val="0"/>
          <w:marTop w:val="0"/>
          <w:marBottom w:val="0"/>
          <w:divBdr>
            <w:top w:val="none" w:sz="0" w:space="0" w:color="auto"/>
            <w:left w:val="none" w:sz="0" w:space="0" w:color="auto"/>
            <w:bottom w:val="none" w:sz="0" w:space="0" w:color="auto"/>
            <w:right w:val="none" w:sz="0" w:space="0" w:color="auto"/>
          </w:divBdr>
        </w:div>
      </w:divsChild>
    </w:div>
    <w:div w:id="715272374">
      <w:marLeft w:val="4"/>
      <w:marRight w:val="0"/>
      <w:marTop w:val="120"/>
      <w:marBottom w:val="0"/>
      <w:divBdr>
        <w:top w:val="none" w:sz="0" w:space="0" w:color="auto"/>
        <w:left w:val="none" w:sz="0" w:space="0" w:color="auto"/>
        <w:bottom w:val="none" w:sz="0" w:space="0" w:color="auto"/>
        <w:right w:val="none" w:sz="0" w:space="0" w:color="auto"/>
      </w:divBdr>
      <w:divsChild>
        <w:div w:id="59864874">
          <w:marLeft w:val="0"/>
          <w:marRight w:val="0"/>
          <w:marTop w:val="0"/>
          <w:marBottom w:val="0"/>
          <w:divBdr>
            <w:top w:val="none" w:sz="0" w:space="0" w:color="auto"/>
            <w:left w:val="none" w:sz="0" w:space="0" w:color="auto"/>
            <w:bottom w:val="none" w:sz="0" w:space="0" w:color="auto"/>
            <w:right w:val="none" w:sz="0" w:space="0" w:color="auto"/>
          </w:divBdr>
        </w:div>
      </w:divsChild>
    </w:div>
    <w:div w:id="717245518">
      <w:marLeft w:val="4"/>
      <w:marRight w:val="0"/>
      <w:marTop w:val="120"/>
      <w:marBottom w:val="0"/>
      <w:divBdr>
        <w:top w:val="none" w:sz="0" w:space="0" w:color="auto"/>
        <w:left w:val="none" w:sz="0" w:space="0" w:color="auto"/>
        <w:bottom w:val="none" w:sz="0" w:space="0" w:color="auto"/>
        <w:right w:val="none" w:sz="0" w:space="0" w:color="auto"/>
      </w:divBdr>
      <w:divsChild>
        <w:div w:id="1497726505">
          <w:marLeft w:val="0"/>
          <w:marRight w:val="0"/>
          <w:marTop w:val="0"/>
          <w:marBottom w:val="0"/>
          <w:divBdr>
            <w:top w:val="none" w:sz="0" w:space="0" w:color="auto"/>
            <w:left w:val="none" w:sz="0" w:space="0" w:color="auto"/>
            <w:bottom w:val="none" w:sz="0" w:space="0" w:color="auto"/>
            <w:right w:val="none" w:sz="0" w:space="0" w:color="auto"/>
          </w:divBdr>
        </w:div>
      </w:divsChild>
    </w:div>
    <w:div w:id="752238423">
      <w:marLeft w:val="4"/>
      <w:marRight w:val="0"/>
      <w:marTop w:val="120"/>
      <w:marBottom w:val="0"/>
      <w:divBdr>
        <w:top w:val="none" w:sz="0" w:space="0" w:color="auto"/>
        <w:left w:val="none" w:sz="0" w:space="0" w:color="auto"/>
        <w:bottom w:val="none" w:sz="0" w:space="0" w:color="auto"/>
        <w:right w:val="none" w:sz="0" w:space="0" w:color="auto"/>
      </w:divBdr>
      <w:divsChild>
        <w:div w:id="1189641943">
          <w:marLeft w:val="0"/>
          <w:marRight w:val="0"/>
          <w:marTop w:val="0"/>
          <w:marBottom w:val="0"/>
          <w:divBdr>
            <w:top w:val="none" w:sz="0" w:space="0" w:color="auto"/>
            <w:left w:val="none" w:sz="0" w:space="0" w:color="auto"/>
            <w:bottom w:val="none" w:sz="0" w:space="0" w:color="auto"/>
            <w:right w:val="none" w:sz="0" w:space="0" w:color="auto"/>
          </w:divBdr>
        </w:div>
      </w:divsChild>
    </w:div>
    <w:div w:id="777725447">
      <w:marLeft w:val="4"/>
      <w:marRight w:val="0"/>
      <w:marTop w:val="120"/>
      <w:marBottom w:val="0"/>
      <w:divBdr>
        <w:top w:val="none" w:sz="0" w:space="0" w:color="auto"/>
        <w:left w:val="none" w:sz="0" w:space="0" w:color="auto"/>
        <w:bottom w:val="none" w:sz="0" w:space="0" w:color="auto"/>
        <w:right w:val="none" w:sz="0" w:space="0" w:color="auto"/>
      </w:divBdr>
      <w:divsChild>
        <w:div w:id="1955092634">
          <w:marLeft w:val="0"/>
          <w:marRight w:val="0"/>
          <w:marTop w:val="0"/>
          <w:marBottom w:val="0"/>
          <w:divBdr>
            <w:top w:val="none" w:sz="0" w:space="0" w:color="auto"/>
            <w:left w:val="none" w:sz="0" w:space="0" w:color="auto"/>
            <w:bottom w:val="none" w:sz="0" w:space="0" w:color="auto"/>
            <w:right w:val="none" w:sz="0" w:space="0" w:color="auto"/>
          </w:divBdr>
        </w:div>
      </w:divsChild>
    </w:div>
    <w:div w:id="780995075">
      <w:marLeft w:val="4"/>
      <w:marRight w:val="0"/>
      <w:marTop w:val="120"/>
      <w:marBottom w:val="0"/>
      <w:divBdr>
        <w:top w:val="none" w:sz="0" w:space="0" w:color="auto"/>
        <w:left w:val="none" w:sz="0" w:space="0" w:color="auto"/>
        <w:bottom w:val="none" w:sz="0" w:space="0" w:color="auto"/>
        <w:right w:val="none" w:sz="0" w:space="0" w:color="auto"/>
      </w:divBdr>
      <w:divsChild>
        <w:div w:id="616907345">
          <w:marLeft w:val="0"/>
          <w:marRight w:val="0"/>
          <w:marTop w:val="0"/>
          <w:marBottom w:val="0"/>
          <w:divBdr>
            <w:top w:val="none" w:sz="0" w:space="0" w:color="auto"/>
            <w:left w:val="none" w:sz="0" w:space="0" w:color="auto"/>
            <w:bottom w:val="none" w:sz="0" w:space="0" w:color="auto"/>
            <w:right w:val="none" w:sz="0" w:space="0" w:color="auto"/>
          </w:divBdr>
        </w:div>
      </w:divsChild>
    </w:div>
    <w:div w:id="782190794">
      <w:marLeft w:val="4"/>
      <w:marRight w:val="0"/>
      <w:marTop w:val="120"/>
      <w:marBottom w:val="0"/>
      <w:divBdr>
        <w:top w:val="none" w:sz="0" w:space="0" w:color="auto"/>
        <w:left w:val="none" w:sz="0" w:space="0" w:color="auto"/>
        <w:bottom w:val="none" w:sz="0" w:space="0" w:color="auto"/>
        <w:right w:val="none" w:sz="0" w:space="0" w:color="auto"/>
      </w:divBdr>
      <w:divsChild>
        <w:div w:id="1587836497">
          <w:marLeft w:val="0"/>
          <w:marRight w:val="0"/>
          <w:marTop w:val="0"/>
          <w:marBottom w:val="0"/>
          <w:divBdr>
            <w:top w:val="none" w:sz="0" w:space="0" w:color="auto"/>
            <w:left w:val="none" w:sz="0" w:space="0" w:color="auto"/>
            <w:bottom w:val="none" w:sz="0" w:space="0" w:color="auto"/>
            <w:right w:val="none" w:sz="0" w:space="0" w:color="auto"/>
          </w:divBdr>
        </w:div>
      </w:divsChild>
    </w:div>
    <w:div w:id="787898550">
      <w:marLeft w:val="3"/>
      <w:marRight w:val="0"/>
      <w:marTop w:val="120"/>
      <w:marBottom w:val="0"/>
      <w:divBdr>
        <w:top w:val="none" w:sz="0" w:space="0" w:color="auto"/>
        <w:left w:val="none" w:sz="0" w:space="0" w:color="auto"/>
        <w:bottom w:val="none" w:sz="0" w:space="0" w:color="auto"/>
        <w:right w:val="none" w:sz="0" w:space="0" w:color="auto"/>
      </w:divBdr>
      <w:divsChild>
        <w:div w:id="1643734024">
          <w:marLeft w:val="0"/>
          <w:marRight w:val="0"/>
          <w:marTop w:val="0"/>
          <w:marBottom w:val="0"/>
          <w:divBdr>
            <w:top w:val="none" w:sz="0" w:space="0" w:color="auto"/>
            <w:left w:val="none" w:sz="0" w:space="0" w:color="auto"/>
            <w:bottom w:val="none" w:sz="0" w:space="0" w:color="auto"/>
            <w:right w:val="none" w:sz="0" w:space="0" w:color="auto"/>
          </w:divBdr>
        </w:div>
      </w:divsChild>
    </w:div>
    <w:div w:id="789974105">
      <w:marLeft w:val="0"/>
      <w:marRight w:val="0"/>
      <w:marTop w:val="0"/>
      <w:marBottom w:val="0"/>
      <w:divBdr>
        <w:top w:val="none" w:sz="0" w:space="0" w:color="auto"/>
        <w:left w:val="none" w:sz="0" w:space="0" w:color="auto"/>
        <w:bottom w:val="none" w:sz="0" w:space="0" w:color="auto"/>
        <w:right w:val="none" w:sz="0" w:space="0" w:color="auto"/>
      </w:divBdr>
      <w:divsChild>
        <w:div w:id="657542666">
          <w:marLeft w:val="0"/>
          <w:marRight w:val="0"/>
          <w:marTop w:val="0"/>
          <w:marBottom w:val="0"/>
          <w:divBdr>
            <w:top w:val="none" w:sz="0" w:space="0" w:color="auto"/>
            <w:left w:val="none" w:sz="0" w:space="0" w:color="auto"/>
            <w:bottom w:val="none" w:sz="0" w:space="0" w:color="auto"/>
            <w:right w:val="none" w:sz="0" w:space="0" w:color="auto"/>
          </w:divBdr>
        </w:div>
        <w:div w:id="1662779470">
          <w:marLeft w:val="0"/>
          <w:marRight w:val="0"/>
          <w:marTop w:val="0"/>
          <w:marBottom w:val="0"/>
          <w:divBdr>
            <w:top w:val="none" w:sz="0" w:space="0" w:color="auto"/>
            <w:left w:val="none" w:sz="0" w:space="0" w:color="auto"/>
            <w:bottom w:val="none" w:sz="0" w:space="0" w:color="auto"/>
            <w:right w:val="none" w:sz="0" w:space="0" w:color="auto"/>
          </w:divBdr>
        </w:div>
      </w:divsChild>
    </w:div>
    <w:div w:id="813060054">
      <w:marLeft w:val="4"/>
      <w:marRight w:val="0"/>
      <w:marTop w:val="120"/>
      <w:marBottom w:val="0"/>
      <w:divBdr>
        <w:top w:val="none" w:sz="0" w:space="0" w:color="auto"/>
        <w:left w:val="none" w:sz="0" w:space="0" w:color="auto"/>
        <w:bottom w:val="none" w:sz="0" w:space="0" w:color="auto"/>
        <w:right w:val="none" w:sz="0" w:space="0" w:color="auto"/>
      </w:divBdr>
      <w:divsChild>
        <w:div w:id="1693459226">
          <w:marLeft w:val="0"/>
          <w:marRight w:val="0"/>
          <w:marTop w:val="0"/>
          <w:marBottom w:val="0"/>
          <w:divBdr>
            <w:top w:val="none" w:sz="0" w:space="0" w:color="auto"/>
            <w:left w:val="none" w:sz="0" w:space="0" w:color="auto"/>
            <w:bottom w:val="none" w:sz="0" w:space="0" w:color="auto"/>
            <w:right w:val="none" w:sz="0" w:space="0" w:color="auto"/>
          </w:divBdr>
        </w:div>
      </w:divsChild>
    </w:div>
    <w:div w:id="826475660">
      <w:marLeft w:val="4"/>
      <w:marRight w:val="0"/>
      <w:marTop w:val="120"/>
      <w:marBottom w:val="0"/>
      <w:divBdr>
        <w:top w:val="none" w:sz="0" w:space="0" w:color="auto"/>
        <w:left w:val="none" w:sz="0" w:space="0" w:color="auto"/>
        <w:bottom w:val="none" w:sz="0" w:space="0" w:color="auto"/>
        <w:right w:val="none" w:sz="0" w:space="0" w:color="auto"/>
      </w:divBdr>
      <w:divsChild>
        <w:div w:id="209264233">
          <w:marLeft w:val="0"/>
          <w:marRight w:val="0"/>
          <w:marTop w:val="0"/>
          <w:marBottom w:val="0"/>
          <w:divBdr>
            <w:top w:val="none" w:sz="0" w:space="0" w:color="auto"/>
            <w:left w:val="none" w:sz="0" w:space="0" w:color="auto"/>
            <w:bottom w:val="none" w:sz="0" w:space="0" w:color="auto"/>
            <w:right w:val="none" w:sz="0" w:space="0" w:color="auto"/>
          </w:divBdr>
        </w:div>
      </w:divsChild>
    </w:div>
    <w:div w:id="828791902">
      <w:marLeft w:val="4"/>
      <w:marRight w:val="0"/>
      <w:marTop w:val="120"/>
      <w:marBottom w:val="0"/>
      <w:divBdr>
        <w:top w:val="none" w:sz="0" w:space="0" w:color="auto"/>
        <w:left w:val="none" w:sz="0" w:space="0" w:color="auto"/>
        <w:bottom w:val="none" w:sz="0" w:space="0" w:color="auto"/>
        <w:right w:val="none" w:sz="0" w:space="0" w:color="auto"/>
      </w:divBdr>
      <w:divsChild>
        <w:div w:id="71321266">
          <w:marLeft w:val="0"/>
          <w:marRight w:val="0"/>
          <w:marTop w:val="0"/>
          <w:marBottom w:val="0"/>
          <w:divBdr>
            <w:top w:val="none" w:sz="0" w:space="0" w:color="auto"/>
            <w:left w:val="none" w:sz="0" w:space="0" w:color="auto"/>
            <w:bottom w:val="none" w:sz="0" w:space="0" w:color="auto"/>
            <w:right w:val="none" w:sz="0" w:space="0" w:color="auto"/>
          </w:divBdr>
        </w:div>
      </w:divsChild>
    </w:div>
    <w:div w:id="838083020">
      <w:marLeft w:val="4"/>
      <w:marRight w:val="0"/>
      <w:marTop w:val="120"/>
      <w:marBottom w:val="0"/>
      <w:divBdr>
        <w:top w:val="none" w:sz="0" w:space="0" w:color="auto"/>
        <w:left w:val="none" w:sz="0" w:space="0" w:color="auto"/>
        <w:bottom w:val="none" w:sz="0" w:space="0" w:color="auto"/>
        <w:right w:val="none" w:sz="0" w:space="0" w:color="auto"/>
      </w:divBdr>
      <w:divsChild>
        <w:div w:id="1467822405">
          <w:marLeft w:val="0"/>
          <w:marRight w:val="0"/>
          <w:marTop w:val="0"/>
          <w:marBottom w:val="0"/>
          <w:divBdr>
            <w:top w:val="none" w:sz="0" w:space="0" w:color="auto"/>
            <w:left w:val="none" w:sz="0" w:space="0" w:color="auto"/>
            <w:bottom w:val="none" w:sz="0" w:space="0" w:color="auto"/>
            <w:right w:val="none" w:sz="0" w:space="0" w:color="auto"/>
          </w:divBdr>
        </w:div>
      </w:divsChild>
    </w:div>
    <w:div w:id="840657867">
      <w:marLeft w:val="4"/>
      <w:marRight w:val="0"/>
      <w:marTop w:val="120"/>
      <w:marBottom w:val="0"/>
      <w:divBdr>
        <w:top w:val="none" w:sz="0" w:space="0" w:color="auto"/>
        <w:left w:val="none" w:sz="0" w:space="0" w:color="auto"/>
        <w:bottom w:val="none" w:sz="0" w:space="0" w:color="auto"/>
        <w:right w:val="none" w:sz="0" w:space="0" w:color="auto"/>
      </w:divBdr>
      <w:divsChild>
        <w:div w:id="429546490">
          <w:marLeft w:val="0"/>
          <w:marRight w:val="0"/>
          <w:marTop w:val="0"/>
          <w:marBottom w:val="0"/>
          <w:divBdr>
            <w:top w:val="none" w:sz="0" w:space="0" w:color="auto"/>
            <w:left w:val="none" w:sz="0" w:space="0" w:color="auto"/>
            <w:bottom w:val="none" w:sz="0" w:space="0" w:color="auto"/>
            <w:right w:val="none" w:sz="0" w:space="0" w:color="auto"/>
          </w:divBdr>
        </w:div>
      </w:divsChild>
    </w:div>
    <w:div w:id="841243933">
      <w:marLeft w:val="4"/>
      <w:marRight w:val="0"/>
      <w:marTop w:val="120"/>
      <w:marBottom w:val="0"/>
      <w:divBdr>
        <w:top w:val="none" w:sz="0" w:space="0" w:color="auto"/>
        <w:left w:val="none" w:sz="0" w:space="0" w:color="auto"/>
        <w:bottom w:val="none" w:sz="0" w:space="0" w:color="auto"/>
        <w:right w:val="none" w:sz="0" w:space="0" w:color="auto"/>
      </w:divBdr>
      <w:divsChild>
        <w:div w:id="1251619498">
          <w:marLeft w:val="0"/>
          <w:marRight w:val="0"/>
          <w:marTop w:val="0"/>
          <w:marBottom w:val="0"/>
          <w:divBdr>
            <w:top w:val="none" w:sz="0" w:space="0" w:color="auto"/>
            <w:left w:val="none" w:sz="0" w:space="0" w:color="auto"/>
            <w:bottom w:val="none" w:sz="0" w:space="0" w:color="auto"/>
            <w:right w:val="none" w:sz="0" w:space="0" w:color="auto"/>
          </w:divBdr>
        </w:div>
      </w:divsChild>
    </w:div>
    <w:div w:id="849685570">
      <w:marLeft w:val="4"/>
      <w:marRight w:val="0"/>
      <w:marTop w:val="120"/>
      <w:marBottom w:val="0"/>
      <w:divBdr>
        <w:top w:val="none" w:sz="0" w:space="0" w:color="auto"/>
        <w:left w:val="none" w:sz="0" w:space="0" w:color="auto"/>
        <w:bottom w:val="none" w:sz="0" w:space="0" w:color="auto"/>
        <w:right w:val="none" w:sz="0" w:space="0" w:color="auto"/>
      </w:divBdr>
      <w:divsChild>
        <w:div w:id="380061065">
          <w:marLeft w:val="0"/>
          <w:marRight w:val="0"/>
          <w:marTop w:val="0"/>
          <w:marBottom w:val="0"/>
          <w:divBdr>
            <w:top w:val="none" w:sz="0" w:space="0" w:color="auto"/>
            <w:left w:val="none" w:sz="0" w:space="0" w:color="auto"/>
            <w:bottom w:val="none" w:sz="0" w:space="0" w:color="auto"/>
            <w:right w:val="none" w:sz="0" w:space="0" w:color="auto"/>
          </w:divBdr>
        </w:div>
      </w:divsChild>
    </w:div>
    <w:div w:id="892740918">
      <w:marLeft w:val="4"/>
      <w:marRight w:val="0"/>
      <w:marTop w:val="120"/>
      <w:marBottom w:val="0"/>
      <w:divBdr>
        <w:top w:val="none" w:sz="0" w:space="0" w:color="auto"/>
        <w:left w:val="none" w:sz="0" w:space="0" w:color="auto"/>
        <w:bottom w:val="none" w:sz="0" w:space="0" w:color="auto"/>
        <w:right w:val="none" w:sz="0" w:space="0" w:color="auto"/>
      </w:divBdr>
      <w:divsChild>
        <w:div w:id="378744299">
          <w:marLeft w:val="0"/>
          <w:marRight w:val="0"/>
          <w:marTop w:val="0"/>
          <w:marBottom w:val="0"/>
          <w:divBdr>
            <w:top w:val="none" w:sz="0" w:space="0" w:color="auto"/>
            <w:left w:val="none" w:sz="0" w:space="0" w:color="auto"/>
            <w:bottom w:val="none" w:sz="0" w:space="0" w:color="auto"/>
            <w:right w:val="none" w:sz="0" w:space="0" w:color="auto"/>
          </w:divBdr>
        </w:div>
      </w:divsChild>
    </w:div>
    <w:div w:id="912735596">
      <w:marLeft w:val="4"/>
      <w:marRight w:val="0"/>
      <w:marTop w:val="120"/>
      <w:marBottom w:val="0"/>
      <w:divBdr>
        <w:top w:val="none" w:sz="0" w:space="0" w:color="auto"/>
        <w:left w:val="none" w:sz="0" w:space="0" w:color="auto"/>
        <w:bottom w:val="none" w:sz="0" w:space="0" w:color="auto"/>
        <w:right w:val="none" w:sz="0" w:space="0" w:color="auto"/>
      </w:divBdr>
      <w:divsChild>
        <w:div w:id="1806464176">
          <w:marLeft w:val="0"/>
          <w:marRight w:val="0"/>
          <w:marTop w:val="0"/>
          <w:marBottom w:val="0"/>
          <w:divBdr>
            <w:top w:val="none" w:sz="0" w:space="0" w:color="auto"/>
            <w:left w:val="none" w:sz="0" w:space="0" w:color="auto"/>
            <w:bottom w:val="none" w:sz="0" w:space="0" w:color="auto"/>
            <w:right w:val="none" w:sz="0" w:space="0" w:color="auto"/>
          </w:divBdr>
        </w:div>
      </w:divsChild>
    </w:div>
    <w:div w:id="913734654">
      <w:marLeft w:val="4"/>
      <w:marRight w:val="0"/>
      <w:marTop w:val="120"/>
      <w:marBottom w:val="0"/>
      <w:divBdr>
        <w:top w:val="none" w:sz="0" w:space="0" w:color="auto"/>
        <w:left w:val="none" w:sz="0" w:space="0" w:color="auto"/>
        <w:bottom w:val="none" w:sz="0" w:space="0" w:color="auto"/>
        <w:right w:val="none" w:sz="0" w:space="0" w:color="auto"/>
      </w:divBdr>
      <w:divsChild>
        <w:div w:id="1616133889">
          <w:marLeft w:val="0"/>
          <w:marRight w:val="0"/>
          <w:marTop w:val="0"/>
          <w:marBottom w:val="0"/>
          <w:divBdr>
            <w:top w:val="none" w:sz="0" w:space="0" w:color="auto"/>
            <w:left w:val="none" w:sz="0" w:space="0" w:color="auto"/>
            <w:bottom w:val="none" w:sz="0" w:space="0" w:color="auto"/>
            <w:right w:val="none" w:sz="0" w:space="0" w:color="auto"/>
          </w:divBdr>
        </w:div>
      </w:divsChild>
    </w:div>
    <w:div w:id="917329536">
      <w:marLeft w:val="4"/>
      <w:marRight w:val="0"/>
      <w:marTop w:val="120"/>
      <w:marBottom w:val="0"/>
      <w:divBdr>
        <w:top w:val="none" w:sz="0" w:space="0" w:color="auto"/>
        <w:left w:val="none" w:sz="0" w:space="0" w:color="auto"/>
        <w:bottom w:val="none" w:sz="0" w:space="0" w:color="auto"/>
        <w:right w:val="none" w:sz="0" w:space="0" w:color="auto"/>
      </w:divBdr>
      <w:divsChild>
        <w:div w:id="839124483">
          <w:marLeft w:val="0"/>
          <w:marRight w:val="0"/>
          <w:marTop w:val="0"/>
          <w:marBottom w:val="0"/>
          <w:divBdr>
            <w:top w:val="none" w:sz="0" w:space="0" w:color="auto"/>
            <w:left w:val="none" w:sz="0" w:space="0" w:color="auto"/>
            <w:bottom w:val="none" w:sz="0" w:space="0" w:color="auto"/>
            <w:right w:val="none" w:sz="0" w:space="0" w:color="auto"/>
          </w:divBdr>
        </w:div>
      </w:divsChild>
    </w:div>
    <w:div w:id="923682766">
      <w:marLeft w:val="4"/>
      <w:marRight w:val="0"/>
      <w:marTop w:val="120"/>
      <w:marBottom w:val="0"/>
      <w:divBdr>
        <w:top w:val="none" w:sz="0" w:space="0" w:color="auto"/>
        <w:left w:val="none" w:sz="0" w:space="0" w:color="auto"/>
        <w:bottom w:val="none" w:sz="0" w:space="0" w:color="auto"/>
        <w:right w:val="none" w:sz="0" w:space="0" w:color="auto"/>
      </w:divBdr>
      <w:divsChild>
        <w:div w:id="456029010">
          <w:marLeft w:val="0"/>
          <w:marRight w:val="0"/>
          <w:marTop w:val="0"/>
          <w:marBottom w:val="0"/>
          <w:divBdr>
            <w:top w:val="none" w:sz="0" w:space="0" w:color="auto"/>
            <w:left w:val="none" w:sz="0" w:space="0" w:color="auto"/>
            <w:bottom w:val="none" w:sz="0" w:space="0" w:color="auto"/>
            <w:right w:val="none" w:sz="0" w:space="0" w:color="auto"/>
          </w:divBdr>
        </w:div>
      </w:divsChild>
    </w:div>
    <w:div w:id="942692538">
      <w:marLeft w:val="4"/>
      <w:marRight w:val="0"/>
      <w:marTop w:val="120"/>
      <w:marBottom w:val="0"/>
      <w:divBdr>
        <w:top w:val="none" w:sz="0" w:space="0" w:color="auto"/>
        <w:left w:val="none" w:sz="0" w:space="0" w:color="auto"/>
        <w:bottom w:val="none" w:sz="0" w:space="0" w:color="auto"/>
        <w:right w:val="none" w:sz="0" w:space="0" w:color="auto"/>
      </w:divBdr>
      <w:divsChild>
        <w:div w:id="377901246">
          <w:marLeft w:val="0"/>
          <w:marRight w:val="0"/>
          <w:marTop w:val="0"/>
          <w:marBottom w:val="0"/>
          <w:divBdr>
            <w:top w:val="none" w:sz="0" w:space="0" w:color="auto"/>
            <w:left w:val="none" w:sz="0" w:space="0" w:color="auto"/>
            <w:bottom w:val="none" w:sz="0" w:space="0" w:color="auto"/>
            <w:right w:val="none" w:sz="0" w:space="0" w:color="auto"/>
          </w:divBdr>
        </w:div>
      </w:divsChild>
    </w:div>
    <w:div w:id="948706581">
      <w:marLeft w:val="4"/>
      <w:marRight w:val="0"/>
      <w:marTop w:val="120"/>
      <w:marBottom w:val="0"/>
      <w:divBdr>
        <w:top w:val="none" w:sz="0" w:space="0" w:color="auto"/>
        <w:left w:val="none" w:sz="0" w:space="0" w:color="auto"/>
        <w:bottom w:val="none" w:sz="0" w:space="0" w:color="auto"/>
        <w:right w:val="none" w:sz="0" w:space="0" w:color="auto"/>
      </w:divBdr>
      <w:divsChild>
        <w:div w:id="664816773">
          <w:marLeft w:val="0"/>
          <w:marRight w:val="0"/>
          <w:marTop w:val="0"/>
          <w:marBottom w:val="0"/>
          <w:divBdr>
            <w:top w:val="none" w:sz="0" w:space="0" w:color="auto"/>
            <w:left w:val="none" w:sz="0" w:space="0" w:color="auto"/>
            <w:bottom w:val="none" w:sz="0" w:space="0" w:color="auto"/>
            <w:right w:val="none" w:sz="0" w:space="0" w:color="auto"/>
          </w:divBdr>
        </w:div>
      </w:divsChild>
    </w:div>
    <w:div w:id="979069619">
      <w:marLeft w:val="0"/>
      <w:marRight w:val="0"/>
      <w:marTop w:val="0"/>
      <w:marBottom w:val="0"/>
      <w:divBdr>
        <w:top w:val="none" w:sz="0" w:space="0" w:color="auto"/>
        <w:left w:val="none" w:sz="0" w:space="0" w:color="auto"/>
        <w:bottom w:val="none" w:sz="0" w:space="0" w:color="auto"/>
        <w:right w:val="none" w:sz="0" w:space="0" w:color="auto"/>
      </w:divBdr>
      <w:divsChild>
        <w:div w:id="71318820">
          <w:marLeft w:val="0"/>
          <w:marRight w:val="0"/>
          <w:marTop w:val="0"/>
          <w:marBottom w:val="0"/>
          <w:divBdr>
            <w:top w:val="none" w:sz="0" w:space="0" w:color="auto"/>
            <w:left w:val="none" w:sz="0" w:space="0" w:color="auto"/>
            <w:bottom w:val="none" w:sz="0" w:space="0" w:color="auto"/>
            <w:right w:val="none" w:sz="0" w:space="0" w:color="auto"/>
          </w:divBdr>
        </w:div>
      </w:divsChild>
    </w:div>
    <w:div w:id="1021977263">
      <w:marLeft w:val="0"/>
      <w:marRight w:val="0"/>
      <w:marTop w:val="0"/>
      <w:marBottom w:val="0"/>
      <w:divBdr>
        <w:top w:val="none" w:sz="0" w:space="0" w:color="auto"/>
        <w:left w:val="none" w:sz="0" w:space="0" w:color="auto"/>
        <w:bottom w:val="none" w:sz="0" w:space="0" w:color="auto"/>
        <w:right w:val="none" w:sz="0" w:space="0" w:color="auto"/>
      </w:divBdr>
      <w:divsChild>
        <w:div w:id="2034455810">
          <w:marLeft w:val="0"/>
          <w:marRight w:val="0"/>
          <w:marTop w:val="0"/>
          <w:marBottom w:val="0"/>
          <w:divBdr>
            <w:top w:val="none" w:sz="0" w:space="0" w:color="auto"/>
            <w:left w:val="none" w:sz="0" w:space="0" w:color="auto"/>
            <w:bottom w:val="none" w:sz="0" w:space="0" w:color="auto"/>
            <w:right w:val="none" w:sz="0" w:space="0" w:color="auto"/>
          </w:divBdr>
        </w:div>
      </w:divsChild>
    </w:div>
    <w:div w:id="1036585529">
      <w:marLeft w:val="4"/>
      <w:marRight w:val="0"/>
      <w:marTop w:val="120"/>
      <w:marBottom w:val="0"/>
      <w:divBdr>
        <w:top w:val="none" w:sz="0" w:space="0" w:color="auto"/>
        <w:left w:val="none" w:sz="0" w:space="0" w:color="auto"/>
        <w:bottom w:val="none" w:sz="0" w:space="0" w:color="auto"/>
        <w:right w:val="none" w:sz="0" w:space="0" w:color="auto"/>
      </w:divBdr>
      <w:divsChild>
        <w:div w:id="457844580">
          <w:marLeft w:val="0"/>
          <w:marRight w:val="0"/>
          <w:marTop w:val="0"/>
          <w:marBottom w:val="0"/>
          <w:divBdr>
            <w:top w:val="none" w:sz="0" w:space="0" w:color="auto"/>
            <w:left w:val="none" w:sz="0" w:space="0" w:color="auto"/>
            <w:bottom w:val="none" w:sz="0" w:space="0" w:color="auto"/>
            <w:right w:val="none" w:sz="0" w:space="0" w:color="auto"/>
          </w:divBdr>
        </w:div>
      </w:divsChild>
    </w:div>
    <w:div w:id="1040326544">
      <w:marLeft w:val="4"/>
      <w:marRight w:val="0"/>
      <w:marTop w:val="120"/>
      <w:marBottom w:val="0"/>
      <w:divBdr>
        <w:top w:val="none" w:sz="0" w:space="0" w:color="auto"/>
        <w:left w:val="none" w:sz="0" w:space="0" w:color="auto"/>
        <w:bottom w:val="none" w:sz="0" w:space="0" w:color="auto"/>
        <w:right w:val="none" w:sz="0" w:space="0" w:color="auto"/>
      </w:divBdr>
      <w:divsChild>
        <w:div w:id="1356032533">
          <w:marLeft w:val="0"/>
          <w:marRight w:val="0"/>
          <w:marTop w:val="0"/>
          <w:marBottom w:val="0"/>
          <w:divBdr>
            <w:top w:val="none" w:sz="0" w:space="0" w:color="auto"/>
            <w:left w:val="none" w:sz="0" w:space="0" w:color="auto"/>
            <w:bottom w:val="none" w:sz="0" w:space="0" w:color="auto"/>
            <w:right w:val="none" w:sz="0" w:space="0" w:color="auto"/>
          </w:divBdr>
        </w:div>
      </w:divsChild>
    </w:div>
    <w:div w:id="1046830694">
      <w:marLeft w:val="4"/>
      <w:marRight w:val="0"/>
      <w:marTop w:val="120"/>
      <w:marBottom w:val="0"/>
      <w:divBdr>
        <w:top w:val="none" w:sz="0" w:space="0" w:color="auto"/>
        <w:left w:val="none" w:sz="0" w:space="0" w:color="auto"/>
        <w:bottom w:val="none" w:sz="0" w:space="0" w:color="auto"/>
        <w:right w:val="none" w:sz="0" w:space="0" w:color="auto"/>
      </w:divBdr>
      <w:divsChild>
        <w:div w:id="1952932132">
          <w:marLeft w:val="0"/>
          <w:marRight w:val="0"/>
          <w:marTop w:val="0"/>
          <w:marBottom w:val="0"/>
          <w:divBdr>
            <w:top w:val="none" w:sz="0" w:space="0" w:color="auto"/>
            <w:left w:val="none" w:sz="0" w:space="0" w:color="auto"/>
            <w:bottom w:val="none" w:sz="0" w:space="0" w:color="auto"/>
            <w:right w:val="none" w:sz="0" w:space="0" w:color="auto"/>
          </w:divBdr>
        </w:div>
      </w:divsChild>
    </w:div>
    <w:div w:id="1048143190">
      <w:marLeft w:val="4"/>
      <w:marRight w:val="0"/>
      <w:marTop w:val="120"/>
      <w:marBottom w:val="0"/>
      <w:divBdr>
        <w:top w:val="none" w:sz="0" w:space="0" w:color="auto"/>
        <w:left w:val="none" w:sz="0" w:space="0" w:color="auto"/>
        <w:bottom w:val="none" w:sz="0" w:space="0" w:color="auto"/>
        <w:right w:val="none" w:sz="0" w:space="0" w:color="auto"/>
      </w:divBdr>
      <w:divsChild>
        <w:div w:id="347803057">
          <w:marLeft w:val="0"/>
          <w:marRight w:val="0"/>
          <w:marTop w:val="0"/>
          <w:marBottom w:val="0"/>
          <w:divBdr>
            <w:top w:val="none" w:sz="0" w:space="0" w:color="auto"/>
            <w:left w:val="none" w:sz="0" w:space="0" w:color="auto"/>
            <w:bottom w:val="none" w:sz="0" w:space="0" w:color="auto"/>
            <w:right w:val="none" w:sz="0" w:space="0" w:color="auto"/>
          </w:divBdr>
        </w:div>
      </w:divsChild>
    </w:div>
    <w:div w:id="1066684437">
      <w:marLeft w:val="4"/>
      <w:marRight w:val="0"/>
      <w:marTop w:val="120"/>
      <w:marBottom w:val="0"/>
      <w:divBdr>
        <w:top w:val="none" w:sz="0" w:space="0" w:color="auto"/>
        <w:left w:val="none" w:sz="0" w:space="0" w:color="auto"/>
        <w:bottom w:val="none" w:sz="0" w:space="0" w:color="auto"/>
        <w:right w:val="none" w:sz="0" w:space="0" w:color="auto"/>
      </w:divBdr>
      <w:divsChild>
        <w:div w:id="949707191">
          <w:marLeft w:val="0"/>
          <w:marRight w:val="0"/>
          <w:marTop w:val="0"/>
          <w:marBottom w:val="0"/>
          <w:divBdr>
            <w:top w:val="none" w:sz="0" w:space="0" w:color="auto"/>
            <w:left w:val="none" w:sz="0" w:space="0" w:color="auto"/>
            <w:bottom w:val="none" w:sz="0" w:space="0" w:color="auto"/>
            <w:right w:val="none" w:sz="0" w:space="0" w:color="auto"/>
          </w:divBdr>
        </w:div>
      </w:divsChild>
    </w:div>
    <w:div w:id="1090616794">
      <w:marLeft w:val="4"/>
      <w:marRight w:val="0"/>
      <w:marTop w:val="120"/>
      <w:marBottom w:val="0"/>
      <w:divBdr>
        <w:top w:val="none" w:sz="0" w:space="0" w:color="auto"/>
        <w:left w:val="none" w:sz="0" w:space="0" w:color="auto"/>
        <w:bottom w:val="none" w:sz="0" w:space="0" w:color="auto"/>
        <w:right w:val="none" w:sz="0" w:space="0" w:color="auto"/>
      </w:divBdr>
      <w:divsChild>
        <w:div w:id="2128961901">
          <w:marLeft w:val="0"/>
          <w:marRight w:val="0"/>
          <w:marTop w:val="0"/>
          <w:marBottom w:val="0"/>
          <w:divBdr>
            <w:top w:val="none" w:sz="0" w:space="0" w:color="auto"/>
            <w:left w:val="none" w:sz="0" w:space="0" w:color="auto"/>
            <w:bottom w:val="none" w:sz="0" w:space="0" w:color="auto"/>
            <w:right w:val="none" w:sz="0" w:space="0" w:color="auto"/>
          </w:divBdr>
        </w:div>
      </w:divsChild>
    </w:div>
    <w:div w:id="1098718199">
      <w:marLeft w:val="4"/>
      <w:marRight w:val="0"/>
      <w:marTop w:val="120"/>
      <w:marBottom w:val="0"/>
      <w:divBdr>
        <w:top w:val="none" w:sz="0" w:space="0" w:color="auto"/>
        <w:left w:val="none" w:sz="0" w:space="0" w:color="auto"/>
        <w:bottom w:val="none" w:sz="0" w:space="0" w:color="auto"/>
        <w:right w:val="none" w:sz="0" w:space="0" w:color="auto"/>
      </w:divBdr>
      <w:divsChild>
        <w:div w:id="1016083311">
          <w:marLeft w:val="0"/>
          <w:marRight w:val="0"/>
          <w:marTop w:val="0"/>
          <w:marBottom w:val="0"/>
          <w:divBdr>
            <w:top w:val="none" w:sz="0" w:space="0" w:color="auto"/>
            <w:left w:val="none" w:sz="0" w:space="0" w:color="auto"/>
            <w:bottom w:val="none" w:sz="0" w:space="0" w:color="auto"/>
            <w:right w:val="none" w:sz="0" w:space="0" w:color="auto"/>
          </w:divBdr>
        </w:div>
      </w:divsChild>
    </w:div>
    <w:div w:id="1100831628">
      <w:marLeft w:val="4"/>
      <w:marRight w:val="0"/>
      <w:marTop w:val="120"/>
      <w:marBottom w:val="0"/>
      <w:divBdr>
        <w:top w:val="none" w:sz="0" w:space="0" w:color="auto"/>
        <w:left w:val="none" w:sz="0" w:space="0" w:color="auto"/>
        <w:bottom w:val="none" w:sz="0" w:space="0" w:color="auto"/>
        <w:right w:val="none" w:sz="0" w:space="0" w:color="auto"/>
      </w:divBdr>
      <w:divsChild>
        <w:div w:id="1156071710">
          <w:marLeft w:val="0"/>
          <w:marRight w:val="0"/>
          <w:marTop w:val="0"/>
          <w:marBottom w:val="0"/>
          <w:divBdr>
            <w:top w:val="none" w:sz="0" w:space="0" w:color="auto"/>
            <w:left w:val="none" w:sz="0" w:space="0" w:color="auto"/>
            <w:bottom w:val="none" w:sz="0" w:space="0" w:color="auto"/>
            <w:right w:val="none" w:sz="0" w:space="0" w:color="auto"/>
          </w:divBdr>
        </w:div>
      </w:divsChild>
    </w:div>
    <w:div w:id="1108892394">
      <w:marLeft w:val="4"/>
      <w:marRight w:val="0"/>
      <w:marTop w:val="120"/>
      <w:marBottom w:val="0"/>
      <w:divBdr>
        <w:top w:val="none" w:sz="0" w:space="0" w:color="auto"/>
        <w:left w:val="none" w:sz="0" w:space="0" w:color="auto"/>
        <w:bottom w:val="none" w:sz="0" w:space="0" w:color="auto"/>
        <w:right w:val="none" w:sz="0" w:space="0" w:color="auto"/>
      </w:divBdr>
      <w:divsChild>
        <w:div w:id="25179258">
          <w:marLeft w:val="0"/>
          <w:marRight w:val="0"/>
          <w:marTop w:val="0"/>
          <w:marBottom w:val="0"/>
          <w:divBdr>
            <w:top w:val="none" w:sz="0" w:space="0" w:color="auto"/>
            <w:left w:val="none" w:sz="0" w:space="0" w:color="auto"/>
            <w:bottom w:val="none" w:sz="0" w:space="0" w:color="auto"/>
            <w:right w:val="none" w:sz="0" w:space="0" w:color="auto"/>
          </w:divBdr>
        </w:div>
      </w:divsChild>
    </w:div>
    <w:div w:id="1117867041">
      <w:marLeft w:val="4"/>
      <w:marRight w:val="0"/>
      <w:marTop w:val="120"/>
      <w:marBottom w:val="0"/>
      <w:divBdr>
        <w:top w:val="none" w:sz="0" w:space="0" w:color="auto"/>
        <w:left w:val="none" w:sz="0" w:space="0" w:color="auto"/>
        <w:bottom w:val="none" w:sz="0" w:space="0" w:color="auto"/>
        <w:right w:val="none" w:sz="0" w:space="0" w:color="auto"/>
      </w:divBdr>
      <w:divsChild>
        <w:div w:id="1350913885">
          <w:marLeft w:val="0"/>
          <w:marRight w:val="0"/>
          <w:marTop w:val="0"/>
          <w:marBottom w:val="0"/>
          <w:divBdr>
            <w:top w:val="none" w:sz="0" w:space="0" w:color="auto"/>
            <w:left w:val="none" w:sz="0" w:space="0" w:color="auto"/>
            <w:bottom w:val="none" w:sz="0" w:space="0" w:color="auto"/>
            <w:right w:val="none" w:sz="0" w:space="0" w:color="auto"/>
          </w:divBdr>
        </w:div>
      </w:divsChild>
    </w:div>
    <w:div w:id="1128477871">
      <w:marLeft w:val="4"/>
      <w:marRight w:val="0"/>
      <w:marTop w:val="0"/>
      <w:marBottom w:val="0"/>
      <w:divBdr>
        <w:top w:val="none" w:sz="0" w:space="0" w:color="auto"/>
        <w:left w:val="none" w:sz="0" w:space="0" w:color="auto"/>
        <w:bottom w:val="none" w:sz="0" w:space="0" w:color="auto"/>
        <w:right w:val="none" w:sz="0" w:space="0" w:color="auto"/>
      </w:divBdr>
      <w:divsChild>
        <w:div w:id="1012806124">
          <w:marLeft w:val="0"/>
          <w:marRight w:val="0"/>
          <w:marTop w:val="0"/>
          <w:marBottom w:val="0"/>
          <w:divBdr>
            <w:top w:val="none" w:sz="0" w:space="0" w:color="auto"/>
            <w:left w:val="none" w:sz="0" w:space="0" w:color="auto"/>
            <w:bottom w:val="none" w:sz="0" w:space="0" w:color="auto"/>
            <w:right w:val="none" w:sz="0" w:space="0" w:color="auto"/>
          </w:divBdr>
        </w:div>
      </w:divsChild>
    </w:div>
    <w:div w:id="1130049016">
      <w:marLeft w:val="4"/>
      <w:marRight w:val="0"/>
      <w:marTop w:val="120"/>
      <w:marBottom w:val="0"/>
      <w:divBdr>
        <w:top w:val="none" w:sz="0" w:space="0" w:color="auto"/>
        <w:left w:val="none" w:sz="0" w:space="0" w:color="auto"/>
        <w:bottom w:val="none" w:sz="0" w:space="0" w:color="auto"/>
        <w:right w:val="none" w:sz="0" w:space="0" w:color="auto"/>
      </w:divBdr>
      <w:divsChild>
        <w:div w:id="952395264">
          <w:marLeft w:val="0"/>
          <w:marRight w:val="0"/>
          <w:marTop w:val="0"/>
          <w:marBottom w:val="0"/>
          <w:divBdr>
            <w:top w:val="none" w:sz="0" w:space="0" w:color="auto"/>
            <w:left w:val="none" w:sz="0" w:space="0" w:color="auto"/>
            <w:bottom w:val="none" w:sz="0" w:space="0" w:color="auto"/>
            <w:right w:val="none" w:sz="0" w:space="0" w:color="auto"/>
          </w:divBdr>
        </w:div>
      </w:divsChild>
    </w:div>
    <w:div w:id="1131359865">
      <w:marLeft w:val="4"/>
      <w:marRight w:val="0"/>
      <w:marTop w:val="120"/>
      <w:marBottom w:val="0"/>
      <w:divBdr>
        <w:top w:val="none" w:sz="0" w:space="0" w:color="auto"/>
        <w:left w:val="none" w:sz="0" w:space="0" w:color="auto"/>
        <w:bottom w:val="none" w:sz="0" w:space="0" w:color="auto"/>
        <w:right w:val="none" w:sz="0" w:space="0" w:color="auto"/>
      </w:divBdr>
      <w:divsChild>
        <w:div w:id="1658874819">
          <w:marLeft w:val="0"/>
          <w:marRight w:val="0"/>
          <w:marTop w:val="0"/>
          <w:marBottom w:val="0"/>
          <w:divBdr>
            <w:top w:val="none" w:sz="0" w:space="0" w:color="auto"/>
            <w:left w:val="none" w:sz="0" w:space="0" w:color="auto"/>
            <w:bottom w:val="none" w:sz="0" w:space="0" w:color="auto"/>
            <w:right w:val="none" w:sz="0" w:space="0" w:color="auto"/>
          </w:divBdr>
        </w:div>
      </w:divsChild>
    </w:div>
    <w:div w:id="1137986545">
      <w:marLeft w:val="4"/>
      <w:marRight w:val="0"/>
      <w:marTop w:val="120"/>
      <w:marBottom w:val="0"/>
      <w:divBdr>
        <w:top w:val="none" w:sz="0" w:space="0" w:color="auto"/>
        <w:left w:val="none" w:sz="0" w:space="0" w:color="auto"/>
        <w:bottom w:val="none" w:sz="0" w:space="0" w:color="auto"/>
        <w:right w:val="none" w:sz="0" w:space="0" w:color="auto"/>
      </w:divBdr>
      <w:divsChild>
        <w:div w:id="1360549332">
          <w:marLeft w:val="0"/>
          <w:marRight w:val="0"/>
          <w:marTop w:val="0"/>
          <w:marBottom w:val="0"/>
          <w:divBdr>
            <w:top w:val="none" w:sz="0" w:space="0" w:color="auto"/>
            <w:left w:val="none" w:sz="0" w:space="0" w:color="auto"/>
            <w:bottom w:val="none" w:sz="0" w:space="0" w:color="auto"/>
            <w:right w:val="none" w:sz="0" w:space="0" w:color="auto"/>
          </w:divBdr>
        </w:div>
      </w:divsChild>
    </w:div>
    <w:div w:id="1142621870">
      <w:marLeft w:val="4"/>
      <w:marRight w:val="0"/>
      <w:marTop w:val="120"/>
      <w:marBottom w:val="0"/>
      <w:divBdr>
        <w:top w:val="none" w:sz="0" w:space="0" w:color="auto"/>
        <w:left w:val="none" w:sz="0" w:space="0" w:color="auto"/>
        <w:bottom w:val="none" w:sz="0" w:space="0" w:color="auto"/>
        <w:right w:val="none" w:sz="0" w:space="0" w:color="auto"/>
      </w:divBdr>
      <w:divsChild>
        <w:div w:id="1259100068">
          <w:marLeft w:val="0"/>
          <w:marRight w:val="0"/>
          <w:marTop w:val="0"/>
          <w:marBottom w:val="0"/>
          <w:divBdr>
            <w:top w:val="none" w:sz="0" w:space="0" w:color="auto"/>
            <w:left w:val="none" w:sz="0" w:space="0" w:color="auto"/>
            <w:bottom w:val="none" w:sz="0" w:space="0" w:color="auto"/>
            <w:right w:val="none" w:sz="0" w:space="0" w:color="auto"/>
          </w:divBdr>
        </w:div>
      </w:divsChild>
    </w:div>
    <w:div w:id="1144278542">
      <w:marLeft w:val="4"/>
      <w:marRight w:val="0"/>
      <w:marTop w:val="120"/>
      <w:marBottom w:val="0"/>
      <w:divBdr>
        <w:top w:val="none" w:sz="0" w:space="0" w:color="auto"/>
        <w:left w:val="none" w:sz="0" w:space="0" w:color="auto"/>
        <w:bottom w:val="none" w:sz="0" w:space="0" w:color="auto"/>
        <w:right w:val="none" w:sz="0" w:space="0" w:color="auto"/>
      </w:divBdr>
      <w:divsChild>
        <w:div w:id="917901288">
          <w:marLeft w:val="0"/>
          <w:marRight w:val="0"/>
          <w:marTop w:val="0"/>
          <w:marBottom w:val="0"/>
          <w:divBdr>
            <w:top w:val="none" w:sz="0" w:space="0" w:color="auto"/>
            <w:left w:val="none" w:sz="0" w:space="0" w:color="auto"/>
            <w:bottom w:val="none" w:sz="0" w:space="0" w:color="auto"/>
            <w:right w:val="none" w:sz="0" w:space="0" w:color="auto"/>
          </w:divBdr>
        </w:div>
      </w:divsChild>
    </w:div>
    <w:div w:id="1149981681">
      <w:marLeft w:val="4"/>
      <w:marRight w:val="0"/>
      <w:marTop w:val="120"/>
      <w:marBottom w:val="0"/>
      <w:divBdr>
        <w:top w:val="none" w:sz="0" w:space="0" w:color="auto"/>
        <w:left w:val="none" w:sz="0" w:space="0" w:color="auto"/>
        <w:bottom w:val="none" w:sz="0" w:space="0" w:color="auto"/>
        <w:right w:val="none" w:sz="0" w:space="0" w:color="auto"/>
      </w:divBdr>
      <w:divsChild>
        <w:div w:id="1175997160">
          <w:marLeft w:val="0"/>
          <w:marRight w:val="0"/>
          <w:marTop w:val="0"/>
          <w:marBottom w:val="0"/>
          <w:divBdr>
            <w:top w:val="none" w:sz="0" w:space="0" w:color="auto"/>
            <w:left w:val="none" w:sz="0" w:space="0" w:color="auto"/>
            <w:bottom w:val="none" w:sz="0" w:space="0" w:color="auto"/>
            <w:right w:val="none" w:sz="0" w:space="0" w:color="auto"/>
          </w:divBdr>
        </w:div>
      </w:divsChild>
    </w:div>
    <w:div w:id="1200245045">
      <w:marLeft w:val="4"/>
      <w:marRight w:val="0"/>
      <w:marTop w:val="120"/>
      <w:marBottom w:val="0"/>
      <w:divBdr>
        <w:top w:val="none" w:sz="0" w:space="0" w:color="auto"/>
        <w:left w:val="none" w:sz="0" w:space="0" w:color="auto"/>
        <w:bottom w:val="none" w:sz="0" w:space="0" w:color="auto"/>
        <w:right w:val="none" w:sz="0" w:space="0" w:color="auto"/>
      </w:divBdr>
      <w:divsChild>
        <w:div w:id="450325884">
          <w:marLeft w:val="0"/>
          <w:marRight w:val="0"/>
          <w:marTop w:val="0"/>
          <w:marBottom w:val="0"/>
          <w:divBdr>
            <w:top w:val="none" w:sz="0" w:space="0" w:color="auto"/>
            <w:left w:val="none" w:sz="0" w:space="0" w:color="auto"/>
            <w:bottom w:val="none" w:sz="0" w:space="0" w:color="auto"/>
            <w:right w:val="none" w:sz="0" w:space="0" w:color="auto"/>
          </w:divBdr>
        </w:div>
      </w:divsChild>
    </w:div>
    <w:div w:id="1218081684">
      <w:marLeft w:val="0"/>
      <w:marRight w:val="0"/>
      <w:marTop w:val="0"/>
      <w:marBottom w:val="0"/>
      <w:divBdr>
        <w:top w:val="none" w:sz="0" w:space="0" w:color="auto"/>
        <w:left w:val="none" w:sz="0" w:space="0" w:color="auto"/>
        <w:bottom w:val="none" w:sz="0" w:space="0" w:color="auto"/>
        <w:right w:val="none" w:sz="0" w:space="0" w:color="auto"/>
      </w:divBdr>
    </w:div>
    <w:div w:id="1223517367">
      <w:marLeft w:val="4"/>
      <w:marRight w:val="0"/>
      <w:marTop w:val="120"/>
      <w:marBottom w:val="0"/>
      <w:divBdr>
        <w:top w:val="none" w:sz="0" w:space="0" w:color="auto"/>
        <w:left w:val="none" w:sz="0" w:space="0" w:color="auto"/>
        <w:bottom w:val="none" w:sz="0" w:space="0" w:color="auto"/>
        <w:right w:val="none" w:sz="0" w:space="0" w:color="auto"/>
      </w:divBdr>
      <w:divsChild>
        <w:div w:id="1580291663">
          <w:marLeft w:val="0"/>
          <w:marRight w:val="0"/>
          <w:marTop w:val="0"/>
          <w:marBottom w:val="0"/>
          <w:divBdr>
            <w:top w:val="none" w:sz="0" w:space="0" w:color="auto"/>
            <w:left w:val="none" w:sz="0" w:space="0" w:color="auto"/>
            <w:bottom w:val="none" w:sz="0" w:space="0" w:color="auto"/>
            <w:right w:val="none" w:sz="0" w:space="0" w:color="auto"/>
          </w:divBdr>
        </w:div>
      </w:divsChild>
    </w:div>
    <w:div w:id="1234586882">
      <w:marLeft w:val="4"/>
      <w:marRight w:val="0"/>
      <w:marTop w:val="120"/>
      <w:marBottom w:val="0"/>
      <w:divBdr>
        <w:top w:val="none" w:sz="0" w:space="0" w:color="auto"/>
        <w:left w:val="none" w:sz="0" w:space="0" w:color="auto"/>
        <w:bottom w:val="none" w:sz="0" w:space="0" w:color="auto"/>
        <w:right w:val="none" w:sz="0" w:space="0" w:color="auto"/>
      </w:divBdr>
      <w:divsChild>
        <w:div w:id="1945654160">
          <w:marLeft w:val="0"/>
          <w:marRight w:val="0"/>
          <w:marTop w:val="0"/>
          <w:marBottom w:val="0"/>
          <w:divBdr>
            <w:top w:val="none" w:sz="0" w:space="0" w:color="auto"/>
            <w:left w:val="none" w:sz="0" w:space="0" w:color="auto"/>
            <w:bottom w:val="none" w:sz="0" w:space="0" w:color="auto"/>
            <w:right w:val="none" w:sz="0" w:space="0" w:color="auto"/>
          </w:divBdr>
        </w:div>
      </w:divsChild>
    </w:div>
    <w:div w:id="1255824398">
      <w:marLeft w:val="4"/>
      <w:marRight w:val="0"/>
      <w:marTop w:val="120"/>
      <w:marBottom w:val="0"/>
      <w:divBdr>
        <w:top w:val="none" w:sz="0" w:space="0" w:color="auto"/>
        <w:left w:val="none" w:sz="0" w:space="0" w:color="auto"/>
        <w:bottom w:val="none" w:sz="0" w:space="0" w:color="auto"/>
        <w:right w:val="none" w:sz="0" w:space="0" w:color="auto"/>
      </w:divBdr>
      <w:divsChild>
        <w:div w:id="192573259">
          <w:marLeft w:val="0"/>
          <w:marRight w:val="0"/>
          <w:marTop w:val="0"/>
          <w:marBottom w:val="0"/>
          <w:divBdr>
            <w:top w:val="none" w:sz="0" w:space="0" w:color="auto"/>
            <w:left w:val="none" w:sz="0" w:space="0" w:color="auto"/>
            <w:bottom w:val="none" w:sz="0" w:space="0" w:color="auto"/>
            <w:right w:val="none" w:sz="0" w:space="0" w:color="auto"/>
          </w:divBdr>
        </w:div>
      </w:divsChild>
    </w:div>
    <w:div w:id="1259484071">
      <w:marLeft w:val="4"/>
      <w:marRight w:val="0"/>
      <w:marTop w:val="120"/>
      <w:marBottom w:val="0"/>
      <w:divBdr>
        <w:top w:val="none" w:sz="0" w:space="0" w:color="auto"/>
        <w:left w:val="none" w:sz="0" w:space="0" w:color="auto"/>
        <w:bottom w:val="none" w:sz="0" w:space="0" w:color="auto"/>
        <w:right w:val="none" w:sz="0" w:space="0" w:color="auto"/>
      </w:divBdr>
      <w:divsChild>
        <w:div w:id="1042629578">
          <w:marLeft w:val="0"/>
          <w:marRight w:val="0"/>
          <w:marTop w:val="0"/>
          <w:marBottom w:val="0"/>
          <w:divBdr>
            <w:top w:val="none" w:sz="0" w:space="0" w:color="auto"/>
            <w:left w:val="none" w:sz="0" w:space="0" w:color="auto"/>
            <w:bottom w:val="none" w:sz="0" w:space="0" w:color="auto"/>
            <w:right w:val="none" w:sz="0" w:space="0" w:color="auto"/>
          </w:divBdr>
        </w:div>
      </w:divsChild>
    </w:div>
    <w:div w:id="1260137097">
      <w:marLeft w:val="4"/>
      <w:marRight w:val="0"/>
      <w:marTop w:val="120"/>
      <w:marBottom w:val="0"/>
      <w:divBdr>
        <w:top w:val="none" w:sz="0" w:space="0" w:color="auto"/>
        <w:left w:val="none" w:sz="0" w:space="0" w:color="auto"/>
        <w:bottom w:val="none" w:sz="0" w:space="0" w:color="auto"/>
        <w:right w:val="none" w:sz="0" w:space="0" w:color="auto"/>
      </w:divBdr>
      <w:divsChild>
        <w:div w:id="203756377">
          <w:marLeft w:val="0"/>
          <w:marRight w:val="0"/>
          <w:marTop w:val="0"/>
          <w:marBottom w:val="0"/>
          <w:divBdr>
            <w:top w:val="none" w:sz="0" w:space="0" w:color="auto"/>
            <w:left w:val="none" w:sz="0" w:space="0" w:color="auto"/>
            <w:bottom w:val="none" w:sz="0" w:space="0" w:color="auto"/>
            <w:right w:val="none" w:sz="0" w:space="0" w:color="auto"/>
          </w:divBdr>
        </w:div>
      </w:divsChild>
    </w:div>
    <w:div w:id="1267494803">
      <w:marLeft w:val="4"/>
      <w:marRight w:val="0"/>
      <w:marTop w:val="120"/>
      <w:marBottom w:val="0"/>
      <w:divBdr>
        <w:top w:val="none" w:sz="0" w:space="0" w:color="auto"/>
        <w:left w:val="none" w:sz="0" w:space="0" w:color="auto"/>
        <w:bottom w:val="none" w:sz="0" w:space="0" w:color="auto"/>
        <w:right w:val="none" w:sz="0" w:space="0" w:color="auto"/>
      </w:divBdr>
      <w:divsChild>
        <w:div w:id="981034036">
          <w:marLeft w:val="0"/>
          <w:marRight w:val="0"/>
          <w:marTop w:val="0"/>
          <w:marBottom w:val="0"/>
          <w:divBdr>
            <w:top w:val="none" w:sz="0" w:space="0" w:color="auto"/>
            <w:left w:val="none" w:sz="0" w:space="0" w:color="auto"/>
            <w:bottom w:val="none" w:sz="0" w:space="0" w:color="auto"/>
            <w:right w:val="none" w:sz="0" w:space="0" w:color="auto"/>
          </w:divBdr>
        </w:div>
      </w:divsChild>
    </w:div>
    <w:div w:id="1277251737">
      <w:marLeft w:val="4"/>
      <w:marRight w:val="0"/>
      <w:marTop w:val="120"/>
      <w:marBottom w:val="0"/>
      <w:divBdr>
        <w:top w:val="none" w:sz="0" w:space="0" w:color="auto"/>
        <w:left w:val="none" w:sz="0" w:space="0" w:color="auto"/>
        <w:bottom w:val="none" w:sz="0" w:space="0" w:color="auto"/>
        <w:right w:val="none" w:sz="0" w:space="0" w:color="auto"/>
      </w:divBdr>
      <w:divsChild>
        <w:div w:id="816338532">
          <w:marLeft w:val="0"/>
          <w:marRight w:val="0"/>
          <w:marTop w:val="0"/>
          <w:marBottom w:val="0"/>
          <w:divBdr>
            <w:top w:val="none" w:sz="0" w:space="0" w:color="auto"/>
            <w:left w:val="none" w:sz="0" w:space="0" w:color="auto"/>
            <w:bottom w:val="none" w:sz="0" w:space="0" w:color="auto"/>
            <w:right w:val="none" w:sz="0" w:space="0" w:color="auto"/>
          </w:divBdr>
        </w:div>
      </w:divsChild>
    </w:div>
    <w:div w:id="1298295442">
      <w:marLeft w:val="4"/>
      <w:marRight w:val="0"/>
      <w:marTop w:val="120"/>
      <w:marBottom w:val="0"/>
      <w:divBdr>
        <w:top w:val="none" w:sz="0" w:space="0" w:color="auto"/>
        <w:left w:val="none" w:sz="0" w:space="0" w:color="auto"/>
        <w:bottom w:val="none" w:sz="0" w:space="0" w:color="auto"/>
        <w:right w:val="none" w:sz="0" w:space="0" w:color="auto"/>
      </w:divBdr>
      <w:divsChild>
        <w:div w:id="1571574435">
          <w:marLeft w:val="0"/>
          <w:marRight w:val="0"/>
          <w:marTop w:val="0"/>
          <w:marBottom w:val="0"/>
          <w:divBdr>
            <w:top w:val="none" w:sz="0" w:space="0" w:color="auto"/>
            <w:left w:val="none" w:sz="0" w:space="0" w:color="auto"/>
            <w:bottom w:val="none" w:sz="0" w:space="0" w:color="auto"/>
            <w:right w:val="none" w:sz="0" w:space="0" w:color="auto"/>
          </w:divBdr>
        </w:div>
      </w:divsChild>
    </w:div>
    <w:div w:id="1303390590">
      <w:marLeft w:val="4"/>
      <w:marRight w:val="0"/>
      <w:marTop w:val="120"/>
      <w:marBottom w:val="0"/>
      <w:divBdr>
        <w:top w:val="none" w:sz="0" w:space="0" w:color="auto"/>
        <w:left w:val="none" w:sz="0" w:space="0" w:color="auto"/>
        <w:bottom w:val="none" w:sz="0" w:space="0" w:color="auto"/>
        <w:right w:val="none" w:sz="0" w:space="0" w:color="auto"/>
      </w:divBdr>
      <w:divsChild>
        <w:div w:id="1388533921">
          <w:marLeft w:val="0"/>
          <w:marRight w:val="0"/>
          <w:marTop w:val="0"/>
          <w:marBottom w:val="0"/>
          <w:divBdr>
            <w:top w:val="none" w:sz="0" w:space="0" w:color="auto"/>
            <w:left w:val="none" w:sz="0" w:space="0" w:color="auto"/>
            <w:bottom w:val="none" w:sz="0" w:space="0" w:color="auto"/>
            <w:right w:val="none" w:sz="0" w:space="0" w:color="auto"/>
          </w:divBdr>
        </w:div>
      </w:divsChild>
    </w:div>
    <w:div w:id="1312909017">
      <w:marLeft w:val="4"/>
      <w:marRight w:val="0"/>
      <w:marTop w:val="120"/>
      <w:marBottom w:val="0"/>
      <w:divBdr>
        <w:top w:val="none" w:sz="0" w:space="0" w:color="auto"/>
        <w:left w:val="none" w:sz="0" w:space="0" w:color="auto"/>
        <w:bottom w:val="none" w:sz="0" w:space="0" w:color="auto"/>
        <w:right w:val="none" w:sz="0" w:space="0" w:color="auto"/>
      </w:divBdr>
      <w:divsChild>
        <w:div w:id="420837123">
          <w:marLeft w:val="0"/>
          <w:marRight w:val="0"/>
          <w:marTop w:val="0"/>
          <w:marBottom w:val="0"/>
          <w:divBdr>
            <w:top w:val="none" w:sz="0" w:space="0" w:color="auto"/>
            <w:left w:val="none" w:sz="0" w:space="0" w:color="auto"/>
            <w:bottom w:val="none" w:sz="0" w:space="0" w:color="auto"/>
            <w:right w:val="none" w:sz="0" w:space="0" w:color="auto"/>
          </w:divBdr>
        </w:div>
      </w:divsChild>
    </w:div>
    <w:div w:id="1324964212">
      <w:marLeft w:val="4"/>
      <w:marRight w:val="0"/>
      <w:marTop w:val="120"/>
      <w:marBottom w:val="0"/>
      <w:divBdr>
        <w:top w:val="none" w:sz="0" w:space="0" w:color="auto"/>
        <w:left w:val="none" w:sz="0" w:space="0" w:color="auto"/>
        <w:bottom w:val="none" w:sz="0" w:space="0" w:color="auto"/>
        <w:right w:val="none" w:sz="0" w:space="0" w:color="auto"/>
      </w:divBdr>
      <w:divsChild>
        <w:div w:id="457382786">
          <w:marLeft w:val="0"/>
          <w:marRight w:val="0"/>
          <w:marTop w:val="0"/>
          <w:marBottom w:val="0"/>
          <w:divBdr>
            <w:top w:val="none" w:sz="0" w:space="0" w:color="auto"/>
            <w:left w:val="none" w:sz="0" w:space="0" w:color="auto"/>
            <w:bottom w:val="none" w:sz="0" w:space="0" w:color="auto"/>
            <w:right w:val="none" w:sz="0" w:space="0" w:color="auto"/>
          </w:divBdr>
        </w:div>
      </w:divsChild>
    </w:div>
    <w:div w:id="1334986852">
      <w:marLeft w:val="4"/>
      <w:marRight w:val="0"/>
      <w:marTop w:val="120"/>
      <w:marBottom w:val="0"/>
      <w:divBdr>
        <w:top w:val="none" w:sz="0" w:space="0" w:color="auto"/>
        <w:left w:val="none" w:sz="0" w:space="0" w:color="auto"/>
        <w:bottom w:val="none" w:sz="0" w:space="0" w:color="auto"/>
        <w:right w:val="none" w:sz="0" w:space="0" w:color="auto"/>
      </w:divBdr>
      <w:divsChild>
        <w:div w:id="2085371764">
          <w:marLeft w:val="0"/>
          <w:marRight w:val="0"/>
          <w:marTop w:val="0"/>
          <w:marBottom w:val="0"/>
          <w:divBdr>
            <w:top w:val="none" w:sz="0" w:space="0" w:color="auto"/>
            <w:left w:val="none" w:sz="0" w:space="0" w:color="auto"/>
            <w:bottom w:val="none" w:sz="0" w:space="0" w:color="auto"/>
            <w:right w:val="none" w:sz="0" w:space="0" w:color="auto"/>
          </w:divBdr>
        </w:div>
      </w:divsChild>
    </w:div>
    <w:div w:id="1362705304">
      <w:marLeft w:val="4"/>
      <w:marRight w:val="0"/>
      <w:marTop w:val="120"/>
      <w:marBottom w:val="0"/>
      <w:divBdr>
        <w:top w:val="none" w:sz="0" w:space="0" w:color="auto"/>
        <w:left w:val="none" w:sz="0" w:space="0" w:color="auto"/>
        <w:bottom w:val="none" w:sz="0" w:space="0" w:color="auto"/>
        <w:right w:val="none" w:sz="0" w:space="0" w:color="auto"/>
      </w:divBdr>
      <w:divsChild>
        <w:div w:id="453403837">
          <w:marLeft w:val="0"/>
          <w:marRight w:val="0"/>
          <w:marTop w:val="0"/>
          <w:marBottom w:val="0"/>
          <w:divBdr>
            <w:top w:val="none" w:sz="0" w:space="0" w:color="auto"/>
            <w:left w:val="none" w:sz="0" w:space="0" w:color="auto"/>
            <w:bottom w:val="none" w:sz="0" w:space="0" w:color="auto"/>
            <w:right w:val="none" w:sz="0" w:space="0" w:color="auto"/>
          </w:divBdr>
        </w:div>
      </w:divsChild>
    </w:div>
    <w:div w:id="1362974108">
      <w:marLeft w:val="4"/>
      <w:marRight w:val="0"/>
      <w:marTop w:val="120"/>
      <w:marBottom w:val="0"/>
      <w:divBdr>
        <w:top w:val="none" w:sz="0" w:space="0" w:color="auto"/>
        <w:left w:val="none" w:sz="0" w:space="0" w:color="auto"/>
        <w:bottom w:val="none" w:sz="0" w:space="0" w:color="auto"/>
        <w:right w:val="none" w:sz="0" w:space="0" w:color="auto"/>
      </w:divBdr>
      <w:divsChild>
        <w:div w:id="196283488">
          <w:marLeft w:val="0"/>
          <w:marRight w:val="0"/>
          <w:marTop w:val="0"/>
          <w:marBottom w:val="0"/>
          <w:divBdr>
            <w:top w:val="none" w:sz="0" w:space="0" w:color="auto"/>
            <w:left w:val="none" w:sz="0" w:space="0" w:color="auto"/>
            <w:bottom w:val="none" w:sz="0" w:space="0" w:color="auto"/>
            <w:right w:val="none" w:sz="0" w:space="0" w:color="auto"/>
          </w:divBdr>
        </w:div>
      </w:divsChild>
    </w:div>
    <w:div w:id="1366755834">
      <w:marLeft w:val="4"/>
      <w:marRight w:val="0"/>
      <w:marTop w:val="120"/>
      <w:marBottom w:val="0"/>
      <w:divBdr>
        <w:top w:val="none" w:sz="0" w:space="0" w:color="auto"/>
        <w:left w:val="none" w:sz="0" w:space="0" w:color="auto"/>
        <w:bottom w:val="none" w:sz="0" w:space="0" w:color="auto"/>
        <w:right w:val="none" w:sz="0" w:space="0" w:color="auto"/>
      </w:divBdr>
      <w:divsChild>
        <w:div w:id="943419846">
          <w:marLeft w:val="0"/>
          <w:marRight w:val="0"/>
          <w:marTop w:val="0"/>
          <w:marBottom w:val="0"/>
          <w:divBdr>
            <w:top w:val="none" w:sz="0" w:space="0" w:color="auto"/>
            <w:left w:val="none" w:sz="0" w:space="0" w:color="auto"/>
            <w:bottom w:val="none" w:sz="0" w:space="0" w:color="auto"/>
            <w:right w:val="none" w:sz="0" w:space="0" w:color="auto"/>
          </w:divBdr>
        </w:div>
      </w:divsChild>
    </w:div>
    <w:div w:id="1370761974">
      <w:marLeft w:val="4"/>
      <w:marRight w:val="0"/>
      <w:marTop w:val="120"/>
      <w:marBottom w:val="0"/>
      <w:divBdr>
        <w:top w:val="none" w:sz="0" w:space="0" w:color="auto"/>
        <w:left w:val="none" w:sz="0" w:space="0" w:color="auto"/>
        <w:bottom w:val="none" w:sz="0" w:space="0" w:color="auto"/>
        <w:right w:val="none" w:sz="0" w:space="0" w:color="auto"/>
      </w:divBdr>
      <w:divsChild>
        <w:div w:id="1866752222">
          <w:marLeft w:val="0"/>
          <w:marRight w:val="0"/>
          <w:marTop w:val="0"/>
          <w:marBottom w:val="0"/>
          <w:divBdr>
            <w:top w:val="none" w:sz="0" w:space="0" w:color="auto"/>
            <w:left w:val="none" w:sz="0" w:space="0" w:color="auto"/>
            <w:bottom w:val="none" w:sz="0" w:space="0" w:color="auto"/>
            <w:right w:val="none" w:sz="0" w:space="0" w:color="auto"/>
          </w:divBdr>
        </w:div>
      </w:divsChild>
    </w:div>
    <w:div w:id="1373531229">
      <w:marLeft w:val="4"/>
      <w:marRight w:val="0"/>
      <w:marTop w:val="120"/>
      <w:marBottom w:val="0"/>
      <w:divBdr>
        <w:top w:val="none" w:sz="0" w:space="0" w:color="auto"/>
        <w:left w:val="none" w:sz="0" w:space="0" w:color="auto"/>
        <w:bottom w:val="none" w:sz="0" w:space="0" w:color="auto"/>
        <w:right w:val="none" w:sz="0" w:space="0" w:color="auto"/>
      </w:divBdr>
      <w:divsChild>
        <w:div w:id="463039698">
          <w:marLeft w:val="0"/>
          <w:marRight w:val="0"/>
          <w:marTop w:val="0"/>
          <w:marBottom w:val="0"/>
          <w:divBdr>
            <w:top w:val="none" w:sz="0" w:space="0" w:color="auto"/>
            <w:left w:val="none" w:sz="0" w:space="0" w:color="auto"/>
            <w:bottom w:val="none" w:sz="0" w:space="0" w:color="auto"/>
            <w:right w:val="none" w:sz="0" w:space="0" w:color="auto"/>
          </w:divBdr>
        </w:div>
      </w:divsChild>
    </w:div>
    <w:div w:id="1384259382">
      <w:marLeft w:val="4"/>
      <w:marRight w:val="0"/>
      <w:marTop w:val="120"/>
      <w:marBottom w:val="0"/>
      <w:divBdr>
        <w:top w:val="none" w:sz="0" w:space="0" w:color="auto"/>
        <w:left w:val="none" w:sz="0" w:space="0" w:color="auto"/>
        <w:bottom w:val="none" w:sz="0" w:space="0" w:color="auto"/>
        <w:right w:val="none" w:sz="0" w:space="0" w:color="auto"/>
      </w:divBdr>
      <w:divsChild>
        <w:div w:id="534273746">
          <w:marLeft w:val="0"/>
          <w:marRight w:val="0"/>
          <w:marTop w:val="0"/>
          <w:marBottom w:val="0"/>
          <w:divBdr>
            <w:top w:val="none" w:sz="0" w:space="0" w:color="auto"/>
            <w:left w:val="none" w:sz="0" w:space="0" w:color="auto"/>
            <w:bottom w:val="none" w:sz="0" w:space="0" w:color="auto"/>
            <w:right w:val="none" w:sz="0" w:space="0" w:color="auto"/>
          </w:divBdr>
        </w:div>
      </w:divsChild>
    </w:div>
    <w:div w:id="1390613929">
      <w:marLeft w:val="4"/>
      <w:marRight w:val="0"/>
      <w:marTop w:val="120"/>
      <w:marBottom w:val="0"/>
      <w:divBdr>
        <w:top w:val="none" w:sz="0" w:space="0" w:color="auto"/>
        <w:left w:val="none" w:sz="0" w:space="0" w:color="auto"/>
        <w:bottom w:val="none" w:sz="0" w:space="0" w:color="auto"/>
        <w:right w:val="none" w:sz="0" w:space="0" w:color="auto"/>
      </w:divBdr>
      <w:divsChild>
        <w:div w:id="1202785450">
          <w:marLeft w:val="0"/>
          <w:marRight w:val="0"/>
          <w:marTop w:val="0"/>
          <w:marBottom w:val="0"/>
          <w:divBdr>
            <w:top w:val="none" w:sz="0" w:space="0" w:color="auto"/>
            <w:left w:val="none" w:sz="0" w:space="0" w:color="auto"/>
            <w:bottom w:val="none" w:sz="0" w:space="0" w:color="auto"/>
            <w:right w:val="none" w:sz="0" w:space="0" w:color="auto"/>
          </w:divBdr>
        </w:div>
      </w:divsChild>
    </w:div>
    <w:div w:id="1428043207">
      <w:marLeft w:val="4"/>
      <w:marRight w:val="0"/>
      <w:marTop w:val="120"/>
      <w:marBottom w:val="0"/>
      <w:divBdr>
        <w:top w:val="none" w:sz="0" w:space="0" w:color="auto"/>
        <w:left w:val="none" w:sz="0" w:space="0" w:color="auto"/>
        <w:bottom w:val="none" w:sz="0" w:space="0" w:color="auto"/>
        <w:right w:val="none" w:sz="0" w:space="0" w:color="auto"/>
      </w:divBdr>
      <w:divsChild>
        <w:div w:id="986710115">
          <w:marLeft w:val="0"/>
          <w:marRight w:val="0"/>
          <w:marTop w:val="0"/>
          <w:marBottom w:val="0"/>
          <w:divBdr>
            <w:top w:val="none" w:sz="0" w:space="0" w:color="auto"/>
            <w:left w:val="none" w:sz="0" w:space="0" w:color="auto"/>
            <w:bottom w:val="none" w:sz="0" w:space="0" w:color="auto"/>
            <w:right w:val="none" w:sz="0" w:space="0" w:color="auto"/>
          </w:divBdr>
        </w:div>
      </w:divsChild>
    </w:div>
    <w:div w:id="1437948883">
      <w:marLeft w:val="4"/>
      <w:marRight w:val="0"/>
      <w:marTop w:val="120"/>
      <w:marBottom w:val="0"/>
      <w:divBdr>
        <w:top w:val="none" w:sz="0" w:space="0" w:color="auto"/>
        <w:left w:val="none" w:sz="0" w:space="0" w:color="auto"/>
        <w:bottom w:val="none" w:sz="0" w:space="0" w:color="auto"/>
        <w:right w:val="none" w:sz="0" w:space="0" w:color="auto"/>
      </w:divBdr>
      <w:divsChild>
        <w:div w:id="214391309">
          <w:marLeft w:val="0"/>
          <w:marRight w:val="0"/>
          <w:marTop w:val="0"/>
          <w:marBottom w:val="0"/>
          <w:divBdr>
            <w:top w:val="none" w:sz="0" w:space="0" w:color="auto"/>
            <w:left w:val="none" w:sz="0" w:space="0" w:color="auto"/>
            <w:bottom w:val="none" w:sz="0" w:space="0" w:color="auto"/>
            <w:right w:val="none" w:sz="0" w:space="0" w:color="auto"/>
          </w:divBdr>
        </w:div>
      </w:divsChild>
    </w:div>
    <w:div w:id="1439328467">
      <w:marLeft w:val="4"/>
      <w:marRight w:val="0"/>
      <w:marTop w:val="120"/>
      <w:marBottom w:val="0"/>
      <w:divBdr>
        <w:top w:val="none" w:sz="0" w:space="0" w:color="auto"/>
        <w:left w:val="none" w:sz="0" w:space="0" w:color="auto"/>
        <w:bottom w:val="none" w:sz="0" w:space="0" w:color="auto"/>
        <w:right w:val="none" w:sz="0" w:space="0" w:color="auto"/>
      </w:divBdr>
      <w:divsChild>
        <w:div w:id="1448767465">
          <w:marLeft w:val="0"/>
          <w:marRight w:val="0"/>
          <w:marTop w:val="0"/>
          <w:marBottom w:val="0"/>
          <w:divBdr>
            <w:top w:val="none" w:sz="0" w:space="0" w:color="auto"/>
            <w:left w:val="none" w:sz="0" w:space="0" w:color="auto"/>
            <w:bottom w:val="none" w:sz="0" w:space="0" w:color="auto"/>
            <w:right w:val="none" w:sz="0" w:space="0" w:color="auto"/>
          </w:divBdr>
        </w:div>
      </w:divsChild>
    </w:div>
    <w:div w:id="1441685807">
      <w:marLeft w:val="4"/>
      <w:marRight w:val="0"/>
      <w:marTop w:val="120"/>
      <w:marBottom w:val="0"/>
      <w:divBdr>
        <w:top w:val="none" w:sz="0" w:space="0" w:color="auto"/>
        <w:left w:val="none" w:sz="0" w:space="0" w:color="auto"/>
        <w:bottom w:val="none" w:sz="0" w:space="0" w:color="auto"/>
        <w:right w:val="none" w:sz="0" w:space="0" w:color="auto"/>
      </w:divBdr>
      <w:divsChild>
        <w:div w:id="2025394810">
          <w:marLeft w:val="0"/>
          <w:marRight w:val="0"/>
          <w:marTop w:val="0"/>
          <w:marBottom w:val="0"/>
          <w:divBdr>
            <w:top w:val="none" w:sz="0" w:space="0" w:color="auto"/>
            <w:left w:val="none" w:sz="0" w:space="0" w:color="auto"/>
            <w:bottom w:val="none" w:sz="0" w:space="0" w:color="auto"/>
            <w:right w:val="none" w:sz="0" w:space="0" w:color="auto"/>
          </w:divBdr>
        </w:div>
      </w:divsChild>
    </w:div>
    <w:div w:id="1445930037">
      <w:marLeft w:val="4"/>
      <w:marRight w:val="0"/>
      <w:marTop w:val="120"/>
      <w:marBottom w:val="0"/>
      <w:divBdr>
        <w:top w:val="none" w:sz="0" w:space="0" w:color="auto"/>
        <w:left w:val="none" w:sz="0" w:space="0" w:color="auto"/>
        <w:bottom w:val="none" w:sz="0" w:space="0" w:color="auto"/>
        <w:right w:val="none" w:sz="0" w:space="0" w:color="auto"/>
      </w:divBdr>
      <w:divsChild>
        <w:div w:id="85541107">
          <w:marLeft w:val="0"/>
          <w:marRight w:val="0"/>
          <w:marTop w:val="0"/>
          <w:marBottom w:val="0"/>
          <w:divBdr>
            <w:top w:val="none" w:sz="0" w:space="0" w:color="auto"/>
            <w:left w:val="none" w:sz="0" w:space="0" w:color="auto"/>
            <w:bottom w:val="none" w:sz="0" w:space="0" w:color="auto"/>
            <w:right w:val="none" w:sz="0" w:space="0" w:color="auto"/>
          </w:divBdr>
        </w:div>
      </w:divsChild>
    </w:div>
    <w:div w:id="1447238488">
      <w:marLeft w:val="4"/>
      <w:marRight w:val="0"/>
      <w:marTop w:val="120"/>
      <w:marBottom w:val="0"/>
      <w:divBdr>
        <w:top w:val="none" w:sz="0" w:space="0" w:color="auto"/>
        <w:left w:val="none" w:sz="0" w:space="0" w:color="auto"/>
        <w:bottom w:val="none" w:sz="0" w:space="0" w:color="auto"/>
        <w:right w:val="none" w:sz="0" w:space="0" w:color="auto"/>
      </w:divBdr>
      <w:divsChild>
        <w:div w:id="1778258304">
          <w:marLeft w:val="0"/>
          <w:marRight w:val="0"/>
          <w:marTop w:val="0"/>
          <w:marBottom w:val="0"/>
          <w:divBdr>
            <w:top w:val="none" w:sz="0" w:space="0" w:color="auto"/>
            <w:left w:val="none" w:sz="0" w:space="0" w:color="auto"/>
            <w:bottom w:val="none" w:sz="0" w:space="0" w:color="auto"/>
            <w:right w:val="none" w:sz="0" w:space="0" w:color="auto"/>
          </w:divBdr>
        </w:div>
      </w:divsChild>
    </w:div>
    <w:div w:id="1447844312">
      <w:marLeft w:val="4"/>
      <w:marRight w:val="0"/>
      <w:marTop w:val="120"/>
      <w:marBottom w:val="0"/>
      <w:divBdr>
        <w:top w:val="none" w:sz="0" w:space="0" w:color="auto"/>
        <w:left w:val="none" w:sz="0" w:space="0" w:color="auto"/>
        <w:bottom w:val="none" w:sz="0" w:space="0" w:color="auto"/>
        <w:right w:val="none" w:sz="0" w:space="0" w:color="auto"/>
      </w:divBdr>
      <w:divsChild>
        <w:div w:id="2018725726">
          <w:marLeft w:val="0"/>
          <w:marRight w:val="0"/>
          <w:marTop w:val="0"/>
          <w:marBottom w:val="0"/>
          <w:divBdr>
            <w:top w:val="none" w:sz="0" w:space="0" w:color="auto"/>
            <w:left w:val="none" w:sz="0" w:space="0" w:color="auto"/>
            <w:bottom w:val="none" w:sz="0" w:space="0" w:color="auto"/>
            <w:right w:val="none" w:sz="0" w:space="0" w:color="auto"/>
          </w:divBdr>
        </w:div>
      </w:divsChild>
    </w:div>
    <w:div w:id="1451507577">
      <w:marLeft w:val="4"/>
      <w:marRight w:val="0"/>
      <w:marTop w:val="120"/>
      <w:marBottom w:val="0"/>
      <w:divBdr>
        <w:top w:val="none" w:sz="0" w:space="0" w:color="auto"/>
        <w:left w:val="none" w:sz="0" w:space="0" w:color="auto"/>
        <w:bottom w:val="none" w:sz="0" w:space="0" w:color="auto"/>
        <w:right w:val="none" w:sz="0" w:space="0" w:color="auto"/>
      </w:divBdr>
      <w:divsChild>
        <w:div w:id="1386026261">
          <w:marLeft w:val="0"/>
          <w:marRight w:val="0"/>
          <w:marTop w:val="0"/>
          <w:marBottom w:val="0"/>
          <w:divBdr>
            <w:top w:val="none" w:sz="0" w:space="0" w:color="auto"/>
            <w:left w:val="none" w:sz="0" w:space="0" w:color="auto"/>
            <w:bottom w:val="none" w:sz="0" w:space="0" w:color="auto"/>
            <w:right w:val="none" w:sz="0" w:space="0" w:color="auto"/>
          </w:divBdr>
        </w:div>
      </w:divsChild>
    </w:div>
    <w:div w:id="1463040455">
      <w:marLeft w:val="4"/>
      <w:marRight w:val="0"/>
      <w:marTop w:val="120"/>
      <w:marBottom w:val="0"/>
      <w:divBdr>
        <w:top w:val="none" w:sz="0" w:space="0" w:color="auto"/>
        <w:left w:val="none" w:sz="0" w:space="0" w:color="auto"/>
        <w:bottom w:val="none" w:sz="0" w:space="0" w:color="auto"/>
        <w:right w:val="none" w:sz="0" w:space="0" w:color="auto"/>
      </w:divBdr>
      <w:divsChild>
        <w:div w:id="225801356">
          <w:marLeft w:val="0"/>
          <w:marRight w:val="0"/>
          <w:marTop w:val="0"/>
          <w:marBottom w:val="0"/>
          <w:divBdr>
            <w:top w:val="none" w:sz="0" w:space="0" w:color="auto"/>
            <w:left w:val="none" w:sz="0" w:space="0" w:color="auto"/>
            <w:bottom w:val="none" w:sz="0" w:space="0" w:color="auto"/>
            <w:right w:val="none" w:sz="0" w:space="0" w:color="auto"/>
          </w:divBdr>
        </w:div>
      </w:divsChild>
    </w:div>
    <w:div w:id="1482648409">
      <w:marLeft w:val="4"/>
      <w:marRight w:val="0"/>
      <w:marTop w:val="120"/>
      <w:marBottom w:val="0"/>
      <w:divBdr>
        <w:top w:val="none" w:sz="0" w:space="0" w:color="auto"/>
        <w:left w:val="none" w:sz="0" w:space="0" w:color="auto"/>
        <w:bottom w:val="none" w:sz="0" w:space="0" w:color="auto"/>
        <w:right w:val="none" w:sz="0" w:space="0" w:color="auto"/>
      </w:divBdr>
      <w:divsChild>
        <w:div w:id="193084466">
          <w:marLeft w:val="0"/>
          <w:marRight w:val="0"/>
          <w:marTop w:val="0"/>
          <w:marBottom w:val="0"/>
          <w:divBdr>
            <w:top w:val="none" w:sz="0" w:space="0" w:color="auto"/>
            <w:left w:val="none" w:sz="0" w:space="0" w:color="auto"/>
            <w:bottom w:val="none" w:sz="0" w:space="0" w:color="auto"/>
            <w:right w:val="none" w:sz="0" w:space="0" w:color="auto"/>
          </w:divBdr>
        </w:div>
      </w:divsChild>
    </w:div>
    <w:div w:id="1486508597">
      <w:marLeft w:val="4"/>
      <w:marRight w:val="0"/>
      <w:marTop w:val="120"/>
      <w:marBottom w:val="0"/>
      <w:divBdr>
        <w:top w:val="none" w:sz="0" w:space="0" w:color="auto"/>
        <w:left w:val="none" w:sz="0" w:space="0" w:color="auto"/>
        <w:bottom w:val="none" w:sz="0" w:space="0" w:color="auto"/>
        <w:right w:val="none" w:sz="0" w:space="0" w:color="auto"/>
      </w:divBdr>
      <w:divsChild>
        <w:div w:id="904685551">
          <w:marLeft w:val="0"/>
          <w:marRight w:val="0"/>
          <w:marTop w:val="0"/>
          <w:marBottom w:val="0"/>
          <w:divBdr>
            <w:top w:val="none" w:sz="0" w:space="0" w:color="auto"/>
            <w:left w:val="none" w:sz="0" w:space="0" w:color="auto"/>
            <w:bottom w:val="none" w:sz="0" w:space="0" w:color="auto"/>
            <w:right w:val="none" w:sz="0" w:space="0" w:color="auto"/>
          </w:divBdr>
        </w:div>
      </w:divsChild>
    </w:div>
    <w:div w:id="1506897117">
      <w:marLeft w:val="4"/>
      <w:marRight w:val="0"/>
      <w:marTop w:val="120"/>
      <w:marBottom w:val="0"/>
      <w:divBdr>
        <w:top w:val="none" w:sz="0" w:space="0" w:color="auto"/>
        <w:left w:val="none" w:sz="0" w:space="0" w:color="auto"/>
        <w:bottom w:val="none" w:sz="0" w:space="0" w:color="auto"/>
        <w:right w:val="none" w:sz="0" w:space="0" w:color="auto"/>
      </w:divBdr>
      <w:divsChild>
        <w:div w:id="1291327125">
          <w:marLeft w:val="0"/>
          <w:marRight w:val="0"/>
          <w:marTop w:val="0"/>
          <w:marBottom w:val="0"/>
          <w:divBdr>
            <w:top w:val="none" w:sz="0" w:space="0" w:color="auto"/>
            <w:left w:val="none" w:sz="0" w:space="0" w:color="auto"/>
            <w:bottom w:val="none" w:sz="0" w:space="0" w:color="auto"/>
            <w:right w:val="none" w:sz="0" w:space="0" w:color="auto"/>
          </w:divBdr>
        </w:div>
      </w:divsChild>
    </w:div>
    <w:div w:id="1515338629">
      <w:marLeft w:val="4"/>
      <w:marRight w:val="0"/>
      <w:marTop w:val="120"/>
      <w:marBottom w:val="0"/>
      <w:divBdr>
        <w:top w:val="none" w:sz="0" w:space="0" w:color="auto"/>
        <w:left w:val="none" w:sz="0" w:space="0" w:color="auto"/>
        <w:bottom w:val="none" w:sz="0" w:space="0" w:color="auto"/>
        <w:right w:val="none" w:sz="0" w:space="0" w:color="auto"/>
      </w:divBdr>
      <w:divsChild>
        <w:div w:id="502625837">
          <w:marLeft w:val="0"/>
          <w:marRight w:val="0"/>
          <w:marTop w:val="0"/>
          <w:marBottom w:val="0"/>
          <w:divBdr>
            <w:top w:val="none" w:sz="0" w:space="0" w:color="auto"/>
            <w:left w:val="none" w:sz="0" w:space="0" w:color="auto"/>
            <w:bottom w:val="none" w:sz="0" w:space="0" w:color="auto"/>
            <w:right w:val="none" w:sz="0" w:space="0" w:color="auto"/>
          </w:divBdr>
        </w:div>
      </w:divsChild>
    </w:div>
    <w:div w:id="1519735451">
      <w:marLeft w:val="4"/>
      <w:marRight w:val="0"/>
      <w:marTop w:val="120"/>
      <w:marBottom w:val="0"/>
      <w:divBdr>
        <w:top w:val="none" w:sz="0" w:space="0" w:color="auto"/>
        <w:left w:val="none" w:sz="0" w:space="0" w:color="auto"/>
        <w:bottom w:val="none" w:sz="0" w:space="0" w:color="auto"/>
        <w:right w:val="none" w:sz="0" w:space="0" w:color="auto"/>
      </w:divBdr>
      <w:divsChild>
        <w:div w:id="1714429459">
          <w:marLeft w:val="0"/>
          <w:marRight w:val="0"/>
          <w:marTop w:val="0"/>
          <w:marBottom w:val="0"/>
          <w:divBdr>
            <w:top w:val="none" w:sz="0" w:space="0" w:color="auto"/>
            <w:left w:val="none" w:sz="0" w:space="0" w:color="auto"/>
            <w:bottom w:val="none" w:sz="0" w:space="0" w:color="auto"/>
            <w:right w:val="none" w:sz="0" w:space="0" w:color="auto"/>
          </w:divBdr>
        </w:div>
      </w:divsChild>
    </w:div>
    <w:div w:id="1527985103">
      <w:marLeft w:val="4"/>
      <w:marRight w:val="0"/>
      <w:marTop w:val="120"/>
      <w:marBottom w:val="0"/>
      <w:divBdr>
        <w:top w:val="none" w:sz="0" w:space="0" w:color="auto"/>
        <w:left w:val="none" w:sz="0" w:space="0" w:color="auto"/>
        <w:bottom w:val="none" w:sz="0" w:space="0" w:color="auto"/>
        <w:right w:val="none" w:sz="0" w:space="0" w:color="auto"/>
      </w:divBdr>
      <w:divsChild>
        <w:div w:id="1627544214">
          <w:marLeft w:val="0"/>
          <w:marRight w:val="0"/>
          <w:marTop w:val="0"/>
          <w:marBottom w:val="0"/>
          <w:divBdr>
            <w:top w:val="none" w:sz="0" w:space="0" w:color="auto"/>
            <w:left w:val="none" w:sz="0" w:space="0" w:color="auto"/>
            <w:bottom w:val="none" w:sz="0" w:space="0" w:color="auto"/>
            <w:right w:val="none" w:sz="0" w:space="0" w:color="auto"/>
          </w:divBdr>
        </w:div>
      </w:divsChild>
    </w:div>
    <w:div w:id="1546025297">
      <w:marLeft w:val="4"/>
      <w:marRight w:val="0"/>
      <w:marTop w:val="120"/>
      <w:marBottom w:val="0"/>
      <w:divBdr>
        <w:top w:val="none" w:sz="0" w:space="0" w:color="auto"/>
        <w:left w:val="none" w:sz="0" w:space="0" w:color="auto"/>
        <w:bottom w:val="none" w:sz="0" w:space="0" w:color="auto"/>
        <w:right w:val="none" w:sz="0" w:space="0" w:color="auto"/>
      </w:divBdr>
      <w:divsChild>
        <w:div w:id="1472670982">
          <w:marLeft w:val="0"/>
          <w:marRight w:val="0"/>
          <w:marTop w:val="0"/>
          <w:marBottom w:val="0"/>
          <w:divBdr>
            <w:top w:val="none" w:sz="0" w:space="0" w:color="auto"/>
            <w:left w:val="none" w:sz="0" w:space="0" w:color="auto"/>
            <w:bottom w:val="none" w:sz="0" w:space="0" w:color="auto"/>
            <w:right w:val="none" w:sz="0" w:space="0" w:color="auto"/>
          </w:divBdr>
        </w:div>
      </w:divsChild>
    </w:div>
    <w:div w:id="1561136854">
      <w:marLeft w:val="4"/>
      <w:marRight w:val="0"/>
      <w:marTop w:val="120"/>
      <w:marBottom w:val="0"/>
      <w:divBdr>
        <w:top w:val="none" w:sz="0" w:space="0" w:color="auto"/>
        <w:left w:val="none" w:sz="0" w:space="0" w:color="auto"/>
        <w:bottom w:val="none" w:sz="0" w:space="0" w:color="auto"/>
        <w:right w:val="none" w:sz="0" w:space="0" w:color="auto"/>
      </w:divBdr>
      <w:divsChild>
        <w:div w:id="386806817">
          <w:marLeft w:val="0"/>
          <w:marRight w:val="0"/>
          <w:marTop w:val="0"/>
          <w:marBottom w:val="0"/>
          <w:divBdr>
            <w:top w:val="none" w:sz="0" w:space="0" w:color="auto"/>
            <w:left w:val="none" w:sz="0" w:space="0" w:color="auto"/>
            <w:bottom w:val="none" w:sz="0" w:space="0" w:color="auto"/>
            <w:right w:val="none" w:sz="0" w:space="0" w:color="auto"/>
          </w:divBdr>
        </w:div>
      </w:divsChild>
    </w:div>
    <w:div w:id="1563448068">
      <w:marLeft w:val="4"/>
      <w:marRight w:val="0"/>
      <w:marTop w:val="120"/>
      <w:marBottom w:val="0"/>
      <w:divBdr>
        <w:top w:val="none" w:sz="0" w:space="0" w:color="auto"/>
        <w:left w:val="none" w:sz="0" w:space="0" w:color="auto"/>
        <w:bottom w:val="none" w:sz="0" w:space="0" w:color="auto"/>
        <w:right w:val="none" w:sz="0" w:space="0" w:color="auto"/>
      </w:divBdr>
      <w:divsChild>
        <w:div w:id="1330140125">
          <w:marLeft w:val="0"/>
          <w:marRight w:val="0"/>
          <w:marTop w:val="0"/>
          <w:marBottom w:val="0"/>
          <w:divBdr>
            <w:top w:val="none" w:sz="0" w:space="0" w:color="auto"/>
            <w:left w:val="none" w:sz="0" w:space="0" w:color="auto"/>
            <w:bottom w:val="none" w:sz="0" w:space="0" w:color="auto"/>
            <w:right w:val="none" w:sz="0" w:space="0" w:color="auto"/>
          </w:divBdr>
        </w:div>
      </w:divsChild>
    </w:div>
    <w:div w:id="1566913964">
      <w:marLeft w:val="4"/>
      <w:marRight w:val="0"/>
      <w:marTop w:val="120"/>
      <w:marBottom w:val="0"/>
      <w:divBdr>
        <w:top w:val="none" w:sz="0" w:space="0" w:color="auto"/>
        <w:left w:val="none" w:sz="0" w:space="0" w:color="auto"/>
        <w:bottom w:val="none" w:sz="0" w:space="0" w:color="auto"/>
        <w:right w:val="none" w:sz="0" w:space="0" w:color="auto"/>
      </w:divBdr>
      <w:divsChild>
        <w:div w:id="1721131194">
          <w:marLeft w:val="0"/>
          <w:marRight w:val="0"/>
          <w:marTop w:val="0"/>
          <w:marBottom w:val="0"/>
          <w:divBdr>
            <w:top w:val="none" w:sz="0" w:space="0" w:color="auto"/>
            <w:left w:val="none" w:sz="0" w:space="0" w:color="auto"/>
            <w:bottom w:val="none" w:sz="0" w:space="0" w:color="auto"/>
            <w:right w:val="none" w:sz="0" w:space="0" w:color="auto"/>
          </w:divBdr>
        </w:div>
      </w:divsChild>
    </w:div>
    <w:div w:id="1569998662">
      <w:marLeft w:val="4"/>
      <w:marRight w:val="0"/>
      <w:marTop w:val="120"/>
      <w:marBottom w:val="0"/>
      <w:divBdr>
        <w:top w:val="none" w:sz="0" w:space="0" w:color="auto"/>
        <w:left w:val="none" w:sz="0" w:space="0" w:color="auto"/>
        <w:bottom w:val="none" w:sz="0" w:space="0" w:color="auto"/>
        <w:right w:val="none" w:sz="0" w:space="0" w:color="auto"/>
      </w:divBdr>
      <w:divsChild>
        <w:div w:id="612904525">
          <w:marLeft w:val="0"/>
          <w:marRight w:val="0"/>
          <w:marTop w:val="0"/>
          <w:marBottom w:val="0"/>
          <w:divBdr>
            <w:top w:val="none" w:sz="0" w:space="0" w:color="auto"/>
            <w:left w:val="none" w:sz="0" w:space="0" w:color="auto"/>
            <w:bottom w:val="none" w:sz="0" w:space="0" w:color="auto"/>
            <w:right w:val="none" w:sz="0" w:space="0" w:color="auto"/>
          </w:divBdr>
        </w:div>
      </w:divsChild>
    </w:div>
    <w:div w:id="1573270104">
      <w:marLeft w:val="4"/>
      <w:marRight w:val="0"/>
      <w:marTop w:val="120"/>
      <w:marBottom w:val="0"/>
      <w:divBdr>
        <w:top w:val="none" w:sz="0" w:space="0" w:color="auto"/>
        <w:left w:val="none" w:sz="0" w:space="0" w:color="auto"/>
        <w:bottom w:val="none" w:sz="0" w:space="0" w:color="auto"/>
        <w:right w:val="none" w:sz="0" w:space="0" w:color="auto"/>
      </w:divBdr>
      <w:divsChild>
        <w:div w:id="91708468">
          <w:marLeft w:val="0"/>
          <w:marRight w:val="0"/>
          <w:marTop w:val="0"/>
          <w:marBottom w:val="0"/>
          <w:divBdr>
            <w:top w:val="none" w:sz="0" w:space="0" w:color="auto"/>
            <w:left w:val="none" w:sz="0" w:space="0" w:color="auto"/>
            <w:bottom w:val="none" w:sz="0" w:space="0" w:color="auto"/>
            <w:right w:val="none" w:sz="0" w:space="0" w:color="auto"/>
          </w:divBdr>
        </w:div>
      </w:divsChild>
    </w:div>
    <w:div w:id="1582325199">
      <w:marLeft w:val="0"/>
      <w:marRight w:val="0"/>
      <w:marTop w:val="0"/>
      <w:marBottom w:val="0"/>
      <w:divBdr>
        <w:top w:val="none" w:sz="0" w:space="0" w:color="auto"/>
        <w:left w:val="none" w:sz="0" w:space="0" w:color="auto"/>
        <w:bottom w:val="none" w:sz="0" w:space="0" w:color="auto"/>
        <w:right w:val="none" w:sz="0" w:space="0" w:color="auto"/>
      </w:divBdr>
      <w:divsChild>
        <w:div w:id="1761370611">
          <w:marLeft w:val="0"/>
          <w:marRight w:val="0"/>
          <w:marTop w:val="0"/>
          <w:marBottom w:val="0"/>
          <w:divBdr>
            <w:top w:val="none" w:sz="0" w:space="0" w:color="auto"/>
            <w:left w:val="none" w:sz="0" w:space="0" w:color="auto"/>
            <w:bottom w:val="none" w:sz="0" w:space="0" w:color="auto"/>
            <w:right w:val="none" w:sz="0" w:space="0" w:color="auto"/>
          </w:divBdr>
        </w:div>
        <w:div w:id="1333600903">
          <w:marLeft w:val="0"/>
          <w:marRight w:val="0"/>
          <w:marTop w:val="0"/>
          <w:marBottom w:val="0"/>
          <w:divBdr>
            <w:top w:val="none" w:sz="0" w:space="0" w:color="auto"/>
            <w:left w:val="none" w:sz="0" w:space="0" w:color="auto"/>
            <w:bottom w:val="none" w:sz="0" w:space="0" w:color="auto"/>
            <w:right w:val="none" w:sz="0" w:space="0" w:color="auto"/>
          </w:divBdr>
        </w:div>
        <w:div w:id="1412656311">
          <w:marLeft w:val="0"/>
          <w:marRight w:val="0"/>
          <w:marTop w:val="0"/>
          <w:marBottom w:val="0"/>
          <w:divBdr>
            <w:top w:val="none" w:sz="0" w:space="0" w:color="auto"/>
            <w:left w:val="none" w:sz="0" w:space="0" w:color="auto"/>
            <w:bottom w:val="none" w:sz="0" w:space="0" w:color="auto"/>
            <w:right w:val="none" w:sz="0" w:space="0" w:color="auto"/>
          </w:divBdr>
        </w:div>
      </w:divsChild>
    </w:div>
    <w:div w:id="1591355010">
      <w:marLeft w:val="4"/>
      <w:marRight w:val="0"/>
      <w:marTop w:val="120"/>
      <w:marBottom w:val="0"/>
      <w:divBdr>
        <w:top w:val="none" w:sz="0" w:space="0" w:color="auto"/>
        <w:left w:val="none" w:sz="0" w:space="0" w:color="auto"/>
        <w:bottom w:val="none" w:sz="0" w:space="0" w:color="auto"/>
        <w:right w:val="none" w:sz="0" w:space="0" w:color="auto"/>
      </w:divBdr>
      <w:divsChild>
        <w:div w:id="1542283673">
          <w:marLeft w:val="0"/>
          <w:marRight w:val="0"/>
          <w:marTop w:val="0"/>
          <w:marBottom w:val="0"/>
          <w:divBdr>
            <w:top w:val="none" w:sz="0" w:space="0" w:color="auto"/>
            <w:left w:val="none" w:sz="0" w:space="0" w:color="auto"/>
            <w:bottom w:val="none" w:sz="0" w:space="0" w:color="auto"/>
            <w:right w:val="none" w:sz="0" w:space="0" w:color="auto"/>
          </w:divBdr>
        </w:div>
      </w:divsChild>
    </w:div>
    <w:div w:id="1592621453">
      <w:marLeft w:val="4"/>
      <w:marRight w:val="0"/>
      <w:marTop w:val="120"/>
      <w:marBottom w:val="0"/>
      <w:divBdr>
        <w:top w:val="none" w:sz="0" w:space="0" w:color="auto"/>
        <w:left w:val="none" w:sz="0" w:space="0" w:color="auto"/>
        <w:bottom w:val="none" w:sz="0" w:space="0" w:color="auto"/>
        <w:right w:val="none" w:sz="0" w:space="0" w:color="auto"/>
      </w:divBdr>
      <w:divsChild>
        <w:div w:id="161746807">
          <w:marLeft w:val="0"/>
          <w:marRight w:val="0"/>
          <w:marTop w:val="0"/>
          <w:marBottom w:val="0"/>
          <w:divBdr>
            <w:top w:val="none" w:sz="0" w:space="0" w:color="auto"/>
            <w:left w:val="none" w:sz="0" w:space="0" w:color="auto"/>
            <w:bottom w:val="none" w:sz="0" w:space="0" w:color="auto"/>
            <w:right w:val="none" w:sz="0" w:space="0" w:color="auto"/>
          </w:divBdr>
        </w:div>
      </w:divsChild>
    </w:div>
    <w:div w:id="1600143396">
      <w:marLeft w:val="4"/>
      <w:marRight w:val="0"/>
      <w:marTop w:val="120"/>
      <w:marBottom w:val="0"/>
      <w:divBdr>
        <w:top w:val="none" w:sz="0" w:space="0" w:color="auto"/>
        <w:left w:val="none" w:sz="0" w:space="0" w:color="auto"/>
        <w:bottom w:val="none" w:sz="0" w:space="0" w:color="auto"/>
        <w:right w:val="none" w:sz="0" w:space="0" w:color="auto"/>
      </w:divBdr>
      <w:divsChild>
        <w:div w:id="3674739">
          <w:marLeft w:val="0"/>
          <w:marRight w:val="0"/>
          <w:marTop w:val="0"/>
          <w:marBottom w:val="0"/>
          <w:divBdr>
            <w:top w:val="none" w:sz="0" w:space="0" w:color="auto"/>
            <w:left w:val="none" w:sz="0" w:space="0" w:color="auto"/>
            <w:bottom w:val="none" w:sz="0" w:space="0" w:color="auto"/>
            <w:right w:val="none" w:sz="0" w:space="0" w:color="auto"/>
          </w:divBdr>
        </w:div>
      </w:divsChild>
    </w:div>
    <w:div w:id="1602375520">
      <w:marLeft w:val="4"/>
      <w:marRight w:val="0"/>
      <w:marTop w:val="120"/>
      <w:marBottom w:val="0"/>
      <w:divBdr>
        <w:top w:val="none" w:sz="0" w:space="0" w:color="auto"/>
        <w:left w:val="none" w:sz="0" w:space="0" w:color="auto"/>
        <w:bottom w:val="none" w:sz="0" w:space="0" w:color="auto"/>
        <w:right w:val="none" w:sz="0" w:space="0" w:color="auto"/>
      </w:divBdr>
      <w:divsChild>
        <w:div w:id="1095713015">
          <w:marLeft w:val="0"/>
          <w:marRight w:val="0"/>
          <w:marTop w:val="0"/>
          <w:marBottom w:val="0"/>
          <w:divBdr>
            <w:top w:val="none" w:sz="0" w:space="0" w:color="auto"/>
            <w:left w:val="none" w:sz="0" w:space="0" w:color="auto"/>
            <w:bottom w:val="none" w:sz="0" w:space="0" w:color="auto"/>
            <w:right w:val="none" w:sz="0" w:space="0" w:color="auto"/>
          </w:divBdr>
        </w:div>
      </w:divsChild>
    </w:div>
    <w:div w:id="1607424057">
      <w:marLeft w:val="4"/>
      <w:marRight w:val="0"/>
      <w:marTop w:val="120"/>
      <w:marBottom w:val="0"/>
      <w:divBdr>
        <w:top w:val="none" w:sz="0" w:space="0" w:color="auto"/>
        <w:left w:val="none" w:sz="0" w:space="0" w:color="auto"/>
        <w:bottom w:val="none" w:sz="0" w:space="0" w:color="auto"/>
        <w:right w:val="none" w:sz="0" w:space="0" w:color="auto"/>
      </w:divBdr>
      <w:divsChild>
        <w:div w:id="1398094034">
          <w:marLeft w:val="0"/>
          <w:marRight w:val="0"/>
          <w:marTop w:val="0"/>
          <w:marBottom w:val="0"/>
          <w:divBdr>
            <w:top w:val="none" w:sz="0" w:space="0" w:color="auto"/>
            <w:left w:val="none" w:sz="0" w:space="0" w:color="auto"/>
            <w:bottom w:val="none" w:sz="0" w:space="0" w:color="auto"/>
            <w:right w:val="none" w:sz="0" w:space="0" w:color="auto"/>
          </w:divBdr>
        </w:div>
      </w:divsChild>
    </w:div>
    <w:div w:id="1611401133">
      <w:marLeft w:val="4"/>
      <w:marRight w:val="0"/>
      <w:marTop w:val="120"/>
      <w:marBottom w:val="0"/>
      <w:divBdr>
        <w:top w:val="none" w:sz="0" w:space="0" w:color="auto"/>
        <w:left w:val="none" w:sz="0" w:space="0" w:color="auto"/>
        <w:bottom w:val="none" w:sz="0" w:space="0" w:color="auto"/>
        <w:right w:val="none" w:sz="0" w:space="0" w:color="auto"/>
      </w:divBdr>
      <w:divsChild>
        <w:div w:id="1819953079">
          <w:marLeft w:val="0"/>
          <w:marRight w:val="0"/>
          <w:marTop w:val="0"/>
          <w:marBottom w:val="0"/>
          <w:divBdr>
            <w:top w:val="none" w:sz="0" w:space="0" w:color="auto"/>
            <w:left w:val="none" w:sz="0" w:space="0" w:color="auto"/>
            <w:bottom w:val="none" w:sz="0" w:space="0" w:color="auto"/>
            <w:right w:val="none" w:sz="0" w:space="0" w:color="auto"/>
          </w:divBdr>
        </w:div>
      </w:divsChild>
    </w:div>
    <w:div w:id="1614555709">
      <w:marLeft w:val="4"/>
      <w:marRight w:val="0"/>
      <w:marTop w:val="120"/>
      <w:marBottom w:val="0"/>
      <w:divBdr>
        <w:top w:val="none" w:sz="0" w:space="0" w:color="auto"/>
        <w:left w:val="none" w:sz="0" w:space="0" w:color="auto"/>
        <w:bottom w:val="none" w:sz="0" w:space="0" w:color="auto"/>
        <w:right w:val="none" w:sz="0" w:space="0" w:color="auto"/>
      </w:divBdr>
      <w:divsChild>
        <w:div w:id="210656638">
          <w:marLeft w:val="0"/>
          <w:marRight w:val="0"/>
          <w:marTop w:val="0"/>
          <w:marBottom w:val="0"/>
          <w:divBdr>
            <w:top w:val="none" w:sz="0" w:space="0" w:color="auto"/>
            <w:left w:val="none" w:sz="0" w:space="0" w:color="auto"/>
            <w:bottom w:val="none" w:sz="0" w:space="0" w:color="auto"/>
            <w:right w:val="none" w:sz="0" w:space="0" w:color="auto"/>
          </w:divBdr>
        </w:div>
      </w:divsChild>
    </w:div>
    <w:div w:id="1626542423">
      <w:marLeft w:val="4"/>
      <w:marRight w:val="0"/>
      <w:marTop w:val="120"/>
      <w:marBottom w:val="0"/>
      <w:divBdr>
        <w:top w:val="none" w:sz="0" w:space="0" w:color="auto"/>
        <w:left w:val="none" w:sz="0" w:space="0" w:color="auto"/>
        <w:bottom w:val="none" w:sz="0" w:space="0" w:color="auto"/>
        <w:right w:val="none" w:sz="0" w:space="0" w:color="auto"/>
      </w:divBdr>
      <w:divsChild>
        <w:div w:id="277570129">
          <w:marLeft w:val="0"/>
          <w:marRight w:val="0"/>
          <w:marTop w:val="0"/>
          <w:marBottom w:val="0"/>
          <w:divBdr>
            <w:top w:val="none" w:sz="0" w:space="0" w:color="auto"/>
            <w:left w:val="none" w:sz="0" w:space="0" w:color="auto"/>
            <w:bottom w:val="none" w:sz="0" w:space="0" w:color="auto"/>
            <w:right w:val="none" w:sz="0" w:space="0" w:color="auto"/>
          </w:divBdr>
        </w:div>
      </w:divsChild>
    </w:div>
    <w:div w:id="1627076569">
      <w:marLeft w:val="4"/>
      <w:marRight w:val="0"/>
      <w:marTop w:val="120"/>
      <w:marBottom w:val="0"/>
      <w:divBdr>
        <w:top w:val="none" w:sz="0" w:space="0" w:color="auto"/>
        <w:left w:val="none" w:sz="0" w:space="0" w:color="auto"/>
        <w:bottom w:val="none" w:sz="0" w:space="0" w:color="auto"/>
        <w:right w:val="none" w:sz="0" w:space="0" w:color="auto"/>
      </w:divBdr>
      <w:divsChild>
        <w:div w:id="582110399">
          <w:marLeft w:val="0"/>
          <w:marRight w:val="0"/>
          <w:marTop w:val="0"/>
          <w:marBottom w:val="0"/>
          <w:divBdr>
            <w:top w:val="none" w:sz="0" w:space="0" w:color="auto"/>
            <w:left w:val="none" w:sz="0" w:space="0" w:color="auto"/>
            <w:bottom w:val="none" w:sz="0" w:space="0" w:color="auto"/>
            <w:right w:val="none" w:sz="0" w:space="0" w:color="auto"/>
          </w:divBdr>
        </w:div>
      </w:divsChild>
    </w:div>
    <w:div w:id="1637250164">
      <w:marLeft w:val="4"/>
      <w:marRight w:val="0"/>
      <w:marTop w:val="120"/>
      <w:marBottom w:val="0"/>
      <w:divBdr>
        <w:top w:val="none" w:sz="0" w:space="0" w:color="auto"/>
        <w:left w:val="none" w:sz="0" w:space="0" w:color="auto"/>
        <w:bottom w:val="none" w:sz="0" w:space="0" w:color="auto"/>
        <w:right w:val="none" w:sz="0" w:space="0" w:color="auto"/>
      </w:divBdr>
      <w:divsChild>
        <w:div w:id="996803423">
          <w:marLeft w:val="0"/>
          <w:marRight w:val="0"/>
          <w:marTop w:val="0"/>
          <w:marBottom w:val="0"/>
          <w:divBdr>
            <w:top w:val="none" w:sz="0" w:space="0" w:color="auto"/>
            <w:left w:val="none" w:sz="0" w:space="0" w:color="auto"/>
            <w:bottom w:val="none" w:sz="0" w:space="0" w:color="auto"/>
            <w:right w:val="none" w:sz="0" w:space="0" w:color="auto"/>
          </w:divBdr>
        </w:div>
      </w:divsChild>
    </w:div>
    <w:div w:id="1641499786">
      <w:marLeft w:val="4"/>
      <w:marRight w:val="0"/>
      <w:marTop w:val="120"/>
      <w:marBottom w:val="0"/>
      <w:divBdr>
        <w:top w:val="none" w:sz="0" w:space="0" w:color="auto"/>
        <w:left w:val="none" w:sz="0" w:space="0" w:color="auto"/>
        <w:bottom w:val="none" w:sz="0" w:space="0" w:color="auto"/>
        <w:right w:val="none" w:sz="0" w:space="0" w:color="auto"/>
      </w:divBdr>
      <w:divsChild>
        <w:div w:id="1387533990">
          <w:marLeft w:val="0"/>
          <w:marRight w:val="0"/>
          <w:marTop w:val="0"/>
          <w:marBottom w:val="0"/>
          <w:divBdr>
            <w:top w:val="none" w:sz="0" w:space="0" w:color="auto"/>
            <w:left w:val="none" w:sz="0" w:space="0" w:color="auto"/>
            <w:bottom w:val="none" w:sz="0" w:space="0" w:color="auto"/>
            <w:right w:val="none" w:sz="0" w:space="0" w:color="auto"/>
          </w:divBdr>
        </w:div>
      </w:divsChild>
    </w:div>
    <w:div w:id="1650330488">
      <w:marLeft w:val="4"/>
      <w:marRight w:val="0"/>
      <w:marTop w:val="120"/>
      <w:marBottom w:val="0"/>
      <w:divBdr>
        <w:top w:val="none" w:sz="0" w:space="0" w:color="auto"/>
        <w:left w:val="none" w:sz="0" w:space="0" w:color="auto"/>
        <w:bottom w:val="none" w:sz="0" w:space="0" w:color="auto"/>
        <w:right w:val="none" w:sz="0" w:space="0" w:color="auto"/>
      </w:divBdr>
      <w:divsChild>
        <w:div w:id="702632875">
          <w:marLeft w:val="0"/>
          <w:marRight w:val="0"/>
          <w:marTop w:val="0"/>
          <w:marBottom w:val="0"/>
          <w:divBdr>
            <w:top w:val="none" w:sz="0" w:space="0" w:color="auto"/>
            <w:left w:val="none" w:sz="0" w:space="0" w:color="auto"/>
            <w:bottom w:val="none" w:sz="0" w:space="0" w:color="auto"/>
            <w:right w:val="none" w:sz="0" w:space="0" w:color="auto"/>
          </w:divBdr>
        </w:div>
      </w:divsChild>
    </w:div>
    <w:div w:id="1650597944">
      <w:marLeft w:val="4"/>
      <w:marRight w:val="0"/>
      <w:marTop w:val="120"/>
      <w:marBottom w:val="0"/>
      <w:divBdr>
        <w:top w:val="none" w:sz="0" w:space="0" w:color="auto"/>
        <w:left w:val="none" w:sz="0" w:space="0" w:color="auto"/>
        <w:bottom w:val="none" w:sz="0" w:space="0" w:color="auto"/>
        <w:right w:val="none" w:sz="0" w:space="0" w:color="auto"/>
      </w:divBdr>
      <w:divsChild>
        <w:div w:id="1806391888">
          <w:marLeft w:val="0"/>
          <w:marRight w:val="0"/>
          <w:marTop w:val="0"/>
          <w:marBottom w:val="0"/>
          <w:divBdr>
            <w:top w:val="none" w:sz="0" w:space="0" w:color="auto"/>
            <w:left w:val="none" w:sz="0" w:space="0" w:color="auto"/>
            <w:bottom w:val="none" w:sz="0" w:space="0" w:color="auto"/>
            <w:right w:val="none" w:sz="0" w:space="0" w:color="auto"/>
          </w:divBdr>
        </w:div>
      </w:divsChild>
    </w:div>
    <w:div w:id="1651444327">
      <w:marLeft w:val="4"/>
      <w:marRight w:val="0"/>
      <w:marTop w:val="120"/>
      <w:marBottom w:val="0"/>
      <w:divBdr>
        <w:top w:val="none" w:sz="0" w:space="0" w:color="auto"/>
        <w:left w:val="none" w:sz="0" w:space="0" w:color="auto"/>
        <w:bottom w:val="none" w:sz="0" w:space="0" w:color="auto"/>
        <w:right w:val="none" w:sz="0" w:space="0" w:color="auto"/>
      </w:divBdr>
      <w:divsChild>
        <w:div w:id="2013603962">
          <w:marLeft w:val="0"/>
          <w:marRight w:val="0"/>
          <w:marTop w:val="0"/>
          <w:marBottom w:val="0"/>
          <w:divBdr>
            <w:top w:val="none" w:sz="0" w:space="0" w:color="auto"/>
            <w:left w:val="none" w:sz="0" w:space="0" w:color="auto"/>
            <w:bottom w:val="none" w:sz="0" w:space="0" w:color="auto"/>
            <w:right w:val="none" w:sz="0" w:space="0" w:color="auto"/>
          </w:divBdr>
        </w:div>
      </w:divsChild>
    </w:div>
    <w:div w:id="1727294125">
      <w:marLeft w:val="4"/>
      <w:marRight w:val="0"/>
      <w:marTop w:val="120"/>
      <w:marBottom w:val="0"/>
      <w:divBdr>
        <w:top w:val="none" w:sz="0" w:space="0" w:color="auto"/>
        <w:left w:val="none" w:sz="0" w:space="0" w:color="auto"/>
        <w:bottom w:val="none" w:sz="0" w:space="0" w:color="auto"/>
        <w:right w:val="none" w:sz="0" w:space="0" w:color="auto"/>
      </w:divBdr>
      <w:divsChild>
        <w:div w:id="1938366392">
          <w:marLeft w:val="0"/>
          <w:marRight w:val="0"/>
          <w:marTop w:val="0"/>
          <w:marBottom w:val="0"/>
          <w:divBdr>
            <w:top w:val="none" w:sz="0" w:space="0" w:color="auto"/>
            <w:left w:val="none" w:sz="0" w:space="0" w:color="auto"/>
            <w:bottom w:val="none" w:sz="0" w:space="0" w:color="auto"/>
            <w:right w:val="none" w:sz="0" w:space="0" w:color="auto"/>
          </w:divBdr>
        </w:div>
      </w:divsChild>
    </w:div>
    <w:div w:id="1731924464">
      <w:marLeft w:val="4"/>
      <w:marRight w:val="0"/>
      <w:marTop w:val="120"/>
      <w:marBottom w:val="0"/>
      <w:divBdr>
        <w:top w:val="none" w:sz="0" w:space="0" w:color="auto"/>
        <w:left w:val="none" w:sz="0" w:space="0" w:color="auto"/>
        <w:bottom w:val="none" w:sz="0" w:space="0" w:color="auto"/>
        <w:right w:val="none" w:sz="0" w:space="0" w:color="auto"/>
      </w:divBdr>
      <w:divsChild>
        <w:div w:id="822311951">
          <w:marLeft w:val="0"/>
          <w:marRight w:val="0"/>
          <w:marTop w:val="0"/>
          <w:marBottom w:val="0"/>
          <w:divBdr>
            <w:top w:val="none" w:sz="0" w:space="0" w:color="auto"/>
            <w:left w:val="none" w:sz="0" w:space="0" w:color="auto"/>
            <w:bottom w:val="none" w:sz="0" w:space="0" w:color="auto"/>
            <w:right w:val="none" w:sz="0" w:space="0" w:color="auto"/>
          </w:divBdr>
        </w:div>
      </w:divsChild>
    </w:div>
    <w:div w:id="1734234101">
      <w:marLeft w:val="4"/>
      <w:marRight w:val="0"/>
      <w:marTop w:val="120"/>
      <w:marBottom w:val="0"/>
      <w:divBdr>
        <w:top w:val="none" w:sz="0" w:space="0" w:color="auto"/>
        <w:left w:val="none" w:sz="0" w:space="0" w:color="auto"/>
        <w:bottom w:val="none" w:sz="0" w:space="0" w:color="auto"/>
        <w:right w:val="none" w:sz="0" w:space="0" w:color="auto"/>
      </w:divBdr>
      <w:divsChild>
        <w:div w:id="230115622">
          <w:marLeft w:val="0"/>
          <w:marRight w:val="0"/>
          <w:marTop w:val="0"/>
          <w:marBottom w:val="0"/>
          <w:divBdr>
            <w:top w:val="none" w:sz="0" w:space="0" w:color="auto"/>
            <w:left w:val="none" w:sz="0" w:space="0" w:color="auto"/>
            <w:bottom w:val="none" w:sz="0" w:space="0" w:color="auto"/>
            <w:right w:val="none" w:sz="0" w:space="0" w:color="auto"/>
          </w:divBdr>
        </w:div>
      </w:divsChild>
    </w:div>
    <w:div w:id="1737780531">
      <w:marLeft w:val="4"/>
      <w:marRight w:val="0"/>
      <w:marTop w:val="120"/>
      <w:marBottom w:val="0"/>
      <w:divBdr>
        <w:top w:val="none" w:sz="0" w:space="0" w:color="auto"/>
        <w:left w:val="none" w:sz="0" w:space="0" w:color="auto"/>
        <w:bottom w:val="none" w:sz="0" w:space="0" w:color="auto"/>
        <w:right w:val="none" w:sz="0" w:space="0" w:color="auto"/>
      </w:divBdr>
      <w:divsChild>
        <w:div w:id="1959557284">
          <w:marLeft w:val="0"/>
          <w:marRight w:val="0"/>
          <w:marTop w:val="0"/>
          <w:marBottom w:val="0"/>
          <w:divBdr>
            <w:top w:val="none" w:sz="0" w:space="0" w:color="auto"/>
            <w:left w:val="none" w:sz="0" w:space="0" w:color="auto"/>
            <w:bottom w:val="none" w:sz="0" w:space="0" w:color="auto"/>
            <w:right w:val="none" w:sz="0" w:space="0" w:color="auto"/>
          </w:divBdr>
        </w:div>
      </w:divsChild>
    </w:div>
    <w:div w:id="1743403382">
      <w:marLeft w:val="4"/>
      <w:marRight w:val="0"/>
      <w:marTop w:val="120"/>
      <w:marBottom w:val="0"/>
      <w:divBdr>
        <w:top w:val="none" w:sz="0" w:space="0" w:color="auto"/>
        <w:left w:val="none" w:sz="0" w:space="0" w:color="auto"/>
        <w:bottom w:val="none" w:sz="0" w:space="0" w:color="auto"/>
        <w:right w:val="none" w:sz="0" w:space="0" w:color="auto"/>
      </w:divBdr>
      <w:divsChild>
        <w:div w:id="1426458544">
          <w:marLeft w:val="0"/>
          <w:marRight w:val="0"/>
          <w:marTop w:val="0"/>
          <w:marBottom w:val="0"/>
          <w:divBdr>
            <w:top w:val="none" w:sz="0" w:space="0" w:color="auto"/>
            <w:left w:val="none" w:sz="0" w:space="0" w:color="auto"/>
            <w:bottom w:val="none" w:sz="0" w:space="0" w:color="auto"/>
            <w:right w:val="none" w:sz="0" w:space="0" w:color="auto"/>
          </w:divBdr>
        </w:div>
      </w:divsChild>
    </w:div>
    <w:div w:id="1749158430">
      <w:marLeft w:val="4"/>
      <w:marRight w:val="0"/>
      <w:marTop w:val="0"/>
      <w:marBottom w:val="0"/>
      <w:divBdr>
        <w:top w:val="none" w:sz="0" w:space="0" w:color="auto"/>
        <w:left w:val="none" w:sz="0" w:space="0" w:color="auto"/>
        <w:bottom w:val="none" w:sz="0" w:space="0" w:color="auto"/>
        <w:right w:val="none" w:sz="0" w:space="0" w:color="auto"/>
      </w:divBdr>
      <w:divsChild>
        <w:div w:id="410203823">
          <w:marLeft w:val="0"/>
          <w:marRight w:val="0"/>
          <w:marTop w:val="0"/>
          <w:marBottom w:val="0"/>
          <w:divBdr>
            <w:top w:val="none" w:sz="0" w:space="0" w:color="auto"/>
            <w:left w:val="none" w:sz="0" w:space="0" w:color="auto"/>
            <w:bottom w:val="none" w:sz="0" w:space="0" w:color="auto"/>
            <w:right w:val="none" w:sz="0" w:space="0" w:color="auto"/>
          </w:divBdr>
        </w:div>
      </w:divsChild>
    </w:div>
    <w:div w:id="1754886306">
      <w:marLeft w:val="0"/>
      <w:marRight w:val="0"/>
      <w:marTop w:val="0"/>
      <w:marBottom w:val="0"/>
      <w:divBdr>
        <w:top w:val="none" w:sz="0" w:space="0" w:color="auto"/>
        <w:left w:val="none" w:sz="0" w:space="0" w:color="auto"/>
        <w:bottom w:val="none" w:sz="0" w:space="0" w:color="auto"/>
        <w:right w:val="none" w:sz="0" w:space="0" w:color="auto"/>
      </w:divBdr>
      <w:divsChild>
        <w:div w:id="1435436500">
          <w:marLeft w:val="0"/>
          <w:marRight w:val="0"/>
          <w:marTop w:val="0"/>
          <w:marBottom w:val="0"/>
          <w:divBdr>
            <w:top w:val="none" w:sz="0" w:space="0" w:color="auto"/>
            <w:left w:val="none" w:sz="0" w:space="0" w:color="auto"/>
            <w:bottom w:val="none" w:sz="0" w:space="0" w:color="auto"/>
            <w:right w:val="none" w:sz="0" w:space="0" w:color="auto"/>
          </w:divBdr>
        </w:div>
        <w:div w:id="712732407">
          <w:marLeft w:val="0"/>
          <w:marRight w:val="0"/>
          <w:marTop w:val="0"/>
          <w:marBottom w:val="0"/>
          <w:divBdr>
            <w:top w:val="none" w:sz="0" w:space="0" w:color="auto"/>
            <w:left w:val="none" w:sz="0" w:space="0" w:color="auto"/>
            <w:bottom w:val="none" w:sz="0" w:space="0" w:color="auto"/>
            <w:right w:val="none" w:sz="0" w:space="0" w:color="auto"/>
          </w:divBdr>
        </w:div>
        <w:div w:id="786848085">
          <w:marLeft w:val="0"/>
          <w:marRight w:val="0"/>
          <w:marTop w:val="0"/>
          <w:marBottom w:val="0"/>
          <w:divBdr>
            <w:top w:val="none" w:sz="0" w:space="0" w:color="auto"/>
            <w:left w:val="none" w:sz="0" w:space="0" w:color="auto"/>
            <w:bottom w:val="none" w:sz="0" w:space="0" w:color="auto"/>
            <w:right w:val="none" w:sz="0" w:space="0" w:color="auto"/>
          </w:divBdr>
        </w:div>
        <w:div w:id="902180468">
          <w:marLeft w:val="0"/>
          <w:marRight w:val="0"/>
          <w:marTop w:val="0"/>
          <w:marBottom w:val="0"/>
          <w:divBdr>
            <w:top w:val="none" w:sz="0" w:space="0" w:color="auto"/>
            <w:left w:val="none" w:sz="0" w:space="0" w:color="auto"/>
            <w:bottom w:val="none" w:sz="0" w:space="0" w:color="auto"/>
            <w:right w:val="none" w:sz="0" w:space="0" w:color="auto"/>
          </w:divBdr>
        </w:div>
        <w:div w:id="1086342216">
          <w:marLeft w:val="0"/>
          <w:marRight w:val="0"/>
          <w:marTop w:val="0"/>
          <w:marBottom w:val="0"/>
          <w:divBdr>
            <w:top w:val="none" w:sz="0" w:space="0" w:color="auto"/>
            <w:left w:val="none" w:sz="0" w:space="0" w:color="auto"/>
            <w:bottom w:val="none" w:sz="0" w:space="0" w:color="auto"/>
            <w:right w:val="none" w:sz="0" w:space="0" w:color="auto"/>
          </w:divBdr>
        </w:div>
        <w:div w:id="398328025">
          <w:marLeft w:val="0"/>
          <w:marRight w:val="0"/>
          <w:marTop w:val="0"/>
          <w:marBottom w:val="0"/>
          <w:divBdr>
            <w:top w:val="none" w:sz="0" w:space="0" w:color="auto"/>
            <w:left w:val="none" w:sz="0" w:space="0" w:color="auto"/>
            <w:bottom w:val="none" w:sz="0" w:space="0" w:color="auto"/>
            <w:right w:val="none" w:sz="0" w:space="0" w:color="auto"/>
          </w:divBdr>
        </w:div>
        <w:div w:id="333147032">
          <w:marLeft w:val="0"/>
          <w:marRight w:val="0"/>
          <w:marTop w:val="0"/>
          <w:marBottom w:val="0"/>
          <w:divBdr>
            <w:top w:val="none" w:sz="0" w:space="0" w:color="auto"/>
            <w:left w:val="none" w:sz="0" w:space="0" w:color="auto"/>
            <w:bottom w:val="none" w:sz="0" w:space="0" w:color="auto"/>
            <w:right w:val="none" w:sz="0" w:space="0" w:color="auto"/>
          </w:divBdr>
        </w:div>
        <w:div w:id="1254822831">
          <w:marLeft w:val="0"/>
          <w:marRight w:val="0"/>
          <w:marTop w:val="0"/>
          <w:marBottom w:val="0"/>
          <w:divBdr>
            <w:top w:val="none" w:sz="0" w:space="0" w:color="auto"/>
            <w:left w:val="none" w:sz="0" w:space="0" w:color="auto"/>
            <w:bottom w:val="none" w:sz="0" w:space="0" w:color="auto"/>
            <w:right w:val="none" w:sz="0" w:space="0" w:color="auto"/>
          </w:divBdr>
        </w:div>
        <w:div w:id="1093210900">
          <w:marLeft w:val="0"/>
          <w:marRight w:val="0"/>
          <w:marTop w:val="0"/>
          <w:marBottom w:val="0"/>
          <w:divBdr>
            <w:top w:val="none" w:sz="0" w:space="0" w:color="auto"/>
            <w:left w:val="none" w:sz="0" w:space="0" w:color="auto"/>
            <w:bottom w:val="none" w:sz="0" w:space="0" w:color="auto"/>
            <w:right w:val="none" w:sz="0" w:space="0" w:color="auto"/>
          </w:divBdr>
        </w:div>
        <w:div w:id="2051761951">
          <w:marLeft w:val="0"/>
          <w:marRight w:val="0"/>
          <w:marTop w:val="0"/>
          <w:marBottom w:val="0"/>
          <w:divBdr>
            <w:top w:val="none" w:sz="0" w:space="0" w:color="auto"/>
            <w:left w:val="none" w:sz="0" w:space="0" w:color="auto"/>
            <w:bottom w:val="none" w:sz="0" w:space="0" w:color="auto"/>
            <w:right w:val="none" w:sz="0" w:space="0" w:color="auto"/>
          </w:divBdr>
        </w:div>
        <w:div w:id="946038726">
          <w:marLeft w:val="0"/>
          <w:marRight w:val="0"/>
          <w:marTop w:val="0"/>
          <w:marBottom w:val="0"/>
          <w:divBdr>
            <w:top w:val="none" w:sz="0" w:space="0" w:color="auto"/>
            <w:left w:val="none" w:sz="0" w:space="0" w:color="auto"/>
            <w:bottom w:val="none" w:sz="0" w:space="0" w:color="auto"/>
            <w:right w:val="none" w:sz="0" w:space="0" w:color="auto"/>
          </w:divBdr>
        </w:div>
        <w:div w:id="885265155">
          <w:marLeft w:val="0"/>
          <w:marRight w:val="0"/>
          <w:marTop w:val="0"/>
          <w:marBottom w:val="0"/>
          <w:divBdr>
            <w:top w:val="none" w:sz="0" w:space="0" w:color="auto"/>
            <w:left w:val="none" w:sz="0" w:space="0" w:color="auto"/>
            <w:bottom w:val="none" w:sz="0" w:space="0" w:color="auto"/>
            <w:right w:val="none" w:sz="0" w:space="0" w:color="auto"/>
          </w:divBdr>
        </w:div>
        <w:div w:id="2032562782">
          <w:marLeft w:val="0"/>
          <w:marRight w:val="0"/>
          <w:marTop w:val="0"/>
          <w:marBottom w:val="0"/>
          <w:divBdr>
            <w:top w:val="none" w:sz="0" w:space="0" w:color="auto"/>
            <w:left w:val="none" w:sz="0" w:space="0" w:color="auto"/>
            <w:bottom w:val="none" w:sz="0" w:space="0" w:color="auto"/>
            <w:right w:val="none" w:sz="0" w:space="0" w:color="auto"/>
          </w:divBdr>
        </w:div>
        <w:div w:id="976955687">
          <w:marLeft w:val="0"/>
          <w:marRight w:val="0"/>
          <w:marTop w:val="0"/>
          <w:marBottom w:val="0"/>
          <w:divBdr>
            <w:top w:val="none" w:sz="0" w:space="0" w:color="auto"/>
            <w:left w:val="none" w:sz="0" w:space="0" w:color="auto"/>
            <w:bottom w:val="none" w:sz="0" w:space="0" w:color="auto"/>
            <w:right w:val="none" w:sz="0" w:space="0" w:color="auto"/>
          </w:divBdr>
        </w:div>
        <w:div w:id="1259095197">
          <w:marLeft w:val="0"/>
          <w:marRight w:val="0"/>
          <w:marTop w:val="0"/>
          <w:marBottom w:val="0"/>
          <w:divBdr>
            <w:top w:val="none" w:sz="0" w:space="0" w:color="auto"/>
            <w:left w:val="none" w:sz="0" w:space="0" w:color="auto"/>
            <w:bottom w:val="none" w:sz="0" w:space="0" w:color="auto"/>
            <w:right w:val="none" w:sz="0" w:space="0" w:color="auto"/>
          </w:divBdr>
        </w:div>
        <w:div w:id="1724258000">
          <w:marLeft w:val="0"/>
          <w:marRight w:val="0"/>
          <w:marTop w:val="0"/>
          <w:marBottom w:val="0"/>
          <w:divBdr>
            <w:top w:val="none" w:sz="0" w:space="0" w:color="auto"/>
            <w:left w:val="none" w:sz="0" w:space="0" w:color="auto"/>
            <w:bottom w:val="none" w:sz="0" w:space="0" w:color="auto"/>
            <w:right w:val="none" w:sz="0" w:space="0" w:color="auto"/>
          </w:divBdr>
        </w:div>
        <w:div w:id="138965244">
          <w:marLeft w:val="0"/>
          <w:marRight w:val="0"/>
          <w:marTop w:val="0"/>
          <w:marBottom w:val="0"/>
          <w:divBdr>
            <w:top w:val="none" w:sz="0" w:space="0" w:color="auto"/>
            <w:left w:val="none" w:sz="0" w:space="0" w:color="auto"/>
            <w:bottom w:val="none" w:sz="0" w:space="0" w:color="auto"/>
            <w:right w:val="none" w:sz="0" w:space="0" w:color="auto"/>
          </w:divBdr>
          <w:divsChild>
            <w:div w:id="188295673">
              <w:marLeft w:val="4"/>
              <w:marRight w:val="0"/>
              <w:marTop w:val="120"/>
              <w:marBottom w:val="0"/>
              <w:divBdr>
                <w:top w:val="none" w:sz="0" w:space="0" w:color="auto"/>
                <w:left w:val="none" w:sz="0" w:space="0" w:color="auto"/>
                <w:bottom w:val="none" w:sz="0" w:space="0" w:color="auto"/>
                <w:right w:val="none" w:sz="0" w:space="0" w:color="auto"/>
              </w:divBdr>
              <w:divsChild>
                <w:div w:id="1198740266">
                  <w:marLeft w:val="0"/>
                  <w:marRight w:val="0"/>
                  <w:marTop w:val="0"/>
                  <w:marBottom w:val="0"/>
                  <w:divBdr>
                    <w:top w:val="none" w:sz="0" w:space="0" w:color="auto"/>
                    <w:left w:val="none" w:sz="0" w:space="0" w:color="auto"/>
                    <w:bottom w:val="none" w:sz="0" w:space="0" w:color="auto"/>
                    <w:right w:val="none" w:sz="0" w:space="0" w:color="auto"/>
                  </w:divBdr>
                </w:div>
              </w:divsChild>
            </w:div>
            <w:div w:id="693964199">
              <w:marLeft w:val="4"/>
              <w:marRight w:val="0"/>
              <w:marTop w:val="120"/>
              <w:marBottom w:val="0"/>
              <w:divBdr>
                <w:top w:val="none" w:sz="0" w:space="0" w:color="auto"/>
                <w:left w:val="none" w:sz="0" w:space="0" w:color="auto"/>
                <w:bottom w:val="none" w:sz="0" w:space="0" w:color="auto"/>
                <w:right w:val="none" w:sz="0" w:space="0" w:color="auto"/>
              </w:divBdr>
              <w:divsChild>
                <w:div w:id="986934691">
                  <w:marLeft w:val="0"/>
                  <w:marRight w:val="0"/>
                  <w:marTop w:val="0"/>
                  <w:marBottom w:val="0"/>
                  <w:divBdr>
                    <w:top w:val="none" w:sz="0" w:space="0" w:color="auto"/>
                    <w:left w:val="none" w:sz="0" w:space="0" w:color="auto"/>
                    <w:bottom w:val="none" w:sz="0" w:space="0" w:color="auto"/>
                    <w:right w:val="none" w:sz="0" w:space="0" w:color="auto"/>
                  </w:divBdr>
                </w:div>
              </w:divsChild>
            </w:div>
            <w:div w:id="36009345">
              <w:marLeft w:val="4"/>
              <w:marRight w:val="0"/>
              <w:marTop w:val="120"/>
              <w:marBottom w:val="0"/>
              <w:divBdr>
                <w:top w:val="none" w:sz="0" w:space="0" w:color="auto"/>
                <w:left w:val="none" w:sz="0" w:space="0" w:color="auto"/>
                <w:bottom w:val="none" w:sz="0" w:space="0" w:color="auto"/>
                <w:right w:val="none" w:sz="0" w:space="0" w:color="auto"/>
              </w:divBdr>
              <w:divsChild>
                <w:div w:id="98022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7905">
          <w:marLeft w:val="0"/>
          <w:marRight w:val="0"/>
          <w:marTop w:val="0"/>
          <w:marBottom w:val="0"/>
          <w:divBdr>
            <w:top w:val="none" w:sz="0" w:space="0" w:color="auto"/>
            <w:left w:val="none" w:sz="0" w:space="0" w:color="auto"/>
            <w:bottom w:val="none" w:sz="0" w:space="0" w:color="auto"/>
            <w:right w:val="none" w:sz="0" w:space="0" w:color="auto"/>
          </w:divBdr>
          <w:divsChild>
            <w:div w:id="1031343058">
              <w:marLeft w:val="0"/>
              <w:marRight w:val="0"/>
              <w:marTop w:val="0"/>
              <w:marBottom w:val="0"/>
              <w:divBdr>
                <w:top w:val="none" w:sz="0" w:space="0" w:color="auto"/>
                <w:left w:val="none" w:sz="0" w:space="0" w:color="auto"/>
                <w:bottom w:val="none" w:sz="0" w:space="0" w:color="auto"/>
                <w:right w:val="none" w:sz="0" w:space="0" w:color="auto"/>
              </w:divBdr>
            </w:div>
          </w:divsChild>
        </w:div>
        <w:div w:id="1570457330">
          <w:marLeft w:val="0"/>
          <w:marRight w:val="0"/>
          <w:marTop w:val="0"/>
          <w:marBottom w:val="0"/>
          <w:divBdr>
            <w:top w:val="none" w:sz="0" w:space="0" w:color="auto"/>
            <w:left w:val="none" w:sz="0" w:space="0" w:color="auto"/>
            <w:bottom w:val="none" w:sz="0" w:space="0" w:color="auto"/>
            <w:right w:val="none" w:sz="0" w:space="0" w:color="auto"/>
          </w:divBdr>
        </w:div>
        <w:div w:id="1209805205">
          <w:marLeft w:val="0"/>
          <w:marRight w:val="0"/>
          <w:marTop w:val="0"/>
          <w:marBottom w:val="0"/>
          <w:divBdr>
            <w:top w:val="none" w:sz="0" w:space="0" w:color="auto"/>
            <w:left w:val="none" w:sz="0" w:space="0" w:color="auto"/>
            <w:bottom w:val="none" w:sz="0" w:space="0" w:color="auto"/>
            <w:right w:val="none" w:sz="0" w:space="0" w:color="auto"/>
          </w:divBdr>
        </w:div>
        <w:div w:id="1038624014">
          <w:marLeft w:val="0"/>
          <w:marRight w:val="0"/>
          <w:marTop w:val="0"/>
          <w:marBottom w:val="0"/>
          <w:divBdr>
            <w:top w:val="none" w:sz="0" w:space="0" w:color="auto"/>
            <w:left w:val="none" w:sz="0" w:space="0" w:color="auto"/>
            <w:bottom w:val="none" w:sz="0" w:space="0" w:color="auto"/>
            <w:right w:val="none" w:sz="0" w:space="0" w:color="auto"/>
          </w:divBdr>
        </w:div>
        <w:div w:id="266501487">
          <w:marLeft w:val="0"/>
          <w:marRight w:val="0"/>
          <w:marTop w:val="0"/>
          <w:marBottom w:val="0"/>
          <w:divBdr>
            <w:top w:val="none" w:sz="0" w:space="0" w:color="auto"/>
            <w:left w:val="none" w:sz="0" w:space="0" w:color="auto"/>
            <w:bottom w:val="none" w:sz="0" w:space="0" w:color="auto"/>
            <w:right w:val="none" w:sz="0" w:space="0" w:color="auto"/>
          </w:divBdr>
        </w:div>
        <w:div w:id="1573929427">
          <w:marLeft w:val="0"/>
          <w:marRight w:val="0"/>
          <w:marTop w:val="0"/>
          <w:marBottom w:val="0"/>
          <w:divBdr>
            <w:top w:val="none" w:sz="0" w:space="0" w:color="auto"/>
            <w:left w:val="none" w:sz="0" w:space="0" w:color="auto"/>
            <w:bottom w:val="none" w:sz="0" w:space="0" w:color="auto"/>
            <w:right w:val="none" w:sz="0" w:space="0" w:color="auto"/>
          </w:divBdr>
          <w:divsChild>
            <w:div w:id="2104570184">
              <w:marLeft w:val="4"/>
              <w:marRight w:val="0"/>
              <w:marTop w:val="120"/>
              <w:marBottom w:val="0"/>
              <w:divBdr>
                <w:top w:val="none" w:sz="0" w:space="0" w:color="auto"/>
                <w:left w:val="none" w:sz="0" w:space="0" w:color="auto"/>
                <w:bottom w:val="none" w:sz="0" w:space="0" w:color="auto"/>
                <w:right w:val="none" w:sz="0" w:space="0" w:color="auto"/>
              </w:divBdr>
              <w:divsChild>
                <w:div w:id="789133566">
                  <w:marLeft w:val="0"/>
                  <w:marRight w:val="0"/>
                  <w:marTop w:val="0"/>
                  <w:marBottom w:val="0"/>
                  <w:divBdr>
                    <w:top w:val="none" w:sz="0" w:space="0" w:color="auto"/>
                    <w:left w:val="none" w:sz="0" w:space="0" w:color="auto"/>
                    <w:bottom w:val="none" w:sz="0" w:space="0" w:color="auto"/>
                    <w:right w:val="none" w:sz="0" w:space="0" w:color="auto"/>
                  </w:divBdr>
                </w:div>
              </w:divsChild>
            </w:div>
            <w:div w:id="441847215">
              <w:marLeft w:val="4"/>
              <w:marRight w:val="0"/>
              <w:marTop w:val="120"/>
              <w:marBottom w:val="0"/>
              <w:divBdr>
                <w:top w:val="none" w:sz="0" w:space="0" w:color="auto"/>
                <w:left w:val="none" w:sz="0" w:space="0" w:color="auto"/>
                <w:bottom w:val="none" w:sz="0" w:space="0" w:color="auto"/>
                <w:right w:val="none" w:sz="0" w:space="0" w:color="auto"/>
              </w:divBdr>
              <w:divsChild>
                <w:div w:id="1028485952">
                  <w:marLeft w:val="0"/>
                  <w:marRight w:val="0"/>
                  <w:marTop w:val="0"/>
                  <w:marBottom w:val="0"/>
                  <w:divBdr>
                    <w:top w:val="none" w:sz="0" w:space="0" w:color="auto"/>
                    <w:left w:val="none" w:sz="0" w:space="0" w:color="auto"/>
                    <w:bottom w:val="none" w:sz="0" w:space="0" w:color="auto"/>
                    <w:right w:val="none" w:sz="0" w:space="0" w:color="auto"/>
                  </w:divBdr>
                </w:div>
              </w:divsChild>
            </w:div>
            <w:div w:id="1212502831">
              <w:marLeft w:val="4"/>
              <w:marRight w:val="0"/>
              <w:marTop w:val="120"/>
              <w:marBottom w:val="0"/>
              <w:divBdr>
                <w:top w:val="none" w:sz="0" w:space="0" w:color="auto"/>
                <w:left w:val="none" w:sz="0" w:space="0" w:color="auto"/>
                <w:bottom w:val="none" w:sz="0" w:space="0" w:color="auto"/>
                <w:right w:val="none" w:sz="0" w:space="0" w:color="auto"/>
              </w:divBdr>
              <w:divsChild>
                <w:div w:id="259795069">
                  <w:marLeft w:val="0"/>
                  <w:marRight w:val="0"/>
                  <w:marTop w:val="0"/>
                  <w:marBottom w:val="0"/>
                  <w:divBdr>
                    <w:top w:val="none" w:sz="0" w:space="0" w:color="auto"/>
                    <w:left w:val="none" w:sz="0" w:space="0" w:color="auto"/>
                    <w:bottom w:val="none" w:sz="0" w:space="0" w:color="auto"/>
                    <w:right w:val="none" w:sz="0" w:space="0" w:color="auto"/>
                  </w:divBdr>
                </w:div>
              </w:divsChild>
            </w:div>
            <w:div w:id="445008543">
              <w:marLeft w:val="4"/>
              <w:marRight w:val="0"/>
              <w:marTop w:val="120"/>
              <w:marBottom w:val="0"/>
              <w:divBdr>
                <w:top w:val="none" w:sz="0" w:space="0" w:color="auto"/>
                <w:left w:val="none" w:sz="0" w:space="0" w:color="auto"/>
                <w:bottom w:val="none" w:sz="0" w:space="0" w:color="auto"/>
                <w:right w:val="none" w:sz="0" w:space="0" w:color="auto"/>
              </w:divBdr>
              <w:divsChild>
                <w:div w:id="116505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3980">
          <w:marLeft w:val="0"/>
          <w:marRight w:val="0"/>
          <w:marTop w:val="0"/>
          <w:marBottom w:val="0"/>
          <w:divBdr>
            <w:top w:val="none" w:sz="0" w:space="0" w:color="auto"/>
            <w:left w:val="none" w:sz="0" w:space="0" w:color="auto"/>
            <w:bottom w:val="none" w:sz="0" w:space="0" w:color="auto"/>
            <w:right w:val="none" w:sz="0" w:space="0" w:color="auto"/>
          </w:divBdr>
        </w:div>
        <w:div w:id="732191460">
          <w:marLeft w:val="0"/>
          <w:marRight w:val="0"/>
          <w:marTop w:val="0"/>
          <w:marBottom w:val="0"/>
          <w:divBdr>
            <w:top w:val="none" w:sz="0" w:space="0" w:color="auto"/>
            <w:left w:val="none" w:sz="0" w:space="0" w:color="auto"/>
            <w:bottom w:val="none" w:sz="0" w:space="0" w:color="auto"/>
            <w:right w:val="none" w:sz="0" w:space="0" w:color="auto"/>
          </w:divBdr>
        </w:div>
        <w:div w:id="1833794254">
          <w:marLeft w:val="0"/>
          <w:marRight w:val="0"/>
          <w:marTop w:val="0"/>
          <w:marBottom w:val="0"/>
          <w:divBdr>
            <w:top w:val="none" w:sz="0" w:space="0" w:color="auto"/>
            <w:left w:val="none" w:sz="0" w:space="0" w:color="auto"/>
            <w:bottom w:val="none" w:sz="0" w:space="0" w:color="auto"/>
            <w:right w:val="none" w:sz="0" w:space="0" w:color="auto"/>
          </w:divBdr>
        </w:div>
      </w:divsChild>
    </w:div>
    <w:div w:id="1763262906">
      <w:marLeft w:val="4"/>
      <w:marRight w:val="0"/>
      <w:marTop w:val="120"/>
      <w:marBottom w:val="0"/>
      <w:divBdr>
        <w:top w:val="none" w:sz="0" w:space="0" w:color="auto"/>
        <w:left w:val="none" w:sz="0" w:space="0" w:color="auto"/>
        <w:bottom w:val="none" w:sz="0" w:space="0" w:color="auto"/>
        <w:right w:val="none" w:sz="0" w:space="0" w:color="auto"/>
      </w:divBdr>
      <w:divsChild>
        <w:div w:id="1378235708">
          <w:marLeft w:val="0"/>
          <w:marRight w:val="0"/>
          <w:marTop w:val="0"/>
          <w:marBottom w:val="0"/>
          <w:divBdr>
            <w:top w:val="none" w:sz="0" w:space="0" w:color="auto"/>
            <w:left w:val="none" w:sz="0" w:space="0" w:color="auto"/>
            <w:bottom w:val="none" w:sz="0" w:space="0" w:color="auto"/>
            <w:right w:val="none" w:sz="0" w:space="0" w:color="auto"/>
          </w:divBdr>
        </w:div>
      </w:divsChild>
    </w:div>
    <w:div w:id="1764297218">
      <w:marLeft w:val="4"/>
      <w:marRight w:val="0"/>
      <w:marTop w:val="120"/>
      <w:marBottom w:val="0"/>
      <w:divBdr>
        <w:top w:val="none" w:sz="0" w:space="0" w:color="auto"/>
        <w:left w:val="none" w:sz="0" w:space="0" w:color="auto"/>
        <w:bottom w:val="none" w:sz="0" w:space="0" w:color="auto"/>
        <w:right w:val="none" w:sz="0" w:space="0" w:color="auto"/>
      </w:divBdr>
      <w:divsChild>
        <w:div w:id="609318129">
          <w:marLeft w:val="0"/>
          <w:marRight w:val="0"/>
          <w:marTop w:val="0"/>
          <w:marBottom w:val="0"/>
          <w:divBdr>
            <w:top w:val="none" w:sz="0" w:space="0" w:color="auto"/>
            <w:left w:val="none" w:sz="0" w:space="0" w:color="auto"/>
            <w:bottom w:val="none" w:sz="0" w:space="0" w:color="auto"/>
            <w:right w:val="none" w:sz="0" w:space="0" w:color="auto"/>
          </w:divBdr>
        </w:div>
      </w:divsChild>
    </w:div>
    <w:div w:id="1773697153">
      <w:marLeft w:val="4"/>
      <w:marRight w:val="0"/>
      <w:marTop w:val="120"/>
      <w:marBottom w:val="0"/>
      <w:divBdr>
        <w:top w:val="none" w:sz="0" w:space="0" w:color="auto"/>
        <w:left w:val="none" w:sz="0" w:space="0" w:color="auto"/>
        <w:bottom w:val="none" w:sz="0" w:space="0" w:color="auto"/>
        <w:right w:val="none" w:sz="0" w:space="0" w:color="auto"/>
      </w:divBdr>
      <w:divsChild>
        <w:div w:id="1491872884">
          <w:marLeft w:val="0"/>
          <w:marRight w:val="0"/>
          <w:marTop w:val="0"/>
          <w:marBottom w:val="0"/>
          <w:divBdr>
            <w:top w:val="none" w:sz="0" w:space="0" w:color="auto"/>
            <w:left w:val="none" w:sz="0" w:space="0" w:color="auto"/>
            <w:bottom w:val="none" w:sz="0" w:space="0" w:color="auto"/>
            <w:right w:val="none" w:sz="0" w:space="0" w:color="auto"/>
          </w:divBdr>
        </w:div>
      </w:divsChild>
    </w:div>
    <w:div w:id="1776057116">
      <w:marLeft w:val="4"/>
      <w:marRight w:val="0"/>
      <w:marTop w:val="120"/>
      <w:marBottom w:val="0"/>
      <w:divBdr>
        <w:top w:val="none" w:sz="0" w:space="0" w:color="auto"/>
        <w:left w:val="none" w:sz="0" w:space="0" w:color="auto"/>
        <w:bottom w:val="none" w:sz="0" w:space="0" w:color="auto"/>
        <w:right w:val="none" w:sz="0" w:space="0" w:color="auto"/>
      </w:divBdr>
      <w:divsChild>
        <w:div w:id="1424229215">
          <w:marLeft w:val="0"/>
          <w:marRight w:val="0"/>
          <w:marTop w:val="0"/>
          <w:marBottom w:val="0"/>
          <w:divBdr>
            <w:top w:val="none" w:sz="0" w:space="0" w:color="auto"/>
            <w:left w:val="none" w:sz="0" w:space="0" w:color="auto"/>
            <w:bottom w:val="none" w:sz="0" w:space="0" w:color="auto"/>
            <w:right w:val="none" w:sz="0" w:space="0" w:color="auto"/>
          </w:divBdr>
        </w:div>
      </w:divsChild>
    </w:div>
    <w:div w:id="1789885361">
      <w:marLeft w:val="4"/>
      <w:marRight w:val="0"/>
      <w:marTop w:val="120"/>
      <w:marBottom w:val="0"/>
      <w:divBdr>
        <w:top w:val="none" w:sz="0" w:space="0" w:color="auto"/>
        <w:left w:val="none" w:sz="0" w:space="0" w:color="auto"/>
        <w:bottom w:val="none" w:sz="0" w:space="0" w:color="auto"/>
        <w:right w:val="none" w:sz="0" w:space="0" w:color="auto"/>
      </w:divBdr>
      <w:divsChild>
        <w:div w:id="418991826">
          <w:marLeft w:val="0"/>
          <w:marRight w:val="0"/>
          <w:marTop w:val="0"/>
          <w:marBottom w:val="0"/>
          <w:divBdr>
            <w:top w:val="none" w:sz="0" w:space="0" w:color="auto"/>
            <w:left w:val="none" w:sz="0" w:space="0" w:color="auto"/>
            <w:bottom w:val="none" w:sz="0" w:space="0" w:color="auto"/>
            <w:right w:val="none" w:sz="0" w:space="0" w:color="auto"/>
          </w:divBdr>
        </w:div>
      </w:divsChild>
    </w:div>
    <w:div w:id="1796673765">
      <w:marLeft w:val="4"/>
      <w:marRight w:val="0"/>
      <w:marTop w:val="120"/>
      <w:marBottom w:val="0"/>
      <w:divBdr>
        <w:top w:val="none" w:sz="0" w:space="0" w:color="auto"/>
        <w:left w:val="none" w:sz="0" w:space="0" w:color="auto"/>
        <w:bottom w:val="none" w:sz="0" w:space="0" w:color="auto"/>
        <w:right w:val="none" w:sz="0" w:space="0" w:color="auto"/>
      </w:divBdr>
      <w:divsChild>
        <w:div w:id="1666132057">
          <w:marLeft w:val="0"/>
          <w:marRight w:val="0"/>
          <w:marTop w:val="0"/>
          <w:marBottom w:val="0"/>
          <w:divBdr>
            <w:top w:val="none" w:sz="0" w:space="0" w:color="auto"/>
            <w:left w:val="none" w:sz="0" w:space="0" w:color="auto"/>
            <w:bottom w:val="none" w:sz="0" w:space="0" w:color="auto"/>
            <w:right w:val="none" w:sz="0" w:space="0" w:color="auto"/>
          </w:divBdr>
        </w:div>
      </w:divsChild>
    </w:div>
    <w:div w:id="1797219432">
      <w:marLeft w:val="4"/>
      <w:marRight w:val="0"/>
      <w:marTop w:val="0"/>
      <w:marBottom w:val="0"/>
      <w:divBdr>
        <w:top w:val="none" w:sz="0" w:space="0" w:color="auto"/>
        <w:left w:val="none" w:sz="0" w:space="0" w:color="auto"/>
        <w:bottom w:val="none" w:sz="0" w:space="0" w:color="auto"/>
        <w:right w:val="none" w:sz="0" w:space="0" w:color="auto"/>
      </w:divBdr>
      <w:divsChild>
        <w:div w:id="738675236">
          <w:marLeft w:val="0"/>
          <w:marRight w:val="0"/>
          <w:marTop w:val="0"/>
          <w:marBottom w:val="0"/>
          <w:divBdr>
            <w:top w:val="none" w:sz="0" w:space="0" w:color="auto"/>
            <w:left w:val="none" w:sz="0" w:space="0" w:color="auto"/>
            <w:bottom w:val="none" w:sz="0" w:space="0" w:color="auto"/>
            <w:right w:val="none" w:sz="0" w:space="0" w:color="auto"/>
          </w:divBdr>
        </w:div>
      </w:divsChild>
    </w:div>
    <w:div w:id="1798528836">
      <w:marLeft w:val="4"/>
      <w:marRight w:val="0"/>
      <w:marTop w:val="120"/>
      <w:marBottom w:val="0"/>
      <w:divBdr>
        <w:top w:val="none" w:sz="0" w:space="0" w:color="auto"/>
        <w:left w:val="none" w:sz="0" w:space="0" w:color="auto"/>
        <w:bottom w:val="none" w:sz="0" w:space="0" w:color="auto"/>
        <w:right w:val="none" w:sz="0" w:space="0" w:color="auto"/>
      </w:divBdr>
      <w:divsChild>
        <w:div w:id="643438323">
          <w:marLeft w:val="0"/>
          <w:marRight w:val="0"/>
          <w:marTop w:val="0"/>
          <w:marBottom w:val="0"/>
          <w:divBdr>
            <w:top w:val="none" w:sz="0" w:space="0" w:color="auto"/>
            <w:left w:val="none" w:sz="0" w:space="0" w:color="auto"/>
            <w:bottom w:val="none" w:sz="0" w:space="0" w:color="auto"/>
            <w:right w:val="none" w:sz="0" w:space="0" w:color="auto"/>
          </w:divBdr>
        </w:div>
      </w:divsChild>
    </w:div>
    <w:div w:id="1803379889">
      <w:marLeft w:val="4"/>
      <w:marRight w:val="0"/>
      <w:marTop w:val="120"/>
      <w:marBottom w:val="0"/>
      <w:divBdr>
        <w:top w:val="none" w:sz="0" w:space="0" w:color="auto"/>
        <w:left w:val="none" w:sz="0" w:space="0" w:color="auto"/>
        <w:bottom w:val="none" w:sz="0" w:space="0" w:color="auto"/>
        <w:right w:val="none" w:sz="0" w:space="0" w:color="auto"/>
      </w:divBdr>
      <w:divsChild>
        <w:div w:id="383606300">
          <w:marLeft w:val="0"/>
          <w:marRight w:val="0"/>
          <w:marTop w:val="0"/>
          <w:marBottom w:val="0"/>
          <w:divBdr>
            <w:top w:val="none" w:sz="0" w:space="0" w:color="auto"/>
            <w:left w:val="none" w:sz="0" w:space="0" w:color="auto"/>
            <w:bottom w:val="none" w:sz="0" w:space="0" w:color="auto"/>
            <w:right w:val="none" w:sz="0" w:space="0" w:color="auto"/>
          </w:divBdr>
        </w:div>
      </w:divsChild>
    </w:div>
    <w:div w:id="1807122271">
      <w:marLeft w:val="4"/>
      <w:marRight w:val="0"/>
      <w:marTop w:val="120"/>
      <w:marBottom w:val="0"/>
      <w:divBdr>
        <w:top w:val="none" w:sz="0" w:space="0" w:color="auto"/>
        <w:left w:val="none" w:sz="0" w:space="0" w:color="auto"/>
        <w:bottom w:val="none" w:sz="0" w:space="0" w:color="auto"/>
        <w:right w:val="none" w:sz="0" w:space="0" w:color="auto"/>
      </w:divBdr>
      <w:divsChild>
        <w:div w:id="1673414624">
          <w:marLeft w:val="0"/>
          <w:marRight w:val="0"/>
          <w:marTop w:val="0"/>
          <w:marBottom w:val="0"/>
          <w:divBdr>
            <w:top w:val="none" w:sz="0" w:space="0" w:color="auto"/>
            <w:left w:val="none" w:sz="0" w:space="0" w:color="auto"/>
            <w:bottom w:val="none" w:sz="0" w:space="0" w:color="auto"/>
            <w:right w:val="none" w:sz="0" w:space="0" w:color="auto"/>
          </w:divBdr>
        </w:div>
      </w:divsChild>
    </w:div>
    <w:div w:id="1813526044">
      <w:marLeft w:val="4"/>
      <w:marRight w:val="0"/>
      <w:marTop w:val="120"/>
      <w:marBottom w:val="0"/>
      <w:divBdr>
        <w:top w:val="none" w:sz="0" w:space="0" w:color="auto"/>
        <w:left w:val="none" w:sz="0" w:space="0" w:color="auto"/>
        <w:bottom w:val="none" w:sz="0" w:space="0" w:color="auto"/>
        <w:right w:val="none" w:sz="0" w:space="0" w:color="auto"/>
      </w:divBdr>
      <w:divsChild>
        <w:div w:id="1821262075">
          <w:marLeft w:val="0"/>
          <w:marRight w:val="0"/>
          <w:marTop w:val="0"/>
          <w:marBottom w:val="0"/>
          <w:divBdr>
            <w:top w:val="none" w:sz="0" w:space="0" w:color="auto"/>
            <w:left w:val="none" w:sz="0" w:space="0" w:color="auto"/>
            <w:bottom w:val="none" w:sz="0" w:space="0" w:color="auto"/>
            <w:right w:val="none" w:sz="0" w:space="0" w:color="auto"/>
          </w:divBdr>
        </w:div>
      </w:divsChild>
    </w:div>
    <w:div w:id="1817916781">
      <w:marLeft w:val="4"/>
      <w:marRight w:val="0"/>
      <w:marTop w:val="120"/>
      <w:marBottom w:val="0"/>
      <w:divBdr>
        <w:top w:val="none" w:sz="0" w:space="0" w:color="auto"/>
        <w:left w:val="none" w:sz="0" w:space="0" w:color="auto"/>
        <w:bottom w:val="none" w:sz="0" w:space="0" w:color="auto"/>
        <w:right w:val="none" w:sz="0" w:space="0" w:color="auto"/>
      </w:divBdr>
      <w:divsChild>
        <w:div w:id="1050697">
          <w:marLeft w:val="0"/>
          <w:marRight w:val="0"/>
          <w:marTop w:val="0"/>
          <w:marBottom w:val="0"/>
          <w:divBdr>
            <w:top w:val="none" w:sz="0" w:space="0" w:color="auto"/>
            <w:left w:val="none" w:sz="0" w:space="0" w:color="auto"/>
            <w:bottom w:val="none" w:sz="0" w:space="0" w:color="auto"/>
            <w:right w:val="none" w:sz="0" w:space="0" w:color="auto"/>
          </w:divBdr>
        </w:div>
      </w:divsChild>
    </w:div>
    <w:div w:id="1827089812">
      <w:marLeft w:val="4"/>
      <w:marRight w:val="0"/>
      <w:marTop w:val="120"/>
      <w:marBottom w:val="0"/>
      <w:divBdr>
        <w:top w:val="none" w:sz="0" w:space="0" w:color="auto"/>
        <w:left w:val="none" w:sz="0" w:space="0" w:color="auto"/>
        <w:bottom w:val="none" w:sz="0" w:space="0" w:color="auto"/>
        <w:right w:val="none" w:sz="0" w:space="0" w:color="auto"/>
      </w:divBdr>
      <w:divsChild>
        <w:div w:id="911240352">
          <w:marLeft w:val="0"/>
          <w:marRight w:val="0"/>
          <w:marTop w:val="0"/>
          <w:marBottom w:val="0"/>
          <w:divBdr>
            <w:top w:val="none" w:sz="0" w:space="0" w:color="auto"/>
            <w:left w:val="none" w:sz="0" w:space="0" w:color="auto"/>
            <w:bottom w:val="none" w:sz="0" w:space="0" w:color="auto"/>
            <w:right w:val="none" w:sz="0" w:space="0" w:color="auto"/>
          </w:divBdr>
        </w:div>
      </w:divsChild>
    </w:div>
    <w:div w:id="1863400301">
      <w:marLeft w:val="4"/>
      <w:marRight w:val="0"/>
      <w:marTop w:val="120"/>
      <w:marBottom w:val="0"/>
      <w:divBdr>
        <w:top w:val="none" w:sz="0" w:space="0" w:color="auto"/>
        <w:left w:val="none" w:sz="0" w:space="0" w:color="auto"/>
        <w:bottom w:val="none" w:sz="0" w:space="0" w:color="auto"/>
        <w:right w:val="none" w:sz="0" w:space="0" w:color="auto"/>
      </w:divBdr>
      <w:divsChild>
        <w:div w:id="73010964">
          <w:marLeft w:val="0"/>
          <w:marRight w:val="0"/>
          <w:marTop w:val="0"/>
          <w:marBottom w:val="0"/>
          <w:divBdr>
            <w:top w:val="none" w:sz="0" w:space="0" w:color="auto"/>
            <w:left w:val="none" w:sz="0" w:space="0" w:color="auto"/>
            <w:bottom w:val="none" w:sz="0" w:space="0" w:color="auto"/>
            <w:right w:val="none" w:sz="0" w:space="0" w:color="auto"/>
          </w:divBdr>
        </w:div>
      </w:divsChild>
    </w:div>
    <w:div w:id="1868563000">
      <w:marLeft w:val="4"/>
      <w:marRight w:val="0"/>
      <w:marTop w:val="0"/>
      <w:marBottom w:val="0"/>
      <w:divBdr>
        <w:top w:val="none" w:sz="0" w:space="0" w:color="auto"/>
        <w:left w:val="none" w:sz="0" w:space="0" w:color="auto"/>
        <w:bottom w:val="none" w:sz="0" w:space="0" w:color="auto"/>
        <w:right w:val="none" w:sz="0" w:space="0" w:color="auto"/>
      </w:divBdr>
      <w:divsChild>
        <w:div w:id="2030445266">
          <w:marLeft w:val="0"/>
          <w:marRight w:val="0"/>
          <w:marTop w:val="0"/>
          <w:marBottom w:val="0"/>
          <w:divBdr>
            <w:top w:val="none" w:sz="0" w:space="0" w:color="auto"/>
            <w:left w:val="none" w:sz="0" w:space="0" w:color="auto"/>
            <w:bottom w:val="none" w:sz="0" w:space="0" w:color="auto"/>
            <w:right w:val="none" w:sz="0" w:space="0" w:color="auto"/>
          </w:divBdr>
        </w:div>
      </w:divsChild>
    </w:div>
    <w:div w:id="1875657144">
      <w:marLeft w:val="4"/>
      <w:marRight w:val="0"/>
      <w:marTop w:val="120"/>
      <w:marBottom w:val="0"/>
      <w:divBdr>
        <w:top w:val="none" w:sz="0" w:space="0" w:color="auto"/>
        <w:left w:val="none" w:sz="0" w:space="0" w:color="auto"/>
        <w:bottom w:val="none" w:sz="0" w:space="0" w:color="auto"/>
        <w:right w:val="none" w:sz="0" w:space="0" w:color="auto"/>
      </w:divBdr>
      <w:divsChild>
        <w:div w:id="2113669700">
          <w:marLeft w:val="0"/>
          <w:marRight w:val="0"/>
          <w:marTop w:val="0"/>
          <w:marBottom w:val="0"/>
          <w:divBdr>
            <w:top w:val="none" w:sz="0" w:space="0" w:color="auto"/>
            <w:left w:val="none" w:sz="0" w:space="0" w:color="auto"/>
            <w:bottom w:val="none" w:sz="0" w:space="0" w:color="auto"/>
            <w:right w:val="none" w:sz="0" w:space="0" w:color="auto"/>
          </w:divBdr>
        </w:div>
      </w:divsChild>
    </w:div>
    <w:div w:id="1882741081">
      <w:marLeft w:val="4"/>
      <w:marRight w:val="0"/>
      <w:marTop w:val="120"/>
      <w:marBottom w:val="0"/>
      <w:divBdr>
        <w:top w:val="none" w:sz="0" w:space="0" w:color="auto"/>
        <w:left w:val="none" w:sz="0" w:space="0" w:color="auto"/>
        <w:bottom w:val="none" w:sz="0" w:space="0" w:color="auto"/>
        <w:right w:val="none" w:sz="0" w:space="0" w:color="auto"/>
      </w:divBdr>
      <w:divsChild>
        <w:div w:id="311445952">
          <w:marLeft w:val="0"/>
          <w:marRight w:val="0"/>
          <w:marTop w:val="0"/>
          <w:marBottom w:val="0"/>
          <w:divBdr>
            <w:top w:val="none" w:sz="0" w:space="0" w:color="auto"/>
            <w:left w:val="none" w:sz="0" w:space="0" w:color="auto"/>
            <w:bottom w:val="none" w:sz="0" w:space="0" w:color="auto"/>
            <w:right w:val="none" w:sz="0" w:space="0" w:color="auto"/>
          </w:divBdr>
        </w:div>
      </w:divsChild>
    </w:div>
    <w:div w:id="1897205428">
      <w:marLeft w:val="4"/>
      <w:marRight w:val="0"/>
      <w:marTop w:val="120"/>
      <w:marBottom w:val="0"/>
      <w:divBdr>
        <w:top w:val="none" w:sz="0" w:space="0" w:color="auto"/>
        <w:left w:val="none" w:sz="0" w:space="0" w:color="auto"/>
        <w:bottom w:val="none" w:sz="0" w:space="0" w:color="auto"/>
        <w:right w:val="none" w:sz="0" w:space="0" w:color="auto"/>
      </w:divBdr>
      <w:divsChild>
        <w:div w:id="1180701270">
          <w:marLeft w:val="0"/>
          <w:marRight w:val="0"/>
          <w:marTop w:val="0"/>
          <w:marBottom w:val="0"/>
          <w:divBdr>
            <w:top w:val="none" w:sz="0" w:space="0" w:color="auto"/>
            <w:left w:val="none" w:sz="0" w:space="0" w:color="auto"/>
            <w:bottom w:val="none" w:sz="0" w:space="0" w:color="auto"/>
            <w:right w:val="none" w:sz="0" w:space="0" w:color="auto"/>
          </w:divBdr>
        </w:div>
      </w:divsChild>
    </w:div>
    <w:div w:id="1907766481">
      <w:marLeft w:val="4"/>
      <w:marRight w:val="0"/>
      <w:marTop w:val="120"/>
      <w:marBottom w:val="0"/>
      <w:divBdr>
        <w:top w:val="none" w:sz="0" w:space="0" w:color="auto"/>
        <w:left w:val="none" w:sz="0" w:space="0" w:color="auto"/>
        <w:bottom w:val="none" w:sz="0" w:space="0" w:color="auto"/>
        <w:right w:val="none" w:sz="0" w:space="0" w:color="auto"/>
      </w:divBdr>
      <w:divsChild>
        <w:div w:id="796024234">
          <w:marLeft w:val="0"/>
          <w:marRight w:val="0"/>
          <w:marTop w:val="0"/>
          <w:marBottom w:val="0"/>
          <w:divBdr>
            <w:top w:val="none" w:sz="0" w:space="0" w:color="auto"/>
            <w:left w:val="none" w:sz="0" w:space="0" w:color="auto"/>
            <w:bottom w:val="none" w:sz="0" w:space="0" w:color="auto"/>
            <w:right w:val="none" w:sz="0" w:space="0" w:color="auto"/>
          </w:divBdr>
        </w:div>
      </w:divsChild>
    </w:div>
    <w:div w:id="1960605459">
      <w:marLeft w:val="4"/>
      <w:marRight w:val="0"/>
      <w:marTop w:val="120"/>
      <w:marBottom w:val="0"/>
      <w:divBdr>
        <w:top w:val="none" w:sz="0" w:space="0" w:color="auto"/>
        <w:left w:val="none" w:sz="0" w:space="0" w:color="auto"/>
        <w:bottom w:val="none" w:sz="0" w:space="0" w:color="auto"/>
        <w:right w:val="none" w:sz="0" w:space="0" w:color="auto"/>
      </w:divBdr>
      <w:divsChild>
        <w:div w:id="99687829">
          <w:marLeft w:val="0"/>
          <w:marRight w:val="0"/>
          <w:marTop w:val="0"/>
          <w:marBottom w:val="0"/>
          <w:divBdr>
            <w:top w:val="none" w:sz="0" w:space="0" w:color="auto"/>
            <w:left w:val="none" w:sz="0" w:space="0" w:color="auto"/>
            <w:bottom w:val="none" w:sz="0" w:space="0" w:color="auto"/>
            <w:right w:val="none" w:sz="0" w:space="0" w:color="auto"/>
          </w:divBdr>
        </w:div>
      </w:divsChild>
    </w:div>
    <w:div w:id="1989243863">
      <w:marLeft w:val="0"/>
      <w:marRight w:val="0"/>
      <w:marTop w:val="0"/>
      <w:marBottom w:val="0"/>
      <w:divBdr>
        <w:top w:val="none" w:sz="0" w:space="0" w:color="auto"/>
        <w:left w:val="none" w:sz="0" w:space="0" w:color="auto"/>
        <w:bottom w:val="none" w:sz="0" w:space="0" w:color="auto"/>
        <w:right w:val="none" w:sz="0" w:space="0" w:color="auto"/>
      </w:divBdr>
      <w:divsChild>
        <w:div w:id="1279995533">
          <w:marLeft w:val="0"/>
          <w:marRight w:val="0"/>
          <w:marTop w:val="0"/>
          <w:marBottom w:val="0"/>
          <w:divBdr>
            <w:top w:val="none" w:sz="0" w:space="0" w:color="auto"/>
            <w:left w:val="none" w:sz="0" w:space="0" w:color="auto"/>
            <w:bottom w:val="none" w:sz="0" w:space="0" w:color="auto"/>
            <w:right w:val="none" w:sz="0" w:space="0" w:color="auto"/>
          </w:divBdr>
        </w:div>
        <w:div w:id="2132553839">
          <w:marLeft w:val="0"/>
          <w:marRight w:val="0"/>
          <w:marTop w:val="0"/>
          <w:marBottom w:val="0"/>
          <w:divBdr>
            <w:top w:val="none" w:sz="0" w:space="0" w:color="auto"/>
            <w:left w:val="none" w:sz="0" w:space="0" w:color="auto"/>
            <w:bottom w:val="none" w:sz="0" w:space="0" w:color="auto"/>
            <w:right w:val="none" w:sz="0" w:space="0" w:color="auto"/>
          </w:divBdr>
        </w:div>
        <w:div w:id="225184491">
          <w:marLeft w:val="0"/>
          <w:marRight w:val="0"/>
          <w:marTop w:val="0"/>
          <w:marBottom w:val="0"/>
          <w:divBdr>
            <w:top w:val="none" w:sz="0" w:space="0" w:color="auto"/>
            <w:left w:val="none" w:sz="0" w:space="0" w:color="auto"/>
            <w:bottom w:val="none" w:sz="0" w:space="0" w:color="auto"/>
            <w:right w:val="none" w:sz="0" w:space="0" w:color="auto"/>
          </w:divBdr>
        </w:div>
      </w:divsChild>
    </w:div>
    <w:div w:id="1992251169">
      <w:marLeft w:val="4"/>
      <w:marRight w:val="0"/>
      <w:marTop w:val="120"/>
      <w:marBottom w:val="0"/>
      <w:divBdr>
        <w:top w:val="none" w:sz="0" w:space="0" w:color="auto"/>
        <w:left w:val="none" w:sz="0" w:space="0" w:color="auto"/>
        <w:bottom w:val="none" w:sz="0" w:space="0" w:color="auto"/>
        <w:right w:val="none" w:sz="0" w:space="0" w:color="auto"/>
      </w:divBdr>
      <w:divsChild>
        <w:div w:id="1864710498">
          <w:marLeft w:val="0"/>
          <w:marRight w:val="0"/>
          <w:marTop w:val="0"/>
          <w:marBottom w:val="0"/>
          <w:divBdr>
            <w:top w:val="none" w:sz="0" w:space="0" w:color="auto"/>
            <w:left w:val="none" w:sz="0" w:space="0" w:color="auto"/>
            <w:bottom w:val="none" w:sz="0" w:space="0" w:color="auto"/>
            <w:right w:val="none" w:sz="0" w:space="0" w:color="auto"/>
          </w:divBdr>
        </w:div>
      </w:divsChild>
    </w:div>
    <w:div w:id="1995183745">
      <w:marLeft w:val="4"/>
      <w:marRight w:val="0"/>
      <w:marTop w:val="120"/>
      <w:marBottom w:val="0"/>
      <w:divBdr>
        <w:top w:val="none" w:sz="0" w:space="0" w:color="auto"/>
        <w:left w:val="none" w:sz="0" w:space="0" w:color="auto"/>
        <w:bottom w:val="none" w:sz="0" w:space="0" w:color="auto"/>
        <w:right w:val="none" w:sz="0" w:space="0" w:color="auto"/>
      </w:divBdr>
      <w:divsChild>
        <w:div w:id="334916972">
          <w:marLeft w:val="0"/>
          <w:marRight w:val="0"/>
          <w:marTop w:val="0"/>
          <w:marBottom w:val="0"/>
          <w:divBdr>
            <w:top w:val="none" w:sz="0" w:space="0" w:color="auto"/>
            <w:left w:val="none" w:sz="0" w:space="0" w:color="auto"/>
            <w:bottom w:val="none" w:sz="0" w:space="0" w:color="auto"/>
            <w:right w:val="none" w:sz="0" w:space="0" w:color="auto"/>
          </w:divBdr>
        </w:div>
      </w:divsChild>
    </w:div>
    <w:div w:id="1998268028">
      <w:marLeft w:val="4"/>
      <w:marRight w:val="0"/>
      <w:marTop w:val="120"/>
      <w:marBottom w:val="0"/>
      <w:divBdr>
        <w:top w:val="none" w:sz="0" w:space="0" w:color="auto"/>
        <w:left w:val="none" w:sz="0" w:space="0" w:color="auto"/>
        <w:bottom w:val="none" w:sz="0" w:space="0" w:color="auto"/>
        <w:right w:val="none" w:sz="0" w:space="0" w:color="auto"/>
      </w:divBdr>
      <w:divsChild>
        <w:div w:id="1570916700">
          <w:marLeft w:val="0"/>
          <w:marRight w:val="0"/>
          <w:marTop w:val="0"/>
          <w:marBottom w:val="0"/>
          <w:divBdr>
            <w:top w:val="none" w:sz="0" w:space="0" w:color="auto"/>
            <w:left w:val="none" w:sz="0" w:space="0" w:color="auto"/>
            <w:bottom w:val="none" w:sz="0" w:space="0" w:color="auto"/>
            <w:right w:val="none" w:sz="0" w:space="0" w:color="auto"/>
          </w:divBdr>
        </w:div>
      </w:divsChild>
    </w:div>
    <w:div w:id="2004120785">
      <w:marLeft w:val="4"/>
      <w:marRight w:val="0"/>
      <w:marTop w:val="120"/>
      <w:marBottom w:val="0"/>
      <w:divBdr>
        <w:top w:val="none" w:sz="0" w:space="0" w:color="auto"/>
        <w:left w:val="none" w:sz="0" w:space="0" w:color="auto"/>
        <w:bottom w:val="none" w:sz="0" w:space="0" w:color="auto"/>
        <w:right w:val="none" w:sz="0" w:space="0" w:color="auto"/>
      </w:divBdr>
      <w:divsChild>
        <w:div w:id="1989168810">
          <w:marLeft w:val="0"/>
          <w:marRight w:val="0"/>
          <w:marTop w:val="0"/>
          <w:marBottom w:val="0"/>
          <w:divBdr>
            <w:top w:val="none" w:sz="0" w:space="0" w:color="auto"/>
            <w:left w:val="none" w:sz="0" w:space="0" w:color="auto"/>
            <w:bottom w:val="none" w:sz="0" w:space="0" w:color="auto"/>
            <w:right w:val="none" w:sz="0" w:space="0" w:color="auto"/>
          </w:divBdr>
        </w:div>
      </w:divsChild>
    </w:div>
    <w:div w:id="2024548551">
      <w:marLeft w:val="4"/>
      <w:marRight w:val="0"/>
      <w:marTop w:val="120"/>
      <w:marBottom w:val="0"/>
      <w:divBdr>
        <w:top w:val="none" w:sz="0" w:space="0" w:color="auto"/>
        <w:left w:val="none" w:sz="0" w:space="0" w:color="auto"/>
        <w:bottom w:val="none" w:sz="0" w:space="0" w:color="auto"/>
        <w:right w:val="none" w:sz="0" w:space="0" w:color="auto"/>
      </w:divBdr>
      <w:divsChild>
        <w:div w:id="1773084600">
          <w:marLeft w:val="0"/>
          <w:marRight w:val="0"/>
          <w:marTop w:val="0"/>
          <w:marBottom w:val="0"/>
          <w:divBdr>
            <w:top w:val="none" w:sz="0" w:space="0" w:color="auto"/>
            <w:left w:val="none" w:sz="0" w:space="0" w:color="auto"/>
            <w:bottom w:val="none" w:sz="0" w:space="0" w:color="auto"/>
            <w:right w:val="none" w:sz="0" w:space="0" w:color="auto"/>
          </w:divBdr>
        </w:div>
      </w:divsChild>
    </w:div>
    <w:div w:id="2034571388">
      <w:marLeft w:val="4"/>
      <w:marRight w:val="0"/>
      <w:marTop w:val="120"/>
      <w:marBottom w:val="0"/>
      <w:divBdr>
        <w:top w:val="none" w:sz="0" w:space="0" w:color="auto"/>
        <w:left w:val="none" w:sz="0" w:space="0" w:color="auto"/>
        <w:bottom w:val="none" w:sz="0" w:space="0" w:color="auto"/>
        <w:right w:val="none" w:sz="0" w:space="0" w:color="auto"/>
      </w:divBdr>
      <w:divsChild>
        <w:div w:id="1616056107">
          <w:marLeft w:val="0"/>
          <w:marRight w:val="0"/>
          <w:marTop w:val="0"/>
          <w:marBottom w:val="0"/>
          <w:divBdr>
            <w:top w:val="none" w:sz="0" w:space="0" w:color="auto"/>
            <w:left w:val="none" w:sz="0" w:space="0" w:color="auto"/>
            <w:bottom w:val="none" w:sz="0" w:space="0" w:color="auto"/>
            <w:right w:val="none" w:sz="0" w:space="0" w:color="auto"/>
          </w:divBdr>
        </w:div>
      </w:divsChild>
    </w:div>
    <w:div w:id="2047214426">
      <w:marLeft w:val="4"/>
      <w:marRight w:val="0"/>
      <w:marTop w:val="120"/>
      <w:marBottom w:val="0"/>
      <w:divBdr>
        <w:top w:val="none" w:sz="0" w:space="0" w:color="auto"/>
        <w:left w:val="none" w:sz="0" w:space="0" w:color="auto"/>
        <w:bottom w:val="none" w:sz="0" w:space="0" w:color="auto"/>
        <w:right w:val="none" w:sz="0" w:space="0" w:color="auto"/>
      </w:divBdr>
      <w:divsChild>
        <w:div w:id="436215279">
          <w:marLeft w:val="0"/>
          <w:marRight w:val="0"/>
          <w:marTop w:val="0"/>
          <w:marBottom w:val="0"/>
          <w:divBdr>
            <w:top w:val="none" w:sz="0" w:space="0" w:color="auto"/>
            <w:left w:val="none" w:sz="0" w:space="0" w:color="auto"/>
            <w:bottom w:val="none" w:sz="0" w:space="0" w:color="auto"/>
            <w:right w:val="none" w:sz="0" w:space="0" w:color="auto"/>
          </w:divBdr>
        </w:div>
      </w:divsChild>
    </w:div>
    <w:div w:id="2050105730">
      <w:marLeft w:val="4"/>
      <w:marRight w:val="0"/>
      <w:marTop w:val="120"/>
      <w:marBottom w:val="0"/>
      <w:divBdr>
        <w:top w:val="none" w:sz="0" w:space="0" w:color="auto"/>
        <w:left w:val="none" w:sz="0" w:space="0" w:color="auto"/>
        <w:bottom w:val="none" w:sz="0" w:space="0" w:color="auto"/>
        <w:right w:val="none" w:sz="0" w:space="0" w:color="auto"/>
      </w:divBdr>
      <w:divsChild>
        <w:div w:id="904415747">
          <w:marLeft w:val="0"/>
          <w:marRight w:val="0"/>
          <w:marTop w:val="0"/>
          <w:marBottom w:val="0"/>
          <w:divBdr>
            <w:top w:val="none" w:sz="0" w:space="0" w:color="auto"/>
            <w:left w:val="none" w:sz="0" w:space="0" w:color="auto"/>
            <w:bottom w:val="none" w:sz="0" w:space="0" w:color="auto"/>
            <w:right w:val="none" w:sz="0" w:space="0" w:color="auto"/>
          </w:divBdr>
        </w:div>
      </w:divsChild>
    </w:div>
    <w:div w:id="2056540368">
      <w:marLeft w:val="4"/>
      <w:marRight w:val="0"/>
      <w:marTop w:val="120"/>
      <w:marBottom w:val="0"/>
      <w:divBdr>
        <w:top w:val="none" w:sz="0" w:space="0" w:color="auto"/>
        <w:left w:val="none" w:sz="0" w:space="0" w:color="auto"/>
        <w:bottom w:val="none" w:sz="0" w:space="0" w:color="auto"/>
        <w:right w:val="none" w:sz="0" w:space="0" w:color="auto"/>
      </w:divBdr>
      <w:divsChild>
        <w:div w:id="1396657931">
          <w:marLeft w:val="0"/>
          <w:marRight w:val="0"/>
          <w:marTop w:val="0"/>
          <w:marBottom w:val="0"/>
          <w:divBdr>
            <w:top w:val="none" w:sz="0" w:space="0" w:color="auto"/>
            <w:left w:val="none" w:sz="0" w:space="0" w:color="auto"/>
            <w:bottom w:val="none" w:sz="0" w:space="0" w:color="auto"/>
            <w:right w:val="none" w:sz="0" w:space="0" w:color="auto"/>
          </w:divBdr>
        </w:div>
      </w:divsChild>
    </w:div>
    <w:div w:id="2079091575">
      <w:marLeft w:val="4"/>
      <w:marRight w:val="0"/>
      <w:marTop w:val="120"/>
      <w:marBottom w:val="0"/>
      <w:divBdr>
        <w:top w:val="none" w:sz="0" w:space="0" w:color="auto"/>
        <w:left w:val="none" w:sz="0" w:space="0" w:color="auto"/>
        <w:bottom w:val="none" w:sz="0" w:space="0" w:color="auto"/>
        <w:right w:val="none" w:sz="0" w:space="0" w:color="auto"/>
      </w:divBdr>
      <w:divsChild>
        <w:div w:id="1988431272">
          <w:marLeft w:val="0"/>
          <w:marRight w:val="0"/>
          <w:marTop w:val="0"/>
          <w:marBottom w:val="0"/>
          <w:divBdr>
            <w:top w:val="none" w:sz="0" w:space="0" w:color="auto"/>
            <w:left w:val="none" w:sz="0" w:space="0" w:color="auto"/>
            <w:bottom w:val="none" w:sz="0" w:space="0" w:color="auto"/>
            <w:right w:val="none" w:sz="0" w:space="0" w:color="auto"/>
          </w:divBdr>
        </w:div>
      </w:divsChild>
    </w:div>
    <w:div w:id="2084641856">
      <w:marLeft w:val="4"/>
      <w:marRight w:val="0"/>
      <w:marTop w:val="120"/>
      <w:marBottom w:val="0"/>
      <w:divBdr>
        <w:top w:val="none" w:sz="0" w:space="0" w:color="auto"/>
        <w:left w:val="none" w:sz="0" w:space="0" w:color="auto"/>
        <w:bottom w:val="none" w:sz="0" w:space="0" w:color="auto"/>
        <w:right w:val="none" w:sz="0" w:space="0" w:color="auto"/>
      </w:divBdr>
      <w:divsChild>
        <w:div w:id="850342502">
          <w:marLeft w:val="0"/>
          <w:marRight w:val="0"/>
          <w:marTop w:val="0"/>
          <w:marBottom w:val="0"/>
          <w:divBdr>
            <w:top w:val="none" w:sz="0" w:space="0" w:color="auto"/>
            <w:left w:val="none" w:sz="0" w:space="0" w:color="auto"/>
            <w:bottom w:val="none" w:sz="0" w:space="0" w:color="auto"/>
            <w:right w:val="none" w:sz="0" w:space="0" w:color="auto"/>
          </w:divBdr>
        </w:div>
      </w:divsChild>
    </w:div>
    <w:div w:id="2096587053">
      <w:marLeft w:val="0"/>
      <w:marRight w:val="0"/>
      <w:marTop w:val="0"/>
      <w:marBottom w:val="0"/>
      <w:divBdr>
        <w:top w:val="none" w:sz="0" w:space="0" w:color="auto"/>
        <w:left w:val="none" w:sz="0" w:space="0" w:color="auto"/>
        <w:bottom w:val="none" w:sz="0" w:space="0" w:color="auto"/>
        <w:right w:val="none" w:sz="0" w:space="0" w:color="auto"/>
      </w:divBdr>
      <w:divsChild>
        <w:div w:id="772701927">
          <w:marLeft w:val="0"/>
          <w:marRight w:val="0"/>
          <w:marTop w:val="0"/>
          <w:marBottom w:val="0"/>
          <w:divBdr>
            <w:top w:val="none" w:sz="0" w:space="0" w:color="auto"/>
            <w:left w:val="none" w:sz="0" w:space="0" w:color="auto"/>
            <w:bottom w:val="none" w:sz="0" w:space="0" w:color="auto"/>
            <w:right w:val="none" w:sz="0" w:space="0" w:color="auto"/>
          </w:divBdr>
        </w:div>
        <w:div w:id="786587234">
          <w:marLeft w:val="0"/>
          <w:marRight w:val="0"/>
          <w:marTop w:val="0"/>
          <w:marBottom w:val="0"/>
          <w:divBdr>
            <w:top w:val="none" w:sz="0" w:space="0" w:color="auto"/>
            <w:left w:val="none" w:sz="0" w:space="0" w:color="auto"/>
            <w:bottom w:val="none" w:sz="0" w:space="0" w:color="auto"/>
            <w:right w:val="none" w:sz="0" w:space="0" w:color="auto"/>
          </w:divBdr>
        </w:div>
        <w:div w:id="1020357610">
          <w:marLeft w:val="0"/>
          <w:marRight w:val="0"/>
          <w:marTop w:val="0"/>
          <w:marBottom w:val="0"/>
          <w:divBdr>
            <w:top w:val="none" w:sz="0" w:space="0" w:color="auto"/>
            <w:left w:val="none" w:sz="0" w:space="0" w:color="auto"/>
            <w:bottom w:val="none" w:sz="0" w:space="0" w:color="auto"/>
            <w:right w:val="none" w:sz="0" w:space="0" w:color="auto"/>
          </w:divBdr>
        </w:div>
        <w:div w:id="100692009">
          <w:marLeft w:val="0"/>
          <w:marRight w:val="0"/>
          <w:marTop w:val="0"/>
          <w:marBottom w:val="0"/>
          <w:divBdr>
            <w:top w:val="none" w:sz="0" w:space="0" w:color="auto"/>
            <w:left w:val="none" w:sz="0" w:space="0" w:color="auto"/>
            <w:bottom w:val="none" w:sz="0" w:space="0" w:color="auto"/>
            <w:right w:val="none" w:sz="0" w:space="0" w:color="auto"/>
          </w:divBdr>
        </w:div>
      </w:divsChild>
    </w:div>
    <w:div w:id="2107269966">
      <w:marLeft w:val="4"/>
      <w:marRight w:val="0"/>
      <w:marTop w:val="120"/>
      <w:marBottom w:val="0"/>
      <w:divBdr>
        <w:top w:val="none" w:sz="0" w:space="0" w:color="auto"/>
        <w:left w:val="none" w:sz="0" w:space="0" w:color="auto"/>
        <w:bottom w:val="none" w:sz="0" w:space="0" w:color="auto"/>
        <w:right w:val="none" w:sz="0" w:space="0" w:color="auto"/>
      </w:divBdr>
      <w:divsChild>
        <w:div w:id="569540387">
          <w:marLeft w:val="0"/>
          <w:marRight w:val="0"/>
          <w:marTop w:val="0"/>
          <w:marBottom w:val="0"/>
          <w:divBdr>
            <w:top w:val="none" w:sz="0" w:space="0" w:color="auto"/>
            <w:left w:val="none" w:sz="0" w:space="0" w:color="auto"/>
            <w:bottom w:val="none" w:sz="0" w:space="0" w:color="auto"/>
            <w:right w:val="none" w:sz="0" w:space="0" w:color="auto"/>
          </w:divBdr>
        </w:div>
      </w:divsChild>
    </w:div>
    <w:div w:id="2127578201">
      <w:marLeft w:val="0"/>
      <w:marRight w:val="0"/>
      <w:marTop w:val="0"/>
      <w:marBottom w:val="0"/>
      <w:divBdr>
        <w:top w:val="none" w:sz="0" w:space="0" w:color="auto"/>
        <w:left w:val="none" w:sz="0" w:space="0" w:color="auto"/>
        <w:bottom w:val="none" w:sz="0" w:space="0" w:color="auto"/>
        <w:right w:val="none" w:sz="0" w:space="0" w:color="auto"/>
      </w:divBdr>
      <w:divsChild>
        <w:div w:id="1564559949">
          <w:marLeft w:val="0"/>
          <w:marRight w:val="0"/>
          <w:marTop w:val="0"/>
          <w:marBottom w:val="0"/>
          <w:divBdr>
            <w:top w:val="none" w:sz="0" w:space="0" w:color="auto"/>
            <w:left w:val="none" w:sz="0" w:space="0" w:color="auto"/>
            <w:bottom w:val="none" w:sz="0" w:space="0" w:color="auto"/>
            <w:right w:val="none" w:sz="0" w:space="0" w:color="auto"/>
          </w:divBdr>
        </w:div>
      </w:divsChild>
    </w:div>
    <w:div w:id="2130007183">
      <w:marLeft w:val="4"/>
      <w:marRight w:val="0"/>
      <w:marTop w:val="120"/>
      <w:marBottom w:val="0"/>
      <w:divBdr>
        <w:top w:val="none" w:sz="0" w:space="0" w:color="auto"/>
        <w:left w:val="none" w:sz="0" w:space="0" w:color="auto"/>
        <w:bottom w:val="none" w:sz="0" w:space="0" w:color="auto"/>
        <w:right w:val="none" w:sz="0" w:space="0" w:color="auto"/>
      </w:divBdr>
      <w:divsChild>
        <w:div w:id="430860022">
          <w:marLeft w:val="0"/>
          <w:marRight w:val="0"/>
          <w:marTop w:val="0"/>
          <w:marBottom w:val="0"/>
          <w:divBdr>
            <w:top w:val="none" w:sz="0" w:space="0" w:color="auto"/>
            <w:left w:val="none" w:sz="0" w:space="0" w:color="auto"/>
            <w:bottom w:val="none" w:sz="0" w:space="0" w:color="auto"/>
            <w:right w:val="none" w:sz="0" w:space="0" w:color="auto"/>
          </w:divBdr>
        </w:div>
      </w:divsChild>
    </w:div>
    <w:div w:id="2130859136">
      <w:marLeft w:val="4"/>
      <w:marRight w:val="0"/>
      <w:marTop w:val="120"/>
      <w:marBottom w:val="0"/>
      <w:divBdr>
        <w:top w:val="none" w:sz="0" w:space="0" w:color="auto"/>
        <w:left w:val="none" w:sz="0" w:space="0" w:color="auto"/>
        <w:bottom w:val="none" w:sz="0" w:space="0" w:color="auto"/>
        <w:right w:val="none" w:sz="0" w:space="0" w:color="auto"/>
      </w:divBdr>
      <w:divsChild>
        <w:div w:id="1832209313">
          <w:marLeft w:val="0"/>
          <w:marRight w:val="0"/>
          <w:marTop w:val="0"/>
          <w:marBottom w:val="0"/>
          <w:divBdr>
            <w:top w:val="none" w:sz="0" w:space="0" w:color="auto"/>
            <w:left w:val="none" w:sz="0" w:space="0" w:color="auto"/>
            <w:bottom w:val="none" w:sz="0" w:space="0" w:color="auto"/>
            <w:right w:val="none" w:sz="0" w:space="0" w:color="auto"/>
          </w:divBdr>
        </w:div>
      </w:divsChild>
    </w:div>
    <w:div w:id="2138646776">
      <w:marLeft w:val="4"/>
      <w:marRight w:val="0"/>
      <w:marTop w:val="120"/>
      <w:marBottom w:val="0"/>
      <w:divBdr>
        <w:top w:val="none" w:sz="0" w:space="0" w:color="auto"/>
        <w:left w:val="none" w:sz="0" w:space="0" w:color="auto"/>
        <w:bottom w:val="none" w:sz="0" w:space="0" w:color="auto"/>
        <w:right w:val="none" w:sz="0" w:space="0" w:color="auto"/>
      </w:divBdr>
      <w:divsChild>
        <w:div w:id="1519730252">
          <w:marLeft w:val="0"/>
          <w:marRight w:val="0"/>
          <w:marTop w:val="0"/>
          <w:marBottom w:val="0"/>
          <w:divBdr>
            <w:top w:val="none" w:sz="0" w:space="0" w:color="auto"/>
            <w:left w:val="none" w:sz="0" w:space="0" w:color="auto"/>
            <w:bottom w:val="none" w:sz="0" w:space="0" w:color="auto"/>
            <w:right w:val="none" w:sz="0" w:space="0" w:color="auto"/>
          </w:divBdr>
        </w:div>
      </w:divsChild>
    </w:div>
    <w:div w:id="2138794890">
      <w:marLeft w:val="4"/>
      <w:marRight w:val="0"/>
      <w:marTop w:val="120"/>
      <w:marBottom w:val="0"/>
      <w:divBdr>
        <w:top w:val="none" w:sz="0" w:space="0" w:color="auto"/>
        <w:left w:val="none" w:sz="0" w:space="0" w:color="auto"/>
        <w:bottom w:val="none" w:sz="0" w:space="0" w:color="auto"/>
        <w:right w:val="none" w:sz="0" w:space="0" w:color="auto"/>
      </w:divBdr>
      <w:divsChild>
        <w:div w:id="916481788">
          <w:marLeft w:val="0"/>
          <w:marRight w:val="0"/>
          <w:marTop w:val="0"/>
          <w:marBottom w:val="0"/>
          <w:divBdr>
            <w:top w:val="none" w:sz="0" w:space="0" w:color="auto"/>
            <w:left w:val="none" w:sz="0" w:space="0" w:color="auto"/>
            <w:bottom w:val="none" w:sz="0" w:space="0" w:color="auto"/>
            <w:right w:val="none" w:sz="0" w:space="0" w:color="auto"/>
          </w:divBdr>
        </w:div>
      </w:divsChild>
    </w:div>
    <w:div w:id="2141917421">
      <w:marLeft w:val="4"/>
      <w:marRight w:val="0"/>
      <w:marTop w:val="120"/>
      <w:marBottom w:val="0"/>
      <w:divBdr>
        <w:top w:val="none" w:sz="0" w:space="0" w:color="auto"/>
        <w:left w:val="none" w:sz="0" w:space="0" w:color="auto"/>
        <w:bottom w:val="none" w:sz="0" w:space="0" w:color="auto"/>
        <w:right w:val="none" w:sz="0" w:space="0" w:color="auto"/>
      </w:divBdr>
      <w:divsChild>
        <w:div w:id="152085216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ec.gov/Archives/edgar/data/1841156/000156459021028164/ck7045120534-ex104_394.htm" TargetMode="External"/><Relationship Id="rId18" Type="http://schemas.openxmlformats.org/officeDocument/2006/relationships/hyperlink" Target="pay-ex10_9.htm" TargetMode="External"/><Relationship Id="rId26" Type="http://schemas.openxmlformats.org/officeDocument/2006/relationships/hyperlink" Target="pay-ex10_17.htm" TargetMode="External"/><Relationship Id="rId3" Type="http://schemas.openxmlformats.org/officeDocument/2006/relationships/webSettings" Target="webSettings.xml"/><Relationship Id="rId21" Type="http://schemas.openxmlformats.org/officeDocument/2006/relationships/hyperlink" Target="https://www.sec.gov/Archives/edgar/data/1841156/000156459021028164/ck7045120534-ex1011_279.htm" TargetMode="External"/><Relationship Id="rId34" Type="http://schemas.openxmlformats.org/officeDocument/2006/relationships/fontTable" Target="fontTable.xml"/><Relationship Id="rId7" Type="http://schemas.openxmlformats.org/officeDocument/2006/relationships/hyperlink" Target="https://www.sec.gov/Archives/edgar/data/1841156/000156459021030840/ck7045120534-ex32_8.htm" TargetMode="External"/><Relationship Id="rId12" Type="http://schemas.openxmlformats.org/officeDocument/2006/relationships/hyperlink" Target="https://www.sec.gov/Archives/edgar/data/1841156/000156459021028164/ck7045120534-ex102_397.htm" TargetMode="External"/><Relationship Id="rId17" Type="http://schemas.openxmlformats.org/officeDocument/2006/relationships/hyperlink" Target="https://www.sec.gov/Archives/edgar/data/1841156/000156459021028164/ck7045120534-ex108_276.htm" TargetMode="External"/><Relationship Id="rId25" Type="http://schemas.openxmlformats.org/officeDocument/2006/relationships/hyperlink" Target="pay-ex10_16.htm" TargetMode="External"/><Relationship Id="rId33" Type="http://schemas.openxmlformats.org/officeDocument/2006/relationships/hyperlink" Target="pay-ex32_2.htm" TargetMode="External"/><Relationship Id="rId2" Type="http://schemas.openxmlformats.org/officeDocument/2006/relationships/settings" Target="settings.xml"/><Relationship Id="rId16" Type="http://schemas.openxmlformats.org/officeDocument/2006/relationships/hyperlink" Target="https://www.sec.gov/Archives/edgar/data/1841156/000156459021028164/ck7045120534-ex107_275.htm" TargetMode="External"/><Relationship Id="rId20" Type="http://schemas.openxmlformats.org/officeDocument/2006/relationships/hyperlink" Target="https://www.sec.gov/Archives/edgar/data/1841156/000156459021028164/ck7045120534-ex1010_278.htm" TargetMode="External"/><Relationship Id="rId29" Type="http://schemas.openxmlformats.org/officeDocument/2006/relationships/hyperlink" Target="pay-ex23_1.htm" TargetMode="External"/><Relationship Id="rId1" Type="http://schemas.openxmlformats.org/officeDocument/2006/relationships/styles" Target="styles.xml"/><Relationship Id="rId6" Type="http://schemas.openxmlformats.org/officeDocument/2006/relationships/hyperlink" Target="https://www.sec.gov/Archives/edgar/data/1841156/000156459021030840/ck7045120534-ex31_9.htm" TargetMode="External"/><Relationship Id="rId11" Type="http://schemas.openxmlformats.org/officeDocument/2006/relationships/hyperlink" Target="https://www.sec.gov/Archives/edgar/data/1841156/000156459021027416/ck7045120534-ex101_15.htm" TargetMode="External"/><Relationship Id="rId24" Type="http://schemas.openxmlformats.org/officeDocument/2006/relationships/hyperlink" Target="https://www.sec.gov/Archives/edgar/data/1841156/000156459021028164/ck7045120534-ex1015_669.htm" TargetMode="External"/><Relationship Id="rId32" Type="http://schemas.openxmlformats.org/officeDocument/2006/relationships/hyperlink" Target="pay-ex32_1.htm" TargetMode="External"/><Relationship Id="rId5" Type="http://schemas.openxmlformats.org/officeDocument/2006/relationships/hyperlink" Target="https://www.sec.gov/Archives/edgar/data/1841156/000095017021004172/pay-ex2_1.htm" TargetMode="External"/><Relationship Id="rId15" Type="http://schemas.openxmlformats.org/officeDocument/2006/relationships/hyperlink" Target="https://www.sec.gov/Archives/edgar/data/1841156/000156459021028164/ck7045120534-ex106_274.htm" TargetMode="External"/><Relationship Id="rId23" Type="http://schemas.openxmlformats.org/officeDocument/2006/relationships/hyperlink" Target="https://www.sec.gov/Archives/edgar/data/1841156/000156459021030840/ck7045120534-ex101_6.htm" TargetMode="External"/><Relationship Id="rId28" Type="http://schemas.openxmlformats.org/officeDocument/2006/relationships/hyperlink" Target="pay-ex21_1.htm" TargetMode="External"/><Relationship Id="rId10" Type="http://schemas.openxmlformats.org/officeDocument/2006/relationships/hyperlink" Target="pay-ex4_3.htm" TargetMode="External"/><Relationship Id="rId19" Type="http://schemas.openxmlformats.org/officeDocument/2006/relationships/hyperlink" Target="https://www.sec.gov/Archives/edgar/data/1841156/000156459021028164/ck7045120534-ex109_277.htm" TargetMode="External"/><Relationship Id="rId31" Type="http://schemas.openxmlformats.org/officeDocument/2006/relationships/hyperlink" Target="pay-ex31_2.htm" TargetMode="External"/><Relationship Id="rId4" Type="http://schemas.openxmlformats.org/officeDocument/2006/relationships/image" Target="file:///E:\projects\LLMs\new_data_collection\data_new\htm\Paymentus%20Holdings,%20Inc\img207603265_0.jpg" TargetMode="External"/><Relationship Id="rId9" Type="http://schemas.openxmlformats.org/officeDocument/2006/relationships/hyperlink" Target="https://www.sec.gov/Archives/edgar/data/1841156/000156459021030840/ck7045120534-ex41_7.htm" TargetMode="External"/><Relationship Id="rId14" Type="http://schemas.openxmlformats.org/officeDocument/2006/relationships/hyperlink" Target="https://www.sec.gov/Archives/edgar/data/1841156/000156459021028164/ck7045120534-ex105_395.htm" TargetMode="External"/><Relationship Id="rId22" Type="http://schemas.openxmlformats.org/officeDocument/2006/relationships/hyperlink" Target="pay-ex10_13.htm" TargetMode="External"/><Relationship Id="rId27" Type="http://schemas.openxmlformats.org/officeDocument/2006/relationships/hyperlink" Target="pay-ex10_18.htm" TargetMode="External"/><Relationship Id="rId30" Type="http://schemas.openxmlformats.org/officeDocument/2006/relationships/hyperlink" Target="pay-ex31_1.htm" TargetMode="External"/><Relationship Id="rId35" Type="http://schemas.openxmlformats.org/officeDocument/2006/relationships/theme" Target="theme/theme1.xml"/><Relationship Id="rId8" Type="http://schemas.openxmlformats.org/officeDocument/2006/relationships/hyperlink" Target="https://www.sec.gov/Archives/edgar/data/1841156/000156459021027416/ck7045120534-ex41_105.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71762</Words>
  <Characters>409048</Characters>
  <Application>Microsoft Office Word</Application>
  <DocSecurity>0</DocSecurity>
  <Lines>3408</Lines>
  <Paragraphs>959</Paragraphs>
  <ScaleCrop>false</ScaleCrop>
  <Company/>
  <LinksUpToDate>false</LinksUpToDate>
  <CharactersWithSpaces>479851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10-K</dc:title>
  <dc:subject/>
  <dc:creator>Chongjian.Yue</dc:creator>
  <cp:keywords/>
  <dc:description/>
  <cp:lastModifiedBy>Yue Chongjian</cp:lastModifiedBy>
  <cp:revision>1</cp:revision>
  <dcterms:created xsi:type="dcterms:W3CDTF">2024-01-04T15:57:00Z</dcterms:created>
  <dcterms:modified xsi:type="dcterms:W3CDTF">2024-01-04T15:57:00Z</dcterms:modified>
</cp:coreProperties>
</file>