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A40A2">
      <w:pPr>
        <w:divId w:val="60955186"/>
        <w:rPr>
          <w:rFonts w:eastAsia="Times New Roman"/>
          <w:vanish/>
        </w:rPr>
      </w:pPr>
      <w:r>
        <w:rPr>
          <w:rFonts w:eastAsia="Times New Roman"/>
          <w:vanish/>
        </w:rPr>
        <w:t>--12-31false0001841156Q10001841156pay:SoftwareMember2022-03-310001841156srt:MinimumMember2022-03-310001841156us-gaap:AdditionalPaidInCapitalMember2022-03-310001841156pay:TechnologyMember2022-03-310001841156country:US2022-03-310001841156</w:t>
      </w:r>
      <w:r>
        <w:rPr>
          <w:rFonts w:eastAsia="Times New Roman"/>
          <w:vanish/>
        </w:rPr>
        <w:t>2021-01-012021-03-3100018411562020-12-310001841156us-gaap:FurnitureAndFixturesMember2021-12-310001841156us-gaap:RestrictedStockUnitsRSUMember2022-03-310001841156pay:TechnologyMember2021-01-012021-12-310001841156us-gaap:ResearchAndDevelopmentExpenseMember20</w:t>
      </w:r>
      <w:r>
        <w:rPr>
          <w:rFonts w:eastAsia="Times New Roman"/>
          <w:vanish/>
        </w:rPr>
        <w:t>21-01-012021-03-310001841156us-gaap:NonUsMember2022-03-310001841156srt:ScenarioForecastMember2022-01-012022-12-310001841156us-gaap:TreasuryStockMember2021-03-310001841156us-gaap:AccumulatedOtherComprehensiveIncomeMember2021-12-3100018411562021-03-310001841</w:t>
      </w:r>
      <w:r>
        <w:rPr>
          <w:rFonts w:eastAsia="Times New Roman"/>
          <w:vanish/>
        </w:rPr>
        <w:t>156us-gaap:OperatingExpenseMember2021-01-012021-03-310001841156us-gaap:RetainedEarningsMember2021-03-310001841156srt:MaximumMemberus-gaap:ComputerSoftwareIntangibleAssetMember2022-01-012022-03-310001841156pay:PayverisLLCMember2021-09-012021-09-010001841156</w:t>
      </w:r>
      <w:r>
        <w:rPr>
          <w:rFonts w:eastAsia="Times New Roman"/>
          <w:vanish/>
        </w:rPr>
        <w:t>us-gaap:LeaseholdImprovementsMember2021-12-310001841156us-gaap:RestrictedStockUnitsRSUMember2021-12-310001841156us-gaap:CommonStockMember2021-12-310001841156pay:RestrictedFundsMember2021-03-310001841156pay:SoftwareMember2021-12-310001841156us-gaap:Accumula</w:t>
      </w:r>
      <w:r>
        <w:rPr>
          <w:rFonts w:eastAsia="Times New Roman"/>
          <w:vanish/>
        </w:rPr>
        <w:t>tedOtherComprehensiveIncomeMember2022-01-012022-03-310001841156us-gaap:AccountsPayableAndAccruedLiabilitiesMemberpay:FinoveraIncMember2021-09-022021-09-020001841156us-gaap:PrivatePlacementMemberus-gaap:CommonClassAMember2021-05-310001841156us-gaap:OverAllo</w:t>
      </w:r>
      <w:r>
        <w:rPr>
          <w:rFonts w:eastAsia="Times New Roman"/>
          <w:vanish/>
        </w:rPr>
        <w:t>tmentOptionMemberus-gaap:CommonClassAMember2021-05-012021-05-310001841156us-gaap:AdditionalPaidInCapitalMember2022-01-012022-03-310001841156pay:CostOfRevenueMember2021-01-012021-03-310001841156us-gaap:CommonClassAMember2022-03-310001841156us-gaap:CommonCla</w:t>
      </w:r>
      <w:r>
        <w:rPr>
          <w:rFonts w:eastAsia="Times New Roman"/>
          <w:vanish/>
        </w:rPr>
        <w:t>ssAMember2021-12-310001841156us-gaap:SeriesAPreferredStockMember2020-12-310001841156us-gaap:OtherNoncurrentAssetsMember2021-12-310001841156us-gaap:AdditionalPaidInCapitalMember2020-12-310001841156pay:FinoveraIncMember2021-09-020001841156us-gaap:ComputerEqu</w:t>
      </w:r>
      <w:r>
        <w:rPr>
          <w:rFonts w:eastAsia="Times New Roman"/>
          <w:vanish/>
        </w:rPr>
        <w:t>ipmentMember2022-03-310001841156us-gaap:PrepaidExpensesAndOtherCurrentAssetsMember2022-03-310001841156srt:MinimumMemberus-gaap:CustomerConcentrationRiskMemberus-gaap:AccountsReceivableMember2021-01-012021-12-310001841156us-gaap:CommonClassBMemberus-gaap:IP</w:t>
      </w:r>
      <w:r>
        <w:rPr>
          <w:rFonts w:eastAsia="Times New Roman"/>
          <w:vanish/>
        </w:rPr>
        <w:t>OMember2021-05-310001841156us-gaap:CashAndCashEquivalentsMember2022-03-310001841156us-gaap:CustomerRelationshipsMember2022-01-012022-03-310001841156us-gaap:RetainedEarningsMember2020-12-310001841156pay:FinoveraIncMemberus-gaap:CommonClassAMember2021-09-022</w:t>
      </w:r>
      <w:r>
        <w:rPr>
          <w:rFonts w:eastAsia="Times New Roman"/>
          <w:vanish/>
        </w:rPr>
        <w:t>021-09-020001841156srt:MaximumMember2021-01-012021-03-310001841156us-gaap:RestrictedStockUnitsRSUMember2022-01-012022-03-310001841156us-gaap:IPOMemberus-gaap:CommonClassAMember2021-05-012021-05-3100018411562022-01-012022-03-310001841156us-gaap:AdditionalPa</w:t>
      </w:r>
      <w:r>
        <w:rPr>
          <w:rFonts w:eastAsia="Times New Roman"/>
          <w:vanish/>
        </w:rPr>
        <w:t>idInCapitalMember2021-03-310001841156pay:OtherGeographicalAreaMember2021-12-310001841156pay:OtherGeographicalAreaMember2022-03-310001841156us-gaap:RestrictedStockUnitsRSUMembersrt:MinimumMember2022-01-012022-03-310001841156us-gaap:IPOMemberus-gaap:SeriesAP</w:t>
      </w:r>
      <w:r>
        <w:rPr>
          <w:rFonts w:eastAsia="Times New Roman"/>
          <w:vanish/>
        </w:rPr>
        <w:t>referredStockMember2022-03-310001841156srt:MaximumMemberus-gaap:RestrictedStockUnitsRSUMember2022-01-012022-03-310001841156pay:EquityIncentivePlanMember2022-03-310001841156srt:MinimumMember2021-01-012021-03-310001841156pay:EquityIncentivePlanMemberus-gaap:</w:t>
      </w:r>
      <w:r>
        <w:rPr>
          <w:rFonts w:eastAsia="Times New Roman"/>
          <w:vanish/>
        </w:rPr>
        <w:t>CommonClassAMember2021-05-012021-05-310001841156pay:PayverisLLCMemberus-gaap:TrademarksMember2022-01-012022-03-310001841156us-gaap:OperatingExpenseMember2022-01-012022-03-310001841156us-gaap:CustomerContractsMember2022-01-012022-03-310001841156us-gaap:Comm</w:t>
      </w:r>
      <w:r>
        <w:rPr>
          <w:rFonts w:eastAsia="Times New Roman"/>
          <w:vanish/>
        </w:rPr>
        <w:t>onClassBMember2022-05-030001841156pay:PayverisLLCMemberus-gaap:CommonClassAMember2021-09-012021-09-010001841156us-gaap:AccumulatedOtherComprehensiveIncomeMember2022-03-310001841156pay:EquityIncentivePlanMember2022-01-012022-03-310001841156us-gaap:CustomerR</w:t>
      </w:r>
      <w:r>
        <w:rPr>
          <w:rFonts w:eastAsia="Times New Roman"/>
          <w:vanish/>
        </w:rPr>
        <w:t>elationshipsMember2021-12-310001841156us-gaap:CommonStockMember2020-12-310001841156us-gaap:RestrictedStockUnitsRSUMember2022-01-012022-03-310001841156us-gaap:ResearchAndDevelopmentExpenseMember2022-01-012022-03-310001841156us-gaap:FurnitureAndFixturesMembe</w:t>
      </w:r>
      <w:r>
        <w:rPr>
          <w:rFonts w:eastAsia="Times New Roman"/>
          <w:vanish/>
        </w:rPr>
        <w:t>r2022-03-310001841156us-gaap:SeriesAPreferredStockMember2021-03-3100018411562022-03-310001841156us-gaap:GeneralAndAdministrativeExpenseMember2022-01-012022-03-310001841156us-gaap:IPOMemberus-gaap:CommonClassAMember2021-05-310001841156us-gaap:NonUsMember202</w:t>
      </w:r>
      <w:r>
        <w:rPr>
          <w:rFonts w:eastAsia="Times New Roman"/>
          <w:vanish/>
        </w:rPr>
        <w:t>1-12-310001841156us-gaap:SellingAndMarketingExpenseMember2021-01-012021-03-310001841156us-gaap:CommonClassAMember2022-05-030001841156us-gaap:AccumulatedOtherComprehensiveIncomeMember2020-12-310001841156us-gaap:CommonClassAMember2022-01-012022-03-3100018411</w:t>
      </w:r>
      <w:r>
        <w:rPr>
          <w:rFonts w:eastAsia="Times New Roman"/>
          <w:vanish/>
        </w:rPr>
        <w:t>56us-gaap:AdditionalPaidInCapitalMember2021-01-012021-03-310001841156us-gaap:CommonClassBMember2021-12-310001841156us-gaap:CashAndCashEquivalentsMember2021-03-310001841156pay:EquityIncentivePlanMemberus-gaap:CommonClassAMember2022-03-310001841156us-gaap:Li</w:t>
      </w:r>
      <w:r>
        <w:rPr>
          <w:rFonts w:eastAsia="Times New Roman"/>
          <w:vanish/>
        </w:rPr>
        <w:t>censeMember2021-12-3100018411562021-05-130001841156us-gaap:CommonStockMember2021-03-310001841156us-gaap:SeriesAPreferredStockMember2022-03-310001841156pay:TechnologyMember2021-12-310001841156us-gaap:TrademarksMember2021-01-012021-12-310001841156us-gaap:Pri</w:t>
      </w:r>
      <w:r>
        <w:rPr>
          <w:rFonts w:eastAsia="Times New Roman"/>
          <w:vanish/>
        </w:rPr>
        <w:t>vatePlacementMemberus-gaap:CommonClassAMember2021-05-012021-05-310001841156pay:FinoveraIncMemberus-gaap:DevelopedTechnologyRightsMember2022-01-012022-03-310001841156us-gaap:RetainedEarningsMember2022-03-310001841156us-gaap:CustomerRelationshipsMember2022-0</w:t>
      </w:r>
      <w:r>
        <w:rPr>
          <w:rFonts w:eastAsia="Times New Roman"/>
          <w:vanish/>
        </w:rPr>
        <w:t>3-310001841156country:US2021-12-310001841156us-gaap:AccumulatedOtherComprehensiveIncomeMember2021-01-012021-03-310001841156us-gaap:SeriesOfIndividuallyImmaterialBusinessAcquisitionsMember2021-12-310001841156pay:PayverisLLCMemberus-gaap:DevelopedTechnologyR</w:t>
      </w:r>
      <w:r>
        <w:rPr>
          <w:rFonts w:eastAsia="Times New Roman"/>
          <w:vanish/>
        </w:rPr>
        <w:t>ightsMember2022-01-012022-03-310001841156us-gaap:ComputerEquipmentMember2021-12-310001841156us-gaap:CommonClassBMember2022-01-012022-03-310001841156pay:ClassAAndClassBCommonStockMember2021-09-300001841156us-gaap:CommonStockMember2022-03-310001841156country</w:t>
      </w:r>
      <w:r>
        <w:rPr>
          <w:rFonts w:eastAsia="Times New Roman"/>
          <w:vanish/>
        </w:rPr>
        <w:t>:US2022-01-012022-03-3100018411562021-12-3100018411562021-01-012021-12-310001841156srt:MinimumMemberus-gaap:CustomerConcentrationRiskMemberus-gaap:AccountsReceivableMember2022-01-012022-03-310001841156us-gaap:AccountsPayableAndAccruedLiabilitiesMemberpay:P</w:t>
      </w:r>
      <w:r>
        <w:rPr>
          <w:rFonts w:eastAsia="Times New Roman"/>
          <w:vanish/>
        </w:rPr>
        <w:t>ayverisLLCMemberus-gaap:CommonClassAMember2021-09-012021-09-010001841156us-gaap:RetainedEarningsMember2022-01-012022-03-310001841156us-gaap:LeaseholdImprovementsMember2022-03-310001841156pay:PaymentTransactionProcessingRevenueMember2022-03-310001841156us-g</w:t>
      </w:r>
      <w:r>
        <w:rPr>
          <w:rFonts w:eastAsia="Times New Roman"/>
          <w:vanish/>
        </w:rPr>
        <w:t>aap:CustomerRelationshipsMemberpay:PayverisLLCMember2022-01-012022-03-310001841156us-gaap:TrademarksMember2022-03-310001841156us-gaap:TrademarksMember2021-12-310001841156pay:SoftwareMember2021-01-012021-12-310001841156us-gaap:NonUsMember2021-01-012021-03-3</w:t>
      </w:r>
      <w:r>
        <w:rPr>
          <w:rFonts w:eastAsia="Times New Roman"/>
          <w:vanish/>
        </w:rPr>
        <w:t>10001841156srt:MaximumMember2022-03-3100018411562021-05-092021-05-100001841156us-gaap:RetainedEarningsMember2021-01-012021-03-310001841156pay:FinoveraIncMember2022-03-310001841156pay:PayverisLLCMember2022-01-012022-03-310001841156us-gaap:TrademarksMember20</w:t>
      </w:r>
      <w:r>
        <w:rPr>
          <w:rFonts w:eastAsia="Times New Roman"/>
          <w:vanish/>
        </w:rPr>
        <w:t>22-01-012022-03-310001841156pay:OtherMemberus-gaap:CustomerContractsMember2022-01-012022-03-310001841156pay:PayverisLLCMemberus-gaap:CommonClassAMember2021-09-010001841156us-gaap:OtherNoncurrentAssetsMember2022-03-310001841156pay:FinoveraIncMember2021-09-0</w:t>
      </w:r>
      <w:r>
        <w:rPr>
          <w:rFonts w:eastAsia="Times New Roman"/>
          <w:vanish/>
        </w:rPr>
        <w:t>22021-09-020001841156us-gaap:RestrictedStockUnitsRSUMember2021-01-012021-03-310001841156us-gaap:CommonClassBMember2022-03-310001841156us-gaap:TreasuryStockMember2020-12-310001841156us-gaap:AccumulatedOtherComprehensiveIncomeMember2021-03-310001841156us-gaa</w:t>
      </w:r>
      <w:r>
        <w:rPr>
          <w:rFonts w:eastAsia="Times New Roman"/>
          <w:vanish/>
        </w:rPr>
        <w:t>p:SellingAndMarketingExpenseMember2022-01-012022-03-310001841156us-gaap:CustomerContractsMember2021-01-012021-03-310001841156pay:OtherGeographicalAreaMember2022-01-012022-03-310001841156us-gaap:SeriesAPreferredStockMember2022-01-012022-03-3100018411562021-</w:t>
      </w:r>
      <w:r>
        <w:rPr>
          <w:rFonts w:eastAsia="Times New Roman"/>
          <w:vanish/>
        </w:rPr>
        <w:t>10-012021-12-310001841156us-gaap:CommonStockMemberus-gaap:IPOMember2022-01-012022-03-310001841156pay:PaymentTransactionProcessingRevenueMember2021-12-310001841156us-gaap:CustomerRelationshipsMember2021-01-012021-12-310001841156pay:SoftwareMember2022-01-012</w:t>
      </w:r>
      <w:r>
        <w:rPr>
          <w:rFonts w:eastAsia="Times New Roman"/>
          <w:vanish/>
        </w:rPr>
        <w:t>022-03-310001841156us-gaap:AdditionalPaidInCapitalMember2021-12-310001841156pay:OtherMemberus-gaap:CustomerContractsMember2021-01-012021-03-310001841156pay:RestrictedFundsMember2022-03-310001841156pay:PayverisLLCMember2022-03-310001841156us-gaap:CustomerCo</w:t>
      </w:r>
      <w:r>
        <w:rPr>
          <w:rFonts w:eastAsia="Times New Roman"/>
          <w:vanish/>
        </w:rPr>
        <w:t>ntractsMemberpay:PaymentTransactionProcessingRevenueMember2021-01-012021-03-310001841156us-gaap:CustomerContractsMemberpay:PaymentTransactionProcessingRevenueMember2022-01-012022-03-310001841156us-gaap:NonUsMember2022-01-012022-03-310001841156pay:Technolog</w:t>
      </w:r>
      <w:r>
        <w:rPr>
          <w:rFonts w:eastAsia="Times New Roman"/>
          <w:vanish/>
        </w:rPr>
        <w:t>yMember2022-01-012022-03-310001841156us-gaap:SalesRevenueNetMembersrt:MinimumMemberus-gaap:CustomerConcentrationRiskMember2021-01-012021-03-310001841156us-gaap:PrepaidExpensesAndOtherCurrentAssetsMember2021-12-310001841156us-gaap:RetainedEarningsMember2021</w:t>
      </w:r>
      <w:r>
        <w:rPr>
          <w:rFonts w:eastAsia="Times New Roman"/>
          <w:vanish/>
        </w:rPr>
        <w:t>-12-310001841156pay:EquityIncentivePlanMemberus-gaap:CommonClassAMember2021-05-310001841156us-gaap:CommonClassBMember2020-12-310001841156us-gaap:CustomerRelationshipsMemberpay:FinoveraIncMember2022-01-012022-03-310001841156pay:FinoveraIncMember2022-01-0120</w:t>
      </w:r>
      <w:r>
        <w:rPr>
          <w:rFonts w:eastAsia="Times New Roman"/>
          <w:vanish/>
        </w:rPr>
        <w:t>22-03-310001841156us-gaap:IPOMember2022-01-012022-03-310001841156us-gaap:AdditionalPaidInCapitalMemberus-gaap:IPOMember2022-01-012022-03-310001841156pay:CostOfRevenueMember2022-01-012022-03-310001841156country:US2021-01-012021-03-310001841156us-gaap:Genera</w:t>
      </w:r>
      <w:r>
        <w:rPr>
          <w:rFonts w:eastAsia="Times New Roman"/>
          <w:vanish/>
        </w:rPr>
        <w:t>lAndAdministrativeExpenseMember2021-01-012021-03-310001841156us-gaap:SalesRevenueNetMembersrt:MinimumMemberus-gaap:CustomerConcentrationRiskMember2022-01-012022-03-310001841156us-gaap:LicenseMember2022-03-310001841156pay:FinoveraIncMember2021-01-012021-12-</w:t>
      </w:r>
      <w:r>
        <w:rPr>
          <w:rFonts w:eastAsia="Times New Roman"/>
          <w:vanish/>
        </w:rPr>
        <w:t>31iso4217:USDxbrli:sharesxbrli:purepay:Segmentxbrli:sharesiso4217:USD</w: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0" w:beforeAutospacing="0" w:after="0" w:afterAutospacing="0"/>
        <w:jc w:val="center"/>
        <w:rPr>
          <w:sz w:val="20"/>
          <w:szCs w:val="20"/>
        </w:rPr>
      </w:pPr>
      <w:r>
        <w:rPr>
          <w:rFonts w:ascii="Arial" w:hAnsi="Arial" w:cs="Arial"/>
          <w:b/>
          <w:bCs/>
          <w:sz w:val="20"/>
          <w:szCs w:val="20"/>
        </w:rPr>
        <w:t>UNITED STATE</w:t>
      </w:r>
      <w:r>
        <w:rPr>
          <w:rFonts w:ascii="Arial" w:hAnsi="Arial" w:cs="Arial"/>
          <w:b/>
          <w:bCs/>
          <w:sz w:val="20"/>
          <w:szCs w:val="20"/>
        </w:rPr>
        <w:t>S</w:t>
      </w:r>
    </w:p>
    <w:p w:rsidR="00000000" w:rsidRDefault="00CA40A2">
      <w:pPr>
        <w:pStyle w:val="a3"/>
        <w:spacing w:before="0" w:beforeAutospacing="0" w:after="0" w:afterAutospacing="0"/>
        <w:jc w:val="center"/>
        <w:rPr>
          <w:sz w:val="20"/>
          <w:szCs w:val="20"/>
        </w:rPr>
      </w:pPr>
      <w:r>
        <w:rPr>
          <w:rFonts w:ascii="Arial" w:hAnsi="Arial" w:cs="Arial"/>
          <w:b/>
          <w:bCs/>
          <w:sz w:val="20"/>
          <w:szCs w:val="20"/>
        </w:rPr>
        <w:t>SECURITIES AND EXCHANGE COMMISSIO</w:t>
      </w:r>
      <w:r>
        <w:rPr>
          <w:rFonts w:ascii="Arial" w:hAnsi="Arial" w:cs="Arial"/>
          <w:b/>
          <w:bCs/>
          <w:sz w:val="20"/>
          <w:szCs w:val="20"/>
        </w:rPr>
        <w:t>N</w:t>
      </w:r>
    </w:p>
    <w:p w:rsidR="00000000" w:rsidRDefault="00CA40A2">
      <w:pPr>
        <w:pStyle w:val="a3"/>
        <w:spacing w:before="0" w:beforeAutospacing="0" w:after="0" w:afterAutospacing="0"/>
        <w:jc w:val="center"/>
        <w:rPr>
          <w:sz w:val="20"/>
          <w:szCs w:val="20"/>
        </w:rPr>
      </w:pPr>
      <w:r>
        <w:rPr>
          <w:rFonts w:ascii="Arial" w:hAnsi="Arial" w:cs="Arial"/>
          <w:b/>
          <w:bCs/>
          <w:sz w:val="20"/>
          <w:szCs w:val="20"/>
        </w:rPr>
        <w:t>WASHINGTON, DC 2054</w:t>
      </w:r>
      <w:r>
        <w:rPr>
          <w:rFonts w:ascii="Arial" w:hAnsi="Arial" w:cs="Arial"/>
          <w:b/>
          <w:bCs/>
          <w:sz w:val="20"/>
          <w:szCs w:val="20"/>
        </w:rPr>
        <w:t>9</w:t>
      </w:r>
    </w:p>
    <w:p w:rsidR="00000000" w:rsidRDefault="00CA40A2">
      <w:pPr>
        <w:pStyle w:val="a3"/>
        <w:spacing w:before="0" w:beforeAutospacing="0" w:after="0" w:afterAutospacing="0"/>
        <w:jc w:val="center"/>
        <w:rPr>
          <w:sz w:val="20"/>
          <w:szCs w:val="20"/>
        </w:rPr>
      </w:pPr>
      <w:r>
        <w:rPr>
          <w:sz w:val="20"/>
          <w:szCs w:val="20"/>
        </w:rPr>
        <w:t> </w:t>
      </w:r>
    </w:p>
    <w:p w:rsidR="00000000" w:rsidRDefault="00CA40A2">
      <w:pPr>
        <w:pStyle w:val="a3"/>
        <w:spacing w:before="0" w:beforeAutospacing="0" w:after="0" w:afterAutospacing="0"/>
        <w:jc w:val="center"/>
        <w:rPr>
          <w:sz w:val="20"/>
          <w:szCs w:val="20"/>
        </w:rPr>
      </w:pPr>
      <w:r>
        <w:rPr>
          <w:rFonts w:ascii="Arial" w:hAnsi="Arial" w:cs="Arial"/>
          <w:b/>
          <w:bCs/>
          <w:sz w:val="20"/>
          <w:szCs w:val="20"/>
        </w:rPr>
        <w:t>FORM</w:t>
      </w:r>
      <w:r>
        <w:rPr>
          <w:rFonts w:ascii="Arial" w:hAnsi="Arial" w:cs="Arial"/>
          <w:b/>
          <w:bCs/>
          <w:sz w:val="20"/>
          <w:szCs w:val="20"/>
        </w:rPr>
        <w:t xml:space="preserve"> </w:t>
      </w:r>
      <w:r>
        <w:rPr>
          <w:rFonts w:ascii="Arial" w:hAnsi="Arial" w:cs="Arial"/>
          <w:b/>
          <w:bCs/>
          <w:sz w:val="20"/>
          <w:szCs w:val="20"/>
        </w:rPr>
        <w:t>10-</w:t>
      </w:r>
      <w:r>
        <w:rPr>
          <w:rFonts w:ascii="Arial" w:hAnsi="Arial" w:cs="Arial"/>
          <w:b/>
          <w:bCs/>
          <w:sz w:val="20"/>
          <w:szCs w:val="20"/>
        </w:rPr>
        <w:t>Q</w:t>
      </w:r>
    </w:p>
    <w:p w:rsidR="00000000" w:rsidRDefault="00CA40A2">
      <w:pPr>
        <w:pStyle w:val="a3"/>
        <w:spacing w:before="0" w:beforeAutospacing="0" w:after="0" w:afterAutospacing="0"/>
        <w:jc w:val="center"/>
        <w:rPr>
          <w:sz w:val="20"/>
          <w:szCs w:val="20"/>
        </w:rPr>
      </w:pPr>
      <w:r>
        <w:rPr>
          <w:sz w:val="20"/>
          <w:szCs w:val="20"/>
        </w:rPr>
        <w:t> </w:t>
      </w:r>
    </w:p>
    <w:p w:rsidR="00000000" w:rsidRDefault="00CA40A2">
      <w:pPr>
        <w:pStyle w:val="a3"/>
        <w:spacing w:before="0" w:beforeAutospacing="0" w:after="0" w:afterAutospacing="0"/>
        <w:rPr>
          <w:sz w:val="20"/>
          <w:szCs w:val="20"/>
        </w:rPr>
      </w:pPr>
      <w:r>
        <w:rPr>
          <w:rFonts w:ascii="Arial" w:hAnsi="Arial" w:cs="Arial"/>
          <w:b/>
          <w:bCs/>
          <w:sz w:val="20"/>
          <w:szCs w:val="20"/>
        </w:rPr>
        <w:t>(Mark One</w:t>
      </w:r>
      <w:r>
        <w:rPr>
          <w:rFonts w:ascii="Arial" w:hAnsi="Arial" w:cs="Arial"/>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CA40A2">
            <w:pPr>
              <w:rPr>
                <w:sz w:val="20"/>
                <w:szCs w:val="20"/>
              </w:rPr>
            </w:pPr>
          </w:p>
        </w:tc>
        <w:tc>
          <w:tcPr>
            <w:tcW w:w="4800" w:type="pct"/>
            <w:vAlign w:val="center"/>
            <w:hideMark/>
          </w:tcPr>
          <w:p w:rsidR="00000000" w:rsidRDefault="00CA40A2">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b/>
                <w:bCs/>
                <w:sz w:val="20"/>
                <w:szCs w:val="20"/>
              </w:rPr>
              <w:t xml:space="preserve">QUARTERLY REPORT PURSUANT TO SECTION 13 OR 15(d) OF THE SECURITIES EXCHANGE ACT </w:t>
            </w:r>
            <w:r>
              <w:rPr>
                <w:rFonts w:ascii="Arial" w:hAnsi="Arial" w:cs="Arial"/>
                <w:b/>
                <w:bCs/>
                <w:sz w:val="20"/>
                <w:szCs w:val="20"/>
              </w:rPr>
              <w:t>OF 193</w:t>
            </w:r>
            <w:r>
              <w:rPr>
                <w:rFonts w:ascii="Arial" w:hAnsi="Arial" w:cs="Arial"/>
                <w:b/>
                <w:bCs/>
                <w:sz w:val="20"/>
                <w:szCs w:val="20"/>
              </w:rPr>
              <w:t>4</w:t>
            </w:r>
          </w:p>
        </w:tc>
      </w:tr>
    </w:tbl>
    <w:p w:rsidR="00000000" w:rsidRDefault="00CA40A2">
      <w:pPr>
        <w:pStyle w:val="a3"/>
        <w:spacing w:before="0" w:beforeAutospacing="0" w:after="0" w:afterAutospacing="0"/>
        <w:jc w:val="center"/>
        <w:rPr>
          <w:sz w:val="20"/>
          <w:szCs w:val="20"/>
        </w:rPr>
      </w:pPr>
      <w:r>
        <w:rPr>
          <w:rFonts w:ascii="Arial" w:hAnsi="Arial" w:cs="Arial"/>
          <w:b/>
          <w:bCs/>
          <w:sz w:val="20"/>
          <w:szCs w:val="20"/>
        </w:rPr>
        <w:t>For the quarterly period ended</w:t>
      </w:r>
      <w:r>
        <w:rPr>
          <w:rFonts w:ascii="Arial" w:hAnsi="Arial" w:cs="Arial"/>
          <w:b/>
          <w:bCs/>
          <w:sz w:val="20"/>
          <w:szCs w:val="20"/>
        </w:rPr>
        <w:t xml:space="preserve"> </w:t>
      </w:r>
      <w:r>
        <w:rPr>
          <w:rFonts w:ascii="Arial" w:hAnsi="Arial" w:cs="Arial"/>
          <w:b/>
          <w:bCs/>
          <w:sz w:val="20"/>
          <w:szCs w:val="20"/>
        </w:rPr>
        <w:t>March 31,</w:t>
      </w:r>
      <w:r>
        <w:rPr>
          <w:rFonts w:ascii="Arial" w:hAnsi="Arial" w:cs="Arial"/>
          <w:b/>
          <w:bCs/>
          <w:sz w:val="20"/>
          <w:szCs w:val="20"/>
        </w:rPr>
        <w:t xml:space="preserve"> </w:t>
      </w:r>
      <w:r>
        <w:rPr>
          <w:rFonts w:ascii="Arial" w:hAnsi="Arial" w:cs="Arial"/>
          <w:b/>
          <w:bCs/>
          <w:sz w:val="20"/>
          <w:szCs w:val="20"/>
        </w:rPr>
        <w:t>202</w:t>
      </w:r>
      <w:r>
        <w:rPr>
          <w:rFonts w:ascii="Arial" w:hAnsi="Arial" w:cs="Arial"/>
          <w:b/>
          <w:bCs/>
          <w:sz w:val="20"/>
          <w:szCs w:val="20"/>
        </w:rPr>
        <w:t>2</w:t>
      </w:r>
    </w:p>
    <w:p w:rsidR="00000000" w:rsidRDefault="00CA40A2">
      <w:pPr>
        <w:pStyle w:val="a3"/>
        <w:spacing w:before="0" w:beforeAutospacing="0" w:after="0" w:afterAutospacing="0"/>
        <w:jc w:val="center"/>
        <w:rPr>
          <w:sz w:val="20"/>
          <w:szCs w:val="20"/>
        </w:rPr>
      </w:pPr>
      <w:r>
        <w:rPr>
          <w:rFonts w:ascii="Arial" w:hAnsi="Arial" w:cs="Arial"/>
          <w:b/>
          <w:bCs/>
          <w:sz w:val="20"/>
          <w:szCs w:val="20"/>
        </w:rPr>
        <w:t>O</w:t>
      </w:r>
      <w:r>
        <w:rPr>
          <w:rFonts w:ascii="Arial" w:hAnsi="Arial" w:cs="Arial"/>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CA40A2">
            <w:pPr>
              <w:rPr>
                <w:sz w:val="20"/>
                <w:szCs w:val="20"/>
              </w:rPr>
            </w:pPr>
          </w:p>
        </w:tc>
        <w:tc>
          <w:tcPr>
            <w:tcW w:w="4800" w:type="pct"/>
            <w:vAlign w:val="center"/>
            <w:hideMark/>
          </w:tcPr>
          <w:p w:rsidR="00000000" w:rsidRDefault="00CA40A2">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b/>
                <w:bCs/>
                <w:sz w:val="20"/>
                <w:szCs w:val="20"/>
              </w:rPr>
              <w:t>TRANSITION REPORT PURSUANT TO SECTION 13 OR 15(d) OF THE SECURITIES EXCHANGE ACT OF 193</w:t>
            </w:r>
            <w:r>
              <w:rPr>
                <w:rFonts w:ascii="Arial" w:hAnsi="Arial" w:cs="Arial"/>
                <w:b/>
                <w:bCs/>
                <w:sz w:val="20"/>
                <w:szCs w:val="20"/>
              </w:rPr>
              <w:t>4</w:t>
            </w:r>
          </w:p>
        </w:tc>
      </w:tr>
    </w:tbl>
    <w:p w:rsidR="00000000" w:rsidRDefault="00CA40A2">
      <w:pPr>
        <w:pStyle w:val="a3"/>
        <w:spacing w:before="0" w:beforeAutospacing="0" w:after="0" w:afterAutospacing="0"/>
        <w:jc w:val="center"/>
        <w:rPr>
          <w:sz w:val="20"/>
          <w:szCs w:val="20"/>
        </w:rPr>
      </w:pPr>
      <w:r>
        <w:rPr>
          <w:rFonts w:ascii="Arial" w:hAnsi="Arial" w:cs="Arial"/>
          <w:b/>
          <w:bCs/>
          <w:sz w:val="20"/>
          <w:szCs w:val="20"/>
        </w:rPr>
        <w:t>For the transition period from t</w:t>
      </w:r>
      <w:r>
        <w:rPr>
          <w:rFonts w:ascii="Arial" w:hAnsi="Arial" w:cs="Arial"/>
          <w:b/>
          <w:bCs/>
          <w:sz w:val="20"/>
          <w:szCs w:val="20"/>
        </w:rPr>
        <w:t>o</w:t>
      </w:r>
      <w:r>
        <w:rPr>
          <w:rFonts w:ascii="Arial" w:hAnsi="Arial" w:cs="Arial"/>
          <w:b/>
          <w:bCs/>
          <w:sz w:val="20"/>
          <w:szCs w:val="20"/>
        </w:rPr>
        <w:t xml:space="preserve"> </w:t>
      </w:r>
    </w:p>
    <w:p w:rsidR="00000000" w:rsidRDefault="00CA40A2">
      <w:pPr>
        <w:pStyle w:val="a3"/>
        <w:spacing w:before="0" w:beforeAutospacing="0" w:after="0" w:afterAutospacing="0"/>
        <w:jc w:val="center"/>
        <w:rPr>
          <w:sz w:val="20"/>
          <w:szCs w:val="20"/>
        </w:rPr>
      </w:pPr>
      <w:r>
        <w:rPr>
          <w:rFonts w:ascii="Arial" w:hAnsi="Arial" w:cs="Arial"/>
          <w:b/>
          <w:bCs/>
          <w:sz w:val="20"/>
          <w:szCs w:val="20"/>
        </w:rPr>
        <w:t>Commission File Number:</w:t>
      </w:r>
      <w:r>
        <w:rPr>
          <w:rFonts w:ascii="Arial" w:hAnsi="Arial" w:cs="Arial"/>
          <w:b/>
          <w:bCs/>
          <w:sz w:val="20"/>
          <w:szCs w:val="20"/>
        </w:rPr>
        <w:t xml:space="preserve"> </w:t>
      </w:r>
      <w:r>
        <w:rPr>
          <w:rFonts w:ascii="Arial" w:hAnsi="Arial" w:cs="Arial"/>
          <w:b/>
          <w:bCs/>
          <w:sz w:val="20"/>
          <w:szCs w:val="20"/>
        </w:rPr>
        <w:t>001-4042</w:t>
      </w:r>
      <w:r>
        <w:rPr>
          <w:rFonts w:ascii="Arial" w:hAnsi="Arial" w:cs="Arial"/>
          <w:b/>
          <w:bCs/>
          <w:sz w:val="20"/>
          <w:szCs w:val="20"/>
        </w:rPr>
        <w:t>9</w:t>
      </w:r>
    </w:p>
    <w:p w:rsidR="00000000" w:rsidRDefault="00CA40A2">
      <w:pPr>
        <w:pStyle w:val="a3"/>
        <w:spacing w:before="0" w:beforeAutospacing="0" w:after="0" w:afterAutospacing="0"/>
        <w:jc w:val="center"/>
        <w:rPr>
          <w:sz w:val="20"/>
          <w:szCs w:val="20"/>
        </w:rPr>
      </w:pPr>
      <w:r>
        <w:rPr>
          <w:sz w:val="20"/>
          <w:szCs w:val="20"/>
        </w:rPr>
        <w:t> </w:t>
      </w:r>
    </w:p>
    <w:p w:rsidR="00000000" w:rsidRDefault="00CA40A2">
      <w:pPr>
        <w:pStyle w:val="a3"/>
        <w:spacing w:before="0" w:beforeAutospacing="0" w:after="0" w:afterAutospacing="0"/>
        <w:jc w:val="center"/>
        <w:rPr>
          <w:sz w:val="20"/>
          <w:szCs w:val="20"/>
        </w:rPr>
      </w:pPr>
      <w:r>
        <w:rPr>
          <w:rFonts w:ascii="Arial" w:hAnsi="Arial" w:cs="Arial"/>
          <w:b/>
          <w:bCs/>
          <w:sz w:val="20"/>
          <w:szCs w:val="20"/>
        </w:rPr>
        <w:t>Paymentus Holdings, Inc</w:t>
      </w:r>
      <w:r>
        <w:rPr>
          <w:rFonts w:ascii="Arial" w:hAnsi="Arial" w:cs="Arial"/>
          <w:b/>
          <w:bCs/>
          <w:sz w:val="20"/>
          <w:szCs w:val="20"/>
        </w:rPr>
        <w:t>.</w:t>
      </w:r>
    </w:p>
    <w:p w:rsidR="00000000" w:rsidRDefault="00CA40A2">
      <w:pPr>
        <w:pStyle w:val="a3"/>
        <w:spacing w:before="0" w:beforeAutospacing="0" w:after="0" w:afterAutospacing="0"/>
        <w:jc w:val="center"/>
        <w:rPr>
          <w:sz w:val="20"/>
          <w:szCs w:val="20"/>
        </w:rPr>
      </w:pPr>
      <w:r>
        <w:rPr>
          <w:rFonts w:ascii="Arial" w:hAnsi="Arial" w:cs="Arial"/>
          <w:b/>
          <w:bCs/>
          <w:sz w:val="20"/>
          <w:szCs w:val="20"/>
        </w:rPr>
        <w:t>(Exact Name of Registrant as Specified in its Charter</w:t>
      </w:r>
      <w:r>
        <w:rPr>
          <w:rFonts w:ascii="Arial" w:hAnsi="Arial" w:cs="Arial"/>
          <w:b/>
          <w:bCs/>
          <w:sz w:val="20"/>
          <w:szCs w:val="20"/>
        </w:rPr>
        <w:t>)</w:t>
      </w:r>
    </w:p>
    <w:p w:rsidR="00000000" w:rsidRDefault="00CA40A2">
      <w:pPr>
        <w:pStyle w:val="a3"/>
        <w:spacing w:before="0" w:beforeAutospacing="0" w:after="0" w:afterAutospacing="0"/>
        <w:jc w:val="center"/>
        <w:rPr>
          <w:sz w:val="20"/>
          <w:szCs w:val="20"/>
        </w:rPr>
      </w:pPr>
      <w:r>
        <w:rPr>
          <w:sz w:val="20"/>
          <w:szCs w:val="20"/>
        </w:rPr>
        <w:t> </w:t>
      </w:r>
    </w:p>
    <w:p w:rsidR="00000000" w:rsidRDefault="00CA40A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CA40A2">
            <w:pPr>
              <w:rPr>
                <w:sz w:val="20"/>
                <w:szCs w:val="20"/>
              </w:rPr>
            </w:pPr>
          </w:p>
        </w:tc>
        <w:tc>
          <w:tcPr>
            <w:tcW w:w="2500" w:type="pct"/>
            <w:vAlign w:val="center"/>
            <w:hideMark/>
          </w:tcPr>
          <w:p w:rsidR="00000000" w:rsidRDefault="00CA40A2">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rFonts w:ascii="Arial" w:hAnsi="Arial" w:cs="Arial"/>
                <w:b/>
                <w:bCs/>
                <w:sz w:val="20"/>
                <w:szCs w:val="20"/>
              </w:rPr>
              <w:t>Delawar</w:t>
            </w:r>
            <w:r>
              <w:rPr>
                <w:rFonts w:ascii="Arial" w:hAnsi="Arial" w:cs="Arial"/>
                <w:b/>
                <w:bCs/>
                <w:sz w:val="20"/>
                <w:szCs w:val="20"/>
              </w:rPr>
              <w:t>e</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rFonts w:ascii="Arial" w:hAnsi="Arial" w:cs="Arial"/>
                <w:b/>
                <w:bCs/>
                <w:sz w:val="20"/>
                <w:szCs w:val="20"/>
              </w:rPr>
              <w:t>45-318825</w:t>
            </w:r>
            <w:r>
              <w:rPr>
                <w:rFonts w:ascii="Arial" w:hAnsi="Arial" w:cs="Arial"/>
                <w:b/>
                <w:bCs/>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rFonts w:ascii="Arial" w:hAnsi="Arial" w:cs="Arial"/>
                <w:b/>
                <w:bCs/>
                <w:sz w:val="20"/>
                <w:szCs w:val="20"/>
              </w:rPr>
              <w:t>(State or other jurisdiction o</w:t>
            </w:r>
            <w:r>
              <w:rPr>
                <w:rFonts w:ascii="Arial" w:hAnsi="Arial" w:cs="Arial"/>
                <w:b/>
                <w:bCs/>
                <w:sz w:val="20"/>
                <w:szCs w:val="20"/>
              </w:rPr>
              <w:t>f</w:t>
            </w:r>
          </w:p>
          <w:p w:rsidR="00000000" w:rsidRDefault="00CA40A2">
            <w:pPr>
              <w:pStyle w:val="a3"/>
              <w:spacing w:before="0" w:beforeAutospacing="0" w:after="0" w:afterAutospacing="0"/>
              <w:jc w:val="center"/>
              <w:rPr>
                <w:sz w:val="20"/>
                <w:szCs w:val="20"/>
              </w:rPr>
            </w:pPr>
            <w:r>
              <w:rPr>
                <w:rFonts w:ascii="Arial" w:hAnsi="Arial" w:cs="Arial"/>
                <w:b/>
                <w:bCs/>
                <w:sz w:val="20"/>
                <w:szCs w:val="20"/>
              </w:rPr>
              <w:t>incorporation or organization</w:t>
            </w:r>
            <w:r>
              <w:rPr>
                <w:rFonts w:ascii="Arial" w:hAnsi="Arial" w:cs="Arial"/>
                <w:b/>
                <w:bCs/>
                <w:sz w:val="20"/>
                <w:szCs w:val="20"/>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rFonts w:ascii="Arial" w:hAnsi="Arial" w:cs="Arial"/>
                <w:b/>
                <w:bCs/>
                <w:sz w:val="20"/>
                <w:szCs w:val="20"/>
              </w:rPr>
              <w:t>(I.R.S. Employer</w:t>
            </w:r>
            <w:r>
              <w:rPr>
                <w:rFonts w:ascii="Arial" w:hAnsi="Arial" w:cs="Arial"/>
                <w:b/>
                <w:bCs/>
                <w:sz w:val="20"/>
                <w:szCs w:val="20"/>
              </w:rPr>
              <w:br/>
              <w:t>Identification No.</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rFonts w:ascii="Arial" w:hAnsi="Arial" w:cs="Arial"/>
                <w:b/>
                <w:bCs/>
                <w:sz w:val="20"/>
                <w:szCs w:val="20"/>
              </w:rPr>
              <w:t>18390 N</w:t>
            </w:r>
            <w:r>
              <w:rPr>
                <w:rFonts w:ascii="Arial" w:hAnsi="Arial" w:cs="Arial"/>
                <w:b/>
                <w:bCs/>
                <w:sz w:val="20"/>
                <w:szCs w:val="20"/>
              </w:rPr>
              <w:t>E</w:t>
            </w:r>
            <w:r>
              <w:rPr>
                <w:rFonts w:ascii="Arial" w:hAnsi="Arial" w:cs="Arial"/>
                <w:b/>
                <w:bCs/>
                <w:sz w:val="20"/>
                <w:szCs w:val="20"/>
              </w:rPr>
              <w:t xml:space="preserve"> </w:t>
            </w:r>
            <w:r>
              <w:rPr>
                <w:rFonts w:ascii="Arial" w:hAnsi="Arial" w:cs="Arial"/>
                <w:b/>
                <w:bCs/>
                <w:sz w:val="20"/>
                <w:szCs w:val="20"/>
              </w:rPr>
              <w:t>6</w:t>
            </w:r>
            <w:r>
              <w:rPr>
                <w:rFonts w:ascii="Arial" w:hAnsi="Arial" w:cs="Arial"/>
                <w:b/>
                <w:bCs/>
                <w:sz w:val="20"/>
                <w:szCs w:val="20"/>
              </w:rPr>
              <w:t>8</w:t>
            </w:r>
            <w:r>
              <w:rPr>
                <w:rFonts w:ascii="Arial" w:hAnsi="Arial" w:cs="Arial"/>
                <w:b/>
                <w:bCs/>
                <w:sz w:val="13"/>
                <w:szCs w:val="13"/>
              </w:rPr>
              <w:t>t</w:t>
            </w:r>
            <w:r>
              <w:rPr>
                <w:rFonts w:ascii="Arial" w:hAnsi="Arial" w:cs="Arial"/>
                <w:b/>
                <w:bCs/>
                <w:sz w:val="13"/>
                <w:szCs w:val="13"/>
              </w:rPr>
              <w:t>h</w:t>
            </w:r>
            <w:r>
              <w:rPr>
                <w:rFonts w:ascii="Arial" w:hAnsi="Arial" w:cs="Arial"/>
                <w:b/>
                <w:bCs/>
                <w:sz w:val="20"/>
                <w:szCs w:val="20"/>
              </w:rPr>
              <w:t xml:space="preserve"> St</w:t>
            </w:r>
            <w:r>
              <w:rPr>
                <w:rFonts w:ascii="Arial" w:hAnsi="Arial" w:cs="Arial"/>
                <w:b/>
                <w:bCs/>
                <w:sz w:val="20"/>
                <w:szCs w:val="20"/>
              </w:rPr>
              <w:t>.</w:t>
            </w:r>
          </w:p>
          <w:p w:rsidR="00000000" w:rsidRDefault="00CA40A2">
            <w:pPr>
              <w:pStyle w:val="a3"/>
              <w:spacing w:before="0" w:beforeAutospacing="0" w:after="0" w:afterAutospacing="0"/>
              <w:jc w:val="center"/>
              <w:rPr>
                <w:sz w:val="20"/>
                <w:szCs w:val="20"/>
              </w:rPr>
            </w:pPr>
            <w:r>
              <w:rPr>
                <w:rFonts w:ascii="Arial" w:hAnsi="Arial" w:cs="Arial"/>
                <w:b/>
                <w:bCs/>
                <w:sz w:val="20"/>
                <w:szCs w:val="20"/>
              </w:rPr>
              <w:t>Redmon</w:t>
            </w:r>
            <w:r>
              <w:rPr>
                <w:rFonts w:ascii="Arial" w:hAnsi="Arial" w:cs="Arial"/>
                <w:b/>
                <w:bCs/>
                <w:sz w:val="20"/>
                <w:szCs w:val="20"/>
              </w:rPr>
              <w:t>d</w:t>
            </w:r>
            <w:r>
              <w:rPr>
                <w:rFonts w:ascii="Arial" w:hAnsi="Arial" w:cs="Arial"/>
                <w:b/>
                <w:bCs/>
                <w:sz w:val="20"/>
                <w:szCs w:val="20"/>
              </w:rPr>
              <w:t>,</w:t>
            </w:r>
            <w:r>
              <w:rPr>
                <w:rFonts w:ascii="Arial" w:hAnsi="Arial" w:cs="Arial"/>
                <w:b/>
                <w:bCs/>
                <w:sz w:val="20"/>
                <w:szCs w:val="20"/>
              </w:rPr>
              <w:t xml:space="preserve"> </w:t>
            </w:r>
            <w:r>
              <w:rPr>
                <w:rFonts w:ascii="Arial" w:hAnsi="Arial" w:cs="Arial"/>
                <w:b/>
                <w:bCs/>
                <w:sz w:val="20"/>
                <w:szCs w:val="20"/>
              </w:rPr>
              <w:t>W</w:t>
            </w:r>
            <w:r>
              <w:rPr>
                <w:rFonts w:ascii="Arial" w:hAnsi="Arial" w:cs="Arial"/>
                <w:b/>
                <w:bCs/>
                <w:sz w:val="20"/>
                <w:szCs w:val="20"/>
              </w:rPr>
              <w:t>A</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rFonts w:ascii="Arial" w:hAnsi="Arial" w:cs="Arial"/>
                <w:b/>
                <w:bCs/>
                <w:sz w:val="20"/>
                <w:szCs w:val="20"/>
              </w:rPr>
              <w:t>9805</w:t>
            </w:r>
            <w:r>
              <w:rPr>
                <w:rFonts w:ascii="Arial" w:hAnsi="Arial" w:cs="Arial"/>
                <w:b/>
                <w:bCs/>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rFonts w:ascii="Arial" w:hAnsi="Arial" w:cs="Arial"/>
                <w:b/>
                <w:bCs/>
                <w:sz w:val="20"/>
                <w:szCs w:val="20"/>
              </w:rPr>
              <w:t>(Address of principal executive offices</w:t>
            </w:r>
            <w:r>
              <w:rPr>
                <w:rFonts w:ascii="Arial" w:hAnsi="Arial" w:cs="Arial"/>
                <w:b/>
                <w:bCs/>
                <w:sz w:val="20"/>
                <w:szCs w:val="20"/>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rFonts w:ascii="Arial" w:hAnsi="Arial" w:cs="Arial"/>
                <w:b/>
                <w:bCs/>
                <w:sz w:val="20"/>
                <w:szCs w:val="20"/>
              </w:rPr>
              <w:t>(Zip Code</w:t>
            </w:r>
            <w:r>
              <w:rPr>
                <w:rFonts w:ascii="Arial" w:hAnsi="Arial" w:cs="Arial"/>
                <w:b/>
                <w:bCs/>
                <w:sz w:val="20"/>
                <w:szCs w:val="20"/>
              </w:rPr>
              <w:t>)</w:t>
            </w:r>
          </w:p>
        </w:tc>
      </w:tr>
    </w:tbl>
    <w:p w:rsidR="00000000" w:rsidRDefault="00CA40A2">
      <w:pPr>
        <w:pStyle w:val="a3"/>
        <w:spacing w:before="0" w:beforeAutospacing="0" w:after="0" w:afterAutospacing="0"/>
        <w:jc w:val="center"/>
        <w:rPr>
          <w:sz w:val="20"/>
          <w:szCs w:val="20"/>
        </w:rPr>
      </w:pPr>
      <w:r>
        <w:rPr>
          <w:rFonts w:ascii="Arial" w:hAnsi="Arial" w:cs="Arial"/>
          <w:b/>
          <w:bCs/>
          <w:sz w:val="20"/>
          <w:szCs w:val="20"/>
        </w:rPr>
        <w:t>(</w:t>
      </w:r>
      <w:r>
        <w:rPr>
          <w:rFonts w:ascii="Arial" w:hAnsi="Arial" w:cs="Arial"/>
          <w:b/>
          <w:bCs/>
          <w:sz w:val="20"/>
          <w:szCs w:val="20"/>
        </w:rPr>
        <w:t>88</w:t>
      </w:r>
      <w:r>
        <w:rPr>
          <w:rFonts w:ascii="Arial" w:hAnsi="Arial" w:cs="Arial"/>
          <w:b/>
          <w:bCs/>
          <w:sz w:val="20"/>
          <w:szCs w:val="20"/>
        </w:rPr>
        <w:t>8</w:t>
      </w:r>
      <w:r>
        <w:rPr>
          <w:rFonts w:ascii="Arial" w:hAnsi="Arial" w:cs="Arial"/>
          <w:b/>
          <w:bCs/>
          <w:sz w:val="20"/>
          <w:szCs w:val="20"/>
        </w:rPr>
        <w:t>)</w:t>
      </w:r>
      <w:r>
        <w:rPr>
          <w:rFonts w:ascii="Arial" w:hAnsi="Arial" w:cs="Arial"/>
          <w:b/>
          <w:bCs/>
          <w:sz w:val="20"/>
          <w:szCs w:val="20"/>
        </w:rPr>
        <w:t xml:space="preserve"> </w:t>
      </w:r>
      <w:r>
        <w:rPr>
          <w:rFonts w:ascii="Arial" w:hAnsi="Arial" w:cs="Arial"/>
          <w:b/>
          <w:bCs/>
          <w:sz w:val="20"/>
          <w:szCs w:val="20"/>
        </w:rPr>
        <w:t>440-482</w:t>
      </w:r>
      <w:r>
        <w:rPr>
          <w:rFonts w:ascii="Arial" w:hAnsi="Arial" w:cs="Arial"/>
          <w:b/>
          <w:bCs/>
          <w:sz w:val="20"/>
          <w:szCs w:val="20"/>
        </w:rPr>
        <w:t>6</w:t>
      </w:r>
    </w:p>
    <w:p w:rsidR="00000000" w:rsidRDefault="00CA40A2">
      <w:pPr>
        <w:pStyle w:val="a3"/>
        <w:spacing w:before="0" w:beforeAutospacing="0" w:after="0" w:afterAutospacing="0"/>
        <w:jc w:val="center"/>
        <w:rPr>
          <w:sz w:val="20"/>
          <w:szCs w:val="20"/>
        </w:rPr>
      </w:pPr>
      <w:r>
        <w:rPr>
          <w:rFonts w:ascii="Arial" w:hAnsi="Arial" w:cs="Arial"/>
          <w:b/>
          <w:bCs/>
          <w:sz w:val="20"/>
          <w:szCs w:val="20"/>
        </w:rPr>
        <w:t>(Registrant’s telephone number, including area code</w:t>
      </w:r>
      <w:r>
        <w:rPr>
          <w:rFonts w:ascii="Arial" w:hAnsi="Arial" w:cs="Arial"/>
          <w:b/>
          <w:bCs/>
          <w:sz w:val="20"/>
          <w:szCs w:val="20"/>
        </w:rPr>
        <w:t>)</w:t>
      </w:r>
      <w:r>
        <w:rPr>
          <w:rFonts w:ascii="Arial" w:hAnsi="Arial" w:cs="Arial"/>
          <w:b/>
          <w:bCs/>
          <w:sz w:val="20"/>
          <w:szCs w:val="20"/>
        </w:rPr>
        <w:t xml:space="preserve"> </w:t>
      </w:r>
    </w:p>
    <w:p w:rsidR="00000000" w:rsidRDefault="00CA40A2">
      <w:pPr>
        <w:pStyle w:val="a3"/>
        <w:spacing w:before="120" w:beforeAutospacing="0" w:after="120" w:afterAutospacing="0"/>
        <w:rPr>
          <w:sz w:val="20"/>
          <w:szCs w:val="20"/>
        </w:rPr>
      </w:pPr>
      <w:r>
        <w:rPr>
          <w:rFonts w:ascii="Arial" w:hAnsi="Arial" w:cs="Arial"/>
          <w:sz w:val="20"/>
          <w:szCs w:val="20"/>
        </w:rPr>
        <w:t>Securities registered pursuant to Section 12(b) of the Act</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49"/>
        <w:gridCol w:w="99"/>
        <w:gridCol w:w="1239"/>
        <w:gridCol w:w="99"/>
        <w:gridCol w:w="3720"/>
      </w:tblGrid>
      <w:tr w:rsidR="00000000">
        <w:trPr>
          <w:tblCellSpacing w:w="15" w:type="dxa"/>
        </w:trPr>
        <w:tc>
          <w:tcPr>
            <w:tcW w:w="1910" w:type="pct"/>
            <w:vAlign w:val="center"/>
            <w:hideMark/>
          </w:tcPr>
          <w:p w:rsidR="00000000" w:rsidRDefault="00CA40A2">
            <w:pPr>
              <w:rPr>
                <w:sz w:val="20"/>
                <w:szCs w:val="20"/>
              </w:rPr>
            </w:pPr>
          </w:p>
        </w:tc>
        <w:tc>
          <w:tcPr>
            <w:tcW w:w="42" w:type="pct"/>
            <w:vAlign w:val="center"/>
            <w:hideMark/>
          </w:tcPr>
          <w:p w:rsidR="00000000" w:rsidRDefault="00CA40A2">
            <w:pPr>
              <w:rPr>
                <w:rFonts w:eastAsia="Times New Roman"/>
                <w:sz w:val="20"/>
                <w:szCs w:val="20"/>
              </w:rPr>
            </w:pPr>
          </w:p>
        </w:tc>
        <w:tc>
          <w:tcPr>
            <w:tcW w:w="744" w:type="pct"/>
            <w:vAlign w:val="center"/>
            <w:hideMark/>
          </w:tcPr>
          <w:p w:rsidR="00000000" w:rsidRDefault="00CA40A2">
            <w:pPr>
              <w:rPr>
                <w:rFonts w:eastAsia="Times New Roman"/>
                <w:sz w:val="20"/>
                <w:szCs w:val="20"/>
              </w:rPr>
            </w:pPr>
          </w:p>
        </w:tc>
        <w:tc>
          <w:tcPr>
            <w:tcW w:w="42" w:type="pct"/>
            <w:vAlign w:val="center"/>
            <w:hideMark/>
          </w:tcPr>
          <w:p w:rsidR="00000000" w:rsidRDefault="00CA40A2">
            <w:pPr>
              <w:rPr>
                <w:rFonts w:eastAsia="Times New Roman"/>
                <w:sz w:val="20"/>
                <w:szCs w:val="20"/>
              </w:rPr>
            </w:pPr>
          </w:p>
        </w:tc>
        <w:tc>
          <w:tcPr>
            <w:tcW w:w="2261"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Title of each clas</w:t>
            </w:r>
            <w:r>
              <w:rPr>
                <w:rFonts w:ascii="Arial" w:hAnsi="Arial" w:cs="Arial"/>
                <w:b/>
                <w:bCs/>
                <w:sz w:val="16"/>
                <w:szCs w:val="16"/>
              </w:rPr>
              <w:t>s</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Tradin</w:t>
            </w:r>
            <w:r>
              <w:rPr>
                <w:rFonts w:ascii="Arial" w:hAnsi="Arial" w:cs="Arial"/>
                <w:b/>
                <w:bCs/>
                <w:sz w:val="16"/>
                <w:szCs w:val="16"/>
              </w:rPr>
              <w:t>g</w:t>
            </w:r>
          </w:p>
          <w:p w:rsidR="00000000" w:rsidRDefault="00CA40A2">
            <w:pPr>
              <w:pStyle w:val="a3"/>
              <w:spacing w:before="0" w:beforeAutospacing="0" w:after="0" w:afterAutospacing="0"/>
              <w:jc w:val="center"/>
              <w:rPr>
                <w:sz w:val="16"/>
                <w:szCs w:val="16"/>
              </w:rPr>
            </w:pPr>
            <w:r>
              <w:rPr>
                <w:rFonts w:ascii="Arial" w:hAnsi="Arial" w:cs="Arial"/>
                <w:b/>
                <w:bCs/>
                <w:sz w:val="16"/>
                <w:szCs w:val="16"/>
              </w:rPr>
              <w:t>Symbol(s</w:t>
            </w:r>
            <w:r>
              <w:rPr>
                <w:rFonts w:ascii="Arial" w:hAnsi="Arial" w:cs="Arial"/>
                <w:b/>
                <w:bCs/>
                <w:sz w:val="16"/>
                <w:szCs w:val="16"/>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Name of each exchange on which registere</w:t>
            </w:r>
            <w:r>
              <w:rPr>
                <w:rFonts w:ascii="Arial" w:hAnsi="Arial" w:cs="Arial"/>
                <w:b/>
                <w:bCs/>
                <w:sz w:val="16"/>
                <w:szCs w:val="16"/>
              </w:rPr>
              <w:t>d</w:t>
            </w:r>
          </w:p>
        </w:tc>
      </w:tr>
      <w:tr w:rsidR="00000000">
        <w:trPr>
          <w:trHeight w:val="16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16"/>
                <w:szCs w:val="16"/>
              </w:rPr>
              <w:t>Class A Common Stock, par value $0.0001 per shar</w:t>
            </w:r>
            <w:r>
              <w:rPr>
                <w:rFonts w:ascii="Arial" w:hAnsi="Arial" w:cs="Arial"/>
                <w:sz w:val="16"/>
                <w:szCs w:val="16"/>
              </w:rPr>
              <w:t>e</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rFonts w:ascii="Arial" w:hAnsi="Arial" w:cs="Arial"/>
                <w:sz w:val="16"/>
                <w:szCs w:val="16"/>
              </w:rPr>
              <w:t>PA</w:t>
            </w:r>
            <w:r>
              <w:rPr>
                <w:rFonts w:ascii="Arial" w:hAnsi="Arial" w:cs="Arial"/>
                <w:sz w:val="16"/>
                <w:szCs w:val="16"/>
              </w:rPr>
              <w:t>Y</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rFonts w:ascii="Arial" w:hAnsi="Arial" w:cs="Arial"/>
                <w:sz w:val="16"/>
                <w:szCs w:val="16"/>
              </w:rPr>
              <w:t>New York Stock Exchang</w:t>
            </w:r>
            <w:r>
              <w:rPr>
                <w:rFonts w:ascii="Arial" w:hAnsi="Arial" w:cs="Arial"/>
                <w:sz w:val="16"/>
                <w:szCs w:val="16"/>
              </w:rPr>
              <w:t>e</w:t>
            </w:r>
          </w:p>
        </w:tc>
      </w:tr>
    </w:tbl>
    <w:p w:rsidR="00000000" w:rsidRDefault="00CA40A2">
      <w:pPr>
        <w:pStyle w:val="a3"/>
        <w:spacing w:before="120" w:beforeAutospacing="0" w:after="0" w:afterAutospacing="0"/>
        <w:ind w:firstLine="539"/>
        <w:rPr>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hAnsi="Arial" w:cs="Arial"/>
          <w:sz w:val="20"/>
          <w:szCs w:val="20"/>
        </w:rPr>
        <w:t>uch reports), and (2) has been subject to such filing requirements for the past 90 days.</w:t>
      </w:r>
      <w:r>
        <w:rPr>
          <w:rFonts w:ascii="Arial" w:hAnsi="Arial" w:cs="Arial"/>
          <w:sz w:val="20"/>
          <w:szCs w:val="20"/>
        </w:rPr>
        <w:t xml:space="preserve"> </w:t>
      </w:r>
      <w:r>
        <w:rPr>
          <w:rFonts w:ascii="Arial" w:hAnsi="Arial" w:cs="Arial"/>
          <w:sz w:val="20"/>
          <w:szCs w:val="20"/>
        </w:rPr>
        <w:t>Ye</w:t>
      </w:r>
      <w:r>
        <w:rPr>
          <w:rFonts w:ascii="Arial" w:hAnsi="Arial" w:cs="Arial"/>
          <w:sz w:val="20"/>
          <w:szCs w:val="20"/>
        </w:rPr>
        <w:t>s</w:t>
      </w:r>
      <w:r>
        <w:rPr>
          <w:rFonts w:ascii="Arial" w:hAnsi="Arial" w:cs="Arial"/>
          <w:sz w:val="20"/>
          <w:szCs w:val="20"/>
        </w:rPr>
        <w:t xml:space="preserve"> </w:t>
      </w:r>
      <w:r>
        <w:rPr>
          <w:rFonts w:ascii="Segoe UI Symbol" w:hAnsi="Segoe UI Symbol" w:cs="Segoe UI Symbol"/>
          <w:sz w:val="20"/>
          <w:szCs w:val="20"/>
        </w:rPr>
        <w:t>☒</w:t>
      </w:r>
      <w:r>
        <w:rPr>
          <w:rFonts w:ascii="Arial" w:hAnsi="Arial" w:cs="Arial"/>
          <w:sz w:val="20"/>
          <w:szCs w:val="20"/>
        </w:rPr>
        <w:t xml:space="preserve"> No</w:t>
      </w:r>
      <w:r>
        <w:rPr>
          <w:rFonts w:ascii="Arial" w:hAnsi="Arial" w:cs="Arial"/>
          <w:sz w:val="20"/>
          <w:szCs w:val="20"/>
        </w:rPr>
        <w:t xml:space="preserve"> </w:t>
      </w:r>
      <w:r>
        <w:rPr>
          <w:rFonts w:ascii="Segoe UI Symbol" w:hAnsi="Segoe UI Symbol" w:cs="Segoe UI Symbo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Indicate by check mark whether the registrant has submitted electronically every Interactive Data File required to be submitted pursuant to Rule 405 of Regu</w:t>
      </w:r>
      <w:r>
        <w:rPr>
          <w:rFonts w:ascii="Arial" w:hAnsi="Arial" w:cs="Arial"/>
          <w:sz w:val="20"/>
          <w:szCs w:val="20"/>
        </w:rPr>
        <w:t>lation S-T (§232.405 of this chapter) during the preceding 12 months (or for such shorter period that the registrant was required to submit such files).</w:t>
      </w:r>
      <w:r>
        <w:rPr>
          <w:rFonts w:ascii="Arial" w:hAnsi="Arial" w:cs="Arial"/>
          <w:sz w:val="20"/>
          <w:szCs w:val="20"/>
        </w:rPr>
        <w:t xml:space="preserve"> </w:t>
      </w:r>
      <w:r>
        <w:rPr>
          <w:rFonts w:ascii="Arial" w:hAnsi="Arial" w:cs="Arial"/>
          <w:sz w:val="20"/>
          <w:szCs w:val="20"/>
        </w:rPr>
        <w:t>Ye</w:t>
      </w:r>
      <w:r>
        <w:rPr>
          <w:rFonts w:ascii="Arial" w:hAnsi="Arial" w:cs="Arial"/>
          <w:sz w:val="20"/>
          <w:szCs w:val="20"/>
        </w:rPr>
        <w:t>s</w:t>
      </w:r>
      <w:r>
        <w:rPr>
          <w:rFonts w:ascii="Arial" w:hAnsi="Arial" w:cs="Arial"/>
          <w:sz w:val="20"/>
          <w:szCs w:val="20"/>
        </w:rPr>
        <w:t xml:space="preserve"> </w:t>
      </w:r>
      <w:r>
        <w:rPr>
          <w:rFonts w:ascii="Segoe UI Symbol" w:hAnsi="Segoe UI Symbol" w:cs="Segoe UI Symbol"/>
          <w:sz w:val="20"/>
          <w:szCs w:val="20"/>
        </w:rPr>
        <w:t>☒</w:t>
      </w:r>
      <w:r>
        <w:rPr>
          <w:rFonts w:ascii="Arial" w:hAnsi="Arial" w:cs="Arial"/>
          <w:sz w:val="20"/>
          <w:szCs w:val="20"/>
        </w:rPr>
        <w:t xml:space="preserve"> No</w:t>
      </w:r>
      <w:r>
        <w:rPr>
          <w:rFonts w:ascii="Arial" w:hAnsi="Arial" w:cs="Arial"/>
          <w:sz w:val="20"/>
          <w:szCs w:val="20"/>
        </w:rPr>
        <w:t xml:space="preserve"> </w:t>
      </w:r>
      <w:r>
        <w:rPr>
          <w:rFonts w:ascii="Segoe UI Symbol" w:hAnsi="Segoe UI Symbol" w:cs="Segoe UI Symbol"/>
          <w:sz w:val="20"/>
          <w:szCs w:val="20"/>
        </w:rPr>
        <w:t>☐</w:t>
      </w:r>
    </w:p>
    <w:p w:rsidR="00000000" w:rsidRDefault="00CA40A2">
      <w:pPr>
        <w:pStyle w:val="a3"/>
        <w:spacing w:before="120" w:beforeAutospacing="0" w:after="120" w:afterAutospacing="0"/>
        <w:ind w:firstLine="539"/>
        <w:rPr>
          <w:sz w:val="20"/>
          <w:szCs w:val="20"/>
        </w:rPr>
      </w:pPr>
      <w:r>
        <w:rPr>
          <w:rFonts w:ascii="Arial" w:hAnsi="Arial" w:cs="Arial"/>
          <w:sz w:val="20"/>
          <w:szCs w:val="20"/>
        </w:rPr>
        <w:t>Indicate by check mark whether the registrant is a large accelerated filer, an accelerated f</w:t>
      </w:r>
      <w:r>
        <w:rPr>
          <w:rFonts w:ascii="Arial" w:hAnsi="Arial" w:cs="Arial"/>
          <w:sz w:val="20"/>
          <w:szCs w:val="20"/>
        </w:rPr>
        <w:t>iler, a non-accelerated filer, smaller reporting company, or an emerging growth company. See the definitions of “large accelerated filer,” “accelerated filer,” “smaller reporting company,” and “emerging growth company” in Rule 12b-2 of the Exchange Act</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6"/>
        <w:gridCol w:w="109"/>
        <w:gridCol w:w="4304"/>
        <w:gridCol w:w="109"/>
        <w:gridCol w:w="1872"/>
        <w:gridCol w:w="109"/>
        <w:gridCol w:w="247"/>
      </w:tblGrid>
      <w:tr w:rsidR="00000000">
        <w:trPr>
          <w:tblCellSpacing w:w="15" w:type="dxa"/>
        </w:trPr>
        <w:tc>
          <w:tcPr>
            <w:tcW w:w="945" w:type="pct"/>
            <w:vAlign w:val="center"/>
            <w:hideMark/>
          </w:tcPr>
          <w:p w:rsidR="00000000" w:rsidRDefault="00CA40A2">
            <w:pPr>
              <w:rPr>
                <w:sz w:val="20"/>
                <w:szCs w:val="20"/>
              </w:rPr>
            </w:pPr>
          </w:p>
        </w:tc>
        <w:tc>
          <w:tcPr>
            <w:tcW w:w="50" w:type="pct"/>
            <w:vAlign w:val="center"/>
            <w:hideMark/>
          </w:tcPr>
          <w:p w:rsidR="00000000" w:rsidRDefault="00CA40A2">
            <w:pPr>
              <w:rPr>
                <w:rFonts w:eastAsia="Times New Roman"/>
                <w:sz w:val="20"/>
                <w:szCs w:val="20"/>
              </w:rPr>
            </w:pPr>
          </w:p>
        </w:tc>
        <w:tc>
          <w:tcPr>
            <w:tcW w:w="2662" w:type="pct"/>
            <w:vAlign w:val="center"/>
            <w:hideMark/>
          </w:tcPr>
          <w:p w:rsidR="00000000" w:rsidRDefault="00CA40A2">
            <w:pPr>
              <w:rPr>
                <w:rFonts w:eastAsia="Times New Roman"/>
                <w:sz w:val="20"/>
                <w:szCs w:val="20"/>
              </w:rPr>
            </w:pPr>
          </w:p>
        </w:tc>
        <w:tc>
          <w:tcPr>
            <w:tcW w:w="50" w:type="pct"/>
            <w:vAlign w:val="center"/>
            <w:hideMark/>
          </w:tcPr>
          <w:p w:rsidR="00000000" w:rsidRDefault="00CA40A2">
            <w:pPr>
              <w:rPr>
                <w:rFonts w:eastAsia="Times New Roman"/>
                <w:sz w:val="20"/>
                <w:szCs w:val="20"/>
              </w:rPr>
            </w:pPr>
          </w:p>
        </w:tc>
        <w:tc>
          <w:tcPr>
            <w:tcW w:w="1155" w:type="pct"/>
            <w:vAlign w:val="center"/>
            <w:hideMark/>
          </w:tcPr>
          <w:p w:rsidR="00000000" w:rsidRDefault="00CA40A2">
            <w:pPr>
              <w:rPr>
                <w:rFonts w:eastAsia="Times New Roman"/>
                <w:sz w:val="20"/>
                <w:szCs w:val="20"/>
              </w:rPr>
            </w:pPr>
          </w:p>
        </w:tc>
        <w:tc>
          <w:tcPr>
            <w:tcW w:w="50" w:type="pct"/>
            <w:vAlign w:val="center"/>
            <w:hideMark/>
          </w:tcPr>
          <w:p w:rsidR="00000000" w:rsidRDefault="00CA40A2">
            <w:pPr>
              <w:rPr>
                <w:rFonts w:eastAsia="Times New Roman"/>
                <w:sz w:val="20"/>
                <w:szCs w:val="20"/>
              </w:rPr>
            </w:pPr>
          </w:p>
        </w:tc>
        <w:tc>
          <w:tcPr>
            <w:tcW w:w="85" w:type="pct"/>
            <w:vAlign w:val="center"/>
            <w:hideMark/>
          </w:tcPr>
          <w:p w:rsidR="00000000" w:rsidRDefault="00CA40A2">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Large 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Segoe UI Symbol" w:hAnsi="Segoe UI Symbol" w:cs="Segoe UI Symbol"/>
                <w:sz w:val="20"/>
                <w:szCs w:val="20"/>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Segoe UI Symbol" w:hAnsi="Segoe UI Symbol" w:cs="Segoe UI Symbol"/>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Non-accelerated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Segoe UI Symbol" w:hAnsi="Segoe UI Symbol" w:cs="Segoe UI Symbol"/>
                <w:sz w:val="20"/>
                <w:szCs w:val="20"/>
              </w:rPr>
              <w:t>☒</w:t>
            </w:r>
            <w:r>
              <w:rPr>
                <w:rFonts w:ascii="Arial" w:hAnsi="Arial" w:cs="Arial"/>
                <w:sz w:val="20"/>
                <w:szCs w:val="20"/>
              </w:rPr>
              <w:t xml:space="preserve">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Smaller reporting compan</w:t>
            </w:r>
            <w:r>
              <w:rPr>
                <w:rFonts w:ascii="Arial" w:hAnsi="Arial" w:cs="Arial"/>
                <w:sz w:val="20"/>
                <w:szCs w:val="20"/>
              </w:rPr>
              <w:t>y</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Segoe UI Symbol" w:hAnsi="Segoe UI Symbol" w:cs="Segoe UI Symbol"/>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lastRenderedPageBreak/>
              <w:t>Emerging growth compan</w:t>
            </w:r>
            <w:r>
              <w:rPr>
                <w:rFonts w:ascii="Arial" w:hAnsi="Arial" w:cs="Arial"/>
                <w:sz w:val="20"/>
                <w:szCs w:val="20"/>
              </w:rPr>
              <w:t>y</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Segoe UI Symbol" w:hAnsi="Segoe UI Symbol" w:cs="Segoe UI Symbol"/>
                <w:sz w:val="20"/>
                <w:szCs w:val="20"/>
              </w:rPr>
              <w:t>☒</w:t>
            </w:r>
            <w:r>
              <w:rPr>
                <w:rFonts w:ascii="Arial" w:hAnsi="Arial" w:cs="Arial"/>
                <w:sz w:val="20"/>
                <w:szCs w:val="20"/>
              </w:rPr>
              <w:t xml:space="preserve">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r>
    </w:tbl>
    <w:p w:rsidR="00000000" w:rsidRDefault="00CA40A2">
      <w:pPr>
        <w:pStyle w:val="a3"/>
        <w:spacing w:before="120" w:beforeAutospacing="0" w:after="0" w:afterAutospacing="0"/>
        <w:ind w:firstLine="539"/>
        <w:rPr>
          <w:sz w:val="20"/>
          <w:szCs w:val="20"/>
        </w:rPr>
      </w:pPr>
      <w:r>
        <w:rPr>
          <w:rFonts w:ascii="Arial" w:hAnsi="Arial" w:cs="Arial"/>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hAnsi="Arial" w:cs="Arial"/>
          <w:sz w:val="20"/>
          <w:szCs w:val="20"/>
        </w:rPr>
        <w:t xml:space="preserve"> </w:t>
      </w:r>
      <w:r>
        <w:rPr>
          <w:rFonts w:ascii="Segoe UI Symbol" w:hAnsi="Segoe UI Symbol" w:cs="Segoe UI Symbo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Ind</w:t>
      </w:r>
      <w:r>
        <w:rPr>
          <w:rFonts w:ascii="Arial" w:hAnsi="Arial" w:cs="Arial"/>
          <w:sz w:val="20"/>
          <w:szCs w:val="20"/>
        </w:rPr>
        <w:t>icate by check mark whether the registrant is a shell company (as defined in Rule 12b-2 of the Exchange Act). Yes</w:t>
      </w:r>
      <w:r>
        <w:rPr>
          <w:rFonts w:ascii="Arial" w:hAnsi="Arial" w:cs="Arial"/>
          <w:sz w:val="20"/>
          <w:szCs w:val="20"/>
        </w:rPr>
        <w:t xml:space="preserve"> </w:t>
      </w:r>
      <w:r>
        <w:rPr>
          <w:rFonts w:ascii="Segoe UI Symbol" w:hAnsi="Segoe UI Symbol" w:cs="Segoe UI Symbol"/>
          <w:sz w:val="20"/>
          <w:szCs w:val="20"/>
        </w:rPr>
        <w:t>☐</w:t>
      </w:r>
      <w:r>
        <w:rPr>
          <w:rFonts w:ascii="Arial" w:hAnsi="Arial" w:cs="Arial"/>
          <w:sz w:val="20"/>
          <w:szCs w:val="20"/>
        </w:rPr>
        <w:t xml:space="preserve"> No</w:t>
      </w:r>
      <w:r>
        <w:rPr>
          <w:rFonts w:ascii="Arial" w:hAnsi="Arial" w:cs="Arial"/>
          <w:sz w:val="20"/>
          <w:szCs w:val="20"/>
        </w:rPr>
        <w:t xml:space="preserve"> </w:t>
      </w:r>
      <w:r>
        <w:rPr>
          <w:rFonts w:ascii="Segoe UI Symbol" w:hAnsi="Segoe UI Symbol" w:cs="Segoe UI Symbo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As of May 3, 2022, the registrant had</w:t>
      </w:r>
      <w:r>
        <w:rPr>
          <w:rFonts w:ascii="Arial" w:hAnsi="Arial" w:cs="Arial"/>
          <w:sz w:val="20"/>
          <w:szCs w:val="20"/>
        </w:rPr>
        <w:t xml:space="preserve"> </w:t>
      </w:r>
      <w:r>
        <w:rPr>
          <w:rFonts w:ascii="Arial" w:hAnsi="Arial" w:cs="Arial"/>
          <w:sz w:val="20"/>
          <w:szCs w:val="20"/>
        </w:rPr>
        <w:t>18,038,29</w:t>
      </w:r>
      <w:r>
        <w:rPr>
          <w:rFonts w:ascii="Arial" w:hAnsi="Arial" w:cs="Arial"/>
          <w:sz w:val="20"/>
          <w:szCs w:val="20"/>
        </w:rPr>
        <w:t>6</w:t>
      </w:r>
      <w:r>
        <w:rPr>
          <w:rFonts w:ascii="Arial" w:hAnsi="Arial" w:cs="Arial"/>
          <w:sz w:val="20"/>
          <w:szCs w:val="20"/>
        </w:rPr>
        <w:t xml:space="preserve"> shares of Class A Common Stock, $0.0001 par value per share and</w:t>
      </w:r>
      <w:r>
        <w:rPr>
          <w:rFonts w:ascii="Arial" w:hAnsi="Arial" w:cs="Arial"/>
          <w:sz w:val="20"/>
          <w:szCs w:val="20"/>
        </w:rPr>
        <w:t xml:space="preserve"> </w:t>
      </w:r>
      <w:r>
        <w:rPr>
          <w:rFonts w:ascii="Arial" w:hAnsi="Arial" w:cs="Arial"/>
          <w:sz w:val="20"/>
          <w:szCs w:val="20"/>
        </w:rPr>
        <w:t>103,336,33</w:t>
      </w:r>
      <w:r>
        <w:rPr>
          <w:rFonts w:ascii="Arial" w:hAnsi="Arial" w:cs="Arial"/>
          <w:sz w:val="20"/>
          <w:szCs w:val="20"/>
        </w:rPr>
        <w:t>7</w:t>
      </w:r>
      <w:r>
        <w:rPr>
          <w:rFonts w:ascii="Arial" w:hAnsi="Arial" w:cs="Arial"/>
          <w:sz w:val="20"/>
          <w:szCs w:val="20"/>
        </w:rPr>
        <w:t xml:space="preserve"> shares of </w:t>
      </w:r>
      <w:r>
        <w:rPr>
          <w:rFonts w:ascii="Arial" w:hAnsi="Arial" w:cs="Arial"/>
          <w:sz w:val="20"/>
          <w:szCs w:val="20"/>
        </w:rPr>
        <w:t>Class B Common Stock, $0.0001 par value per share, outstanding</w:t>
      </w:r>
      <w:r>
        <w:rPr>
          <w:rFonts w:ascii="Arial" w:hAnsi="Arial" w:cs="Arial"/>
          <w:sz w:val="20"/>
          <w:szCs w:val="20"/>
        </w:rPr>
        <w:t>.</w:t>
      </w:r>
    </w:p>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0" w:beforeAutospacing="0" w:after="0" w:afterAutospacing="0"/>
        <w:rPr>
          <w:sz w:val="20"/>
          <w:szCs w:val="20"/>
        </w:rPr>
      </w:pPr>
      <w:r>
        <w:rPr>
          <w:sz w:val="20"/>
          <w:szCs w:val="20"/>
        </w:rPr>
        <w:t> </w:t>
      </w:r>
    </w:p>
    <w:p w:rsidR="00000000" w:rsidRDefault="00CA40A2">
      <w:pPr>
        <w:rPr>
          <w:rFonts w:eastAsia="Times New Roman"/>
        </w:rPr>
      </w:pPr>
      <w:r>
        <w:rPr>
          <w:rFonts w:eastAsia="Times New Roman"/>
        </w:rPr>
        <w:pict>
          <v:rect id="_x0000_i1025"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jc w:val="center"/>
        <w:rPr>
          <w:sz w:val="20"/>
          <w:szCs w:val="20"/>
        </w:rPr>
      </w:pPr>
      <w:r>
        <w:rPr>
          <w:rFonts w:ascii="Arial" w:hAnsi="Arial" w:cs="Arial"/>
          <w:b/>
          <w:bCs/>
          <w:sz w:val="20"/>
          <w:szCs w:val="20"/>
        </w:rPr>
        <w:t>Table of Content</w:t>
      </w:r>
      <w:r>
        <w:rPr>
          <w:rFonts w:ascii="Arial" w:hAnsi="Arial" w:cs="Arial"/>
          <w:b/>
          <w:bCs/>
          <w:sz w:val="20"/>
          <w:szCs w:val="20"/>
        </w:rPr>
        <w:t>s</w:t>
      </w:r>
    </w:p>
    <w:p w:rsidR="00000000" w:rsidRDefault="00CA40A2">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2"/>
        <w:gridCol w:w="6819"/>
        <w:gridCol w:w="625"/>
      </w:tblGrid>
      <w:tr w:rsidR="00000000">
        <w:trPr>
          <w:tblCellSpacing w:w="15" w:type="dxa"/>
        </w:trPr>
        <w:tc>
          <w:tcPr>
            <w:tcW w:w="499" w:type="pct"/>
            <w:vAlign w:val="center"/>
            <w:hideMark/>
          </w:tcPr>
          <w:p w:rsidR="00000000" w:rsidRDefault="00CA40A2">
            <w:pPr>
              <w:rPr>
                <w:sz w:val="20"/>
                <w:szCs w:val="20"/>
              </w:rPr>
            </w:pPr>
          </w:p>
        </w:tc>
        <w:tc>
          <w:tcPr>
            <w:tcW w:w="4146" w:type="pct"/>
            <w:vAlign w:val="center"/>
            <w:hideMark/>
          </w:tcPr>
          <w:p w:rsidR="00000000" w:rsidRDefault="00CA40A2">
            <w:pPr>
              <w:rPr>
                <w:rFonts w:eastAsia="Times New Roman"/>
                <w:sz w:val="20"/>
                <w:szCs w:val="20"/>
              </w:rPr>
            </w:pPr>
          </w:p>
        </w:tc>
        <w:tc>
          <w:tcPr>
            <w:tcW w:w="354" w:type="pct"/>
            <w:vAlign w:val="center"/>
            <w:hideMark/>
          </w:tcPr>
          <w:p w:rsidR="00000000" w:rsidRDefault="00CA40A2">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Borders>
              <w:bottom w:val="single" w:sz="4" w:space="0" w:color="auto"/>
            </w:tcBorders>
            <w:tcMar>
              <w:top w:w="14" w:type="dxa"/>
              <w:left w:w="15" w:type="dxa"/>
              <w:bottom w:w="15" w:type="dxa"/>
              <w:right w:w="14" w:type="dxa"/>
            </w:tcMar>
            <w:vAlign w:val="center"/>
            <w:hideMark/>
          </w:tcPr>
          <w:p w:rsidR="00000000" w:rsidRDefault="00CA40A2">
            <w:pPr>
              <w:pStyle w:val="a3"/>
              <w:spacing w:before="0" w:beforeAutospacing="0" w:after="0" w:afterAutospacing="0"/>
              <w:jc w:val="center"/>
              <w:rPr>
                <w:sz w:val="20"/>
                <w:szCs w:val="20"/>
              </w:rPr>
            </w:pPr>
            <w:r>
              <w:rPr>
                <w:rFonts w:ascii="Arial" w:hAnsi="Arial" w:cs="Arial"/>
                <w:b/>
                <w:bCs/>
                <w:sz w:val="20"/>
                <w:szCs w:val="20"/>
              </w:rPr>
              <w:t>Pag</w:t>
            </w:r>
            <w:r>
              <w:rPr>
                <w:rFonts w:ascii="Arial" w:hAnsi="Arial" w:cs="Arial"/>
                <w:b/>
                <w:bCs/>
                <w:sz w:val="20"/>
                <w:szCs w:val="20"/>
              </w:rPr>
              <w:t>e</w:t>
            </w:r>
          </w:p>
        </w:tc>
      </w:tr>
      <w:tr w:rsidR="00000000">
        <w:trPr>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b/>
                <w:bCs/>
                <w:sz w:val="20"/>
                <w:szCs w:val="20"/>
              </w:rPr>
              <w:t>PART I</w:t>
            </w:r>
            <w:r>
              <w:rPr>
                <w:rFonts w:ascii="Arial" w:hAnsi="Arial" w:cs="Arial"/>
                <w:b/>
                <w:bCs/>
                <w:sz w:val="20"/>
                <w:szCs w:val="20"/>
              </w:rPr>
              <w:t>.</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part_i_financial_information" w:history="1">
              <w:r>
                <w:rPr>
                  <w:rStyle w:val="a4"/>
                  <w:rFonts w:ascii="Arial" w:hAnsi="Arial" w:cs="Arial"/>
                  <w:b/>
                  <w:bCs/>
                  <w:sz w:val="20"/>
                  <w:szCs w:val="20"/>
                </w:rPr>
                <w:t>FINANCIAL INFORMATIO</w:t>
              </w:r>
              <w:r>
                <w:rPr>
                  <w:rStyle w:val="a4"/>
                  <w:rFonts w:ascii="Arial" w:hAnsi="Arial" w:cs="Arial"/>
                  <w:b/>
                  <w:bCs/>
                  <w:sz w:val="20"/>
                  <w:szCs w:val="20"/>
                </w:rPr>
                <w:t>N</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Item 1</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item_1_financial_statements" w:history="1">
              <w:r>
                <w:rPr>
                  <w:rStyle w:val="a4"/>
                  <w:rFonts w:ascii="Arial" w:hAnsi="Arial" w:cs="Arial"/>
                  <w:sz w:val="20"/>
                  <w:szCs w:val="20"/>
                </w:rPr>
                <w:t>Financial Statements (Unaudited</w:t>
              </w:r>
              <w:r>
                <w:rPr>
                  <w:rStyle w:val="a4"/>
                  <w:rFonts w:ascii="Arial" w:hAnsi="Arial" w:cs="Arial"/>
                  <w:sz w:val="20"/>
                  <w:szCs w:val="20"/>
                </w:rPr>
                <w:t>)</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balancesheet" w:history="1">
              <w:r>
                <w:rPr>
                  <w:rStyle w:val="a4"/>
                  <w:rFonts w:ascii="Arial" w:hAnsi="Arial" w:cs="Arial"/>
                  <w:sz w:val="20"/>
                  <w:szCs w:val="20"/>
                </w:rPr>
                <w:t>Condensed Consolidated Balance Sheet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statements_of_operations" w:history="1">
              <w:r>
                <w:rPr>
                  <w:rStyle w:val="a4"/>
                  <w:rFonts w:ascii="Arial" w:hAnsi="Arial" w:cs="Arial"/>
                  <w:sz w:val="20"/>
                  <w:szCs w:val="20"/>
                </w:rPr>
                <w:t>Condensed Consolidated Statements of Operat</w:t>
              </w:r>
              <w:r>
                <w:rPr>
                  <w:rStyle w:val="a4"/>
                  <w:rFonts w:ascii="Arial" w:hAnsi="Arial" w:cs="Arial"/>
                  <w:sz w:val="20"/>
                  <w:szCs w:val="20"/>
                </w:rPr>
                <w:t>ion</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statement_of_comprehensive_income" w:history="1">
              <w:r>
                <w:rPr>
                  <w:rStyle w:val="a4"/>
                  <w:rFonts w:ascii="Arial" w:hAnsi="Arial" w:cs="Arial"/>
                  <w:sz w:val="20"/>
                  <w:szCs w:val="20"/>
                </w:rPr>
                <w:t>Condensed Consolidated Statements of Comprehensive Income (Loss</w:t>
              </w:r>
              <w:r>
                <w:rPr>
                  <w:rStyle w:val="a4"/>
                  <w:rFonts w:ascii="Arial" w:hAnsi="Arial" w:cs="Arial"/>
                  <w:sz w:val="20"/>
                  <w:szCs w:val="20"/>
                </w:rPr>
                <w:t>)</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stockhlders_equity_qtd" w:history="1">
              <w:r>
                <w:rPr>
                  <w:rStyle w:val="a4"/>
                  <w:rFonts w:ascii="Arial" w:hAnsi="Arial" w:cs="Arial"/>
                  <w:sz w:val="20"/>
                  <w:szCs w:val="20"/>
                </w:rPr>
                <w:t>Condensed Consolidated Statements of Stockholders' Equit</w:t>
              </w:r>
              <w:r>
                <w:rPr>
                  <w:rStyle w:val="a4"/>
                  <w:rFonts w:ascii="Arial" w:hAnsi="Arial" w:cs="Arial"/>
                  <w:sz w:val="20"/>
                  <w:szCs w:val="20"/>
                </w:rPr>
                <w:t>y</w:t>
              </w:r>
              <w:r>
                <w:rPr>
                  <w:rStyle w:val="a4"/>
                  <w:rFonts w:ascii="Arial" w:hAnsi="Arial" w:cs="Arial"/>
                  <w:sz w:val="20"/>
                  <w:szCs w:val="20"/>
                </w:rPr>
                <w:t xml:space="preserve"> </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condensed_consolidated_statements_cash_" w:history="1">
              <w:r>
                <w:rPr>
                  <w:rStyle w:val="a4"/>
                  <w:rFonts w:ascii="Arial" w:hAnsi="Arial" w:cs="Arial"/>
                  <w:sz w:val="20"/>
                  <w:szCs w:val="20"/>
                </w:rPr>
                <w:t>Condensed Consolidated Statements of Cash Flow</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notes_to_condensed_consolidated_financi" w:history="1">
              <w:r>
                <w:rPr>
                  <w:rStyle w:val="a4"/>
                  <w:rFonts w:ascii="Arial" w:hAnsi="Arial" w:cs="Arial"/>
                  <w:sz w:val="20"/>
                  <w:szCs w:val="20"/>
                </w:rPr>
                <w:t>Notes to Unaudited Condensed Consolidated Financial Statement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0</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Item 2</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item_2_managements_discussion" w:history="1">
              <w:r>
                <w:rPr>
                  <w:rStyle w:val="a4"/>
                  <w:rFonts w:ascii="Arial" w:hAnsi="Arial" w:cs="Arial"/>
                  <w:sz w:val="20"/>
                  <w:szCs w:val="20"/>
                </w:rPr>
                <w:t>Management’s Discussion and Analysis of Financial Condition and Res</w:t>
              </w:r>
              <w:r>
                <w:rPr>
                  <w:rStyle w:val="a4"/>
                  <w:rFonts w:ascii="Arial" w:hAnsi="Arial" w:cs="Arial"/>
                  <w:sz w:val="20"/>
                  <w:szCs w:val="20"/>
                </w:rPr>
                <w:t>ults of Operation</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Item 3</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item_3_quantitative_and_qualitative" w:history="1">
              <w:r>
                <w:rPr>
                  <w:rStyle w:val="a4"/>
                  <w:rFonts w:ascii="Arial" w:hAnsi="Arial" w:cs="Arial"/>
                  <w:sz w:val="20"/>
                  <w:szCs w:val="20"/>
                </w:rPr>
                <w:t>Quantitative and Qualitative Disclosures About Market Ris</w:t>
              </w:r>
              <w:r>
                <w:rPr>
                  <w:rStyle w:val="a4"/>
                  <w:rFonts w:ascii="Arial" w:hAnsi="Arial" w:cs="Arial"/>
                  <w:sz w:val="20"/>
                  <w:szCs w:val="20"/>
                </w:rPr>
                <w:t>k</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Item 4</w:t>
            </w:r>
            <w:r>
              <w:rPr>
                <w:rFonts w:ascii="Arial" w:hAnsi="Arial" w:cs="Arial"/>
                <w:sz w:val="20"/>
                <w:szCs w:val="20"/>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hyperlink w:anchor="item_4_controls_and_procedures" w:history="1">
              <w:r>
                <w:rPr>
                  <w:rStyle w:val="a4"/>
                  <w:rFonts w:ascii="Arial" w:hAnsi="Arial" w:cs="Arial"/>
                  <w:sz w:val="20"/>
                  <w:szCs w:val="20"/>
                </w:rPr>
                <w:t>Controls and Procedure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2</w:t>
            </w:r>
          </w:p>
        </w:tc>
      </w:tr>
      <w:tr w:rsidR="00000000">
        <w:trPr>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b/>
                <w:bCs/>
                <w:sz w:val="20"/>
                <w:szCs w:val="20"/>
              </w:rPr>
              <w:t>PART II</w:t>
            </w:r>
            <w:r>
              <w:rPr>
                <w:rFonts w:ascii="Arial" w:hAnsi="Arial" w:cs="Arial"/>
                <w:b/>
                <w:bCs/>
                <w:sz w:val="20"/>
                <w:szCs w:val="20"/>
              </w:rPr>
              <w:t>.</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b/>
                <w:bCs/>
                <w:sz w:val="20"/>
                <w:szCs w:val="20"/>
              </w:rPr>
              <w:t>OTHER INFORMATIO</w:t>
            </w:r>
            <w:r>
              <w:rPr>
                <w:rFonts w:ascii="Arial" w:hAnsi="Arial" w:cs="Arial"/>
                <w:b/>
                <w:bCs/>
                <w:sz w:val="20"/>
                <w:szCs w:val="20"/>
              </w:rPr>
              <w:t>N</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Item 1</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item_1_legal_proceedings" w:history="1">
              <w:r>
                <w:rPr>
                  <w:rStyle w:val="a4"/>
                  <w:rFonts w:ascii="Arial" w:hAnsi="Arial" w:cs="Arial"/>
                  <w:sz w:val="20"/>
                  <w:szCs w:val="20"/>
                </w:rPr>
                <w:t>Legal Proceeding</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Item 1A</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item_1a_risk_factors" w:history="1">
              <w:r>
                <w:rPr>
                  <w:rStyle w:val="a4"/>
                  <w:rFonts w:ascii="Arial" w:hAnsi="Arial" w:cs="Arial"/>
                  <w:sz w:val="20"/>
                  <w:szCs w:val="20"/>
                </w:rPr>
                <w:t>Risk Factor</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Item 2</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item_2_unregistered_sales_of_equity" w:history="1">
              <w:r>
                <w:rPr>
                  <w:rStyle w:val="a4"/>
                  <w:rFonts w:ascii="Arial" w:hAnsi="Arial" w:cs="Arial"/>
                  <w:sz w:val="20"/>
                  <w:szCs w:val="20"/>
                </w:rPr>
                <w:t>Unregistered Sales of Equity Securities and Use of Proceed</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Item 3</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item_3_defaults_upon_senior_securities" w:history="1">
              <w:r>
                <w:rPr>
                  <w:rStyle w:val="a4"/>
                  <w:rFonts w:ascii="Arial" w:hAnsi="Arial" w:cs="Arial"/>
                  <w:sz w:val="20"/>
                  <w:szCs w:val="20"/>
                </w:rPr>
                <w:t>Defaults Upon Senior Securitie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Item 4</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item_4_mine_safety_disclosures" w:history="1">
              <w:r>
                <w:rPr>
                  <w:rStyle w:val="a4"/>
                  <w:rFonts w:ascii="Arial" w:hAnsi="Arial" w:cs="Arial"/>
                  <w:sz w:val="20"/>
                  <w:szCs w:val="20"/>
                </w:rPr>
                <w:t>Mine Safety Disclosure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Item 5</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item_5_other_information" w:history="1">
              <w:r>
                <w:rPr>
                  <w:rStyle w:val="a4"/>
                  <w:rFonts w:ascii="Arial" w:hAnsi="Arial" w:cs="Arial"/>
                  <w:sz w:val="20"/>
                  <w:szCs w:val="20"/>
                </w:rPr>
                <w:t>Other Informatio</w:t>
              </w:r>
              <w:r>
                <w:rPr>
                  <w:rStyle w:val="a4"/>
                  <w:rFonts w:ascii="Arial" w:hAnsi="Arial" w:cs="Arial"/>
                  <w:sz w:val="20"/>
                  <w:szCs w:val="20"/>
                </w:rPr>
                <w:t>n</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Item 6</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item_6_exhibits" w:history="1">
              <w:r>
                <w:rPr>
                  <w:rStyle w:val="a4"/>
                  <w:rFonts w:ascii="Arial" w:hAnsi="Arial" w:cs="Arial"/>
                  <w:sz w:val="20"/>
                  <w:szCs w:val="20"/>
                </w:rPr>
                <w:t>Exhibit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4</w:t>
            </w:r>
          </w:p>
        </w:tc>
      </w:tr>
      <w:tr w:rsidR="00000000">
        <w:trPr>
          <w:trHeight w:val="200"/>
          <w:tblCellSpacing w:w="15" w:type="dxa"/>
        </w:trPr>
        <w:tc>
          <w:tcPr>
            <w:tcW w:w="0" w:type="auto"/>
            <w:gridSpan w:val="2"/>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hyperlink w:anchor="signatures" w:history="1">
              <w:r>
                <w:rPr>
                  <w:rStyle w:val="a4"/>
                  <w:rFonts w:ascii="Arial" w:hAnsi="Arial" w:cs="Arial"/>
                  <w:sz w:val="20"/>
                  <w:szCs w:val="20"/>
                </w:rPr>
                <w:t>Signature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5</w:t>
            </w:r>
          </w:p>
        </w:tc>
      </w:tr>
    </w:tbl>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i</w:t>
      </w:r>
    </w:p>
    <w:p w:rsidR="00000000" w:rsidRDefault="00CA40A2">
      <w:pPr>
        <w:rPr>
          <w:rFonts w:eastAsia="Times New Roman"/>
        </w:rPr>
      </w:pPr>
      <w:r>
        <w:rPr>
          <w:rFonts w:eastAsia="Times New Roman"/>
        </w:rPr>
        <w:pict>
          <v:rect id="_x0000_i1026"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120" w:beforeAutospacing="0" w:after="0" w:afterAutospacing="0"/>
        <w:jc w:val="center"/>
        <w:rPr>
          <w:sz w:val="20"/>
          <w:szCs w:val="20"/>
        </w:rPr>
      </w:pPr>
      <w:r>
        <w:rPr>
          <w:rFonts w:ascii="Arial" w:hAnsi="Arial" w:cs="Arial"/>
          <w:b/>
          <w:bCs/>
          <w:i/>
          <w:iCs/>
          <w:sz w:val="20"/>
          <w:szCs w:val="20"/>
        </w:rPr>
        <w:t>Special Note Regarding Forward-Looking Statement</w:t>
      </w:r>
      <w:r>
        <w:rPr>
          <w:rFonts w:ascii="Arial" w:hAnsi="Arial" w:cs="Arial"/>
          <w:b/>
          <w:bCs/>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lastRenderedPageBreak/>
        <w:t>This quarterly report on Form 10-Q for the three months ended March 31, 2022 ("Quarterly Report"</w:t>
      </w:r>
      <w:r>
        <w:rPr>
          <w:rFonts w:ascii="Arial" w:hAnsi="Arial" w:cs="Arial"/>
          <w:sz w:val="20"/>
          <w:szCs w:val="20"/>
        </w:rPr>
        <w:t>) contains forward-looking statements within the meaning of the federal securities laws, such as those under the heading "Risk Factors" and "Management's Discussion and Analysis of Financial Condition and Results of Operations", which statements involve su</w:t>
      </w:r>
      <w:r>
        <w:rPr>
          <w:rFonts w:ascii="Arial" w:hAnsi="Arial" w:cs="Arial"/>
          <w:sz w:val="20"/>
          <w:szCs w:val="20"/>
        </w:rPr>
        <w:t>bstantial risks and uncertainties. Forward-looking statements may involve known and unknown risks, uncertainties and other factors that may cause our actual results, performance or achievements to be materially different from historical results or from any</w:t>
      </w:r>
      <w:r>
        <w:rPr>
          <w:rFonts w:ascii="Arial" w:hAnsi="Arial" w:cs="Arial"/>
          <w:sz w:val="20"/>
          <w:szCs w:val="20"/>
        </w:rPr>
        <w:t xml:space="preserve"> future results or projections expressed or implied by such forward-looking statements. In some cases, you can identify forward-looking statements because they contain words such as “may,” “will,” “should,” “expect,” “plan,” “anticipate,” “could,” “intend,</w:t>
      </w:r>
      <w:r>
        <w:rPr>
          <w:rFonts w:ascii="Arial" w:hAnsi="Arial" w:cs="Arial"/>
          <w:sz w:val="20"/>
          <w:szCs w:val="20"/>
        </w:rPr>
        <w:t xml:space="preserve">” “target,” “project,” “contemplate,” “believe,” “estimate,” “predict,” “potential” or “continue” or the negative of these words or other similar terms or expressions that concern our expectations, strategy, plans or intentions. Forward-looking statements </w:t>
      </w:r>
      <w:r>
        <w:rPr>
          <w:rFonts w:ascii="Arial" w:hAnsi="Arial" w:cs="Arial"/>
          <w:sz w:val="20"/>
          <w:szCs w:val="20"/>
        </w:rPr>
        <w:t>contained in this report include statements about</w:t>
      </w:r>
      <w:r>
        <w:rPr>
          <w:rFonts w:ascii="Arial" w:hAnsi="Arial" w:cs="Arial"/>
          <w:sz w:val="20"/>
          <w:szCs w:val="20"/>
        </w:rPr>
        <w:t>:</w:t>
      </w:r>
    </w:p>
    <w:p w:rsidR="00000000" w:rsidRDefault="00CA40A2">
      <w:pPr>
        <w:divId w:val="1439250100"/>
        <w:rPr>
          <w:rFonts w:eastAsia="Times New Roman"/>
        </w:rPr>
      </w:pPr>
      <w:r>
        <w:rPr>
          <w:rFonts w:eastAsia="Times New Roman"/>
          <w:sz w:val="20"/>
          <w:szCs w:val="20"/>
        </w:rPr>
        <w:t>•</w:t>
      </w:r>
    </w:p>
    <w:p w:rsidR="00000000" w:rsidRDefault="00CA40A2">
      <w:pPr>
        <w:divId w:val="278802294"/>
        <w:rPr>
          <w:rFonts w:eastAsia="Times New Roman"/>
        </w:rPr>
      </w:pPr>
      <w:r>
        <w:rPr>
          <w:rFonts w:ascii="Arial" w:eastAsia="Times New Roman" w:hAnsi="Arial" w:cs="Arial"/>
          <w:sz w:val="20"/>
          <w:szCs w:val="20"/>
        </w:rPr>
        <w:t>our ability to effectively manage our growth and expand our operations</w:t>
      </w:r>
      <w:r>
        <w:rPr>
          <w:rFonts w:ascii="Arial" w:eastAsia="Times New Roman" w:hAnsi="Arial" w:cs="Arial"/>
          <w:sz w:val="20"/>
          <w:szCs w:val="20"/>
        </w:rPr>
        <w:t>;</w:t>
      </w:r>
    </w:p>
    <w:p w:rsidR="00000000" w:rsidRDefault="00CA40A2">
      <w:pPr>
        <w:divId w:val="218131020"/>
        <w:rPr>
          <w:rFonts w:eastAsia="Times New Roman"/>
        </w:rPr>
      </w:pPr>
      <w:r>
        <w:rPr>
          <w:rFonts w:eastAsia="Times New Roman"/>
          <w:sz w:val="20"/>
          <w:szCs w:val="20"/>
        </w:rPr>
        <w:t>•</w:t>
      </w:r>
    </w:p>
    <w:p w:rsidR="00000000" w:rsidRDefault="00CA40A2">
      <w:pPr>
        <w:divId w:val="709260280"/>
        <w:rPr>
          <w:rFonts w:eastAsia="Times New Roman"/>
        </w:rPr>
      </w:pPr>
      <w:r>
        <w:rPr>
          <w:rFonts w:ascii="Arial" w:eastAsia="Times New Roman" w:hAnsi="Arial" w:cs="Arial"/>
          <w:sz w:val="20"/>
          <w:szCs w:val="20"/>
        </w:rPr>
        <w:t>our ability to further attract, retain and expand our biller, financial institutions, partner and consumer base;</w:t>
      </w:r>
      <w:r>
        <w:rPr>
          <w:rFonts w:ascii="Arial" w:eastAsia="Times New Roman" w:hAnsi="Arial" w:cs="Arial"/>
          <w:sz w:val="20"/>
          <w:szCs w:val="20"/>
        </w:rPr>
        <w:t xml:space="preserve"> </w:t>
      </w:r>
    </w:p>
    <w:p w:rsidR="00000000" w:rsidRDefault="00CA40A2">
      <w:pPr>
        <w:divId w:val="1251112202"/>
        <w:rPr>
          <w:rFonts w:eastAsia="Times New Roman"/>
        </w:rPr>
      </w:pPr>
      <w:r>
        <w:rPr>
          <w:rFonts w:eastAsia="Times New Roman"/>
          <w:sz w:val="20"/>
          <w:szCs w:val="20"/>
        </w:rPr>
        <w:t>•</w:t>
      </w:r>
    </w:p>
    <w:p w:rsidR="00000000" w:rsidRDefault="00CA40A2">
      <w:pPr>
        <w:divId w:val="2074422294"/>
        <w:rPr>
          <w:rFonts w:eastAsia="Times New Roman"/>
        </w:rPr>
      </w:pPr>
      <w:r>
        <w:rPr>
          <w:rFonts w:ascii="Arial" w:eastAsia="Times New Roman" w:hAnsi="Arial" w:cs="Arial"/>
          <w:sz w:val="20"/>
          <w:szCs w:val="20"/>
        </w:rPr>
        <w:t>our expectations regarding our revenue, expenses and other operating results</w:t>
      </w:r>
      <w:r>
        <w:rPr>
          <w:rFonts w:ascii="Arial" w:eastAsia="Times New Roman" w:hAnsi="Arial" w:cs="Arial"/>
          <w:sz w:val="20"/>
          <w:szCs w:val="20"/>
        </w:rPr>
        <w:t>;</w:t>
      </w:r>
    </w:p>
    <w:p w:rsidR="00000000" w:rsidRDefault="00CA40A2">
      <w:pPr>
        <w:divId w:val="2013138922"/>
        <w:rPr>
          <w:rFonts w:eastAsia="Times New Roman"/>
        </w:rPr>
      </w:pPr>
      <w:r>
        <w:rPr>
          <w:rFonts w:eastAsia="Times New Roman"/>
          <w:sz w:val="20"/>
          <w:szCs w:val="20"/>
        </w:rPr>
        <w:t>•</w:t>
      </w:r>
    </w:p>
    <w:p w:rsidR="00000000" w:rsidRDefault="00CA40A2">
      <w:pPr>
        <w:divId w:val="426468295"/>
        <w:rPr>
          <w:rFonts w:eastAsia="Times New Roman"/>
        </w:rPr>
      </w:pPr>
      <w:r>
        <w:rPr>
          <w:rFonts w:ascii="Arial" w:eastAsia="Times New Roman" w:hAnsi="Arial" w:cs="Arial"/>
          <w:sz w:val="20"/>
          <w:szCs w:val="20"/>
        </w:rPr>
        <w:t>the continued impact of the COVID-19 pandemic on our operati</w:t>
      </w:r>
      <w:r>
        <w:rPr>
          <w:rFonts w:ascii="Arial" w:eastAsia="Times New Roman" w:hAnsi="Arial" w:cs="Arial"/>
          <w:sz w:val="20"/>
          <w:szCs w:val="20"/>
        </w:rPr>
        <w:t>ng results, liquidity and financial condition and on our employees, billers, financial institutions, partners, consumers and other key stakeholders</w:t>
      </w:r>
      <w:r>
        <w:rPr>
          <w:rFonts w:ascii="Arial" w:eastAsia="Times New Roman" w:hAnsi="Arial" w:cs="Arial"/>
          <w:sz w:val="20"/>
          <w:szCs w:val="20"/>
        </w:rPr>
        <w:t>;</w:t>
      </w:r>
    </w:p>
    <w:p w:rsidR="00000000" w:rsidRDefault="00CA40A2">
      <w:pPr>
        <w:divId w:val="1141000331"/>
        <w:rPr>
          <w:rFonts w:eastAsia="Times New Roman"/>
        </w:rPr>
      </w:pPr>
      <w:r>
        <w:rPr>
          <w:rFonts w:eastAsia="Times New Roman"/>
          <w:sz w:val="20"/>
          <w:szCs w:val="20"/>
        </w:rPr>
        <w:t>•</w:t>
      </w:r>
    </w:p>
    <w:p w:rsidR="00000000" w:rsidRDefault="00CA40A2">
      <w:pPr>
        <w:divId w:val="431098385"/>
        <w:rPr>
          <w:rFonts w:eastAsia="Times New Roman"/>
        </w:rPr>
      </w:pPr>
      <w:r>
        <w:rPr>
          <w:rFonts w:ascii="Arial" w:eastAsia="Times New Roman" w:hAnsi="Arial" w:cs="Arial"/>
          <w:sz w:val="20"/>
          <w:szCs w:val="20"/>
        </w:rPr>
        <w:t>our market opportunity and anticipated trends in our business and industry</w:t>
      </w:r>
      <w:r>
        <w:rPr>
          <w:rFonts w:ascii="Arial" w:eastAsia="Times New Roman" w:hAnsi="Arial" w:cs="Arial"/>
          <w:sz w:val="20"/>
          <w:szCs w:val="20"/>
        </w:rPr>
        <w:t>;</w:t>
      </w:r>
    </w:p>
    <w:p w:rsidR="00000000" w:rsidRDefault="00CA40A2">
      <w:pPr>
        <w:divId w:val="78331882"/>
        <w:rPr>
          <w:rFonts w:eastAsia="Times New Roman"/>
        </w:rPr>
      </w:pPr>
      <w:r>
        <w:rPr>
          <w:rFonts w:eastAsia="Times New Roman"/>
          <w:sz w:val="20"/>
          <w:szCs w:val="20"/>
        </w:rPr>
        <w:t>•</w:t>
      </w:r>
    </w:p>
    <w:p w:rsidR="00000000" w:rsidRDefault="00CA40A2">
      <w:pPr>
        <w:divId w:val="252519870"/>
        <w:rPr>
          <w:rFonts w:eastAsia="Times New Roman"/>
        </w:rPr>
      </w:pPr>
      <w:r>
        <w:rPr>
          <w:rFonts w:ascii="Arial" w:eastAsia="Times New Roman" w:hAnsi="Arial" w:cs="Arial"/>
          <w:sz w:val="20"/>
          <w:szCs w:val="20"/>
        </w:rPr>
        <w:t>our ability to remain compe</w:t>
      </w:r>
      <w:r>
        <w:rPr>
          <w:rFonts w:ascii="Arial" w:eastAsia="Times New Roman" w:hAnsi="Arial" w:cs="Arial"/>
          <w:sz w:val="20"/>
          <w:szCs w:val="20"/>
        </w:rPr>
        <w:t>titive as we continue to scale our business</w:t>
      </w:r>
      <w:r>
        <w:rPr>
          <w:rFonts w:ascii="Arial" w:eastAsia="Times New Roman" w:hAnsi="Arial" w:cs="Arial"/>
          <w:sz w:val="20"/>
          <w:szCs w:val="20"/>
        </w:rPr>
        <w:t>;</w:t>
      </w:r>
    </w:p>
    <w:p w:rsidR="00000000" w:rsidRDefault="00CA40A2">
      <w:pPr>
        <w:divId w:val="1859931105"/>
        <w:rPr>
          <w:rFonts w:eastAsia="Times New Roman"/>
        </w:rPr>
      </w:pPr>
      <w:r>
        <w:rPr>
          <w:rFonts w:eastAsia="Times New Roman"/>
          <w:sz w:val="20"/>
          <w:szCs w:val="20"/>
        </w:rPr>
        <w:t>•</w:t>
      </w:r>
    </w:p>
    <w:p w:rsidR="00000000" w:rsidRDefault="00CA40A2">
      <w:pPr>
        <w:divId w:val="325472738"/>
        <w:rPr>
          <w:rFonts w:eastAsia="Times New Roman"/>
        </w:rPr>
      </w:pPr>
      <w:r>
        <w:rPr>
          <w:rFonts w:ascii="Arial" w:eastAsia="Times New Roman" w:hAnsi="Arial" w:cs="Arial"/>
          <w:sz w:val="20"/>
          <w:szCs w:val="20"/>
        </w:rPr>
        <w:t>our ability to develop new product features and enhance our platform</w:t>
      </w:r>
      <w:r>
        <w:rPr>
          <w:rFonts w:ascii="Arial" w:eastAsia="Times New Roman" w:hAnsi="Arial" w:cs="Arial"/>
          <w:sz w:val="20"/>
          <w:szCs w:val="20"/>
        </w:rPr>
        <w:t>;</w:t>
      </w:r>
    </w:p>
    <w:p w:rsidR="00000000" w:rsidRDefault="00CA40A2">
      <w:pPr>
        <w:divId w:val="603925097"/>
        <w:rPr>
          <w:rFonts w:eastAsia="Times New Roman"/>
        </w:rPr>
      </w:pPr>
      <w:r>
        <w:rPr>
          <w:rFonts w:eastAsia="Times New Roman"/>
          <w:sz w:val="20"/>
          <w:szCs w:val="20"/>
        </w:rPr>
        <w:t>•</w:t>
      </w:r>
    </w:p>
    <w:p w:rsidR="00000000" w:rsidRDefault="00CA40A2">
      <w:pPr>
        <w:divId w:val="46953274"/>
        <w:rPr>
          <w:rFonts w:eastAsia="Times New Roman"/>
        </w:rPr>
      </w:pPr>
      <w:r>
        <w:rPr>
          <w:rFonts w:ascii="Arial" w:eastAsia="Times New Roman" w:hAnsi="Arial" w:cs="Arial"/>
          <w:sz w:val="20"/>
          <w:szCs w:val="20"/>
        </w:rPr>
        <w:t>our ability to hire and retain experienced and talented employees as we grow our business</w:t>
      </w:r>
      <w:r>
        <w:rPr>
          <w:rFonts w:ascii="Arial" w:eastAsia="Times New Roman" w:hAnsi="Arial" w:cs="Arial"/>
          <w:sz w:val="20"/>
          <w:szCs w:val="20"/>
        </w:rPr>
        <w:t>;</w:t>
      </w:r>
    </w:p>
    <w:p w:rsidR="00000000" w:rsidRDefault="00CA40A2">
      <w:pPr>
        <w:divId w:val="289436087"/>
        <w:rPr>
          <w:rFonts w:eastAsia="Times New Roman"/>
        </w:rPr>
      </w:pPr>
      <w:r>
        <w:rPr>
          <w:rFonts w:eastAsia="Times New Roman"/>
          <w:sz w:val="20"/>
          <w:szCs w:val="20"/>
        </w:rPr>
        <w:t>•</w:t>
      </w:r>
    </w:p>
    <w:p w:rsidR="00000000" w:rsidRDefault="00CA40A2">
      <w:pPr>
        <w:divId w:val="188301447"/>
        <w:rPr>
          <w:rFonts w:eastAsia="Times New Roman"/>
        </w:rPr>
      </w:pPr>
      <w:r>
        <w:rPr>
          <w:rFonts w:ascii="Arial" w:eastAsia="Times New Roman" w:hAnsi="Arial" w:cs="Arial"/>
          <w:sz w:val="20"/>
          <w:szCs w:val="20"/>
        </w:rPr>
        <w:t>general economic conditions and their impact</w:t>
      </w:r>
      <w:r>
        <w:rPr>
          <w:rFonts w:ascii="Arial" w:eastAsia="Times New Roman" w:hAnsi="Arial" w:cs="Arial"/>
          <w:sz w:val="20"/>
          <w:szCs w:val="20"/>
        </w:rPr>
        <w:t xml:space="preserve"> on consumer demand</w:t>
      </w:r>
      <w:r>
        <w:rPr>
          <w:rFonts w:ascii="Arial" w:eastAsia="Times New Roman" w:hAnsi="Arial" w:cs="Arial"/>
          <w:sz w:val="20"/>
          <w:szCs w:val="20"/>
        </w:rPr>
        <w:t>;</w:t>
      </w:r>
    </w:p>
    <w:p w:rsidR="00000000" w:rsidRDefault="00CA40A2">
      <w:pPr>
        <w:divId w:val="695740524"/>
        <w:rPr>
          <w:rFonts w:eastAsia="Times New Roman"/>
        </w:rPr>
      </w:pPr>
      <w:r>
        <w:rPr>
          <w:rFonts w:eastAsia="Times New Roman"/>
          <w:sz w:val="20"/>
          <w:szCs w:val="20"/>
        </w:rPr>
        <w:t>•</w:t>
      </w:r>
    </w:p>
    <w:p w:rsidR="00000000" w:rsidRDefault="00CA40A2">
      <w:pPr>
        <w:divId w:val="597718542"/>
        <w:rPr>
          <w:rFonts w:eastAsia="Times New Roman"/>
        </w:rPr>
      </w:pPr>
      <w:r>
        <w:rPr>
          <w:rFonts w:ascii="Arial" w:eastAsia="Times New Roman" w:hAnsi="Arial" w:cs="Arial"/>
          <w:sz w:val="20"/>
          <w:szCs w:val="20"/>
        </w:rPr>
        <w:t>the expected impact of our recent acquisitions of Payveris LLC, or Payveris and Finovera, Inc., or Finovera</w:t>
      </w:r>
      <w:r>
        <w:rPr>
          <w:rFonts w:ascii="Arial" w:eastAsia="Times New Roman" w:hAnsi="Arial" w:cs="Arial"/>
          <w:sz w:val="20"/>
          <w:szCs w:val="20"/>
        </w:rPr>
        <w:t>;</w:t>
      </w:r>
    </w:p>
    <w:p w:rsidR="00000000" w:rsidRDefault="00CA40A2">
      <w:pPr>
        <w:divId w:val="824205711"/>
        <w:rPr>
          <w:rFonts w:eastAsia="Times New Roman"/>
        </w:rPr>
      </w:pPr>
      <w:r>
        <w:rPr>
          <w:rFonts w:eastAsia="Times New Roman"/>
          <w:sz w:val="20"/>
          <w:szCs w:val="20"/>
        </w:rPr>
        <w:t>•</w:t>
      </w:r>
    </w:p>
    <w:p w:rsidR="00000000" w:rsidRDefault="00CA40A2">
      <w:pPr>
        <w:divId w:val="1286427912"/>
        <w:rPr>
          <w:rFonts w:eastAsia="Times New Roman"/>
        </w:rPr>
      </w:pPr>
      <w:r>
        <w:rPr>
          <w:rFonts w:ascii="Arial" w:eastAsia="Times New Roman" w:hAnsi="Arial" w:cs="Arial"/>
          <w:sz w:val="20"/>
          <w:szCs w:val="20"/>
        </w:rPr>
        <w:t>our future acquisitions or strategic investments in complementary companies, products or technologies</w:t>
      </w:r>
      <w:r>
        <w:rPr>
          <w:rFonts w:ascii="Arial" w:eastAsia="Times New Roman" w:hAnsi="Arial" w:cs="Arial"/>
          <w:sz w:val="20"/>
          <w:szCs w:val="20"/>
        </w:rPr>
        <w:t>;</w:t>
      </w:r>
    </w:p>
    <w:p w:rsidR="00000000" w:rsidRDefault="00CA40A2">
      <w:pPr>
        <w:divId w:val="175199050"/>
        <w:rPr>
          <w:rFonts w:eastAsia="Times New Roman"/>
        </w:rPr>
      </w:pPr>
      <w:r>
        <w:rPr>
          <w:rFonts w:eastAsia="Times New Roman"/>
          <w:sz w:val="20"/>
          <w:szCs w:val="20"/>
        </w:rPr>
        <w:t>•</w:t>
      </w:r>
    </w:p>
    <w:p w:rsidR="00000000" w:rsidRDefault="00CA40A2">
      <w:pPr>
        <w:divId w:val="1493642043"/>
        <w:rPr>
          <w:rFonts w:eastAsia="Times New Roman"/>
        </w:rPr>
      </w:pPr>
      <w:r>
        <w:rPr>
          <w:rFonts w:ascii="Arial" w:eastAsia="Times New Roman" w:hAnsi="Arial" w:cs="Arial"/>
          <w:sz w:val="20"/>
          <w:szCs w:val="20"/>
        </w:rPr>
        <w:t>our ability to ma</w:t>
      </w:r>
      <w:r>
        <w:rPr>
          <w:rFonts w:ascii="Arial" w:eastAsia="Times New Roman" w:hAnsi="Arial" w:cs="Arial"/>
          <w:sz w:val="20"/>
          <w:szCs w:val="20"/>
        </w:rPr>
        <w:t>intain and enhance our brand</w:t>
      </w:r>
      <w:r>
        <w:rPr>
          <w:rFonts w:ascii="Arial" w:eastAsia="Times New Roman" w:hAnsi="Arial" w:cs="Arial"/>
          <w:sz w:val="20"/>
          <w:szCs w:val="20"/>
        </w:rPr>
        <w:t>;</w:t>
      </w:r>
    </w:p>
    <w:p w:rsidR="00000000" w:rsidRDefault="00CA40A2">
      <w:pPr>
        <w:divId w:val="316694993"/>
        <w:rPr>
          <w:rFonts w:eastAsia="Times New Roman"/>
        </w:rPr>
      </w:pPr>
      <w:r>
        <w:rPr>
          <w:rFonts w:eastAsia="Times New Roman"/>
          <w:sz w:val="20"/>
          <w:szCs w:val="20"/>
        </w:rPr>
        <w:t>•</w:t>
      </w:r>
    </w:p>
    <w:p w:rsidR="00000000" w:rsidRDefault="00CA40A2">
      <w:pPr>
        <w:divId w:val="1617061822"/>
        <w:rPr>
          <w:rFonts w:eastAsia="Times New Roman"/>
        </w:rPr>
      </w:pPr>
      <w:r>
        <w:rPr>
          <w:rFonts w:ascii="Arial" w:eastAsia="Times New Roman" w:hAnsi="Arial" w:cs="Arial"/>
          <w:sz w:val="20"/>
          <w:szCs w:val="20"/>
        </w:rPr>
        <w:t>our plan to expand into new channels and industry verticals across different markets; an</w:t>
      </w:r>
      <w:r>
        <w:rPr>
          <w:rFonts w:ascii="Arial" w:eastAsia="Times New Roman" w:hAnsi="Arial" w:cs="Arial"/>
          <w:sz w:val="20"/>
          <w:szCs w:val="20"/>
        </w:rPr>
        <w:t>d</w:t>
      </w:r>
    </w:p>
    <w:p w:rsidR="00000000" w:rsidRDefault="00CA40A2">
      <w:pPr>
        <w:divId w:val="265356113"/>
        <w:rPr>
          <w:rFonts w:eastAsia="Times New Roman"/>
        </w:rPr>
      </w:pPr>
      <w:r>
        <w:rPr>
          <w:rFonts w:eastAsia="Times New Roman"/>
          <w:sz w:val="20"/>
          <w:szCs w:val="20"/>
        </w:rPr>
        <w:t>•</w:t>
      </w:r>
    </w:p>
    <w:p w:rsidR="00000000" w:rsidRDefault="00CA40A2">
      <w:pPr>
        <w:divId w:val="1003708536"/>
        <w:rPr>
          <w:rFonts w:eastAsia="Times New Roman"/>
        </w:rPr>
      </w:pPr>
      <w:r>
        <w:rPr>
          <w:rFonts w:ascii="Arial" w:eastAsia="Times New Roman" w:hAnsi="Arial" w:cs="Arial"/>
          <w:sz w:val="20"/>
          <w:szCs w:val="20"/>
        </w:rPr>
        <w:t>our international expansion plans and ability to expand internationally, an</w:t>
      </w:r>
      <w:r>
        <w:rPr>
          <w:rFonts w:ascii="Arial" w:eastAsia="Times New Roman" w:hAnsi="Arial" w:cs="Arial"/>
          <w:sz w:val="20"/>
          <w:szCs w:val="20"/>
        </w:rPr>
        <w:t>d</w:t>
      </w:r>
    </w:p>
    <w:p w:rsidR="00000000" w:rsidRDefault="00CA40A2">
      <w:pPr>
        <w:divId w:val="1014651961"/>
        <w:rPr>
          <w:rFonts w:eastAsia="Times New Roman"/>
        </w:rPr>
      </w:pPr>
      <w:r>
        <w:rPr>
          <w:rFonts w:eastAsia="Times New Roman"/>
          <w:sz w:val="20"/>
          <w:szCs w:val="20"/>
        </w:rPr>
        <w:t>•</w:t>
      </w:r>
    </w:p>
    <w:p w:rsidR="00000000" w:rsidRDefault="00CA40A2">
      <w:pPr>
        <w:divId w:val="844631186"/>
        <w:rPr>
          <w:rFonts w:eastAsia="Times New Roman"/>
        </w:rPr>
      </w:pPr>
      <w:r>
        <w:rPr>
          <w:rFonts w:ascii="Arial" w:eastAsia="Times New Roman" w:hAnsi="Arial" w:cs="Arial"/>
          <w:sz w:val="20"/>
          <w:szCs w:val="20"/>
        </w:rPr>
        <w:t>those factors described in the sections titled “Risk Factors" and “Management’s Discussion and Analysis of Financial Conditions and Results of Operations” in our Annual Report on Form 10-K for the year ended December 31, 2021 and the section titled “Manage</w:t>
      </w:r>
      <w:r>
        <w:rPr>
          <w:rFonts w:ascii="Arial" w:eastAsia="Times New Roman" w:hAnsi="Arial" w:cs="Arial"/>
          <w:sz w:val="20"/>
          <w:szCs w:val="20"/>
        </w:rPr>
        <w:t>ment’s Discussion and Analysis of Financial Condition and Results of Operations” in this Quarterly Report</w:t>
      </w:r>
      <w:r>
        <w:rPr>
          <w:rFonts w:ascii="Arial" w:eastAsia="Times New Roman"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lastRenderedPageBreak/>
        <w:t>We caution you that the foregoing list may not contain all of the forward-looking statements made in this report</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You should not place undue reliance</w:t>
      </w:r>
      <w:r>
        <w:rPr>
          <w:rFonts w:ascii="Arial" w:hAnsi="Arial" w:cs="Arial"/>
          <w:sz w:val="20"/>
          <w:szCs w:val="20"/>
        </w:rPr>
        <w:t xml:space="preserve"> on our forward-looking statements as predictions of future events. We have based the forward-looking statements primarily on our current expectations and projections about future events and trends that we believe may affect our business, operating results</w:t>
      </w:r>
      <w:r>
        <w:rPr>
          <w:rFonts w:ascii="Arial" w:hAnsi="Arial" w:cs="Arial"/>
          <w:sz w:val="20"/>
          <w:szCs w:val="20"/>
        </w:rPr>
        <w:t>, financial condition and prospects. The outcome of the events described in these forward-looking statements is subject to risks, uncertainties and other factors, including those described in the section titled “Risk Factors” and elsewhere in this Quarterl</w:t>
      </w:r>
      <w:r>
        <w:rPr>
          <w:rFonts w:ascii="Arial" w:hAnsi="Arial" w:cs="Arial"/>
          <w:sz w:val="20"/>
          <w:szCs w:val="20"/>
        </w:rPr>
        <w:t>y Report. Moreover, we operate in a very competitive and rapidly changing environment. New risks and uncertainties emerge from time to time and it is not possible for us to predict all risks and uncertainties that could have an impact on the forward-lookin</w:t>
      </w:r>
      <w:r>
        <w:rPr>
          <w:rFonts w:ascii="Arial" w:hAnsi="Arial" w:cs="Arial"/>
          <w:sz w:val="20"/>
          <w:szCs w:val="20"/>
        </w:rPr>
        <w:t>g statements contained in this report. We cannot assure you that the results, events and circumstances reflected in the forward-looking statements will be achieved or occur, and actual results, events or circumstances could differ materially from those des</w:t>
      </w:r>
      <w:r>
        <w:rPr>
          <w:rFonts w:ascii="Arial" w:hAnsi="Arial" w:cs="Arial"/>
          <w:sz w:val="20"/>
          <w:szCs w:val="20"/>
        </w:rPr>
        <w:t>cribed in the forward-looking statements</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Neither we nor any other person assumes responsibility for the ultimate outcome of any of these forward-looking statements. Moreover, the forward-looking statements made in this report relate only to events as of t</w:t>
      </w:r>
      <w:r>
        <w:rPr>
          <w:rFonts w:ascii="Arial" w:hAnsi="Arial" w:cs="Arial"/>
          <w:sz w:val="20"/>
          <w:szCs w:val="20"/>
        </w:rPr>
        <w:t>he date on which the statements are made. We undertake no obligation to update any forward-looking statements made in this report to reflect events or circumstances after the date of this report or to reflect new information or the occurrence of unanticipa</w:t>
      </w:r>
      <w:r>
        <w:rPr>
          <w:rFonts w:ascii="Arial" w:hAnsi="Arial" w:cs="Arial"/>
          <w:sz w:val="20"/>
          <w:szCs w:val="20"/>
        </w:rPr>
        <w:t>ted events, except as required by law</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In addition, statements that “we believe” and similar statements reflect our beliefs and opinions on the relevant subject. These statements are based upon information available to us as of the date of this report, an</w:t>
      </w:r>
      <w:r>
        <w:rPr>
          <w:rFonts w:ascii="Arial" w:hAnsi="Arial" w:cs="Arial"/>
          <w:sz w:val="20"/>
          <w:szCs w:val="20"/>
        </w:rPr>
        <w:t>d while we believ</w:t>
      </w:r>
      <w:r>
        <w:rPr>
          <w:rFonts w:ascii="Arial" w:hAnsi="Arial" w:cs="Arial"/>
          <w:sz w:val="20"/>
          <w:szCs w:val="20"/>
        </w:rPr>
        <w:t>e</w:t>
      </w:r>
      <w:r>
        <w:rPr>
          <w:rFonts w:ascii="Arial" w:hAnsi="Arial" w:cs="Arial"/>
          <w:sz w:val="20"/>
          <w:szCs w:val="20"/>
        </w:rPr>
        <w:t xml:space="preserve"> </w:t>
      </w:r>
    </w:p>
    <w:p w:rsidR="00000000" w:rsidRDefault="00CA40A2">
      <w:pPr>
        <w:pStyle w:val="a3"/>
        <w:spacing w:before="0" w:beforeAutospacing="0" w:after="0" w:afterAutospacing="0"/>
        <w:jc w:val="center"/>
        <w:rPr>
          <w:sz w:val="20"/>
          <w:szCs w:val="20"/>
        </w:rPr>
      </w:pPr>
      <w:r>
        <w:rPr>
          <w:rFonts w:ascii="Arial" w:hAnsi="Arial" w:cs="Arial"/>
          <w:sz w:val="20"/>
          <w:szCs w:val="20"/>
        </w:rPr>
        <w:t>i</w:t>
      </w:r>
      <w:r>
        <w:rPr>
          <w:rFonts w:ascii="Arial" w:hAnsi="Arial" w:cs="Arial"/>
          <w:sz w:val="20"/>
          <w:szCs w:val="20"/>
        </w:rPr>
        <w:t>i</w:t>
      </w:r>
    </w:p>
    <w:p w:rsidR="00000000" w:rsidRDefault="00CA40A2">
      <w:pPr>
        <w:rPr>
          <w:rFonts w:eastAsia="Times New Roman"/>
        </w:rPr>
      </w:pPr>
      <w:r>
        <w:rPr>
          <w:rFonts w:eastAsia="Times New Roman"/>
        </w:rPr>
        <w:pict>
          <v:rect id="_x0000_i1027"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120" w:beforeAutospacing="0" w:after="0" w:afterAutospacing="0"/>
        <w:rPr>
          <w:sz w:val="20"/>
          <w:szCs w:val="20"/>
        </w:rPr>
      </w:pPr>
      <w:r>
        <w:rPr>
          <w:rFonts w:ascii="Arial" w:hAnsi="Arial" w:cs="Arial"/>
          <w:sz w:val="20"/>
          <w:szCs w:val="20"/>
        </w:rPr>
        <w:t>such information forms a reasonable basis for such statements, such information may be limited or incomplete, and our statements should not be read to indicate that we have conducted an exhaustive inquiry into, or review of, all potentially available relev</w:t>
      </w:r>
      <w:r>
        <w:rPr>
          <w:rFonts w:ascii="Arial" w:hAnsi="Arial" w:cs="Arial"/>
          <w:sz w:val="20"/>
          <w:szCs w:val="20"/>
        </w:rPr>
        <w:t>ant information</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rPr>
          <w:sz w:val="20"/>
          <w:szCs w:val="20"/>
        </w:rPr>
      </w:pPr>
      <w:r>
        <w:rPr>
          <w:rFonts w:ascii="Arial" w:hAnsi="Arial" w:cs="Arial"/>
          <w:b/>
          <w:bCs/>
          <w:i/>
          <w:iCs/>
          <w:sz w:val="20"/>
          <w:szCs w:val="20"/>
        </w:rPr>
        <w:t>Certain Definition</w:t>
      </w:r>
      <w:r>
        <w:rPr>
          <w:rFonts w:ascii="Arial" w:hAnsi="Arial" w:cs="Arial"/>
          <w:b/>
          <w:bCs/>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In this report, unless the context requires otherwise, all references to “we,” “our,” “us,” “Paymentus,” and the “Company” refer to Paymentus Holdings, Inc., and where appropriate its consolidated subsidiaries</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 </w:t>
      </w:r>
    </w:p>
    <w:p w:rsidR="00000000" w:rsidRDefault="00CA40A2">
      <w:pPr>
        <w:pStyle w:val="a3"/>
        <w:spacing w:before="120" w:beforeAutospacing="0" w:after="0" w:afterAutospacing="0"/>
        <w:rPr>
          <w:sz w:val="20"/>
          <w:szCs w:val="20"/>
        </w:rPr>
      </w:pPr>
      <w:r>
        <w:rPr>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ii</w:t>
      </w:r>
      <w:r>
        <w:rPr>
          <w:rFonts w:ascii="Arial" w:hAnsi="Arial" w:cs="Arial"/>
          <w:sz w:val="20"/>
          <w:szCs w:val="20"/>
        </w:rPr>
        <w:t>i</w:t>
      </w:r>
    </w:p>
    <w:p w:rsidR="00000000" w:rsidRDefault="00CA40A2">
      <w:pPr>
        <w:rPr>
          <w:rFonts w:eastAsia="Times New Roman"/>
        </w:rPr>
      </w:pPr>
      <w:r>
        <w:rPr>
          <w:rFonts w:eastAsia="Times New Roman"/>
        </w:rPr>
        <w:pict>
          <v:rect id="_x0000_i1028"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jc w:val="center"/>
        <w:rPr>
          <w:sz w:val="20"/>
          <w:szCs w:val="20"/>
        </w:rPr>
      </w:pPr>
      <w:r>
        <w:rPr>
          <w:rFonts w:ascii="Arial" w:hAnsi="Arial" w:cs="Arial"/>
          <w:b/>
          <w:bCs/>
          <w:sz w:val="20"/>
          <w:szCs w:val="20"/>
        </w:rPr>
        <w:t>PART I—FI</w:t>
      </w:r>
      <w:r>
        <w:rPr>
          <w:rFonts w:ascii="Arial" w:hAnsi="Arial" w:cs="Arial"/>
          <w:b/>
          <w:bCs/>
          <w:sz w:val="20"/>
          <w:szCs w:val="20"/>
        </w:rPr>
        <w:t>N</w:t>
      </w:r>
      <w:r>
        <w:rPr>
          <w:rFonts w:ascii="Arial" w:hAnsi="Arial" w:cs="Arial"/>
          <w:b/>
          <w:bCs/>
          <w:sz w:val="20"/>
          <w:szCs w:val="20"/>
        </w:rPr>
        <w:t>ANCIAL INFORMATIO</w:t>
      </w:r>
      <w:r>
        <w:rPr>
          <w:rFonts w:ascii="Arial" w:hAnsi="Arial" w:cs="Arial"/>
          <w:b/>
          <w:bCs/>
          <w:sz w:val="20"/>
          <w:szCs w:val="20"/>
        </w:rPr>
        <w:t>N</w:t>
      </w:r>
    </w:p>
    <w:p w:rsidR="00000000" w:rsidRDefault="00CA40A2">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 Financial Statement</w:t>
      </w:r>
      <w:r>
        <w:rPr>
          <w:rFonts w:ascii="Arial" w:hAnsi="Arial" w:cs="Arial"/>
          <w:b/>
          <w:bCs/>
          <w:sz w:val="20"/>
          <w:szCs w:val="20"/>
        </w:rPr>
        <w:t>s</w:t>
      </w:r>
    </w:p>
    <w:p w:rsidR="00000000" w:rsidRDefault="00CA40A2">
      <w:pPr>
        <w:pStyle w:val="a3"/>
        <w:spacing w:before="360" w:beforeAutospacing="0" w:after="0" w:afterAutospacing="0"/>
        <w:jc w:val="center"/>
        <w:rPr>
          <w:sz w:val="20"/>
          <w:szCs w:val="20"/>
        </w:rPr>
      </w:pPr>
      <w:r>
        <w:rPr>
          <w:rFonts w:ascii="Arial" w:hAnsi="Arial" w:cs="Arial"/>
          <w:sz w:val="20"/>
          <w:szCs w:val="20"/>
        </w:rPr>
        <w:t>PAYMENTU</w:t>
      </w:r>
      <w:r>
        <w:rPr>
          <w:rFonts w:ascii="Arial" w:hAnsi="Arial" w:cs="Arial"/>
          <w:sz w:val="20"/>
          <w:szCs w:val="20"/>
        </w:rPr>
        <w:t>S</w:t>
      </w:r>
      <w:r>
        <w:rPr>
          <w:rFonts w:ascii="Arial" w:hAnsi="Arial" w:cs="Arial"/>
          <w:sz w:val="20"/>
          <w:szCs w:val="20"/>
        </w:rPr>
        <w:t xml:space="preserve"> HOLDINGS, INC</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CONDENSED CONSOLIDATED B</w:t>
      </w:r>
      <w:r>
        <w:rPr>
          <w:rFonts w:ascii="Arial" w:hAnsi="Arial" w:cs="Arial"/>
          <w:sz w:val="20"/>
          <w:szCs w:val="20"/>
        </w:rPr>
        <w:t>A</w:t>
      </w:r>
      <w:r>
        <w:rPr>
          <w:rFonts w:ascii="Arial" w:hAnsi="Arial" w:cs="Arial"/>
          <w:sz w:val="20"/>
          <w:szCs w:val="20"/>
        </w:rPr>
        <w:t>LANCE SHEETS (Unaudited</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7"/>
        <w:gridCol w:w="125"/>
        <w:gridCol w:w="149"/>
        <w:gridCol w:w="1077"/>
        <w:gridCol w:w="105"/>
        <w:gridCol w:w="126"/>
        <w:gridCol w:w="149"/>
        <w:gridCol w:w="1078"/>
        <w:gridCol w:w="120"/>
      </w:tblGrid>
      <w:tr w:rsidR="00000000">
        <w:trPr>
          <w:tblCellSpacing w:w="15" w:type="dxa"/>
        </w:trPr>
        <w:tc>
          <w:tcPr>
            <w:tcW w:w="3344" w:type="pct"/>
            <w:vAlign w:val="center"/>
            <w:hideMark/>
          </w:tcPr>
          <w:p w:rsidR="00000000" w:rsidRDefault="00CA40A2">
            <w:pPr>
              <w:rPr>
                <w:sz w:val="20"/>
                <w:szCs w:val="20"/>
              </w:rPr>
            </w:pPr>
          </w:p>
        </w:tc>
        <w:tc>
          <w:tcPr>
            <w:tcW w:w="76" w:type="pct"/>
            <w:vAlign w:val="center"/>
            <w:hideMark/>
          </w:tcPr>
          <w:p w:rsidR="00000000" w:rsidRDefault="00CA40A2">
            <w:pPr>
              <w:rPr>
                <w:rFonts w:eastAsia="Times New Roman"/>
                <w:sz w:val="20"/>
                <w:szCs w:val="20"/>
              </w:rPr>
            </w:pPr>
          </w:p>
        </w:tc>
        <w:tc>
          <w:tcPr>
            <w:tcW w:w="54" w:type="pct"/>
            <w:vAlign w:val="center"/>
            <w:hideMark/>
          </w:tcPr>
          <w:p w:rsidR="00000000" w:rsidRDefault="00CA40A2">
            <w:pPr>
              <w:rPr>
                <w:rFonts w:eastAsia="Times New Roman"/>
                <w:sz w:val="20"/>
                <w:szCs w:val="20"/>
              </w:rPr>
            </w:pPr>
          </w:p>
        </w:tc>
        <w:tc>
          <w:tcPr>
            <w:tcW w:w="670" w:type="pct"/>
            <w:vAlign w:val="center"/>
            <w:hideMark/>
          </w:tcPr>
          <w:p w:rsidR="00000000" w:rsidRDefault="00CA40A2">
            <w:pPr>
              <w:rPr>
                <w:rFonts w:eastAsia="Times New Roman"/>
                <w:sz w:val="20"/>
                <w:szCs w:val="20"/>
              </w:rPr>
            </w:pPr>
          </w:p>
        </w:tc>
        <w:tc>
          <w:tcPr>
            <w:tcW w:w="26" w:type="pct"/>
            <w:vAlign w:val="center"/>
            <w:hideMark/>
          </w:tcPr>
          <w:p w:rsidR="00000000" w:rsidRDefault="00CA40A2">
            <w:pPr>
              <w:rPr>
                <w:rFonts w:eastAsia="Times New Roman"/>
                <w:sz w:val="20"/>
                <w:szCs w:val="20"/>
              </w:rPr>
            </w:pPr>
          </w:p>
        </w:tc>
        <w:tc>
          <w:tcPr>
            <w:tcW w:w="76" w:type="pct"/>
            <w:vAlign w:val="center"/>
            <w:hideMark/>
          </w:tcPr>
          <w:p w:rsidR="00000000" w:rsidRDefault="00CA40A2">
            <w:pPr>
              <w:rPr>
                <w:rFonts w:eastAsia="Times New Roman"/>
                <w:sz w:val="20"/>
                <w:szCs w:val="20"/>
              </w:rPr>
            </w:pPr>
          </w:p>
        </w:tc>
        <w:tc>
          <w:tcPr>
            <w:tcW w:w="54" w:type="pct"/>
            <w:vAlign w:val="center"/>
            <w:hideMark/>
          </w:tcPr>
          <w:p w:rsidR="00000000" w:rsidRDefault="00CA40A2">
            <w:pPr>
              <w:rPr>
                <w:rFonts w:eastAsia="Times New Roman"/>
                <w:sz w:val="20"/>
                <w:szCs w:val="20"/>
              </w:rPr>
            </w:pPr>
          </w:p>
        </w:tc>
        <w:tc>
          <w:tcPr>
            <w:tcW w:w="670" w:type="pct"/>
            <w:vAlign w:val="center"/>
            <w:hideMark/>
          </w:tcPr>
          <w:p w:rsidR="00000000" w:rsidRDefault="00CA40A2">
            <w:pPr>
              <w:rPr>
                <w:rFonts w:eastAsia="Times New Roman"/>
                <w:sz w:val="20"/>
                <w:szCs w:val="20"/>
              </w:rPr>
            </w:pPr>
          </w:p>
        </w:tc>
        <w:tc>
          <w:tcPr>
            <w:tcW w:w="26" w:type="pct"/>
            <w:vAlign w:val="center"/>
            <w:hideMark/>
          </w:tcPr>
          <w:p w:rsidR="00000000" w:rsidRDefault="00CA40A2">
            <w:pPr>
              <w:rPr>
                <w:rFonts w:eastAsia="Times New Roman"/>
                <w:sz w:val="20"/>
                <w:szCs w:val="20"/>
              </w:rPr>
            </w:pPr>
          </w:p>
        </w:tc>
      </w:tr>
      <w:tr w:rsidR="00000000">
        <w:trPr>
          <w:trHeight w:val="140"/>
          <w:tblCellSpacing w:w="15" w:type="dxa"/>
        </w:trPr>
        <w:tc>
          <w:tcPr>
            <w:tcW w:w="0" w:type="auto"/>
            <w:vAlign w:val="bottom"/>
            <w:hideMark/>
          </w:tcPr>
          <w:p w:rsidR="00000000" w:rsidRDefault="00CA40A2">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CA40A2">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CA40A2">
            <w:pPr>
              <w:pStyle w:val="a3"/>
              <w:spacing w:before="0" w:beforeAutospacing="0" w:after="0" w:afterAutospacing="0"/>
              <w:jc w:val="center"/>
              <w:rPr>
                <w:sz w:val="14"/>
                <w:szCs w:val="14"/>
              </w:rPr>
            </w:pPr>
            <w:r>
              <w:rPr>
                <w:rFonts w:ascii="Arial" w:hAnsi="Arial" w:cs="Arial"/>
                <w:b/>
                <w:bCs/>
                <w:sz w:val="14"/>
                <w:szCs w:val="14"/>
              </w:rPr>
              <w:t>March 31</w:t>
            </w:r>
            <w:r>
              <w:rPr>
                <w:rFonts w:ascii="Arial" w:hAnsi="Arial" w:cs="Arial"/>
                <w:b/>
                <w:bCs/>
                <w:sz w:val="14"/>
                <w:szCs w:val="14"/>
              </w:rPr>
              <w:t>,</w:t>
            </w:r>
          </w:p>
        </w:tc>
        <w:tc>
          <w:tcPr>
            <w:tcW w:w="0" w:type="auto"/>
            <w:vAlign w:val="bottom"/>
            <w:hideMark/>
          </w:tcPr>
          <w:p w:rsidR="00000000" w:rsidRDefault="00CA40A2">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CA40A2">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CA40A2">
            <w:pPr>
              <w:pStyle w:val="a3"/>
              <w:spacing w:before="0" w:beforeAutospacing="0" w:after="0" w:afterAutospacing="0"/>
              <w:jc w:val="center"/>
              <w:rPr>
                <w:sz w:val="14"/>
                <w:szCs w:val="14"/>
              </w:rPr>
            </w:pPr>
            <w:r>
              <w:rPr>
                <w:rFonts w:ascii="Arial" w:hAnsi="Arial" w:cs="Arial"/>
                <w:b/>
                <w:bCs/>
                <w:sz w:val="14"/>
                <w:szCs w:val="14"/>
              </w:rPr>
              <w:t>December 31</w:t>
            </w:r>
            <w:r>
              <w:rPr>
                <w:rFonts w:ascii="Arial" w:hAnsi="Arial" w:cs="Arial"/>
                <w:b/>
                <w:bCs/>
                <w:sz w:val="14"/>
                <w:szCs w:val="14"/>
              </w:rPr>
              <w:t>,</w:t>
            </w:r>
          </w:p>
        </w:tc>
        <w:tc>
          <w:tcPr>
            <w:tcW w:w="0" w:type="auto"/>
            <w:vAlign w:val="bottom"/>
            <w:hideMark/>
          </w:tcPr>
          <w:p w:rsidR="00000000" w:rsidRDefault="00CA40A2">
            <w:pPr>
              <w:pStyle w:val="a3"/>
              <w:spacing w:before="0" w:beforeAutospacing="0" w:after="0" w:afterAutospacing="0"/>
              <w:jc w:val="center"/>
              <w:rPr>
                <w:sz w:val="14"/>
                <w:szCs w:val="14"/>
              </w:rPr>
            </w:pPr>
            <w:r>
              <w:rPr>
                <w:rFonts w:ascii="Arial" w:hAnsi="Arial" w:cs="Arial"/>
                <w:sz w:val="14"/>
                <w:szCs w:val="14"/>
              </w:rPr>
              <w:t> </w:t>
            </w:r>
          </w:p>
        </w:tc>
      </w:tr>
      <w:tr w:rsidR="00000000">
        <w:trPr>
          <w:trHeight w:val="140"/>
          <w:tblCellSpacing w:w="15" w:type="dxa"/>
        </w:trPr>
        <w:tc>
          <w:tcPr>
            <w:tcW w:w="0" w:type="auto"/>
            <w:vAlign w:val="bottom"/>
            <w:hideMark/>
          </w:tcPr>
          <w:p w:rsidR="00000000" w:rsidRDefault="00CA40A2">
            <w:pPr>
              <w:pStyle w:val="a3"/>
              <w:spacing w:before="0" w:beforeAutospacing="0" w:after="0" w:afterAutospacing="0"/>
              <w:rPr>
                <w:sz w:val="14"/>
                <w:szCs w:val="14"/>
              </w:rPr>
            </w:pPr>
            <w:r>
              <w:rPr>
                <w:rFonts w:ascii="Arial" w:hAnsi="Arial" w:cs="Arial"/>
                <w:sz w:val="14"/>
                <w:szCs w:val="14"/>
              </w:rPr>
              <w:t> </w:t>
            </w:r>
          </w:p>
        </w:tc>
        <w:tc>
          <w:tcPr>
            <w:tcW w:w="0" w:type="auto"/>
            <w:vAlign w:val="bottom"/>
            <w:hideMark/>
          </w:tcPr>
          <w:p w:rsidR="00000000" w:rsidRDefault="00CA40A2">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CA40A2">
            <w:pPr>
              <w:pStyle w:val="a3"/>
              <w:spacing w:before="0" w:beforeAutospacing="0" w:after="0" w:afterAutospacing="0"/>
              <w:jc w:val="center"/>
              <w:rPr>
                <w:sz w:val="14"/>
                <w:szCs w:val="14"/>
              </w:rPr>
            </w:pPr>
            <w:r>
              <w:rPr>
                <w:rFonts w:ascii="Arial" w:hAnsi="Arial" w:cs="Arial"/>
                <w:b/>
                <w:bCs/>
                <w:sz w:val="14"/>
                <w:szCs w:val="14"/>
              </w:rPr>
              <w:t>202</w:t>
            </w:r>
            <w:r>
              <w:rPr>
                <w:rFonts w:ascii="Arial" w:hAnsi="Arial" w:cs="Arial"/>
                <w:b/>
                <w:bCs/>
                <w:sz w:val="14"/>
                <w:szCs w:val="14"/>
              </w:rPr>
              <w:t>2</w:t>
            </w:r>
          </w:p>
        </w:tc>
        <w:tc>
          <w:tcPr>
            <w:tcW w:w="0" w:type="auto"/>
            <w:vAlign w:val="bottom"/>
            <w:hideMark/>
          </w:tcPr>
          <w:p w:rsidR="00000000" w:rsidRDefault="00CA40A2">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CA40A2">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CA40A2">
            <w:pPr>
              <w:pStyle w:val="a3"/>
              <w:spacing w:before="0" w:beforeAutospacing="0" w:after="0" w:afterAutospacing="0"/>
              <w:jc w:val="center"/>
              <w:rPr>
                <w:sz w:val="14"/>
                <w:szCs w:val="14"/>
              </w:rPr>
            </w:pPr>
            <w:r>
              <w:rPr>
                <w:rFonts w:ascii="Arial" w:hAnsi="Arial" w:cs="Arial"/>
                <w:b/>
                <w:bCs/>
                <w:sz w:val="14"/>
                <w:szCs w:val="14"/>
              </w:rPr>
              <w:t>202</w:t>
            </w:r>
            <w:r>
              <w:rPr>
                <w:rFonts w:ascii="Arial" w:hAnsi="Arial" w:cs="Arial"/>
                <w:b/>
                <w:bCs/>
                <w:sz w:val="14"/>
                <w:szCs w:val="14"/>
              </w:rPr>
              <w:t>1</w:t>
            </w:r>
          </w:p>
        </w:tc>
        <w:tc>
          <w:tcPr>
            <w:tcW w:w="0" w:type="auto"/>
            <w:vAlign w:val="bottom"/>
            <w:hideMark/>
          </w:tcPr>
          <w:p w:rsidR="00000000" w:rsidRDefault="00CA40A2">
            <w:pPr>
              <w:pStyle w:val="a3"/>
              <w:spacing w:before="0" w:beforeAutospacing="0" w:after="0" w:afterAutospacing="0"/>
              <w:jc w:val="center"/>
              <w:rPr>
                <w:sz w:val="14"/>
                <w:szCs w:val="14"/>
              </w:rPr>
            </w:pPr>
            <w:r>
              <w:rPr>
                <w:rFonts w:ascii="Arial" w:hAnsi="Arial" w:cs="Arial"/>
                <w:sz w:val="14"/>
                <w:szCs w:val="14"/>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b/>
                <w:bCs/>
                <w:sz w:val="16"/>
                <w:szCs w:val="16"/>
              </w:rPr>
              <w:t>Asset</w:t>
            </w:r>
            <w:r>
              <w:rPr>
                <w:rFonts w:ascii="Arial" w:hAnsi="Arial" w:cs="Arial"/>
                <w:b/>
                <w:bCs/>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Current asset</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Cash and cash equivalent</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163,38</w:t>
            </w:r>
            <w:r>
              <w:rPr>
                <w:rFonts w:ascii="Arial" w:hAnsi="Arial" w:cs="Arial"/>
                <w:sz w:val="16"/>
                <w:szCs w:val="16"/>
              </w:rPr>
              <w:t>4</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168,38</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Restricted funds held for financial institution</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36,78</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33,44</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20"/>
                <w:szCs w:val="20"/>
              </w:rPr>
            </w:pPr>
            <w:r>
              <w:rPr>
                <w:rFonts w:ascii="Arial" w:hAnsi="Arial" w:cs="Arial"/>
                <w:sz w:val="16"/>
                <w:szCs w:val="16"/>
              </w:rPr>
              <w:lastRenderedPageBreak/>
              <w:t xml:space="preserve">Accounts and other receivables, net of allowance of </w:t>
            </w:r>
            <w:r>
              <w:rPr>
                <w:rFonts w:ascii="Arial" w:hAnsi="Arial" w:cs="Arial"/>
                <w:sz w:val="16"/>
                <w:szCs w:val="16"/>
              </w:rPr>
              <w:t>$</w:t>
            </w:r>
            <w:r>
              <w:rPr>
                <w:rFonts w:ascii="Arial" w:hAnsi="Arial" w:cs="Arial"/>
                <w:sz w:val="16"/>
                <w:szCs w:val="16"/>
              </w:rPr>
              <w:t>19</w:t>
            </w:r>
            <w:r>
              <w:rPr>
                <w:rFonts w:ascii="Arial" w:hAnsi="Arial" w:cs="Arial"/>
                <w:sz w:val="16"/>
                <w:szCs w:val="16"/>
              </w:rPr>
              <w:t>2</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10</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51,91</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43,93</w:t>
            </w:r>
            <w:r>
              <w:rPr>
                <w:rFonts w:ascii="Arial" w:hAnsi="Arial" w:cs="Arial"/>
                <w:sz w:val="16"/>
                <w:szCs w:val="16"/>
              </w:rPr>
              <w:t>5</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Income tax receivabl</w:t>
            </w:r>
            <w:r>
              <w:rPr>
                <w:rFonts w:ascii="Arial" w:hAnsi="Arial" w:cs="Arial"/>
                <w:sz w:val="16"/>
                <w:szCs w:val="16"/>
              </w:rPr>
              <w:t>e</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8,58</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2,48</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Prepaid expenses and other current asset</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7,36</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8,18</w:t>
            </w:r>
            <w:r>
              <w:rPr>
                <w:rFonts w:ascii="Arial" w:hAnsi="Arial" w:cs="Arial"/>
                <w:sz w:val="16"/>
                <w:szCs w:val="16"/>
              </w:rPr>
              <w:t>4</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Total current asset</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268,02</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256,43</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16"/>
                <w:szCs w:val="16"/>
              </w:rPr>
              <w:t>Property and equipment, net of accumulated depreciation and</w:t>
            </w:r>
            <w:r>
              <w:rPr>
                <w:rFonts w:ascii="Arial" w:hAnsi="Arial" w:cs="Arial"/>
                <w:sz w:val="16"/>
                <w:szCs w:val="16"/>
              </w:rPr>
              <w:br/>
              <w:t xml:space="preserve">   amortization of </w:t>
            </w:r>
            <w:r>
              <w:rPr>
                <w:rFonts w:ascii="Arial" w:hAnsi="Arial" w:cs="Arial"/>
                <w:sz w:val="16"/>
                <w:szCs w:val="16"/>
              </w:rPr>
              <w:t>$</w:t>
            </w:r>
            <w:r>
              <w:rPr>
                <w:rFonts w:ascii="Arial" w:hAnsi="Arial" w:cs="Arial"/>
                <w:sz w:val="16"/>
                <w:szCs w:val="16"/>
              </w:rPr>
              <w:t>5,14</w:t>
            </w:r>
            <w:r>
              <w:rPr>
                <w:rFonts w:ascii="Arial" w:hAnsi="Arial" w:cs="Arial"/>
                <w:sz w:val="16"/>
                <w:szCs w:val="16"/>
              </w:rPr>
              <w:t>7</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4,79</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2,15</w:t>
            </w:r>
            <w:r>
              <w:rPr>
                <w:rFonts w:ascii="Arial" w:hAnsi="Arial" w:cs="Arial"/>
                <w:sz w:val="16"/>
                <w:szCs w:val="16"/>
              </w:rPr>
              <w:t>5</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2,04</w:t>
            </w:r>
            <w:r>
              <w:rPr>
                <w:rFonts w:ascii="Arial" w:hAnsi="Arial" w:cs="Arial"/>
                <w:sz w:val="16"/>
                <w:szCs w:val="16"/>
              </w:rPr>
              <w:t>4</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Capitalized internal-use software development costs, ne</w:t>
            </w:r>
            <w:r>
              <w:rPr>
                <w:rFonts w:ascii="Arial" w:hAnsi="Arial" w:cs="Arial"/>
                <w:sz w:val="16"/>
                <w:szCs w:val="16"/>
              </w:rPr>
              <w:t>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34,51</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30,88</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Intangible assets, ne</w:t>
            </w:r>
            <w:r>
              <w:rPr>
                <w:rFonts w:ascii="Arial" w:hAnsi="Arial" w:cs="Arial"/>
                <w:sz w:val="16"/>
                <w:szCs w:val="16"/>
              </w:rPr>
              <w:t>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40,03</w:t>
            </w:r>
            <w:r>
              <w:rPr>
                <w:rFonts w:ascii="Arial" w:hAnsi="Arial" w:cs="Arial"/>
                <w:sz w:val="16"/>
                <w:szCs w:val="16"/>
              </w:rPr>
              <w:t>9</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42,08</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Goodwil</w:t>
            </w:r>
            <w:r>
              <w:rPr>
                <w:rFonts w:ascii="Arial" w:hAnsi="Arial" w:cs="Arial"/>
                <w:sz w:val="16"/>
                <w:szCs w:val="16"/>
              </w:rPr>
              <w:t>l</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129,41</w:t>
            </w:r>
            <w:r>
              <w:rPr>
                <w:rFonts w:ascii="Arial" w:hAnsi="Arial" w:cs="Arial"/>
                <w:sz w:val="16"/>
                <w:szCs w:val="16"/>
              </w:rPr>
              <w:t>7</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129,41</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Operating lease right-of-use asset</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7,70</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7,70</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Deferred tax asse</w:t>
            </w:r>
            <w:r>
              <w:rPr>
                <w:rFonts w:ascii="Arial" w:hAnsi="Arial" w:cs="Arial"/>
                <w:sz w:val="16"/>
                <w:szCs w:val="16"/>
              </w:rPr>
              <w:t>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1,05</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Other long-term asset</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4,70</w:t>
            </w:r>
            <w:r>
              <w:rPr>
                <w:rFonts w:ascii="Arial" w:hAnsi="Arial" w:cs="Arial"/>
                <w:sz w:val="16"/>
                <w:szCs w:val="16"/>
              </w:rPr>
              <w:t>7</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4,20</w:t>
            </w:r>
            <w:r>
              <w:rPr>
                <w:rFonts w:ascii="Arial" w:hAnsi="Arial" w:cs="Arial"/>
                <w:sz w:val="16"/>
                <w:szCs w:val="16"/>
              </w:rPr>
              <w:t>7</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Total asset</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487,61</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472,94</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b/>
                <w:bCs/>
                <w:sz w:val="16"/>
                <w:szCs w:val="16"/>
              </w:rPr>
              <w:t>Liabilities and Stockholders’ Equit</w:t>
            </w:r>
            <w:r>
              <w:rPr>
                <w:rFonts w:ascii="Arial" w:hAnsi="Arial" w:cs="Arial"/>
                <w:b/>
                <w:bCs/>
                <w:sz w:val="16"/>
                <w:szCs w:val="16"/>
              </w:rPr>
              <w:t>y</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Current liabilitie</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Accounts payabl</w:t>
            </w:r>
            <w:r>
              <w:rPr>
                <w:rFonts w:ascii="Arial" w:hAnsi="Arial" w:cs="Arial"/>
                <w:sz w:val="16"/>
                <w:szCs w:val="16"/>
              </w:rPr>
              <w:t>e</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29,52</w:t>
            </w:r>
            <w:r>
              <w:rPr>
                <w:rFonts w:ascii="Arial" w:hAnsi="Arial" w:cs="Arial"/>
                <w:sz w:val="16"/>
                <w:szCs w:val="16"/>
              </w:rPr>
              <w:t>7</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24,74</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Accrued liabilitie</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12,50</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12,49</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Financial institution funds in-transi</w:t>
            </w:r>
            <w:r>
              <w:rPr>
                <w:rFonts w:ascii="Arial" w:hAnsi="Arial" w:cs="Arial"/>
                <w:sz w:val="16"/>
                <w:szCs w:val="16"/>
              </w:rPr>
              <w:t>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36,78</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33,44</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Operating lease liabilitie</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1,35</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1,45</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Contract liabilitie</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1,25</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2,17</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Income tax payabl</w:t>
            </w:r>
            <w:r>
              <w:rPr>
                <w:rFonts w:ascii="Arial" w:hAnsi="Arial" w:cs="Arial"/>
                <w:sz w:val="16"/>
                <w:szCs w:val="16"/>
              </w:rPr>
              <w:t>e</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1,57</w:t>
            </w:r>
            <w:r>
              <w:rPr>
                <w:rFonts w:ascii="Arial" w:hAnsi="Arial" w:cs="Arial"/>
                <w:sz w:val="16"/>
                <w:szCs w:val="16"/>
              </w:rPr>
              <w:t>9</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Total current liabilitie</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83,00</w:t>
            </w:r>
            <w:r>
              <w:rPr>
                <w:rFonts w:ascii="Arial" w:hAnsi="Arial" w:cs="Arial"/>
                <w:sz w:val="16"/>
                <w:szCs w:val="16"/>
              </w:rPr>
              <w:t>0</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74,43</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Deferred tax liabilit</w:t>
            </w:r>
            <w:r>
              <w:rPr>
                <w:rFonts w:ascii="Arial" w:hAnsi="Arial" w:cs="Arial"/>
                <w:sz w:val="16"/>
                <w:szCs w:val="16"/>
              </w:rPr>
              <w:t>y</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5,60</w:t>
            </w:r>
            <w:r>
              <w:rPr>
                <w:rFonts w:ascii="Arial" w:hAnsi="Arial" w:cs="Arial"/>
                <w:sz w:val="16"/>
                <w:szCs w:val="16"/>
              </w:rPr>
              <w:t>0</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3,31</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Operating leases, net of current portio</w:t>
            </w:r>
            <w:r>
              <w:rPr>
                <w:rFonts w:ascii="Arial" w:hAnsi="Arial" w:cs="Arial"/>
                <w:sz w:val="16"/>
                <w:szCs w:val="16"/>
              </w:rPr>
              <w:t>n</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6,55</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6,46</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Contract liabilities, net of current portio</w:t>
            </w:r>
            <w:r>
              <w:rPr>
                <w:rFonts w:ascii="Arial" w:hAnsi="Arial" w:cs="Arial"/>
                <w:sz w:val="16"/>
                <w:szCs w:val="16"/>
              </w:rPr>
              <w:t>n</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2,58</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Finance leases and other finance obligations, net of current portio</w:t>
            </w:r>
            <w:r>
              <w:rPr>
                <w:rFonts w:ascii="Arial" w:hAnsi="Arial" w:cs="Arial"/>
                <w:sz w:val="16"/>
                <w:szCs w:val="16"/>
              </w:rPr>
              <w:t>n</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78</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88</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Total liabilitie</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98,51</w:t>
            </w:r>
            <w:r>
              <w:rPr>
                <w:rFonts w:ascii="Arial" w:hAnsi="Arial" w:cs="Arial"/>
                <w:sz w:val="16"/>
                <w:szCs w:val="16"/>
              </w:rPr>
              <w:t>9</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86,81</w:t>
            </w:r>
            <w:r>
              <w:rPr>
                <w:rFonts w:ascii="Arial" w:hAnsi="Arial" w:cs="Arial"/>
                <w:sz w:val="16"/>
                <w:szCs w:val="16"/>
              </w:rPr>
              <w:t>0</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16"/>
                <w:szCs w:val="16"/>
              </w:rPr>
              <w:t>Commitments and contingencie</w:t>
            </w:r>
            <w:r>
              <w:rPr>
                <w:rFonts w:ascii="Arial" w:hAnsi="Arial" w:cs="Arial"/>
                <w:sz w:val="16"/>
                <w:szCs w:val="16"/>
              </w:rPr>
              <w:t>s</w:t>
            </w:r>
            <w:r>
              <w:rPr>
                <w:rFonts w:ascii="Arial" w:hAnsi="Arial" w:cs="Arial"/>
                <w:sz w:val="16"/>
                <w:szCs w:val="16"/>
              </w:rPr>
              <w:t> (Note 9</w:t>
            </w: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Stockholders’ equit</w:t>
            </w:r>
            <w:r>
              <w:rPr>
                <w:rFonts w:ascii="Arial" w:hAnsi="Arial" w:cs="Arial"/>
                <w:sz w:val="16"/>
                <w:szCs w:val="16"/>
              </w:rPr>
              <w:t>y</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20"/>
                <w:szCs w:val="20"/>
              </w:rPr>
            </w:pPr>
            <w:r>
              <w:rPr>
                <w:rFonts w:ascii="Arial" w:hAnsi="Arial" w:cs="Arial"/>
                <w:sz w:val="16"/>
                <w:szCs w:val="16"/>
              </w:rPr>
              <w:t xml:space="preserve">Preferred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5,000,00</w:t>
            </w:r>
            <w:r>
              <w:rPr>
                <w:rFonts w:ascii="Arial" w:hAnsi="Arial" w:cs="Arial"/>
                <w:sz w:val="16"/>
                <w:szCs w:val="16"/>
              </w:rPr>
              <w:t>0</w:t>
            </w:r>
            <w:r>
              <w:rPr>
                <w:rFonts w:ascii="Arial" w:hAnsi="Arial" w:cs="Arial"/>
                <w:sz w:val="16"/>
                <w:szCs w:val="16"/>
              </w:rPr>
              <w:t> shares authorized as of March 31, 2022 and December 31, 2021, respectively;</w:t>
            </w:r>
            <w:r>
              <w:rPr>
                <w:rFonts w:ascii="Arial" w:hAnsi="Arial" w:cs="Arial"/>
                <w:sz w:val="16"/>
                <w:szCs w:val="16"/>
              </w:rPr>
              <w:t xml:space="preserve"> </w:t>
            </w:r>
            <w:r>
              <w:rPr>
                <w:rFonts w:ascii="Arial" w:hAnsi="Arial" w:cs="Arial"/>
                <w:sz w:val="16"/>
                <w:szCs w:val="16"/>
              </w:rPr>
              <w:t>n</w:t>
            </w:r>
            <w:r>
              <w:rPr>
                <w:rFonts w:ascii="Arial" w:hAnsi="Arial" w:cs="Arial"/>
                <w:sz w:val="16"/>
                <w:szCs w:val="16"/>
              </w:rPr>
              <w:t>o</w:t>
            </w:r>
            <w:r>
              <w:rPr>
                <w:rFonts w:ascii="Arial" w:hAnsi="Arial" w:cs="Arial"/>
                <w:sz w:val="16"/>
                <w:szCs w:val="16"/>
              </w:rPr>
              <w:t>ne issued and outstanding as of March 31, 2022 and December 31, 2021, respectivel</w:t>
            </w:r>
            <w:r>
              <w:rPr>
                <w:rFonts w:ascii="Arial" w:hAnsi="Arial" w:cs="Arial"/>
                <w:sz w:val="16"/>
                <w:szCs w:val="16"/>
              </w:rPr>
              <w:t>y</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20"/>
                <w:szCs w:val="20"/>
              </w:rPr>
            </w:pPr>
            <w:r>
              <w:rPr>
                <w:rFonts w:ascii="Arial" w:hAnsi="Arial" w:cs="Arial"/>
                <w:sz w:val="16"/>
                <w:szCs w:val="16"/>
              </w:rPr>
              <w:t xml:space="preserve">Class A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883,950,00</w:t>
            </w:r>
            <w:r>
              <w:rPr>
                <w:rFonts w:ascii="Arial" w:hAnsi="Arial" w:cs="Arial"/>
                <w:sz w:val="16"/>
                <w:szCs w:val="16"/>
              </w:rPr>
              <w:t>0</w:t>
            </w:r>
            <w:r>
              <w:rPr>
                <w:rFonts w:ascii="Arial" w:hAnsi="Arial" w:cs="Arial"/>
                <w:sz w:val="16"/>
                <w:szCs w:val="16"/>
              </w:rPr>
              <w:t> shares authorized as of March 31, 2022 and December 31, 2021, respectively;</w:t>
            </w:r>
            <w:r>
              <w:rPr>
                <w:rFonts w:ascii="Arial" w:hAnsi="Arial" w:cs="Arial"/>
                <w:sz w:val="16"/>
                <w:szCs w:val="16"/>
              </w:rPr>
              <w:t xml:space="preserve"> </w:t>
            </w:r>
            <w:r>
              <w:rPr>
                <w:rFonts w:ascii="Arial" w:hAnsi="Arial" w:cs="Arial"/>
                <w:sz w:val="16"/>
                <w:szCs w:val="16"/>
              </w:rPr>
              <w:t>17,715,04</w:t>
            </w:r>
            <w:r>
              <w:rPr>
                <w:rFonts w:ascii="Arial" w:hAnsi="Arial" w:cs="Arial"/>
                <w:sz w:val="16"/>
                <w:szCs w:val="16"/>
              </w:rPr>
              <w:t>6</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17,251,07</w:t>
            </w:r>
            <w:r>
              <w:rPr>
                <w:rFonts w:ascii="Arial" w:hAnsi="Arial" w:cs="Arial"/>
                <w:sz w:val="16"/>
                <w:szCs w:val="16"/>
              </w:rPr>
              <w:t>9</w:t>
            </w:r>
            <w:r>
              <w:rPr>
                <w:rFonts w:ascii="Arial" w:hAnsi="Arial" w:cs="Arial"/>
                <w:sz w:val="16"/>
                <w:szCs w:val="16"/>
              </w:rPr>
              <w:t> shares issued and outstanding as of March 31, 2022 and December 31, 2021, respectivel</w:t>
            </w:r>
            <w:r>
              <w:rPr>
                <w:rFonts w:ascii="Arial" w:hAnsi="Arial" w:cs="Arial"/>
                <w:sz w:val="16"/>
                <w:szCs w:val="16"/>
              </w:rPr>
              <w:t>y</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20"/>
                <w:szCs w:val="20"/>
              </w:rPr>
            </w:pPr>
            <w:r>
              <w:rPr>
                <w:rFonts w:ascii="Arial" w:hAnsi="Arial" w:cs="Arial"/>
                <w:sz w:val="16"/>
                <w:szCs w:val="16"/>
              </w:rPr>
              <w:t xml:space="preserve">Class B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111,050,00</w:t>
            </w:r>
            <w:r>
              <w:rPr>
                <w:rFonts w:ascii="Arial" w:hAnsi="Arial" w:cs="Arial"/>
                <w:sz w:val="16"/>
                <w:szCs w:val="16"/>
              </w:rPr>
              <w:t>0</w:t>
            </w:r>
            <w:r>
              <w:rPr>
                <w:rFonts w:ascii="Arial" w:hAnsi="Arial" w:cs="Arial"/>
                <w:sz w:val="16"/>
                <w:szCs w:val="16"/>
              </w:rPr>
              <w:t> shares authorized as of March 31, 2022 and December 31, 2021, respectively;</w:t>
            </w:r>
            <w:r>
              <w:rPr>
                <w:rFonts w:ascii="Arial" w:hAnsi="Arial" w:cs="Arial"/>
                <w:sz w:val="16"/>
                <w:szCs w:val="16"/>
              </w:rPr>
              <w:t xml:space="preserve"> </w:t>
            </w:r>
            <w:r>
              <w:rPr>
                <w:rFonts w:ascii="Arial" w:hAnsi="Arial" w:cs="Arial"/>
                <w:sz w:val="16"/>
                <w:szCs w:val="16"/>
              </w:rPr>
              <w:t>103,336,33</w:t>
            </w:r>
            <w:r>
              <w:rPr>
                <w:rFonts w:ascii="Arial" w:hAnsi="Arial" w:cs="Arial"/>
                <w:sz w:val="16"/>
                <w:szCs w:val="16"/>
              </w:rPr>
              <w:t>7</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103,388,08</w:t>
            </w:r>
            <w:r>
              <w:rPr>
                <w:rFonts w:ascii="Arial" w:hAnsi="Arial" w:cs="Arial"/>
                <w:sz w:val="16"/>
                <w:szCs w:val="16"/>
              </w:rPr>
              <w:t>2</w:t>
            </w:r>
            <w:r>
              <w:rPr>
                <w:rFonts w:ascii="Arial" w:hAnsi="Arial" w:cs="Arial"/>
                <w:sz w:val="16"/>
                <w:szCs w:val="16"/>
              </w:rPr>
              <w:t> shares issued and outstanding as of March 31, 2022 and December 31, 2021, r</w:t>
            </w:r>
            <w:r>
              <w:rPr>
                <w:rFonts w:ascii="Arial" w:hAnsi="Arial" w:cs="Arial"/>
                <w:sz w:val="16"/>
                <w:szCs w:val="16"/>
              </w:rPr>
              <w:t>espectivel</w:t>
            </w:r>
            <w:r>
              <w:rPr>
                <w:rFonts w:ascii="Arial" w:hAnsi="Arial" w:cs="Arial"/>
                <w:sz w:val="16"/>
                <w:szCs w:val="16"/>
              </w:rPr>
              <w:t>y</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0</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Additional paid-in capita</w:t>
            </w:r>
            <w:r>
              <w:rPr>
                <w:rFonts w:ascii="Arial" w:hAnsi="Arial" w:cs="Arial"/>
                <w:sz w:val="16"/>
                <w:szCs w:val="16"/>
              </w:rPr>
              <w:t>l</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357,30</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356,01</w:t>
            </w:r>
            <w:r>
              <w:rPr>
                <w:rFonts w:ascii="Arial" w:hAnsi="Arial" w:cs="Arial"/>
                <w:sz w:val="16"/>
                <w:szCs w:val="16"/>
              </w:rPr>
              <w:t>7</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Accumulated other comprehensive incom</w:t>
            </w:r>
            <w:r>
              <w:rPr>
                <w:rFonts w:ascii="Arial" w:hAnsi="Arial" w:cs="Arial"/>
                <w:sz w:val="16"/>
                <w:szCs w:val="16"/>
              </w:rPr>
              <w:t>e</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Retained earning</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31,65</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29,93</w:t>
            </w:r>
            <w:r>
              <w:rPr>
                <w:rFonts w:ascii="Arial" w:hAnsi="Arial" w:cs="Arial"/>
                <w:sz w:val="16"/>
                <w:szCs w:val="16"/>
              </w:rPr>
              <w:t>5</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Total stockholders’ equit</w:t>
            </w:r>
            <w:r>
              <w:rPr>
                <w:rFonts w:ascii="Arial" w:hAnsi="Arial" w:cs="Arial"/>
                <w:sz w:val="16"/>
                <w:szCs w:val="16"/>
              </w:rPr>
              <w:t>y</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389,09</w:t>
            </w:r>
            <w:r>
              <w:rPr>
                <w:rFonts w:ascii="Arial" w:hAnsi="Arial" w:cs="Arial"/>
                <w:sz w:val="16"/>
                <w:szCs w:val="16"/>
              </w:rPr>
              <w:t>4</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386,13</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Total liabilities and stockholders' equit</w:t>
            </w:r>
            <w:r>
              <w:rPr>
                <w:rFonts w:ascii="Arial" w:hAnsi="Arial" w:cs="Arial"/>
                <w:sz w:val="16"/>
                <w:szCs w:val="16"/>
              </w:rPr>
              <w:t>y</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487,61</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472,94</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bl>
    <w:p w:rsidR="00000000" w:rsidRDefault="00CA40A2">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4</w:t>
      </w:r>
    </w:p>
    <w:p w:rsidR="00000000" w:rsidRDefault="00CA40A2">
      <w:pPr>
        <w:rPr>
          <w:rFonts w:eastAsia="Times New Roman"/>
        </w:rPr>
      </w:pPr>
      <w:r>
        <w:rPr>
          <w:rFonts w:eastAsia="Times New Roman"/>
        </w:rPr>
        <w:pict>
          <v:rect id="_x0000_i1029"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CONDENSED CONSOLIDATED STATEM</w:t>
      </w:r>
      <w:r>
        <w:rPr>
          <w:rFonts w:ascii="Arial" w:hAnsi="Arial" w:cs="Arial"/>
          <w:sz w:val="20"/>
          <w:szCs w:val="20"/>
        </w:rPr>
        <w:t>E</w:t>
      </w:r>
      <w:r>
        <w:rPr>
          <w:rFonts w:ascii="Arial" w:hAnsi="Arial" w:cs="Arial"/>
          <w:sz w:val="20"/>
          <w:szCs w:val="20"/>
        </w:rPr>
        <w:t>NTS OF OPERATIONS (Unaudited</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CA40A2">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13"/>
        <w:gridCol w:w="305"/>
        <w:gridCol w:w="149"/>
        <w:gridCol w:w="1026"/>
        <w:gridCol w:w="114"/>
        <w:gridCol w:w="105"/>
        <w:gridCol w:w="149"/>
        <w:gridCol w:w="1011"/>
        <w:gridCol w:w="114"/>
        <w:gridCol w:w="120"/>
      </w:tblGrid>
      <w:tr w:rsidR="00000000">
        <w:trPr>
          <w:tblCellSpacing w:w="15" w:type="dxa"/>
        </w:trPr>
        <w:tc>
          <w:tcPr>
            <w:tcW w:w="3272" w:type="pct"/>
            <w:vAlign w:val="center"/>
            <w:hideMark/>
          </w:tcPr>
          <w:p w:rsidR="00000000" w:rsidRDefault="00CA40A2">
            <w:pPr>
              <w:rPr>
                <w:sz w:val="20"/>
                <w:szCs w:val="20"/>
              </w:rPr>
            </w:pPr>
          </w:p>
        </w:tc>
        <w:tc>
          <w:tcPr>
            <w:tcW w:w="92" w:type="pct"/>
            <w:vAlign w:val="center"/>
            <w:hideMark/>
          </w:tcPr>
          <w:p w:rsidR="00000000" w:rsidRDefault="00CA40A2">
            <w:pPr>
              <w:rPr>
                <w:rFonts w:eastAsia="Times New Roman"/>
                <w:sz w:val="20"/>
                <w:szCs w:val="20"/>
              </w:rPr>
            </w:pPr>
          </w:p>
        </w:tc>
        <w:tc>
          <w:tcPr>
            <w:tcW w:w="54" w:type="pct"/>
            <w:vAlign w:val="center"/>
            <w:hideMark/>
          </w:tcPr>
          <w:p w:rsidR="00000000" w:rsidRDefault="00CA40A2">
            <w:pPr>
              <w:rPr>
                <w:rFonts w:eastAsia="Times New Roman"/>
                <w:sz w:val="20"/>
                <w:szCs w:val="20"/>
              </w:rPr>
            </w:pPr>
          </w:p>
        </w:tc>
        <w:tc>
          <w:tcPr>
            <w:tcW w:w="658"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75" w:type="pct"/>
            <w:vAlign w:val="center"/>
            <w:hideMark/>
          </w:tcPr>
          <w:p w:rsidR="00000000" w:rsidRDefault="00CA40A2">
            <w:pPr>
              <w:rPr>
                <w:rFonts w:eastAsia="Times New Roman"/>
                <w:sz w:val="20"/>
                <w:szCs w:val="20"/>
              </w:rPr>
            </w:pPr>
          </w:p>
        </w:tc>
        <w:tc>
          <w:tcPr>
            <w:tcW w:w="54" w:type="pct"/>
            <w:vAlign w:val="center"/>
            <w:hideMark/>
          </w:tcPr>
          <w:p w:rsidR="00000000" w:rsidRDefault="00CA40A2">
            <w:pPr>
              <w:rPr>
                <w:rFonts w:eastAsia="Times New Roman"/>
                <w:sz w:val="20"/>
                <w:szCs w:val="20"/>
              </w:rPr>
            </w:pPr>
          </w:p>
        </w:tc>
        <w:tc>
          <w:tcPr>
            <w:tcW w:w="653"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75"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lastRenderedPageBreak/>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Revenu</w:t>
            </w:r>
            <w:r>
              <w:rPr>
                <w:rFonts w:ascii="Arial" w:hAnsi="Arial" w:cs="Arial"/>
                <w:sz w:val="16"/>
                <w:szCs w:val="16"/>
              </w:rPr>
              <w:t>e</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116,70</w:t>
            </w:r>
            <w:r>
              <w:rPr>
                <w:rFonts w:ascii="Arial" w:hAnsi="Arial" w:cs="Arial"/>
                <w:sz w:val="16"/>
                <w:szCs w:val="16"/>
              </w:rPr>
              <w:t>4</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92,22</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Cost of revenu</w:t>
            </w:r>
            <w:r>
              <w:rPr>
                <w:rFonts w:ascii="Arial" w:hAnsi="Arial" w:cs="Arial"/>
                <w:sz w:val="16"/>
                <w:szCs w:val="16"/>
              </w:rPr>
              <w:t>e</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81,85</w:t>
            </w:r>
            <w:r>
              <w:rPr>
                <w:rFonts w:ascii="Arial" w:hAnsi="Arial" w:cs="Arial"/>
                <w:sz w:val="16"/>
                <w:szCs w:val="16"/>
              </w:rPr>
              <w:t>0</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64,67</w:t>
            </w:r>
            <w:r>
              <w:rPr>
                <w:rFonts w:ascii="Arial" w:hAnsi="Arial" w:cs="Arial"/>
                <w:sz w:val="16"/>
                <w:szCs w:val="16"/>
              </w:rPr>
              <w:t>5</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Gross profi</w:t>
            </w:r>
            <w:r>
              <w:rPr>
                <w:rFonts w:ascii="Arial" w:hAnsi="Arial" w:cs="Arial"/>
                <w:sz w:val="16"/>
                <w:szCs w:val="16"/>
              </w:rPr>
              <w:t>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34,85</w:t>
            </w:r>
            <w:r>
              <w:rPr>
                <w:rFonts w:ascii="Arial" w:hAnsi="Arial" w:cs="Arial"/>
                <w:sz w:val="16"/>
                <w:szCs w:val="16"/>
              </w:rPr>
              <w:t>4</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27,54</w:t>
            </w:r>
            <w:r>
              <w:rPr>
                <w:rFonts w:ascii="Arial" w:hAnsi="Arial" w:cs="Arial"/>
                <w:sz w:val="16"/>
                <w:szCs w:val="16"/>
              </w:rPr>
              <w:t>7</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Operating expense</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Research and developmen</w:t>
            </w:r>
            <w:r>
              <w:rPr>
                <w:rFonts w:ascii="Arial" w:hAnsi="Arial" w:cs="Arial"/>
                <w:sz w:val="16"/>
                <w:szCs w:val="16"/>
              </w:rPr>
              <w:t>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10,39</w:t>
            </w:r>
            <w:r>
              <w:rPr>
                <w:rFonts w:ascii="Arial" w:hAnsi="Arial" w:cs="Arial"/>
                <w:sz w:val="16"/>
                <w:szCs w:val="16"/>
              </w:rPr>
              <w:t>0</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7,73</w:t>
            </w:r>
            <w:r>
              <w:rPr>
                <w:rFonts w:ascii="Arial" w:hAnsi="Arial" w:cs="Arial"/>
                <w:sz w:val="16"/>
                <w:szCs w:val="16"/>
              </w:rPr>
              <w:t>0</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Sales and marketin</w:t>
            </w:r>
            <w:r>
              <w:rPr>
                <w:rFonts w:ascii="Arial" w:hAnsi="Arial" w:cs="Arial"/>
                <w:sz w:val="16"/>
                <w:szCs w:val="16"/>
              </w:rPr>
              <w:t>g</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16,19</w:t>
            </w:r>
            <w:r>
              <w:rPr>
                <w:rFonts w:ascii="Arial" w:hAnsi="Arial" w:cs="Arial"/>
                <w:sz w:val="16"/>
                <w:szCs w:val="16"/>
              </w:rPr>
              <w:t>0</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8,22</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General and administrativ</w:t>
            </w:r>
            <w:r>
              <w:rPr>
                <w:rFonts w:ascii="Arial" w:hAnsi="Arial" w:cs="Arial"/>
                <w:sz w:val="16"/>
                <w:szCs w:val="16"/>
              </w:rPr>
              <w:t>e</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9,64</w:t>
            </w:r>
            <w:r>
              <w:rPr>
                <w:rFonts w:ascii="Arial" w:hAnsi="Arial" w:cs="Arial"/>
                <w:sz w:val="16"/>
                <w:szCs w:val="16"/>
              </w:rPr>
              <w:t>5</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6,74</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Total operating expense</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36,22</w:t>
            </w:r>
            <w:r>
              <w:rPr>
                <w:rFonts w:ascii="Arial" w:hAnsi="Arial" w:cs="Arial"/>
                <w:sz w:val="16"/>
                <w:szCs w:val="16"/>
              </w:rPr>
              <w:t>5</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22,69</w:t>
            </w:r>
            <w:r>
              <w:rPr>
                <w:rFonts w:ascii="Arial" w:hAnsi="Arial" w:cs="Arial"/>
                <w:sz w:val="16"/>
                <w:szCs w:val="16"/>
              </w:rPr>
              <w:t>4</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(Loss) income from operation</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1,37</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4,85</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Other income (loss</w:t>
            </w: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Interest expense, ne</w:t>
            </w:r>
            <w:r>
              <w:rPr>
                <w:rFonts w:ascii="Arial" w:hAnsi="Arial" w:cs="Arial"/>
                <w:sz w:val="16"/>
                <w:szCs w:val="16"/>
              </w:rPr>
              <w:t>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Foreign exchange gai</w:t>
            </w:r>
            <w:r>
              <w:rPr>
                <w:rFonts w:ascii="Arial" w:hAnsi="Arial" w:cs="Arial"/>
                <w:sz w:val="16"/>
                <w:szCs w:val="16"/>
              </w:rPr>
              <w:t>n</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9</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(Loss) income before income taxe</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1,35</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4,85</w:t>
            </w:r>
            <w:r>
              <w:rPr>
                <w:rFonts w:ascii="Arial" w:hAnsi="Arial" w:cs="Arial"/>
                <w:sz w:val="16"/>
                <w:szCs w:val="16"/>
              </w:rPr>
              <w:t>9</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Benefit from (provision for) income taxe</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3,07</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1,22</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3,63</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Undeclared dividends on Series A preferred stoc</w:t>
            </w:r>
            <w:r>
              <w:rPr>
                <w:rFonts w:ascii="Arial" w:hAnsi="Arial" w:cs="Arial"/>
                <w:sz w:val="16"/>
                <w:szCs w:val="16"/>
              </w:rPr>
              <w:t>k</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1,36</w:t>
            </w:r>
            <w:r>
              <w:rPr>
                <w:rFonts w:ascii="Arial" w:hAnsi="Arial" w:cs="Arial"/>
                <w:sz w:val="16"/>
                <w:szCs w:val="16"/>
              </w:rPr>
              <w:t>0</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Net income attributable to common stoc</w:t>
            </w:r>
            <w:r>
              <w:rPr>
                <w:rFonts w:ascii="Arial" w:hAnsi="Arial" w:cs="Arial"/>
                <w:sz w:val="16"/>
                <w:szCs w:val="16"/>
              </w:rPr>
              <w:t>k</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2,27</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Net income per share attributable to common stoc</w:t>
            </w:r>
            <w:r>
              <w:rPr>
                <w:rFonts w:ascii="Arial" w:hAnsi="Arial" w:cs="Arial"/>
                <w:sz w:val="16"/>
                <w:szCs w:val="16"/>
              </w:rPr>
              <w:t>k</w:t>
            </w:r>
          </w:p>
        </w:tc>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Basi</w:t>
            </w:r>
            <w:r>
              <w:rPr>
                <w:rFonts w:ascii="Arial" w:hAnsi="Arial" w:cs="Arial"/>
                <w:sz w:val="16"/>
                <w:szCs w:val="16"/>
              </w:rPr>
              <w:t>c</w:t>
            </w:r>
          </w:p>
        </w:tc>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Dilute</w:t>
            </w:r>
            <w:r>
              <w:rPr>
                <w:rFonts w:ascii="Arial" w:hAnsi="Arial" w:cs="Arial"/>
                <w:sz w:val="16"/>
                <w:szCs w:val="16"/>
              </w:rPr>
              <w:t>d</w:t>
            </w:r>
          </w:p>
        </w:tc>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Weighted-average number of shares used to compute net income per share attributable to common stoc</w:t>
            </w:r>
            <w:r>
              <w:rPr>
                <w:rFonts w:ascii="Arial" w:hAnsi="Arial" w:cs="Arial"/>
                <w:sz w:val="16"/>
                <w:szCs w:val="16"/>
              </w:rPr>
              <w:t>k</w:t>
            </w:r>
          </w:p>
        </w:tc>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Basi</w:t>
            </w:r>
            <w:r>
              <w:rPr>
                <w:rFonts w:ascii="Arial" w:hAnsi="Arial" w:cs="Arial"/>
                <w:sz w:val="16"/>
                <w:szCs w:val="16"/>
              </w:rPr>
              <w:t>c</w:t>
            </w:r>
          </w:p>
        </w:tc>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120,897,57</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6"/>
                <w:szCs w:val="16"/>
              </w:rPr>
            </w:pPr>
            <w:r>
              <w:rPr>
                <w:rFonts w:ascii="Arial" w:hAnsi="Arial" w:cs="Arial"/>
                <w:sz w:val="16"/>
                <w:szCs w:val="16"/>
              </w:rPr>
              <w:t>Dilute</w:t>
            </w:r>
            <w:r>
              <w:rPr>
                <w:rFonts w:ascii="Arial" w:hAnsi="Arial" w:cs="Arial"/>
                <w:sz w:val="16"/>
                <w:szCs w:val="16"/>
              </w:rPr>
              <w:t>d</w:t>
            </w:r>
          </w:p>
        </w:tc>
        <w:tc>
          <w:tcPr>
            <w:tcW w:w="0" w:type="auto"/>
            <w:hideMark/>
          </w:tcPr>
          <w:p w:rsidR="00000000" w:rsidRDefault="00CA40A2">
            <w:pPr>
              <w:pStyle w:val="a3"/>
              <w:spacing w:before="0" w:beforeAutospacing="0" w:after="0" w:afterAutospacing="0"/>
              <w:ind w:left="20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125,986,51</w:t>
            </w:r>
            <w:r>
              <w:rPr>
                <w:rFonts w:ascii="Arial" w:hAnsi="Arial" w:cs="Arial"/>
                <w:sz w:val="16"/>
                <w:szCs w:val="16"/>
              </w:rPr>
              <w:t>0</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106,303,89</w:t>
            </w:r>
            <w:r>
              <w:rPr>
                <w:rFonts w:ascii="Arial" w:hAnsi="Arial" w:cs="Arial"/>
                <w:sz w:val="16"/>
                <w:szCs w:val="16"/>
              </w:rPr>
              <w:t>4</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bl>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5</w:t>
      </w:r>
    </w:p>
    <w:p w:rsidR="00000000" w:rsidRDefault="00CA40A2">
      <w:pPr>
        <w:rPr>
          <w:rFonts w:eastAsia="Times New Roman"/>
        </w:rPr>
      </w:pPr>
      <w:r>
        <w:rPr>
          <w:rFonts w:eastAsia="Times New Roman"/>
        </w:rPr>
        <w:pict>
          <v:rect id="_x0000_i1030"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 xml:space="preserve">CONDENSED CONSOLIDATED STATEMENTS </w:t>
      </w:r>
      <w:r>
        <w:rPr>
          <w:rFonts w:ascii="Arial" w:hAnsi="Arial" w:cs="Arial"/>
          <w:sz w:val="20"/>
          <w:szCs w:val="20"/>
        </w:rPr>
        <w:t>O</w:t>
      </w:r>
      <w:r>
        <w:rPr>
          <w:rFonts w:ascii="Arial" w:hAnsi="Arial" w:cs="Arial"/>
          <w:sz w:val="20"/>
          <w:szCs w:val="20"/>
        </w:rPr>
        <w:t>F COMPREHENSIVE INCOME (Unaudited</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6"/>
        <w:gridCol w:w="125"/>
        <w:gridCol w:w="161"/>
        <w:gridCol w:w="1052"/>
        <w:gridCol w:w="120"/>
        <w:gridCol w:w="125"/>
        <w:gridCol w:w="161"/>
        <w:gridCol w:w="1060"/>
        <w:gridCol w:w="126"/>
      </w:tblGrid>
      <w:tr w:rsidR="00000000">
        <w:trPr>
          <w:tblCellSpacing w:w="15" w:type="dxa"/>
        </w:trPr>
        <w:tc>
          <w:tcPr>
            <w:tcW w:w="3344" w:type="pct"/>
            <w:vAlign w:val="center"/>
            <w:hideMark/>
          </w:tcPr>
          <w:p w:rsidR="00000000" w:rsidRDefault="00CA40A2">
            <w:pPr>
              <w:rPr>
                <w:sz w:val="20"/>
                <w:szCs w:val="20"/>
              </w:rPr>
            </w:pPr>
          </w:p>
        </w:tc>
        <w:tc>
          <w:tcPr>
            <w:tcW w:w="76" w:type="pct"/>
            <w:vAlign w:val="center"/>
            <w:hideMark/>
          </w:tcPr>
          <w:p w:rsidR="00000000" w:rsidRDefault="00CA40A2">
            <w:pPr>
              <w:rPr>
                <w:rFonts w:eastAsia="Times New Roman"/>
                <w:sz w:val="20"/>
                <w:szCs w:val="20"/>
              </w:rPr>
            </w:pPr>
          </w:p>
        </w:tc>
        <w:tc>
          <w:tcPr>
            <w:tcW w:w="60" w:type="pct"/>
            <w:vAlign w:val="center"/>
            <w:hideMark/>
          </w:tcPr>
          <w:p w:rsidR="00000000" w:rsidRDefault="00CA40A2">
            <w:pPr>
              <w:rPr>
                <w:rFonts w:eastAsia="Times New Roman"/>
                <w:sz w:val="20"/>
                <w:szCs w:val="20"/>
              </w:rPr>
            </w:pPr>
          </w:p>
        </w:tc>
        <w:tc>
          <w:tcPr>
            <w:tcW w:w="655" w:type="pct"/>
            <w:vAlign w:val="center"/>
            <w:hideMark/>
          </w:tcPr>
          <w:p w:rsidR="00000000" w:rsidRDefault="00CA40A2">
            <w:pPr>
              <w:rPr>
                <w:rFonts w:eastAsia="Times New Roman"/>
                <w:sz w:val="20"/>
                <w:szCs w:val="20"/>
              </w:rPr>
            </w:pPr>
          </w:p>
        </w:tc>
        <w:tc>
          <w:tcPr>
            <w:tcW w:w="36" w:type="pct"/>
            <w:vAlign w:val="center"/>
            <w:hideMark/>
          </w:tcPr>
          <w:p w:rsidR="00000000" w:rsidRDefault="00CA40A2">
            <w:pPr>
              <w:rPr>
                <w:rFonts w:eastAsia="Times New Roman"/>
                <w:sz w:val="20"/>
                <w:szCs w:val="20"/>
              </w:rPr>
            </w:pPr>
          </w:p>
        </w:tc>
        <w:tc>
          <w:tcPr>
            <w:tcW w:w="76" w:type="pct"/>
            <w:vAlign w:val="center"/>
            <w:hideMark/>
          </w:tcPr>
          <w:p w:rsidR="00000000" w:rsidRDefault="00CA40A2">
            <w:pPr>
              <w:rPr>
                <w:rFonts w:eastAsia="Times New Roman"/>
                <w:sz w:val="20"/>
                <w:szCs w:val="20"/>
              </w:rPr>
            </w:pPr>
          </w:p>
        </w:tc>
        <w:tc>
          <w:tcPr>
            <w:tcW w:w="60" w:type="pct"/>
            <w:vAlign w:val="center"/>
            <w:hideMark/>
          </w:tcPr>
          <w:p w:rsidR="00000000" w:rsidRDefault="00CA40A2">
            <w:pPr>
              <w:rPr>
                <w:rFonts w:eastAsia="Times New Roman"/>
                <w:sz w:val="20"/>
                <w:szCs w:val="20"/>
              </w:rPr>
            </w:pPr>
          </w:p>
        </w:tc>
        <w:tc>
          <w:tcPr>
            <w:tcW w:w="660" w:type="pct"/>
            <w:vAlign w:val="center"/>
            <w:hideMark/>
          </w:tcPr>
          <w:p w:rsidR="00000000" w:rsidRDefault="00CA40A2">
            <w:pPr>
              <w:rPr>
                <w:rFonts w:eastAsia="Times New Roman"/>
                <w:sz w:val="20"/>
                <w:szCs w:val="20"/>
              </w:rPr>
            </w:pPr>
          </w:p>
        </w:tc>
        <w:tc>
          <w:tcPr>
            <w:tcW w:w="30"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80"/>
          <w:tblCellSpacing w:w="15" w:type="dxa"/>
        </w:trPr>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Net incom</w:t>
            </w:r>
            <w:r>
              <w:rPr>
                <w:rFonts w:ascii="Arial" w:hAnsi="Arial" w:cs="Arial"/>
                <w:sz w:val="18"/>
                <w:szCs w:val="18"/>
              </w:rPr>
              <w:t>e</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8"/>
                <w:szCs w:val="18"/>
              </w:rPr>
              <w:t>1,71</w:t>
            </w:r>
            <w:r>
              <w:rPr>
                <w:rFonts w:ascii="Arial" w:hAnsi="Arial" w:cs="Arial"/>
                <w:sz w:val="18"/>
                <w:szCs w:val="18"/>
              </w:rPr>
              <w:t>8</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8"/>
                <w:szCs w:val="18"/>
              </w:rPr>
              <w:t>3,63</w:t>
            </w:r>
            <w:r>
              <w:rPr>
                <w:rFonts w:ascii="Arial" w:hAnsi="Arial" w:cs="Arial"/>
                <w:sz w:val="18"/>
                <w:szCs w:val="18"/>
              </w:rPr>
              <w:t>8</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Other comprehensive income (loss), net of ta</w:t>
            </w:r>
            <w:r>
              <w:rPr>
                <w:rFonts w:ascii="Arial" w:hAnsi="Arial" w:cs="Arial"/>
                <w:sz w:val="18"/>
                <w:szCs w:val="18"/>
              </w:rPr>
              <w:t>x</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CA40A2">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CA40A2">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gridSpan w:val="2"/>
            <w:vAlign w:val="bottom"/>
            <w:hideMark/>
          </w:tcPr>
          <w:p w:rsidR="00000000" w:rsidRDefault="00CA40A2">
            <w:pPr>
              <w:pStyle w:val="a3"/>
              <w:spacing w:before="0" w:beforeAutospacing="0" w:after="0" w:afterAutospacing="0"/>
              <w:ind w:left="200"/>
              <w:rPr>
                <w:sz w:val="18"/>
                <w:szCs w:val="18"/>
              </w:rPr>
            </w:pPr>
            <w:r>
              <w:rPr>
                <w:rFonts w:ascii="Arial" w:hAnsi="Arial" w:cs="Arial"/>
                <w:sz w:val="18"/>
                <w:szCs w:val="18"/>
              </w:rPr>
              <w:t>Foreign currency translation adjustments, net of ta</w:t>
            </w:r>
            <w:r>
              <w:rPr>
                <w:rFonts w:ascii="Arial" w:hAnsi="Arial" w:cs="Arial"/>
                <w:sz w:val="18"/>
                <w:szCs w:val="18"/>
              </w:rPr>
              <w:t>x</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4</w:t>
            </w:r>
            <w:r>
              <w:rPr>
                <w:rFonts w:ascii="Arial" w:hAnsi="Arial" w:cs="Arial"/>
                <w:sz w:val="18"/>
                <w:szCs w:val="18"/>
              </w:rPr>
              <w:t>5</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8"/>
                <w:szCs w:val="18"/>
              </w:rPr>
              <w:t>2</w:t>
            </w:r>
            <w:r>
              <w:rPr>
                <w:rFonts w:ascii="Arial" w:hAnsi="Arial" w:cs="Arial"/>
                <w:sz w:val="18"/>
                <w:szCs w:val="18"/>
              </w:rPr>
              <w:t>1</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CA40A2">
            <w:pPr>
              <w:pStyle w:val="a3"/>
              <w:spacing w:before="0" w:beforeAutospacing="0" w:after="0" w:afterAutospacing="0"/>
              <w:ind w:left="400"/>
              <w:rPr>
                <w:sz w:val="18"/>
                <w:szCs w:val="18"/>
              </w:rPr>
            </w:pPr>
            <w:r>
              <w:rPr>
                <w:rFonts w:ascii="Arial" w:hAnsi="Arial" w:cs="Arial"/>
                <w:sz w:val="18"/>
                <w:szCs w:val="18"/>
              </w:rPr>
              <w:t>Comprehensive incom</w:t>
            </w:r>
            <w:r>
              <w:rPr>
                <w:rFonts w:ascii="Arial" w:hAnsi="Arial" w:cs="Arial"/>
                <w:sz w:val="18"/>
                <w:szCs w:val="18"/>
              </w:rPr>
              <w:t>e</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8"/>
                <w:szCs w:val="18"/>
              </w:rPr>
              <w:t>1,67</w:t>
            </w:r>
            <w:r>
              <w:rPr>
                <w:rFonts w:ascii="Arial" w:hAnsi="Arial" w:cs="Arial"/>
                <w:sz w:val="18"/>
                <w:szCs w:val="18"/>
              </w:rPr>
              <w:t>3</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8"/>
                <w:szCs w:val="18"/>
              </w:rPr>
              <w:t>3,65</w:t>
            </w:r>
            <w:r>
              <w:rPr>
                <w:rFonts w:ascii="Arial" w:hAnsi="Arial" w:cs="Arial"/>
                <w:sz w:val="18"/>
                <w:szCs w:val="18"/>
              </w:rPr>
              <w:t>9</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r>
    </w:tbl>
    <w:p w:rsidR="00000000" w:rsidRDefault="00CA40A2">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6</w:t>
      </w:r>
    </w:p>
    <w:p w:rsidR="00000000" w:rsidRDefault="00CA40A2">
      <w:pPr>
        <w:rPr>
          <w:rFonts w:eastAsia="Times New Roman"/>
        </w:rPr>
      </w:pPr>
      <w:r>
        <w:rPr>
          <w:rFonts w:eastAsia="Times New Roman"/>
        </w:rPr>
        <w:pict>
          <v:rect id="_x0000_i1031"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 xml:space="preserve">CONDENSED CONSOLIDATED STATEMENTS </w:t>
      </w:r>
      <w:r>
        <w:rPr>
          <w:rFonts w:ascii="Arial" w:hAnsi="Arial" w:cs="Arial"/>
          <w:sz w:val="20"/>
          <w:szCs w:val="20"/>
        </w:rPr>
        <w:t>O</w:t>
      </w:r>
      <w:r>
        <w:rPr>
          <w:rFonts w:ascii="Arial" w:hAnsi="Arial" w:cs="Arial"/>
          <w:sz w:val="20"/>
          <w:szCs w:val="20"/>
        </w:rPr>
        <w:t>F STOCKHOLDERS’ EQUITY (Unaudited</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(In thousands, except s</w:t>
      </w:r>
      <w:r>
        <w:rPr>
          <w:rFonts w:ascii="Arial" w:hAnsi="Arial" w:cs="Arial"/>
          <w:sz w:val="20"/>
          <w:szCs w:val="20"/>
        </w:rPr>
        <w:t>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0"/>
        <w:gridCol w:w="111"/>
        <w:gridCol w:w="105"/>
        <w:gridCol w:w="950"/>
        <w:gridCol w:w="105"/>
        <w:gridCol w:w="111"/>
        <w:gridCol w:w="150"/>
        <w:gridCol w:w="561"/>
        <w:gridCol w:w="105"/>
        <w:gridCol w:w="111"/>
        <w:gridCol w:w="150"/>
        <w:gridCol w:w="749"/>
        <w:gridCol w:w="105"/>
        <w:gridCol w:w="111"/>
        <w:gridCol w:w="150"/>
        <w:gridCol w:w="630"/>
        <w:gridCol w:w="105"/>
        <w:gridCol w:w="111"/>
        <w:gridCol w:w="154"/>
        <w:gridCol w:w="1107"/>
        <w:gridCol w:w="114"/>
        <w:gridCol w:w="111"/>
        <w:gridCol w:w="150"/>
        <w:gridCol w:w="970"/>
        <w:gridCol w:w="129"/>
      </w:tblGrid>
      <w:tr w:rsidR="00000000">
        <w:trPr>
          <w:tblCellSpacing w:w="15" w:type="dxa"/>
        </w:trPr>
        <w:tc>
          <w:tcPr>
            <w:tcW w:w="1788" w:type="pct"/>
            <w:vAlign w:val="center"/>
            <w:hideMark/>
          </w:tcPr>
          <w:p w:rsidR="00000000" w:rsidRDefault="00CA40A2">
            <w:pPr>
              <w:rPr>
                <w:sz w:val="20"/>
                <w:szCs w:val="20"/>
              </w:rPr>
            </w:pPr>
          </w:p>
        </w:tc>
        <w:tc>
          <w:tcPr>
            <w:tcW w:w="61"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400"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61" w:type="pct"/>
            <w:vAlign w:val="center"/>
            <w:hideMark/>
          </w:tcPr>
          <w:p w:rsidR="00000000" w:rsidRDefault="00CA40A2">
            <w:pPr>
              <w:rPr>
                <w:rFonts w:eastAsia="Times New Roman"/>
                <w:sz w:val="20"/>
                <w:szCs w:val="20"/>
              </w:rPr>
            </w:pPr>
          </w:p>
        </w:tc>
        <w:tc>
          <w:tcPr>
            <w:tcW w:w="47" w:type="pct"/>
            <w:vAlign w:val="center"/>
            <w:hideMark/>
          </w:tcPr>
          <w:p w:rsidR="00000000" w:rsidRDefault="00CA40A2">
            <w:pPr>
              <w:rPr>
                <w:rFonts w:eastAsia="Times New Roman"/>
                <w:sz w:val="20"/>
                <w:szCs w:val="20"/>
              </w:rPr>
            </w:pPr>
          </w:p>
        </w:tc>
        <w:tc>
          <w:tcPr>
            <w:tcW w:w="338"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61" w:type="pct"/>
            <w:vAlign w:val="center"/>
            <w:hideMark/>
          </w:tcPr>
          <w:p w:rsidR="00000000" w:rsidRDefault="00CA40A2">
            <w:pPr>
              <w:rPr>
                <w:rFonts w:eastAsia="Times New Roman"/>
                <w:sz w:val="20"/>
                <w:szCs w:val="20"/>
              </w:rPr>
            </w:pPr>
          </w:p>
        </w:tc>
        <w:tc>
          <w:tcPr>
            <w:tcW w:w="47" w:type="pct"/>
            <w:vAlign w:val="center"/>
            <w:hideMark/>
          </w:tcPr>
          <w:p w:rsidR="00000000" w:rsidRDefault="00CA40A2">
            <w:pPr>
              <w:rPr>
                <w:rFonts w:eastAsia="Times New Roman"/>
                <w:sz w:val="20"/>
                <w:szCs w:val="20"/>
              </w:rPr>
            </w:pPr>
          </w:p>
        </w:tc>
        <w:tc>
          <w:tcPr>
            <w:tcW w:w="530"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61" w:type="pct"/>
            <w:vAlign w:val="center"/>
            <w:hideMark/>
          </w:tcPr>
          <w:p w:rsidR="00000000" w:rsidRDefault="00CA40A2">
            <w:pPr>
              <w:rPr>
                <w:rFonts w:eastAsia="Times New Roman"/>
                <w:sz w:val="20"/>
                <w:szCs w:val="20"/>
              </w:rPr>
            </w:pPr>
          </w:p>
        </w:tc>
        <w:tc>
          <w:tcPr>
            <w:tcW w:w="47" w:type="pct"/>
            <w:vAlign w:val="center"/>
            <w:hideMark/>
          </w:tcPr>
          <w:p w:rsidR="00000000" w:rsidRDefault="00CA40A2">
            <w:pPr>
              <w:rPr>
                <w:rFonts w:eastAsia="Times New Roman"/>
                <w:sz w:val="20"/>
                <w:szCs w:val="20"/>
              </w:rPr>
            </w:pPr>
          </w:p>
        </w:tc>
        <w:tc>
          <w:tcPr>
            <w:tcW w:w="376"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61" w:type="pct"/>
            <w:vAlign w:val="center"/>
            <w:hideMark/>
          </w:tcPr>
          <w:p w:rsidR="00000000" w:rsidRDefault="00CA40A2">
            <w:pPr>
              <w:rPr>
                <w:rFonts w:eastAsia="Times New Roman"/>
                <w:sz w:val="20"/>
                <w:szCs w:val="20"/>
              </w:rPr>
            </w:pPr>
          </w:p>
        </w:tc>
        <w:tc>
          <w:tcPr>
            <w:tcW w:w="47" w:type="pct"/>
            <w:vAlign w:val="center"/>
            <w:hideMark/>
          </w:tcPr>
          <w:p w:rsidR="00000000" w:rsidRDefault="00CA40A2">
            <w:pPr>
              <w:rPr>
                <w:rFonts w:eastAsia="Times New Roman"/>
                <w:sz w:val="20"/>
                <w:szCs w:val="20"/>
              </w:rPr>
            </w:pPr>
          </w:p>
        </w:tc>
        <w:tc>
          <w:tcPr>
            <w:tcW w:w="410" w:type="pct"/>
            <w:vAlign w:val="center"/>
            <w:hideMark/>
          </w:tcPr>
          <w:p w:rsidR="00000000" w:rsidRDefault="00CA40A2">
            <w:pPr>
              <w:rPr>
                <w:rFonts w:eastAsia="Times New Roman"/>
                <w:sz w:val="20"/>
                <w:szCs w:val="20"/>
              </w:rPr>
            </w:pPr>
          </w:p>
        </w:tc>
        <w:tc>
          <w:tcPr>
            <w:tcW w:w="27" w:type="pct"/>
            <w:vAlign w:val="center"/>
            <w:hideMark/>
          </w:tcPr>
          <w:p w:rsidR="00000000" w:rsidRDefault="00CA40A2">
            <w:pPr>
              <w:rPr>
                <w:rFonts w:eastAsia="Times New Roman"/>
                <w:sz w:val="20"/>
                <w:szCs w:val="20"/>
              </w:rPr>
            </w:pPr>
          </w:p>
        </w:tc>
        <w:tc>
          <w:tcPr>
            <w:tcW w:w="61" w:type="pct"/>
            <w:vAlign w:val="center"/>
            <w:hideMark/>
          </w:tcPr>
          <w:p w:rsidR="00000000" w:rsidRDefault="00CA40A2">
            <w:pPr>
              <w:rPr>
                <w:rFonts w:eastAsia="Times New Roman"/>
                <w:sz w:val="20"/>
                <w:szCs w:val="20"/>
              </w:rPr>
            </w:pPr>
          </w:p>
        </w:tc>
        <w:tc>
          <w:tcPr>
            <w:tcW w:w="47" w:type="pct"/>
            <w:vAlign w:val="center"/>
            <w:hideMark/>
          </w:tcPr>
          <w:p w:rsidR="00000000" w:rsidRDefault="00CA40A2">
            <w:pPr>
              <w:rPr>
                <w:rFonts w:eastAsia="Times New Roman"/>
                <w:sz w:val="20"/>
                <w:szCs w:val="20"/>
              </w:rPr>
            </w:pPr>
          </w:p>
        </w:tc>
        <w:tc>
          <w:tcPr>
            <w:tcW w:w="372" w:type="pct"/>
            <w:vAlign w:val="center"/>
            <w:hideMark/>
          </w:tcPr>
          <w:p w:rsidR="00000000" w:rsidRDefault="00CA40A2">
            <w:pPr>
              <w:rPr>
                <w:rFonts w:eastAsia="Times New Roman"/>
                <w:sz w:val="20"/>
                <w:szCs w:val="20"/>
              </w:rPr>
            </w:pPr>
          </w:p>
        </w:tc>
        <w:tc>
          <w:tcPr>
            <w:tcW w:w="27"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Additiona</w:t>
            </w:r>
            <w:r>
              <w:rPr>
                <w:rFonts w:ascii="Arial" w:hAnsi="Arial" w:cs="Arial"/>
                <w:b/>
                <w:bCs/>
                <w:sz w:val="16"/>
                <w:szCs w:val="16"/>
              </w:rPr>
              <w:t>l</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Common Stoc</w:t>
            </w:r>
            <w:r>
              <w:rPr>
                <w:rFonts w:ascii="Arial" w:hAnsi="Arial" w:cs="Arial"/>
                <w:b/>
                <w:bCs/>
                <w:sz w:val="16"/>
                <w:szCs w:val="16"/>
              </w:rPr>
              <w:t>k</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Paid-I</w:t>
            </w:r>
            <w:r>
              <w:rPr>
                <w:rFonts w:ascii="Arial" w:hAnsi="Arial" w:cs="Arial"/>
                <w:b/>
                <w:bCs/>
                <w:sz w:val="16"/>
                <w:szCs w:val="16"/>
              </w:rPr>
              <w:t>n</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Retaine</w:t>
            </w:r>
            <w:r>
              <w:rPr>
                <w:rFonts w:ascii="Arial" w:hAnsi="Arial" w:cs="Arial"/>
                <w:b/>
                <w:bCs/>
                <w:sz w:val="16"/>
                <w:szCs w:val="16"/>
              </w:rPr>
              <w:t>d</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Comprehensiv</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Stockholders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Capita</w:t>
            </w:r>
            <w:r>
              <w:rPr>
                <w:rFonts w:ascii="Arial" w:hAnsi="Arial" w:cs="Arial"/>
                <w:b/>
                <w:bCs/>
                <w:sz w:val="16"/>
                <w:szCs w:val="16"/>
              </w:rPr>
              <w:t>l</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Earning</w:t>
            </w:r>
            <w:r>
              <w:rPr>
                <w:rFonts w:ascii="Arial" w:hAnsi="Arial" w:cs="Arial"/>
                <w:b/>
                <w:bCs/>
                <w:sz w:val="16"/>
                <w:szCs w:val="16"/>
              </w:rPr>
              <w:t>s</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Incom</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Equit</w:t>
            </w:r>
            <w:r>
              <w:rPr>
                <w:rFonts w:ascii="Arial" w:hAnsi="Arial" w:cs="Arial"/>
                <w:b/>
                <w:bCs/>
                <w:sz w:val="16"/>
                <w:szCs w:val="16"/>
              </w:rPr>
              <w:t>y</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b/>
                <w:bCs/>
                <w:sz w:val="16"/>
                <w:szCs w:val="16"/>
              </w:rPr>
              <w:t>Balances at December 31, 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120,639,16</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356,01</w:t>
            </w:r>
            <w:r>
              <w:rPr>
                <w:rFonts w:ascii="Arial" w:hAnsi="Arial" w:cs="Arial"/>
                <w:sz w:val="16"/>
                <w:szCs w:val="16"/>
              </w:rPr>
              <w:t>7</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29,93</w:t>
            </w:r>
            <w:r>
              <w:rPr>
                <w:rFonts w:ascii="Arial" w:hAnsi="Arial" w:cs="Arial"/>
                <w:sz w:val="16"/>
                <w:szCs w:val="16"/>
              </w:rPr>
              <w:t>5</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386,13</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1,27</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1,27</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Issuance of Class A common stock for stock option exercise</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412,22</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w:t>
            </w:r>
            <w:r>
              <w:rPr>
                <w:rFonts w:ascii="Arial" w:hAnsi="Arial" w:cs="Arial"/>
                <w:sz w:val="16"/>
                <w:szCs w:val="16"/>
              </w:rPr>
              <w:t>5</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w:t>
            </w:r>
            <w:r>
              <w:rPr>
                <w:rFonts w:ascii="Arial" w:hAnsi="Arial" w:cs="Arial"/>
                <w:sz w:val="16"/>
                <w:szCs w:val="16"/>
              </w:rPr>
              <w:t>5</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b/>
                <w:bCs/>
                <w:sz w:val="16"/>
                <w:szCs w:val="16"/>
              </w:rPr>
              <w:t>Balances at March 31, 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121,051,38</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357,30</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31,65</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12</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389,09</w:t>
            </w:r>
            <w:r>
              <w:rPr>
                <w:rFonts w:ascii="Arial" w:hAnsi="Arial" w:cs="Arial"/>
                <w:sz w:val="16"/>
                <w:szCs w:val="16"/>
              </w:rPr>
              <w:t>4</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bl>
    <w:p w:rsidR="00000000" w:rsidRDefault="00CA40A2">
      <w:pPr>
        <w:pStyle w:val="a3"/>
        <w:spacing w:before="12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0"/>
        <w:gridCol w:w="111"/>
        <w:gridCol w:w="105"/>
        <w:gridCol w:w="550"/>
        <w:gridCol w:w="105"/>
        <w:gridCol w:w="105"/>
        <w:gridCol w:w="150"/>
        <w:gridCol w:w="528"/>
        <w:gridCol w:w="105"/>
        <w:gridCol w:w="105"/>
        <w:gridCol w:w="105"/>
        <w:gridCol w:w="950"/>
        <w:gridCol w:w="105"/>
        <w:gridCol w:w="105"/>
        <w:gridCol w:w="150"/>
        <w:gridCol w:w="538"/>
        <w:gridCol w:w="105"/>
        <w:gridCol w:w="105"/>
        <w:gridCol w:w="150"/>
        <w:gridCol w:w="699"/>
        <w:gridCol w:w="105"/>
        <w:gridCol w:w="105"/>
        <w:gridCol w:w="150"/>
        <w:gridCol w:w="596"/>
        <w:gridCol w:w="114"/>
        <w:gridCol w:w="105"/>
        <w:gridCol w:w="150"/>
        <w:gridCol w:w="607"/>
        <w:gridCol w:w="105"/>
        <w:gridCol w:w="105"/>
        <w:gridCol w:w="151"/>
        <w:gridCol w:w="1121"/>
        <w:gridCol w:w="105"/>
        <w:gridCol w:w="105"/>
        <w:gridCol w:w="162"/>
        <w:gridCol w:w="957"/>
        <w:gridCol w:w="120"/>
      </w:tblGrid>
      <w:tr w:rsidR="00000000">
        <w:trPr>
          <w:tblCellSpacing w:w="15" w:type="dxa"/>
        </w:trPr>
        <w:tc>
          <w:tcPr>
            <w:tcW w:w="1275" w:type="pct"/>
            <w:vAlign w:val="center"/>
            <w:hideMark/>
          </w:tcPr>
          <w:p w:rsidR="00000000" w:rsidRDefault="00CA40A2">
            <w:pPr>
              <w:rPr>
                <w:sz w:val="20"/>
                <w:szCs w:val="20"/>
              </w:rPr>
            </w:pPr>
          </w:p>
        </w:tc>
        <w:tc>
          <w:tcPr>
            <w:tcW w:w="44"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273"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44" w:type="pct"/>
            <w:vAlign w:val="center"/>
            <w:hideMark/>
          </w:tcPr>
          <w:p w:rsidR="00000000" w:rsidRDefault="00CA40A2">
            <w:pPr>
              <w:rPr>
                <w:rFonts w:eastAsia="Times New Roman"/>
                <w:sz w:val="20"/>
                <w:szCs w:val="20"/>
              </w:rPr>
            </w:pPr>
          </w:p>
        </w:tc>
        <w:tc>
          <w:tcPr>
            <w:tcW w:w="47" w:type="pct"/>
            <w:vAlign w:val="center"/>
            <w:hideMark/>
          </w:tcPr>
          <w:p w:rsidR="00000000" w:rsidRDefault="00CA40A2">
            <w:pPr>
              <w:rPr>
                <w:rFonts w:eastAsia="Times New Roman"/>
                <w:sz w:val="20"/>
                <w:szCs w:val="20"/>
              </w:rPr>
            </w:pPr>
          </w:p>
        </w:tc>
        <w:tc>
          <w:tcPr>
            <w:tcW w:w="221"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44"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383"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44" w:type="pct"/>
            <w:vAlign w:val="center"/>
            <w:hideMark/>
          </w:tcPr>
          <w:p w:rsidR="00000000" w:rsidRDefault="00CA40A2">
            <w:pPr>
              <w:rPr>
                <w:rFonts w:eastAsia="Times New Roman"/>
                <w:sz w:val="20"/>
                <w:szCs w:val="20"/>
              </w:rPr>
            </w:pPr>
          </w:p>
        </w:tc>
        <w:tc>
          <w:tcPr>
            <w:tcW w:w="47" w:type="pct"/>
            <w:vAlign w:val="center"/>
            <w:hideMark/>
          </w:tcPr>
          <w:p w:rsidR="00000000" w:rsidRDefault="00CA40A2">
            <w:pPr>
              <w:rPr>
                <w:rFonts w:eastAsia="Times New Roman"/>
                <w:sz w:val="20"/>
                <w:szCs w:val="20"/>
              </w:rPr>
            </w:pPr>
          </w:p>
        </w:tc>
        <w:tc>
          <w:tcPr>
            <w:tcW w:w="248"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44" w:type="pct"/>
            <w:vAlign w:val="center"/>
            <w:hideMark/>
          </w:tcPr>
          <w:p w:rsidR="00000000" w:rsidRDefault="00CA40A2">
            <w:pPr>
              <w:rPr>
                <w:rFonts w:eastAsia="Times New Roman"/>
                <w:sz w:val="20"/>
                <w:szCs w:val="20"/>
              </w:rPr>
            </w:pPr>
          </w:p>
        </w:tc>
        <w:tc>
          <w:tcPr>
            <w:tcW w:w="47" w:type="pct"/>
            <w:vAlign w:val="center"/>
            <w:hideMark/>
          </w:tcPr>
          <w:p w:rsidR="00000000" w:rsidRDefault="00CA40A2">
            <w:pPr>
              <w:rPr>
                <w:rFonts w:eastAsia="Times New Roman"/>
                <w:sz w:val="20"/>
                <w:szCs w:val="20"/>
              </w:rPr>
            </w:pPr>
          </w:p>
        </w:tc>
        <w:tc>
          <w:tcPr>
            <w:tcW w:w="276"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44" w:type="pct"/>
            <w:vAlign w:val="center"/>
            <w:hideMark/>
          </w:tcPr>
          <w:p w:rsidR="00000000" w:rsidRDefault="00CA40A2">
            <w:pPr>
              <w:rPr>
                <w:rFonts w:eastAsia="Times New Roman"/>
                <w:sz w:val="20"/>
                <w:szCs w:val="20"/>
              </w:rPr>
            </w:pPr>
          </w:p>
        </w:tc>
        <w:tc>
          <w:tcPr>
            <w:tcW w:w="47" w:type="pct"/>
            <w:vAlign w:val="center"/>
            <w:hideMark/>
          </w:tcPr>
          <w:p w:rsidR="00000000" w:rsidRDefault="00CA40A2">
            <w:pPr>
              <w:rPr>
                <w:rFonts w:eastAsia="Times New Roman"/>
                <w:sz w:val="20"/>
                <w:szCs w:val="20"/>
              </w:rPr>
            </w:pPr>
          </w:p>
        </w:tc>
        <w:tc>
          <w:tcPr>
            <w:tcW w:w="244" w:type="pct"/>
            <w:vAlign w:val="center"/>
            <w:hideMark/>
          </w:tcPr>
          <w:p w:rsidR="00000000" w:rsidRDefault="00CA40A2">
            <w:pPr>
              <w:rPr>
                <w:rFonts w:eastAsia="Times New Roman"/>
                <w:sz w:val="20"/>
                <w:szCs w:val="20"/>
              </w:rPr>
            </w:pPr>
          </w:p>
        </w:tc>
        <w:tc>
          <w:tcPr>
            <w:tcW w:w="27" w:type="pct"/>
            <w:vAlign w:val="center"/>
            <w:hideMark/>
          </w:tcPr>
          <w:p w:rsidR="00000000" w:rsidRDefault="00CA40A2">
            <w:pPr>
              <w:rPr>
                <w:rFonts w:eastAsia="Times New Roman"/>
                <w:sz w:val="20"/>
                <w:szCs w:val="20"/>
              </w:rPr>
            </w:pPr>
          </w:p>
        </w:tc>
        <w:tc>
          <w:tcPr>
            <w:tcW w:w="44" w:type="pct"/>
            <w:vAlign w:val="center"/>
            <w:hideMark/>
          </w:tcPr>
          <w:p w:rsidR="00000000" w:rsidRDefault="00CA40A2">
            <w:pPr>
              <w:rPr>
                <w:rFonts w:eastAsia="Times New Roman"/>
                <w:sz w:val="20"/>
                <w:szCs w:val="20"/>
              </w:rPr>
            </w:pPr>
          </w:p>
        </w:tc>
        <w:tc>
          <w:tcPr>
            <w:tcW w:w="47" w:type="pct"/>
            <w:vAlign w:val="center"/>
            <w:hideMark/>
          </w:tcPr>
          <w:p w:rsidR="00000000" w:rsidRDefault="00CA40A2">
            <w:pPr>
              <w:rPr>
                <w:rFonts w:eastAsia="Times New Roman"/>
                <w:sz w:val="20"/>
                <w:szCs w:val="20"/>
              </w:rPr>
            </w:pPr>
          </w:p>
        </w:tc>
        <w:tc>
          <w:tcPr>
            <w:tcW w:w="276"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44" w:type="pct"/>
            <w:vAlign w:val="center"/>
            <w:hideMark/>
          </w:tcPr>
          <w:p w:rsidR="00000000" w:rsidRDefault="00CA40A2">
            <w:pPr>
              <w:rPr>
                <w:rFonts w:eastAsia="Times New Roman"/>
                <w:sz w:val="20"/>
                <w:szCs w:val="20"/>
              </w:rPr>
            </w:pPr>
          </w:p>
        </w:tc>
        <w:tc>
          <w:tcPr>
            <w:tcW w:w="47" w:type="pct"/>
            <w:vAlign w:val="center"/>
            <w:hideMark/>
          </w:tcPr>
          <w:p w:rsidR="00000000" w:rsidRDefault="00CA40A2">
            <w:pPr>
              <w:rPr>
                <w:rFonts w:eastAsia="Times New Roman"/>
                <w:sz w:val="20"/>
                <w:szCs w:val="20"/>
              </w:rPr>
            </w:pPr>
          </w:p>
        </w:tc>
        <w:tc>
          <w:tcPr>
            <w:tcW w:w="469"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c>
          <w:tcPr>
            <w:tcW w:w="44" w:type="pct"/>
            <w:vAlign w:val="center"/>
            <w:hideMark/>
          </w:tcPr>
          <w:p w:rsidR="00000000" w:rsidRDefault="00CA40A2">
            <w:pPr>
              <w:rPr>
                <w:rFonts w:eastAsia="Times New Roman"/>
                <w:sz w:val="20"/>
                <w:szCs w:val="20"/>
              </w:rPr>
            </w:pPr>
          </w:p>
        </w:tc>
        <w:tc>
          <w:tcPr>
            <w:tcW w:w="47" w:type="pct"/>
            <w:vAlign w:val="center"/>
            <w:hideMark/>
          </w:tcPr>
          <w:p w:rsidR="00000000" w:rsidRDefault="00CA40A2">
            <w:pPr>
              <w:rPr>
                <w:rFonts w:eastAsia="Times New Roman"/>
                <w:sz w:val="20"/>
                <w:szCs w:val="20"/>
              </w:rPr>
            </w:pPr>
          </w:p>
        </w:tc>
        <w:tc>
          <w:tcPr>
            <w:tcW w:w="331" w:type="pct"/>
            <w:vAlign w:val="center"/>
            <w:hideMark/>
          </w:tcPr>
          <w:p w:rsidR="00000000" w:rsidRDefault="00CA40A2">
            <w:pPr>
              <w:rPr>
                <w:rFonts w:eastAsia="Times New Roman"/>
                <w:sz w:val="20"/>
                <w:szCs w:val="20"/>
              </w:rPr>
            </w:pPr>
          </w:p>
        </w:tc>
        <w:tc>
          <w:tcPr>
            <w:tcW w:w="24"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 xml:space="preserve">Series </w:t>
            </w:r>
            <w:r>
              <w:rPr>
                <w:rFonts w:ascii="Arial" w:hAnsi="Arial" w:cs="Arial"/>
                <w:b/>
                <w:bCs/>
                <w:sz w:val="16"/>
                <w:szCs w:val="16"/>
              </w:rPr>
              <w:t>A</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Additiona</w:t>
            </w:r>
            <w:r>
              <w:rPr>
                <w:rFonts w:ascii="Arial" w:hAnsi="Arial" w:cs="Arial"/>
                <w:b/>
                <w:bCs/>
                <w:sz w:val="16"/>
                <w:szCs w:val="16"/>
              </w:rPr>
              <w:t>l</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Preferred Stoc</w:t>
            </w:r>
            <w:r>
              <w:rPr>
                <w:rFonts w:ascii="Arial" w:hAnsi="Arial" w:cs="Arial"/>
                <w:b/>
                <w:bCs/>
                <w:sz w:val="16"/>
                <w:szCs w:val="16"/>
              </w:rPr>
              <w:t>k</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Common Stoc</w:t>
            </w:r>
            <w:r>
              <w:rPr>
                <w:rFonts w:ascii="Arial" w:hAnsi="Arial" w:cs="Arial"/>
                <w:b/>
                <w:bCs/>
                <w:sz w:val="16"/>
                <w:szCs w:val="16"/>
              </w:rPr>
              <w:t>k</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Paid-I</w:t>
            </w:r>
            <w:r>
              <w:rPr>
                <w:rFonts w:ascii="Arial" w:hAnsi="Arial" w:cs="Arial"/>
                <w:b/>
                <w:bCs/>
                <w:sz w:val="16"/>
                <w:szCs w:val="16"/>
              </w:rPr>
              <w:t>n</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Treasur</w:t>
            </w:r>
            <w:r>
              <w:rPr>
                <w:rFonts w:ascii="Arial" w:hAnsi="Arial" w:cs="Arial"/>
                <w:b/>
                <w:bCs/>
                <w:sz w:val="16"/>
                <w:szCs w:val="16"/>
              </w:rPr>
              <w:t>y</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Retaine</w:t>
            </w:r>
            <w:r>
              <w:rPr>
                <w:rFonts w:ascii="Arial" w:hAnsi="Arial" w:cs="Arial"/>
                <w:b/>
                <w:bCs/>
                <w:sz w:val="16"/>
                <w:szCs w:val="16"/>
              </w:rPr>
              <w:t>d</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Comprehensiv</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Stockholders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Capita</w:t>
            </w:r>
            <w:r>
              <w:rPr>
                <w:rFonts w:ascii="Arial" w:hAnsi="Arial" w:cs="Arial"/>
                <w:b/>
                <w:bCs/>
                <w:sz w:val="16"/>
                <w:szCs w:val="16"/>
              </w:rPr>
              <w:t>l</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Stoc</w:t>
            </w:r>
            <w:r>
              <w:rPr>
                <w:rFonts w:ascii="Arial" w:hAnsi="Arial" w:cs="Arial"/>
                <w:b/>
                <w:bCs/>
                <w:sz w:val="16"/>
                <w:szCs w:val="16"/>
              </w:rPr>
              <w:t>k</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Earning</w:t>
            </w:r>
            <w:r>
              <w:rPr>
                <w:rFonts w:ascii="Arial" w:hAnsi="Arial" w:cs="Arial"/>
                <w:b/>
                <w:bCs/>
                <w:sz w:val="16"/>
                <w:szCs w:val="16"/>
              </w:rPr>
              <w:t>s</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Incom</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Equit</w:t>
            </w:r>
            <w:r>
              <w:rPr>
                <w:rFonts w:ascii="Arial" w:hAnsi="Arial" w:cs="Arial"/>
                <w:b/>
                <w:bCs/>
                <w:sz w:val="16"/>
                <w:szCs w:val="16"/>
              </w:rPr>
              <w:t>y</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b/>
                <w:bCs/>
                <w:sz w:val="16"/>
                <w:szCs w:val="16"/>
              </w:rPr>
              <w:t>Balances at December 31, 202</w:t>
            </w:r>
            <w:r>
              <w:rPr>
                <w:rFonts w:ascii="Arial" w:hAnsi="Arial" w:cs="Arial"/>
                <w:b/>
                <w:bCs/>
                <w:sz w:val="16"/>
                <w:szCs w:val="16"/>
              </w:rPr>
              <w:t>0</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29,17</w:t>
            </w:r>
            <w:r>
              <w:rPr>
                <w:rFonts w:ascii="Arial" w:hAnsi="Arial" w:cs="Arial"/>
                <w:sz w:val="16"/>
                <w:szCs w:val="16"/>
              </w:rPr>
              <w:t>5</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55,04</w:t>
            </w:r>
            <w:r>
              <w:rPr>
                <w:rFonts w:ascii="Arial" w:hAnsi="Arial" w:cs="Arial"/>
                <w:sz w:val="16"/>
                <w:szCs w:val="16"/>
              </w:rPr>
              <w:t>7</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84,37</w:t>
            </w:r>
            <w:r>
              <w:rPr>
                <w:rFonts w:ascii="Arial" w:hAnsi="Arial" w:cs="Arial"/>
                <w:sz w:val="16"/>
                <w:szCs w:val="16"/>
              </w:rPr>
              <w:t>6</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Repayment of related party loan</w:t>
            </w:r>
            <w:r>
              <w:rPr>
                <w:rFonts w:ascii="Arial" w:hAnsi="Arial" w:cs="Arial"/>
                <w:sz w:val="16"/>
                <w:szCs w:val="16"/>
              </w:rPr>
              <w:br/>
              <w:t>   receivabl</w:t>
            </w:r>
            <w:r>
              <w:rPr>
                <w:rFonts w:ascii="Arial" w:hAnsi="Arial" w:cs="Arial"/>
                <w:sz w:val="16"/>
                <w:szCs w:val="16"/>
              </w:rPr>
              <w:t>e</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3,63</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3,63</w:t>
            </w:r>
            <w:r>
              <w:rPr>
                <w:rFonts w:ascii="Arial" w:hAnsi="Arial" w:cs="Arial"/>
                <w:sz w:val="16"/>
                <w:szCs w:val="16"/>
              </w:rPr>
              <w:t>8</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b/>
                <w:bCs/>
                <w:sz w:val="16"/>
                <w:szCs w:val="16"/>
              </w:rPr>
              <w:t>Balances at March 31, 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30,55</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58,68</w:t>
            </w:r>
            <w:r>
              <w:rPr>
                <w:rFonts w:ascii="Arial" w:hAnsi="Arial" w:cs="Arial"/>
                <w:sz w:val="16"/>
                <w:szCs w:val="16"/>
              </w:rPr>
              <w:t>5</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23</w:t>
            </w:r>
            <w:r>
              <w:rPr>
                <w:rFonts w:ascii="Arial" w:hAnsi="Arial" w:cs="Arial"/>
                <w:sz w:val="16"/>
                <w:szCs w:val="16"/>
              </w:rPr>
              <w:t>7</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6"/>
                <w:szCs w:val="16"/>
              </w:rPr>
              <w:t>89,41</w:t>
            </w:r>
            <w:r>
              <w:rPr>
                <w:rFonts w:ascii="Arial" w:hAnsi="Arial" w:cs="Arial"/>
                <w:sz w:val="16"/>
                <w:szCs w:val="16"/>
              </w:rPr>
              <w:t>1</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bl>
    <w:p w:rsidR="00000000" w:rsidRDefault="00CA40A2">
      <w:pPr>
        <w:pStyle w:val="a3"/>
        <w:spacing w:before="120" w:beforeAutospacing="0" w:after="0" w:afterAutospacing="0"/>
        <w:jc w:val="center"/>
        <w:rPr>
          <w:sz w:val="20"/>
          <w:szCs w:val="20"/>
        </w:rPr>
      </w:pPr>
      <w:r>
        <w:rPr>
          <w:rFonts w:ascii="Arial" w:hAnsi="Arial" w:cs="Arial"/>
          <w:sz w:val="20"/>
          <w:szCs w:val="20"/>
        </w:rPr>
        <w:t>The accompanying notes are an integral part of these unaudited condensed consolidated financial statements</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7</w:t>
      </w:r>
    </w:p>
    <w:p w:rsidR="00000000" w:rsidRDefault="00CA40A2">
      <w:pPr>
        <w:rPr>
          <w:rFonts w:eastAsia="Times New Roman"/>
        </w:rPr>
      </w:pPr>
      <w:r>
        <w:rPr>
          <w:rFonts w:eastAsia="Times New Roman"/>
        </w:rPr>
        <w:pict>
          <v:rect id="_x0000_i1032"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CONDENSED CONSOLIDATED STATEM</w:t>
      </w:r>
      <w:r>
        <w:rPr>
          <w:rFonts w:ascii="Arial" w:hAnsi="Arial" w:cs="Arial"/>
          <w:sz w:val="20"/>
          <w:szCs w:val="20"/>
        </w:rPr>
        <w:t>E</w:t>
      </w:r>
      <w:r>
        <w:rPr>
          <w:rFonts w:ascii="Arial" w:hAnsi="Arial" w:cs="Arial"/>
          <w:sz w:val="20"/>
          <w:szCs w:val="20"/>
        </w:rPr>
        <w:t>NTS OF CASH FLOWS (Unaudited</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5"/>
        <w:gridCol w:w="125"/>
        <w:gridCol w:w="155"/>
        <w:gridCol w:w="1061"/>
        <w:gridCol w:w="117"/>
        <w:gridCol w:w="125"/>
        <w:gridCol w:w="155"/>
        <w:gridCol w:w="1061"/>
        <w:gridCol w:w="132"/>
      </w:tblGrid>
      <w:tr w:rsidR="00000000">
        <w:trPr>
          <w:tblCellSpacing w:w="15" w:type="dxa"/>
        </w:trPr>
        <w:tc>
          <w:tcPr>
            <w:tcW w:w="3343" w:type="pct"/>
            <w:vAlign w:val="center"/>
            <w:hideMark/>
          </w:tcPr>
          <w:p w:rsidR="00000000" w:rsidRDefault="00CA40A2">
            <w:pPr>
              <w:rPr>
                <w:sz w:val="20"/>
                <w:szCs w:val="20"/>
              </w:rPr>
            </w:pPr>
          </w:p>
        </w:tc>
        <w:tc>
          <w:tcPr>
            <w:tcW w:w="76" w:type="pct"/>
            <w:vAlign w:val="center"/>
            <w:hideMark/>
          </w:tcPr>
          <w:p w:rsidR="00000000" w:rsidRDefault="00CA40A2">
            <w:pPr>
              <w:rPr>
                <w:rFonts w:eastAsia="Times New Roman"/>
                <w:sz w:val="20"/>
                <w:szCs w:val="20"/>
              </w:rPr>
            </w:pPr>
          </w:p>
        </w:tc>
        <w:tc>
          <w:tcPr>
            <w:tcW w:w="57" w:type="pct"/>
            <w:vAlign w:val="center"/>
            <w:hideMark/>
          </w:tcPr>
          <w:p w:rsidR="00000000" w:rsidRDefault="00CA40A2">
            <w:pPr>
              <w:rPr>
                <w:rFonts w:eastAsia="Times New Roman"/>
                <w:sz w:val="20"/>
                <w:szCs w:val="20"/>
              </w:rPr>
            </w:pPr>
          </w:p>
        </w:tc>
        <w:tc>
          <w:tcPr>
            <w:tcW w:w="660"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c>
          <w:tcPr>
            <w:tcW w:w="76" w:type="pct"/>
            <w:vAlign w:val="center"/>
            <w:hideMark/>
          </w:tcPr>
          <w:p w:rsidR="00000000" w:rsidRDefault="00CA40A2">
            <w:pPr>
              <w:rPr>
                <w:rFonts w:eastAsia="Times New Roman"/>
                <w:sz w:val="20"/>
                <w:szCs w:val="20"/>
              </w:rPr>
            </w:pPr>
          </w:p>
        </w:tc>
        <w:tc>
          <w:tcPr>
            <w:tcW w:w="57" w:type="pct"/>
            <w:vAlign w:val="center"/>
            <w:hideMark/>
          </w:tcPr>
          <w:p w:rsidR="00000000" w:rsidRDefault="00CA40A2">
            <w:pPr>
              <w:rPr>
                <w:rFonts w:eastAsia="Times New Roman"/>
                <w:sz w:val="20"/>
                <w:szCs w:val="20"/>
              </w:rPr>
            </w:pPr>
          </w:p>
        </w:tc>
        <w:tc>
          <w:tcPr>
            <w:tcW w:w="660"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7"/>
                <w:szCs w:val="17"/>
              </w:rPr>
            </w:pPr>
            <w:r>
              <w:rPr>
                <w:rFonts w:ascii="Arial" w:hAnsi="Arial" w:cs="Arial"/>
                <w:b/>
                <w:bCs/>
                <w:sz w:val="17"/>
                <w:szCs w:val="17"/>
              </w:rPr>
              <w:t>Cash flows from operating activitie</w:t>
            </w:r>
            <w:r>
              <w:rPr>
                <w:rFonts w:ascii="Arial" w:hAnsi="Arial" w:cs="Arial"/>
                <w:b/>
                <w:bCs/>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7"/>
                <w:szCs w:val="17"/>
              </w:rPr>
            </w:pPr>
            <w:r>
              <w:rPr>
                <w:rFonts w:ascii="Arial" w:hAnsi="Arial" w:cs="Arial"/>
                <w:sz w:val="17"/>
                <w:szCs w:val="17"/>
              </w:rPr>
              <w:t>Net incom</w:t>
            </w:r>
            <w:r>
              <w:rPr>
                <w:rFonts w:ascii="Arial" w:hAnsi="Arial" w:cs="Arial"/>
                <w:sz w:val="17"/>
                <w:szCs w:val="17"/>
              </w:rPr>
              <w:t>e</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1,71</w:t>
            </w:r>
            <w:r>
              <w:rPr>
                <w:rFonts w:ascii="Arial" w:hAnsi="Arial" w:cs="Arial"/>
                <w:sz w:val="17"/>
                <w:szCs w:val="17"/>
              </w:rPr>
              <w:t>8</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3,63</w:t>
            </w:r>
            <w:r>
              <w:rPr>
                <w:rFonts w:ascii="Arial" w:hAnsi="Arial" w:cs="Arial"/>
                <w:sz w:val="17"/>
                <w:szCs w:val="17"/>
              </w:rPr>
              <w:t>8</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7"/>
                <w:szCs w:val="17"/>
              </w:rPr>
            </w:pPr>
            <w:r>
              <w:rPr>
                <w:rFonts w:ascii="Arial" w:hAnsi="Arial" w:cs="Arial"/>
                <w:sz w:val="17"/>
                <w:szCs w:val="17"/>
              </w:rPr>
              <w:t>Adjustments to reconcile net income to net cash provided by operating</w:t>
            </w:r>
            <w:r>
              <w:rPr>
                <w:rFonts w:ascii="Arial" w:hAnsi="Arial" w:cs="Arial"/>
                <w:sz w:val="17"/>
                <w:szCs w:val="17"/>
              </w:rPr>
              <w:br/>
              <w:t>   activitie</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Depreciation and amortizatio</w:t>
            </w:r>
            <w:r>
              <w:rPr>
                <w:rFonts w:ascii="Arial" w:hAnsi="Arial" w:cs="Arial"/>
                <w:sz w:val="17"/>
                <w:szCs w:val="17"/>
              </w:rPr>
              <w:t>n</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5,47</w:t>
            </w:r>
            <w:r>
              <w:rPr>
                <w:rFonts w:ascii="Arial" w:hAnsi="Arial" w:cs="Arial"/>
                <w:sz w:val="17"/>
                <w:szCs w:val="17"/>
              </w:rPr>
              <w:t>4</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2,39</w:t>
            </w:r>
            <w:r>
              <w:rPr>
                <w:rFonts w:ascii="Arial" w:hAnsi="Arial" w:cs="Arial"/>
                <w:sz w:val="17"/>
                <w:szCs w:val="17"/>
              </w:rPr>
              <w:t>2</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Deferred income taxe</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1,40</w:t>
            </w:r>
            <w:r>
              <w:rPr>
                <w:rFonts w:ascii="Arial" w:hAnsi="Arial" w:cs="Arial"/>
                <w:sz w:val="17"/>
                <w:szCs w:val="17"/>
              </w:rPr>
              <w:t>6</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75</w:t>
            </w:r>
            <w:r>
              <w:rPr>
                <w:rFonts w:ascii="Arial" w:hAnsi="Arial" w:cs="Arial"/>
                <w:sz w:val="17"/>
                <w:szCs w:val="17"/>
              </w:rPr>
              <w:t>7</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Stock-based compensatio</w:t>
            </w:r>
            <w:r>
              <w:rPr>
                <w:rFonts w:ascii="Arial" w:hAnsi="Arial" w:cs="Arial"/>
                <w:sz w:val="17"/>
                <w:szCs w:val="17"/>
              </w:rPr>
              <w:t>n</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1,27</w:t>
            </w:r>
            <w:r>
              <w:rPr>
                <w:rFonts w:ascii="Arial" w:hAnsi="Arial" w:cs="Arial"/>
                <w:sz w:val="17"/>
                <w:szCs w:val="17"/>
              </w:rPr>
              <w:t>6</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56</w:t>
            </w:r>
            <w:r>
              <w:rPr>
                <w:rFonts w:ascii="Arial" w:hAnsi="Arial" w:cs="Arial"/>
                <w:sz w:val="17"/>
                <w:szCs w:val="17"/>
              </w:rPr>
              <w:t>3</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Non-cash lease expens</w:t>
            </w:r>
            <w:r>
              <w:rPr>
                <w:rFonts w:ascii="Arial" w:hAnsi="Arial" w:cs="Arial"/>
                <w:sz w:val="17"/>
                <w:szCs w:val="17"/>
              </w:rPr>
              <w:t>e</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75</w:t>
            </w:r>
            <w:r>
              <w:rPr>
                <w:rFonts w:ascii="Arial" w:hAnsi="Arial" w:cs="Arial"/>
                <w:sz w:val="17"/>
                <w:szCs w:val="17"/>
              </w:rPr>
              <w:t>5</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79</w:t>
            </w:r>
            <w:r>
              <w:rPr>
                <w:rFonts w:ascii="Arial" w:hAnsi="Arial" w:cs="Arial"/>
                <w:sz w:val="17"/>
                <w:szCs w:val="17"/>
              </w:rPr>
              <w:t>1</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Amortization of contract asse</w:t>
            </w:r>
            <w:r>
              <w:rPr>
                <w:rFonts w:ascii="Arial" w:hAnsi="Arial" w:cs="Arial"/>
                <w:sz w:val="17"/>
                <w:szCs w:val="17"/>
              </w:rPr>
              <w:t>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46</w:t>
            </w:r>
            <w:r>
              <w:rPr>
                <w:rFonts w:ascii="Arial" w:hAnsi="Arial" w:cs="Arial"/>
                <w:sz w:val="17"/>
                <w:szCs w:val="17"/>
              </w:rPr>
              <w:t>7</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Provision for credit losse</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9</w:t>
            </w:r>
            <w:r>
              <w:rPr>
                <w:rFonts w:ascii="Arial" w:hAnsi="Arial" w:cs="Arial"/>
                <w:sz w:val="17"/>
                <w:szCs w:val="17"/>
              </w:rPr>
              <w:t>5</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Change in operating assets and liabilitie</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7"/>
                <w:szCs w:val="17"/>
              </w:rPr>
            </w:pPr>
            <w:r>
              <w:rPr>
                <w:rFonts w:ascii="Arial" w:hAnsi="Arial" w:cs="Arial"/>
                <w:sz w:val="17"/>
                <w:szCs w:val="17"/>
              </w:rPr>
              <w:t>Accounts and other receivable</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8,08</w:t>
            </w:r>
            <w:r>
              <w:rPr>
                <w:rFonts w:ascii="Arial" w:hAnsi="Arial" w:cs="Arial"/>
                <w:sz w:val="17"/>
                <w:szCs w:val="17"/>
              </w:rPr>
              <w:t>2</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5,59</w:t>
            </w:r>
            <w:r>
              <w:rPr>
                <w:rFonts w:ascii="Arial" w:hAnsi="Arial" w:cs="Arial"/>
                <w:sz w:val="17"/>
                <w:szCs w:val="17"/>
              </w:rPr>
              <w:t>6</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7"/>
                <w:szCs w:val="17"/>
              </w:rPr>
            </w:pPr>
            <w:r>
              <w:rPr>
                <w:rFonts w:ascii="Arial" w:hAnsi="Arial" w:cs="Arial"/>
                <w:sz w:val="17"/>
                <w:szCs w:val="17"/>
              </w:rPr>
              <w:t>Prepaid expenses and other current and long-term asset</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16</w:t>
            </w:r>
            <w:r>
              <w:rPr>
                <w:rFonts w:ascii="Arial" w:hAnsi="Arial" w:cs="Arial"/>
                <w:sz w:val="17"/>
                <w:szCs w:val="17"/>
              </w:rPr>
              <w:t>1</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7</w:t>
            </w:r>
            <w:r>
              <w:rPr>
                <w:rFonts w:ascii="Arial" w:hAnsi="Arial" w:cs="Arial"/>
                <w:sz w:val="17"/>
                <w:szCs w:val="17"/>
              </w:rPr>
              <w:t>7</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7"/>
                <w:szCs w:val="17"/>
              </w:rPr>
            </w:pPr>
            <w:r>
              <w:rPr>
                <w:rFonts w:ascii="Arial" w:hAnsi="Arial" w:cs="Arial"/>
                <w:sz w:val="17"/>
                <w:szCs w:val="17"/>
              </w:rPr>
              <w:t>Accounts payabl</w:t>
            </w:r>
            <w:r>
              <w:rPr>
                <w:rFonts w:ascii="Arial" w:hAnsi="Arial" w:cs="Arial"/>
                <w:sz w:val="17"/>
                <w:szCs w:val="17"/>
              </w:rPr>
              <w:t>e</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4,91</w:t>
            </w:r>
            <w:r>
              <w:rPr>
                <w:rFonts w:ascii="Arial" w:hAnsi="Arial" w:cs="Arial"/>
                <w:sz w:val="17"/>
                <w:szCs w:val="17"/>
              </w:rPr>
              <w:t>6</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4,77</w:t>
            </w:r>
            <w:r>
              <w:rPr>
                <w:rFonts w:ascii="Arial" w:hAnsi="Arial" w:cs="Arial"/>
                <w:sz w:val="17"/>
                <w:szCs w:val="17"/>
              </w:rPr>
              <w:t>0</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7"/>
                <w:szCs w:val="17"/>
              </w:rPr>
            </w:pPr>
            <w:r>
              <w:rPr>
                <w:rFonts w:ascii="Arial" w:hAnsi="Arial" w:cs="Arial"/>
                <w:sz w:val="17"/>
                <w:szCs w:val="17"/>
              </w:rPr>
              <w:t>Accrued liabilitie</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86</w:t>
            </w:r>
            <w:r>
              <w:rPr>
                <w:rFonts w:ascii="Arial" w:hAnsi="Arial" w:cs="Arial"/>
                <w:sz w:val="17"/>
                <w:szCs w:val="17"/>
              </w:rPr>
              <w:t>2</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6</w:t>
            </w:r>
            <w:r>
              <w:rPr>
                <w:rFonts w:ascii="Arial" w:hAnsi="Arial" w:cs="Arial"/>
                <w:sz w:val="17"/>
                <w:szCs w:val="17"/>
              </w:rPr>
              <w:t>7</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7"/>
                <w:szCs w:val="17"/>
              </w:rPr>
            </w:pPr>
            <w:r>
              <w:rPr>
                <w:rFonts w:ascii="Arial" w:hAnsi="Arial" w:cs="Arial"/>
                <w:sz w:val="17"/>
                <w:szCs w:val="17"/>
              </w:rPr>
              <w:t>Operating lease liabilitie</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77</w:t>
            </w:r>
            <w:r>
              <w:rPr>
                <w:rFonts w:ascii="Arial" w:hAnsi="Arial" w:cs="Arial"/>
                <w:sz w:val="17"/>
                <w:szCs w:val="17"/>
              </w:rPr>
              <w:t>0</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72</w:t>
            </w:r>
            <w:r>
              <w:rPr>
                <w:rFonts w:ascii="Arial" w:hAnsi="Arial" w:cs="Arial"/>
                <w:sz w:val="17"/>
                <w:szCs w:val="17"/>
              </w:rPr>
              <w:t>5</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7"/>
                <w:szCs w:val="17"/>
              </w:rPr>
            </w:pPr>
            <w:r>
              <w:rPr>
                <w:rFonts w:ascii="Arial" w:hAnsi="Arial" w:cs="Arial"/>
                <w:sz w:val="17"/>
                <w:szCs w:val="17"/>
              </w:rPr>
              <w:t>Contract liabilitie</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5</w:t>
            </w:r>
            <w:r>
              <w:rPr>
                <w:rFonts w:ascii="Arial" w:hAnsi="Arial" w:cs="Arial"/>
                <w:sz w:val="17"/>
                <w:szCs w:val="17"/>
              </w:rPr>
              <w:t>7</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88</w:t>
            </w:r>
            <w:r>
              <w:rPr>
                <w:rFonts w:ascii="Arial" w:hAnsi="Arial" w:cs="Arial"/>
                <w:sz w:val="17"/>
                <w:szCs w:val="17"/>
              </w:rPr>
              <w:t>3</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7"/>
                <w:szCs w:val="17"/>
              </w:rPr>
            </w:pPr>
            <w:r>
              <w:rPr>
                <w:rFonts w:ascii="Arial" w:hAnsi="Arial" w:cs="Arial"/>
                <w:sz w:val="17"/>
                <w:szCs w:val="17"/>
              </w:rPr>
              <w:t>Income taxes receivable, net of payabl</w:t>
            </w:r>
            <w:r>
              <w:rPr>
                <w:rFonts w:ascii="Arial" w:hAnsi="Arial" w:cs="Arial"/>
                <w:sz w:val="17"/>
                <w:szCs w:val="17"/>
              </w:rPr>
              <w:t>e</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4,65</w:t>
            </w:r>
            <w:r>
              <w:rPr>
                <w:rFonts w:ascii="Arial" w:hAnsi="Arial" w:cs="Arial"/>
                <w:sz w:val="17"/>
                <w:szCs w:val="17"/>
              </w:rPr>
              <w:t>1</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15</w:t>
            </w:r>
            <w:r>
              <w:rPr>
                <w:rFonts w:ascii="Arial" w:hAnsi="Arial" w:cs="Arial"/>
                <w:sz w:val="17"/>
                <w:szCs w:val="17"/>
              </w:rPr>
              <w:t>2</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7"/>
                <w:szCs w:val="17"/>
              </w:rPr>
            </w:pPr>
            <w:r>
              <w:rPr>
                <w:rFonts w:ascii="Arial" w:hAnsi="Arial" w:cs="Arial"/>
                <w:sz w:val="17"/>
                <w:szCs w:val="17"/>
              </w:rPr>
              <w:t>Net cash provided by operating activitie</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3,24</w:t>
            </w:r>
            <w:r>
              <w:rPr>
                <w:rFonts w:ascii="Arial" w:hAnsi="Arial" w:cs="Arial"/>
                <w:sz w:val="17"/>
                <w:szCs w:val="17"/>
              </w:rPr>
              <w:t>8</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7,17</w:t>
            </w:r>
            <w:r>
              <w:rPr>
                <w:rFonts w:ascii="Arial" w:hAnsi="Arial" w:cs="Arial"/>
                <w:sz w:val="17"/>
                <w:szCs w:val="17"/>
              </w:rPr>
              <w:t>7</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7"/>
                <w:szCs w:val="17"/>
              </w:rPr>
            </w:pPr>
            <w:r>
              <w:rPr>
                <w:rFonts w:ascii="Arial" w:hAnsi="Arial" w:cs="Arial"/>
                <w:b/>
                <w:bCs/>
                <w:sz w:val="17"/>
                <w:szCs w:val="17"/>
              </w:rPr>
              <w:t>Cash flows from investing activitie</w:t>
            </w:r>
            <w:r>
              <w:rPr>
                <w:rFonts w:ascii="Arial" w:hAnsi="Arial" w:cs="Arial"/>
                <w:b/>
                <w:bCs/>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Other intangible assets acquire</w:t>
            </w:r>
            <w:r>
              <w:rPr>
                <w:rFonts w:ascii="Arial" w:hAnsi="Arial" w:cs="Arial"/>
                <w:sz w:val="17"/>
                <w:szCs w:val="17"/>
              </w:rPr>
              <w:t>d</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w:t>
            </w:r>
            <w:r>
              <w:rPr>
                <w:rFonts w:ascii="Arial" w:hAnsi="Arial" w:cs="Arial"/>
                <w:sz w:val="17"/>
                <w:szCs w:val="17"/>
              </w:rPr>
              <w:t>3</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Purchases of property and equipmen</w:t>
            </w:r>
            <w:r>
              <w:rPr>
                <w:rFonts w:ascii="Arial" w:hAnsi="Arial" w:cs="Arial"/>
                <w:sz w:val="17"/>
                <w:szCs w:val="17"/>
              </w:rPr>
              <w:t>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53</w:t>
            </w:r>
            <w:r>
              <w:rPr>
                <w:rFonts w:ascii="Arial" w:hAnsi="Arial" w:cs="Arial"/>
                <w:sz w:val="17"/>
                <w:szCs w:val="17"/>
              </w:rPr>
              <w:t>0</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15</w:t>
            </w:r>
            <w:r>
              <w:rPr>
                <w:rFonts w:ascii="Arial" w:hAnsi="Arial" w:cs="Arial"/>
                <w:sz w:val="17"/>
                <w:szCs w:val="17"/>
              </w:rPr>
              <w:t>6</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Capitalized internal-use software development cost</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6,73</w:t>
            </w:r>
            <w:r>
              <w:rPr>
                <w:rFonts w:ascii="Arial" w:hAnsi="Arial" w:cs="Arial"/>
                <w:sz w:val="17"/>
                <w:szCs w:val="17"/>
              </w:rPr>
              <w:t>1</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4,25</w:t>
            </w:r>
            <w:r>
              <w:rPr>
                <w:rFonts w:ascii="Arial" w:hAnsi="Arial" w:cs="Arial"/>
                <w:sz w:val="17"/>
                <w:szCs w:val="17"/>
              </w:rPr>
              <w:t>6</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7"/>
                <w:szCs w:val="17"/>
              </w:rPr>
            </w:pPr>
            <w:r>
              <w:rPr>
                <w:rFonts w:ascii="Arial" w:hAnsi="Arial" w:cs="Arial"/>
                <w:sz w:val="17"/>
                <w:szCs w:val="17"/>
              </w:rPr>
              <w:t>Net cash used in investing activitie</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7,28</w:t>
            </w:r>
            <w:r>
              <w:rPr>
                <w:rFonts w:ascii="Arial" w:hAnsi="Arial" w:cs="Arial"/>
                <w:sz w:val="17"/>
                <w:szCs w:val="17"/>
              </w:rPr>
              <w:t>4</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4,41</w:t>
            </w:r>
            <w:r>
              <w:rPr>
                <w:rFonts w:ascii="Arial" w:hAnsi="Arial" w:cs="Arial"/>
                <w:sz w:val="17"/>
                <w:szCs w:val="17"/>
              </w:rPr>
              <w:t>2</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7"/>
                <w:szCs w:val="17"/>
              </w:rPr>
            </w:pPr>
            <w:r>
              <w:rPr>
                <w:rFonts w:ascii="Arial" w:hAnsi="Arial" w:cs="Arial"/>
                <w:b/>
                <w:bCs/>
                <w:sz w:val="17"/>
                <w:szCs w:val="17"/>
              </w:rPr>
              <w:t>Cash flows from financing activitie</w:t>
            </w:r>
            <w:r>
              <w:rPr>
                <w:rFonts w:ascii="Arial" w:hAnsi="Arial" w:cs="Arial"/>
                <w:b/>
                <w:bCs/>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Proceeds from repayment of related party loa</w:t>
            </w:r>
            <w:r>
              <w:rPr>
                <w:rFonts w:ascii="Arial" w:hAnsi="Arial" w:cs="Arial"/>
                <w:sz w:val="17"/>
                <w:szCs w:val="17"/>
              </w:rPr>
              <w:t>n</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81</w:t>
            </w:r>
            <w:r>
              <w:rPr>
                <w:rFonts w:ascii="Arial" w:hAnsi="Arial" w:cs="Arial"/>
                <w:sz w:val="17"/>
                <w:szCs w:val="17"/>
              </w:rPr>
              <w:t>3</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Proceeds from exercise of stock option</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1</w:t>
            </w:r>
            <w:r>
              <w:rPr>
                <w:rFonts w:ascii="Arial" w:hAnsi="Arial" w:cs="Arial"/>
                <w:sz w:val="17"/>
                <w:szCs w:val="17"/>
              </w:rPr>
              <w:t>3</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Financial institution funds in-transi</w:t>
            </w:r>
            <w:r>
              <w:rPr>
                <w:rFonts w:ascii="Arial" w:hAnsi="Arial" w:cs="Arial"/>
                <w:sz w:val="17"/>
                <w:szCs w:val="17"/>
              </w:rPr>
              <w:t>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3,33</w:t>
            </w:r>
            <w:r>
              <w:rPr>
                <w:rFonts w:ascii="Arial" w:hAnsi="Arial" w:cs="Arial"/>
                <w:sz w:val="17"/>
                <w:szCs w:val="17"/>
              </w:rPr>
              <w:t>9</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Payments of deferred offering cost</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45</w:t>
            </w:r>
            <w:r>
              <w:rPr>
                <w:rFonts w:ascii="Arial" w:hAnsi="Arial" w:cs="Arial"/>
                <w:sz w:val="17"/>
                <w:szCs w:val="17"/>
              </w:rPr>
              <w:t>7</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Payments on other financing obligation</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91</w:t>
            </w:r>
            <w:r>
              <w:rPr>
                <w:rFonts w:ascii="Arial" w:hAnsi="Arial" w:cs="Arial"/>
                <w:sz w:val="17"/>
                <w:szCs w:val="17"/>
              </w:rPr>
              <w:t>5</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38</w:t>
            </w:r>
            <w:r>
              <w:rPr>
                <w:rFonts w:ascii="Arial" w:hAnsi="Arial" w:cs="Arial"/>
                <w:sz w:val="17"/>
                <w:szCs w:val="17"/>
              </w:rPr>
              <w:t>3</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Payments on finance lease</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7</w:t>
            </w:r>
            <w:r>
              <w:rPr>
                <w:rFonts w:ascii="Arial" w:hAnsi="Arial" w:cs="Arial"/>
                <w:sz w:val="17"/>
                <w:szCs w:val="17"/>
              </w:rPr>
              <w:t>4</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6</w:t>
            </w:r>
            <w:r>
              <w:rPr>
                <w:rFonts w:ascii="Arial" w:hAnsi="Arial" w:cs="Arial"/>
                <w:sz w:val="17"/>
                <w:szCs w:val="17"/>
              </w:rPr>
              <w:t>8</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7"/>
                <w:szCs w:val="17"/>
              </w:rPr>
            </w:pPr>
            <w:r>
              <w:rPr>
                <w:rFonts w:ascii="Arial" w:hAnsi="Arial" w:cs="Arial"/>
                <w:sz w:val="17"/>
                <w:szCs w:val="17"/>
              </w:rPr>
              <w:t>Net cash provided by (used in) financing activitie</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2,36</w:t>
            </w:r>
            <w:r>
              <w:rPr>
                <w:rFonts w:ascii="Arial" w:hAnsi="Arial" w:cs="Arial"/>
                <w:sz w:val="17"/>
                <w:szCs w:val="17"/>
              </w:rPr>
              <w:t>3</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9</w:t>
            </w:r>
            <w:r>
              <w:rPr>
                <w:rFonts w:ascii="Arial" w:hAnsi="Arial" w:cs="Arial"/>
                <w:sz w:val="17"/>
                <w:szCs w:val="17"/>
              </w:rPr>
              <w:t>5</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7"/>
                <w:szCs w:val="17"/>
              </w:rPr>
            </w:pPr>
            <w:r>
              <w:rPr>
                <w:rFonts w:ascii="Arial" w:hAnsi="Arial" w:cs="Arial"/>
                <w:sz w:val="17"/>
                <w:szCs w:val="17"/>
              </w:rPr>
              <w:t>Foreign currency effect on cash, cash equivalents and restricted cas</w:t>
            </w:r>
            <w:r>
              <w:rPr>
                <w:rFonts w:ascii="Arial" w:hAnsi="Arial" w:cs="Arial"/>
                <w:sz w:val="17"/>
                <w:szCs w:val="17"/>
              </w:rPr>
              <w:t>h</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1</w:t>
            </w:r>
            <w:r>
              <w:rPr>
                <w:rFonts w:ascii="Arial" w:hAnsi="Arial" w:cs="Arial"/>
                <w:sz w:val="17"/>
                <w:szCs w:val="17"/>
              </w:rPr>
              <w:t>0</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3</w:t>
            </w:r>
            <w:r>
              <w:rPr>
                <w:rFonts w:ascii="Arial" w:hAnsi="Arial" w:cs="Arial"/>
                <w:sz w:val="17"/>
                <w:szCs w:val="17"/>
              </w:rPr>
              <w:t>3</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400"/>
              <w:rPr>
                <w:sz w:val="17"/>
                <w:szCs w:val="17"/>
              </w:rPr>
            </w:pPr>
            <w:r>
              <w:rPr>
                <w:rFonts w:ascii="Arial" w:hAnsi="Arial" w:cs="Arial"/>
                <w:sz w:val="17"/>
                <w:szCs w:val="17"/>
              </w:rPr>
              <w:t>Net (decrease) increase in cash, cash equivalents and restricted cas</w:t>
            </w:r>
            <w:r>
              <w:rPr>
                <w:rFonts w:ascii="Arial" w:hAnsi="Arial" w:cs="Arial"/>
                <w:sz w:val="17"/>
                <w:szCs w:val="17"/>
              </w:rPr>
              <w:t>h</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1,66</w:t>
            </w:r>
            <w:r>
              <w:rPr>
                <w:rFonts w:ascii="Arial" w:hAnsi="Arial" w:cs="Arial"/>
                <w:sz w:val="17"/>
                <w:szCs w:val="17"/>
              </w:rPr>
              <w:t>3</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2,70</w:t>
            </w:r>
            <w:r>
              <w:rPr>
                <w:rFonts w:ascii="Arial" w:hAnsi="Arial" w:cs="Arial"/>
                <w:sz w:val="17"/>
                <w:szCs w:val="17"/>
              </w:rPr>
              <w:t>3</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7"/>
                <w:szCs w:val="17"/>
              </w:rPr>
            </w:pPr>
            <w:r>
              <w:rPr>
                <w:rFonts w:ascii="Arial" w:hAnsi="Arial" w:cs="Arial"/>
                <w:b/>
                <w:bCs/>
                <w:sz w:val="17"/>
                <w:szCs w:val="17"/>
              </w:rPr>
              <w:t>Cash, cash equivalents and restricted cas</w:t>
            </w:r>
            <w:r>
              <w:rPr>
                <w:rFonts w:ascii="Arial" w:hAnsi="Arial" w:cs="Arial"/>
                <w:b/>
                <w:bCs/>
                <w:sz w:val="17"/>
                <w:szCs w:val="17"/>
              </w:rPr>
              <w:t>h</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Beginning of perio</w:t>
            </w:r>
            <w:r>
              <w:rPr>
                <w:rFonts w:ascii="Arial" w:hAnsi="Arial" w:cs="Arial"/>
                <w:sz w:val="17"/>
                <w:szCs w:val="17"/>
              </w:rPr>
              <w:t>d</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201,82</w:t>
            </w:r>
            <w:r>
              <w:rPr>
                <w:rFonts w:ascii="Arial" w:hAnsi="Arial" w:cs="Arial"/>
                <w:sz w:val="17"/>
                <w:szCs w:val="17"/>
              </w:rPr>
              <w:t>9</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46,66</w:t>
            </w:r>
            <w:r>
              <w:rPr>
                <w:rFonts w:ascii="Arial" w:hAnsi="Arial" w:cs="Arial"/>
                <w:sz w:val="17"/>
                <w:szCs w:val="17"/>
              </w:rPr>
              <w:t>6</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End of perio</w:t>
            </w:r>
            <w:r>
              <w:rPr>
                <w:rFonts w:ascii="Arial" w:hAnsi="Arial" w:cs="Arial"/>
                <w:sz w:val="17"/>
                <w:szCs w:val="17"/>
              </w:rPr>
              <w:t>d</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200,16</w:t>
            </w:r>
            <w:r>
              <w:rPr>
                <w:rFonts w:ascii="Arial" w:hAnsi="Arial" w:cs="Arial"/>
                <w:sz w:val="17"/>
                <w:szCs w:val="17"/>
              </w:rPr>
              <w:t>6</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49,36</w:t>
            </w:r>
            <w:r>
              <w:rPr>
                <w:rFonts w:ascii="Arial" w:hAnsi="Arial" w:cs="Arial"/>
                <w:sz w:val="17"/>
                <w:szCs w:val="17"/>
              </w:rPr>
              <w:t>9</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7"/>
                <w:szCs w:val="17"/>
              </w:rPr>
            </w:pPr>
            <w:r>
              <w:rPr>
                <w:rFonts w:ascii="Arial" w:hAnsi="Arial" w:cs="Arial"/>
                <w:b/>
                <w:bCs/>
                <w:sz w:val="17"/>
                <w:szCs w:val="17"/>
              </w:rPr>
              <w:t>Supplemental disclosure of cash flow information</w:t>
            </w:r>
            <w:r>
              <w:rPr>
                <w:rFonts w:ascii="Arial" w:hAnsi="Arial" w:cs="Arial"/>
                <w:b/>
                <w:bCs/>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Cash paid for income taxes, net of refund</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17</w:t>
            </w:r>
            <w:r>
              <w:rPr>
                <w:rFonts w:ascii="Arial" w:hAnsi="Arial" w:cs="Arial"/>
                <w:sz w:val="17"/>
                <w:szCs w:val="17"/>
              </w:rPr>
              <w:t>3</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61</w:t>
            </w:r>
            <w:r>
              <w:rPr>
                <w:rFonts w:ascii="Arial" w:hAnsi="Arial" w:cs="Arial"/>
                <w:sz w:val="17"/>
                <w:szCs w:val="17"/>
              </w:rPr>
              <w:t>6</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7"/>
                <w:szCs w:val="17"/>
              </w:rPr>
            </w:pPr>
            <w:r>
              <w:rPr>
                <w:rFonts w:ascii="Arial" w:hAnsi="Arial" w:cs="Arial"/>
                <w:b/>
                <w:bCs/>
                <w:sz w:val="17"/>
                <w:szCs w:val="17"/>
              </w:rPr>
              <w:t>Non-cash investing activities</w:t>
            </w:r>
            <w:r>
              <w:rPr>
                <w:rFonts w:ascii="Arial" w:hAnsi="Arial" w:cs="Arial"/>
                <w:b/>
                <w:bCs/>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ind w:left="200"/>
              <w:rPr>
                <w:sz w:val="17"/>
                <w:szCs w:val="17"/>
              </w:rPr>
            </w:pPr>
            <w:r>
              <w:rPr>
                <w:rFonts w:ascii="Arial" w:hAnsi="Arial" w:cs="Arial"/>
                <w:sz w:val="17"/>
                <w:szCs w:val="17"/>
              </w:rPr>
              <w:t>Property and equipment purchases in accounts payabl</w:t>
            </w:r>
            <w:r>
              <w:rPr>
                <w:rFonts w:ascii="Arial" w:hAnsi="Arial" w:cs="Arial"/>
                <w:sz w:val="17"/>
                <w:szCs w:val="17"/>
              </w:rPr>
              <w:t>e</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12</w:t>
            </w:r>
            <w:r>
              <w:rPr>
                <w:rFonts w:ascii="Arial" w:hAnsi="Arial" w:cs="Arial"/>
                <w:sz w:val="17"/>
                <w:szCs w:val="17"/>
              </w:rPr>
              <w:t>3</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7</w:t>
            </w:r>
            <w:r>
              <w:rPr>
                <w:rFonts w:ascii="Arial" w:hAnsi="Arial" w:cs="Arial"/>
                <w:sz w:val="17"/>
                <w:szCs w:val="17"/>
              </w:rPr>
              <w:t>5</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hideMark/>
          </w:tcPr>
          <w:p w:rsidR="00000000" w:rsidRDefault="00CA40A2">
            <w:pPr>
              <w:pStyle w:val="a3"/>
              <w:spacing w:before="0" w:beforeAutospacing="0" w:after="0" w:afterAutospacing="0"/>
              <w:rPr>
                <w:sz w:val="17"/>
                <w:szCs w:val="17"/>
              </w:rPr>
            </w:pPr>
            <w:r>
              <w:rPr>
                <w:rFonts w:ascii="Arial" w:hAnsi="Arial" w:cs="Arial"/>
                <w:b/>
                <w:bCs/>
                <w:sz w:val="17"/>
                <w:szCs w:val="17"/>
              </w:rPr>
              <w:t>Non-cash financing activities</w:t>
            </w:r>
            <w:r>
              <w:rPr>
                <w:rFonts w:ascii="Arial" w:hAnsi="Arial" w:cs="Arial"/>
                <w:b/>
                <w:bCs/>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ind w:left="200"/>
              <w:rPr>
                <w:sz w:val="17"/>
                <w:szCs w:val="17"/>
              </w:rPr>
            </w:pPr>
            <w:r>
              <w:rPr>
                <w:rFonts w:ascii="Arial" w:hAnsi="Arial" w:cs="Arial"/>
                <w:sz w:val="17"/>
                <w:szCs w:val="17"/>
              </w:rPr>
              <w:t>Unpaid deferred offering cost</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19</w:t>
            </w:r>
            <w:r>
              <w:rPr>
                <w:rFonts w:ascii="Arial" w:hAnsi="Arial" w:cs="Arial"/>
                <w:sz w:val="17"/>
                <w:szCs w:val="17"/>
              </w:rPr>
              <w:t>0</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bl>
    <w:p w:rsidR="00000000" w:rsidRDefault="00CA40A2">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8</w:t>
      </w:r>
    </w:p>
    <w:p w:rsidR="00000000" w:rsidRDefault="00CA40A2">
      <w:pPr>
        <w:rPr>
          <w:rFonts w:eastAsia="Times New Roman"/>
        </w:rPr>
      </w:pPr>
      <w:r>
        <w:rPr>
          <w:rFonts w:eastAsia="Times New Roman"/>
        </w:rPr>
        <w:pict>
          <v:rect id="_x0000_i1033"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CONDENSED CONSOLIDATED STATEMENTS OF CASH FLOWS (Unaudited) (continued</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02"/>
        <w:gridCol w:w="130"/>
        <w:gridCol w:w="155"/>
        <w:gridCol w:w="1051"/>
        <w:gridCol w:w="108"/>
        <w:gridCol w:w="130"/>
        <w:gridCol w:w="155"/>
        <w:gridCol w:w="1052"/>
        <w:gridCol w:w="123"/>
      </w:tblGrid>
      <w:tr w:rsidR="00000000">
        <w:trPr>
          <w:tblCellSpacing w:w="15" w:type="dxa"/>
        </w:trPr>
        <w:tc>
          <w:tcPr>
            <w:tcW w:w="3359" w:type="pct"/>
            <w:vAlign w:val="center"/>
            <w:hideMark/>
          </w:tcPr>
          <w:p w:rsidR="00000000" w:rsidRDefault="00CA40A2">
            <w:pPr>
              <w:rPr>
                <w:sz w:val="20"/>
                <w:szCs w:val="20"/>
              </w:rPr>
            </w:pPr>
          </w:p>
        </w:tc>
        <w:tc>
          <w:tcPr>
            <w:tcW w:w="77" w:type="pct"/>
            <w:vAlign w:val="center"/>
            <w:hideMark/>
          </w:tcPr>
          <w:p w:rsidR="00000000" w:rsidRDefault="00CA40A2">
            <w:pPr>
              <w:rPr>
                <w:rFonts w:eastAsia="Times New Roman"/>
                <w:sz w:val="20"/>
                <w:szCs w:val="20"/>
              </w:rPr>
            </w:pPr>
          </w:p>
        </w:tc>
        <w:tc>
          <w:tcPr>
            <w:tcW w:w="61" w:type="pct"/>
            <w:vAlign w:val="center"/>
            <w:hideMark/>
          </w:tcPr>
          <w:p w:rsidR="00000000" w:rsidRDefault="00CA40A2">
            <w:pPr>
              <w:rPr>
                <w:rFonts w:eastAsia="Times New Roman"/>
                <w:sz w:val="20"/>
                <w:szCs w:val="20"/>
              </w:rPr>
            </w:pPr>
          </w:p>
        </w:tc>
        <w:tc>
          <w:tcPr>
            <w:tcW w:w="652" w:type="pct"/>
            <w:vAlign w:val="center"/>
            <w:hideMark/>
          </w:tcPr>
          <w:p w:rsidR="00000000" w:rsidRDefault="00CA40A2">
            <w:pPr>
              <w:rPr>
                <w:rFonts w:eastAsia="Times New Roman"/>
                <w:sz w:val="20"/>
                <w:szCs w:val="20"/>
              </w:rPr>
            </w:pPr>
          </w:p>
        </w:tc>
        <w:tc>
          <w:tcPr>
            <w:tcW w:w="30" w:type="pct"/>
            <w:vAlign w:val="center"/>
            <w:hideMark/>
          </w:tcPr>
          <w:p w:rsidR="00000000" w:rsidRDefault="00CA40A2">
            <w:pPr>
              <w:rPr>
                <w:rFonts w:eastAsia="Times New Roman"/>
                <w:sz w:val="20"/>
                <w:szCs w:val="20"/>
              </w:rPr>
            </w:pPr>
          </w:p>
        </w:tc>
        <w:tc>
          <w:tcPr>
            <w:tcW w:w="77" w:type="pct"/>
            <w:vAlign w:val="center"/>
            <w:hideMark/>
          </w:tcPr>
          <w:p w:rsidR="00000000" w:rsidRDefault="00CA40A2">
            <w:pPr>
              <w:rPr>
                <w:rFonts w:eastAsia="Times New Roman"/>
                <w:sz w:val="20"/>
                <w:szCs w:val="20"/>
              </w:rPr>
            </w:pPr>
          </w:p>
        </w:tc>
        <w:tc>
          <w:tcPr>
            <w:tcW w:w="61" w:type="pct"/>
            <w:vAlign w:val="center"/>
            <w:hideMark/>
          </w:tcPr>
          <w:p w:rsidR="00000000" w:rsidRDefault="00CA40A2">
            <w:pPr>
              <w:rPr>
                <w:rFonts w:eastAsia="Times New Roman"/>
                <w:sz w:val="20"/>
                <w:szCs w:val="20"/>
              </w:rPr>
            </w:pPr>
          </w:p>
        </w:tc>
        <w:tc>
          <w:tcPr>
            <w:tcW w:w="652" w:type="pct"/>
            <w:vAlign w:val="center"/>
            <w:hideMark/>
          </w:tcPr>
          <w:p w:rsidR="00000000" w:rsidRDefault="00CA40A2">
            <w:pPr>
              <w:rPr>
                <w:rFonts w:eastAsia="Times New Roman"/>
                <w:sz w:val="20"/>
                <w:szCs w:val="20"/>
              </w:rPr>
            </w:pPr>
          </w:p>
        </w:tc>
        <w:tc>
          <w:tcPr>
            <w:tcW w:w="30"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17"/>
                <w:szCs w:val="17"/>
              </w:rPr>
            </w:pPr>
            <w:r>
              <w:rPr>
                <w:rFonts w:ascii="Arial" w:hAnsi="Arial" w:cs="Arial"/>
                <w:b/>
                <w:bCs/>
                <w:sz w:val="17"/>
                <w:szCs w:val="17"/>
              </w:rPr>
              <w:t>The below table reconciles cash, cash equivalents, and restricted cash in the condensed consolidated balance sheets to the total of the same amounts shown in the condensed consolidated statements of cash flows</w:t>
            </w:r>
            <w:r>
              <w:rPr>
                <w:rFonts w:ascii="Arial" w:hAnsi="Arial" w:cs="Arial"/>
                <w:b/>
                <w:bCs/>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gridSpan w:val="2"/>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ind w:left="200"/>
              <w:rPr>
                <w:sz w:val="17"/>
                <w:szCs w:val="17"/>
              </w:rPr>
            </w:pPr>
            <w:r>
              <w:rPr>
                <w:rFonts w:ascii="Arial" w:hAnsi="Arial" w:cs="Arial"/>
                <w:sz w:val="17"/>
                <w:szCs w:val="17"/>
              </w:rPr>
              <w:t> Cash and cash equivalent</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163,38</w:t>
            </w:r>
            <w:r>
              <w:rPr>
                <w:rFonts w:ascii="Arial" w:hAnsi="Arial" w:cs="Arial"/>
                <w:sz w:val="17"/>
                <w:szCs w:val="17"/>
              </w:rPr>
              <w:t>4</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49,36</w:t>
            </w:r>
            <w:r>
              <w:rPr>
                <w:rFonts w:ascii="Arial" w:hAnsi="Arial" w:cs="Arial"/>
                <w:sz w:val="17"/>
                <w:szCs w:val="17"/>
              </w:rPr>
              <w:t>9</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ind w:left="200"/>
              <w:rPr>
                <w:sz w:val="17"/>
                <w:szCs w:val="17"/>
              </w:rPr>
            </w:pPr>
            <w:r>
              <w:rPr>
                <w:rFonts w:ascii="Arial" w:hAnsi="Arial" w:cs="Arial"/>
                <w:sz w:val="17"/>
                <w:szCs w:val="17"/>
              </w:rPr>
              <w:t> Restricted funds held for financial institution</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36,78</w:t>
            </w:r>
            <w:r>
              <w:rPr>
                <w:rFonts w:ascii="Arial" w:hAnsi="Arial" w:cs="Arial"/>
                <w:sz w:val="17"/>
                <w:szCs w:val="17"/>
              </w:rPr>
              <w:t>2</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r>
              <w:rPr>
                <w:rFonts w:ascii="Arial" w:hAnsi="Arial" w:cs="Arial"/>
                <w:sz w:val="17"/>
                <w:szCs w:val="17"/>
              </w:rPr>
              <w:t>Total cash, cash equivalents and restricted cash as shown in the condensed consolidated statements of cash flow</w:t>
            </w:r>
            <w:r>
              <w:rPr>
                <w:rFonts w:ascii="Arial" w:hAnsi="Arial" w:cs="Arial"/>
                <w:sz w:val="17"/>
                <w:szCs w:val="17"/>
              </w:rPr>
              <w:t>s</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200,16</w:t>
            </w:r>
            <w:r>
              <w:rPr>
                <w:rFonts w:ascii="Arial" w:hAnsi="Arial" w:cs="Arial"/>
                <w:sz w:val="17"/>
                <w:szCs w:val="17"/>
              </w:rPr>
              <w:t>6</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17"/>
                <w:szCs w:val="17"/>
              </w:rPr>
              <w:t>49,36</w:t>
            </w:r>
            <w:r>
              <w:rPr>
                <w:rFonts w:ascii="Arial" w:hAnsi="Arial" w:cs="Arial"/>
                <w:sz w:val="17"/>
                <w:szCs w:val="17"/>
              </w:rPr>
              <w:t>9</w:t>
            </w:r>
          </w:p>
        </w:tc>
        <w:tc>
          <w:tcPr>
            <w:tcW w:w="0" w:type="auto"/>
            <w:vAlign w:val="bottom"/>
            <w:hideMark/>
          </w:tcPr>
          <w:p w:rsidR="00000000" w:rsidRDefault="00CA40A2">
            <w:pPr>
              <w:pStyle w:val="a3"/>
              <w:spacing w:before="0" w:beforeAutospacing="0" w:after="0" w:afterAutospacing="0"/>
              <w:rPr>
                <w:sz w:val="17"/>
                <w:szCs w:val="17"/>
              </w:rPr>
            </w:pPr>
            <w:r>
              <w:rPr>
                <w:rFonts w:ascii="Arial" w:hAnsi="Arial" w:cs="Arial"/>
                <w:sz w:val="17"/>
                <w:szCs w:val="17"/>
              </w:rPr>
              <w:t> </w:t>
            </w:r>
          </w:p>
        </w:tc>
      </w:tr>
    </w:tbl>
    <w:p w:rsidR="00000000" w:rsidRDefault="00CA40A2">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9</w:t>
      </w:r>
    </w:p>
    <w:p w:rsidR="00000000" w:rsidRDefault="00CA40A2">
      <w:pPr>
        <w:rPr>
          <w:rFonts w:eastAsia="Times New Roman"/>
        </w:rPr>
      </w:pPr>
      <w:r>
        <w:rPr>
          <w:rFonts w:eastAsia="Times New Roman"/>
        </w:rPr>
        <w:pict>
          <v:rect id="_x0000_i1034"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CA40A2">
      <w:pPr>
        <w:pStyle w:val="a3"/>
        <w:spacing w:before="0" w:beforeAutospacing="0" w:after="0" w:afterAutospacing="0"/>
        <w:jc w:val="center"/>
        <w:rPr>
          <w:sz w:val="20"/>
          <w:szCs w:val="20"/>
        </w:rPr>
      </w:pPr>
      <w:r>
        <w:rPr>
          <w:rFonts w:ascii="Arial" w:hAnsi="Arial" w:cs="Arial"/>
          <w:sz w:val="20"/>
          <w:szCs w:val="20"/>
        </w:rPr>
        <w:t xml:space="preserve">NOTES TO CONDENSED CONSOLIDATED </w:t>
      </w:r>
      <w:r>
        <w:rPr>
          <w:rFonts w:ascii="Arial" w:hAnsi="Arial" w:cs="Arial"/>
          <w:sz w:val="20"/>
          <w:szCs w:val="20"/>
        </w:rPr>
        <w:t>F</w:t>
      </w:r>
      <w:r>
        <w:rPr>
          <w:rFonts w:ascii="Arial" w:hAnsi="Arial" w:cs="Arial"/>
          <w:sz w:val="20"/>
          <w:szCs w:val="20"/>
        </w:rPr>
        <w:t>INANCIAL STATEMENTS (Unaudited</w:t>
      </w:r>
      <w:r>
        <w:rPr>
          <w:rFonts w:ascii="Arial" w:hAnsi="Arial" w:cs="Arial"/>
          <w:sz w:val="20"/>
          <w:szCs w:val="20"/>
        </w:rPr>
        <w:t>)</w:t>
      </w:r>
    </w:p>
    <w:p w:rsidR="00000000" w:rsidRDefault="00CA40A2">
      <w:pPr>
        <w:pStyle w:val="a3"/>
        <w:spacing w:before="240" w:beforeAutospacing="0" w:after="0" w:afterAutospacing="0"/>
        <w:ind w:hanging="422"/>
        <w:divId w:val="940646532"/>
        <w:rPr>
          <w:sz w:val="20"/>
          <w:szCs w:val="20"/>
        </w:rPr>
      </w:pPr>
      <w:r>
        <w:rPr>
          <w:rFonts w:ascii="Arial" w:hAnsi="Arial" w:cs="Arial"/>
          <w:b/>
          <w:bCs/>
          <w:sz w:val="20"/>
          <w:szCs w:val="20"/>
        </w:rPr>
        <w:t>1. Organization and Description of Busines</w:t>
      </w:r>
      <w:r>
        <w:rPr>
          <w:rFonts w:ascii="Arial" w:hAnsi="Arial" w:cs="Arial"/>
          <w:b/>
          <w:bCs/>
          <w:sz w:val="20"/>
          <w:szCs w:val="20"/>
        </w:rPr>
        <w:t>s</w:t>
      </w:r>
    </w:p>
    <w:p w:rsidR="00000000" w:rsidRDefault="00CA40A2">
      <w:pPr>
        <w:pStyle w:val="a3"/>
        <w:spacing w:before="240" w:beforeAutospacing="0" w:after="0" w:afterAutospacing="0"/>
        <w:divId w:val="940646532"/>
        <w:rPr>
          <w:sz w:val="20"/>
          <w:szCs w:val="20"/>
        </w:rPr>
      </w:pPr>
      <w:r>
        <w:rPr>
          <w:rFonts w:ascii="Arial" w:hAnsi="Arial" w:cs="Arial"/>
          <w:b/>
          <w:bCs/>
          <w:i/>
          <w:iCs/>
          <w:sz w:val="20"/>
          <w:szCs w:val="20"/>
        </w:rPr>
        <w:t>Description of Busines</w:t>
      </w:r>
      <w:r>
        <w:rPr>
          <w:rFonts w:ascii="Arial" w:hAnsi="Arial" w:cs="Arial"/>
          <w:b/>
          <w:bCs/>
          <w:i/>
          <w:iCs/>
          <w:sz w:val="20"/>
          <w:szCs w:val="20"/>
        </w:rPr>
        <w:t>s</w:t>
      </w:r>
    </w:p>
    <w:p w:rsidR="00000000" w:rsidRDefault="00CA40A2">
      <w:pPr>
        <w:pStyle w:val="a3"/>
        <w:spacing w:before="120" w:beforeAutospacing="0" w:after="0" w:afterAutospacing="0"/>
        <w:ind w:firstLine="539"/>
        <w:divId w:val="940646532"/>
        <w:rPr>
          <w:sz w:val="20"/>
          <w:szCs w:val="20"/>
        </w:rPr>
      </w:pPr>
      <w:r>
        <w:rPr>
          <w:rFonts w:ascii="Arial" w:hAnsi="Arial" w:cs="Arial"/>
          <w:sz w:val="20"/>
          <w:szCs w:val="20"/>
        </w:rPr>
        <w:t>Paymentus Holdings, Inc. and its wholly owned subsidiaries (</w:t>
      </w:r>
      <w:r>
        <w:rPr>
          <w:rFonts w:ascii="Arial" w:hAnsi="Arial" w:cs="Arial"/>
          <w:sz w:val="20"/>
          <w:szCs w:val="20"/>
        </w:rPr>
        <w:t>“Paymentus” or the "Company”) provides electronic bill presentment and payment services, enterprise customer communication and self-service revenue management to billers through a Software-as-a-Service, (“SaaS”), secure, omni-channel technology platform. T</w:t>
      </w:r>
      <w:r>
        <w:rPr>
          <w:rFonts w:ascii="Arial" w:hAnsi="Arial" w:cs="Arial"/>
          <w:sz w:val="20"/>
          <w:szCs w:val="20"/>
        </w:rPr>
        <w:t>he platform seamlessly integrates into a biller’s core financial and operating systems to provide flexible and secure access to payment processing of credit cards, debit cards, eChecks and digital wallets across a significant number of channels including o</w:t>
      </w:r>
      <w:r>
        <w:rPr>
          <w:rFonts w:ascii="Arial" w:hAnsi="Arial" w:cs="Arial"/>
          <w:sz w:val="20"/>
          <w:szCs w:val="20"/>
        </w:rPr>
        <w:t>nline, mobile, IVR, call center, chatbot and voice-based assistants. Paymentus was incorporated in the state of Delaware on September 2, 2011 with office locations in Charlotte, North Carolina, Richmond Hill, Ontario (Canada), Blacksburg, Virginia, Cromwel</w:t>
      </w:r>
      <w:r>
        <w:rPr>
          <w:rFonts w:ascii="Arial" w:hAnsi="Arial" w:cs="Arial"/>
          <w:sz w:val="20"/>
          <w:szCs w:val="20"/>
        </w:rPr>
        <w:t>l, Connecticut, Redmond, Washington and Delhi and Bangalore (India). The Company was headquartered in Charlotte, North Carolina until 2020 when the Company moved its headquarters to Redmond, Washington</w:t>
      </w:r>
      <w:r>
        <w:rPr>
          <w:rFonts w:ascii="Arial" w:hAnsi="Arial" w:cs="Arial"/>
          <w:sz w:val="20"/>
          <w:szCs w:val="20"/>
        </w:rPr>
        <w:t>.</w:t>
      </w:r>
    </w:p>
    <w:p w:rsidR="00000000" w:rsidRDefault="00CA40A2">
      <w:pPr>
        <w:pStyle w:val="a3"/>
        <w:spacing w:before="120" w:beforeAutospacing="0" w:after="0" w:afterAutospacing="0"/>
        <w:jc w:val="both"/>
        <w:divId w:val="940646532"/>
        <w:rPr>
          <w:sz w:val="20"/>
          <w:szCs w:val="20"/>
        </w:rPr>
      </w:pPr>
      <w:r>
        <w:rPr>
          <w:rFonts w:ascii="Arial" w:hAnsi="Arial" w:cs="Arial"/>
          <w:b/>
          <w:bCs/>
          <w:i/>
          <w:iCs/>
          <w:sz w:val="20"/>
          <w:szCs w:val="20"/>
        </w:rPr>
        <w:t>Initial Public Offering and Private Placemen</w:t>
      </w:r>
      <w:r>
        <w:rPr>
          <w:rFonts w:ascii="Arial" w:hAnsi="Arial" w:cs="Arial"/>
          <w:b/>
          <w:bCs/>
          <w:i/>
          <w:iCs/>
          <w:sz w:val="20"/>
          <w:szCs w:val="20"/>
        </w:rPr>
        <w:t>t</w:t>
      </w:r>
    </w:p>
    <w:p w:rsidR="00000000" w:rsidRDefault="00CA40A2">
      <w:pPr>
        <w:pStyle w:val="a3"/>
        <w:spacing w:before="120" w:beforeAutospacing="0" w:after="0" w:afterAutospacing="0"/>
        <w:ind w:firstLine="539"/>
        <w:divId w:val="940646532"/>
        <w:rPr>
          <w:sz w:val="20"/>
          <w:szCs w:val="20"/>
        </w:rPr>
      </w:pPr>
      <w:r>
        <w:rPr>
          <w:rFonts w:ascii="Arial" w:hAnsi="Arial" w:cs="Arial"/>
          <w:sz w:val="20"/>
          <w:szCs w:val="20"/>
        </w:rPr>
        <w:t>In May 2021, the Company completed its initial public offering (“IPO”), in which the Company issued and sold</w:t>
      </w:r>
      <w:r>
        <w:rPr>
          <w:rFonts w:ascii="Arial" w:hAnsi="Arial" w:cs="Arial"/>
          <w:sz w:val="20"/>
          <w:szCs w:val="20"/>
        </w:rPr>
        <w:t xml:space="preserve"> </w:t>
      </w:r>
      <w:r>
        <w:rPr>
          <w:rFonts w:ascii="Arial" w:hAnsi="Arial" w:cs="Arial"/>
          <w:sz w:val="20"/>
          <w:szCs w:val="20"/>
        </w:rPr>
        <w:t>11,500,00</w:t>
      </w:r>
      <w:r>
        <w:rPr>
          <w:rFonts w:ascii="Arial" w:hAnsi="Arial" w:cs="Arial"/>
          <w:sz w:val="20"/>
          <w:szCs w:val="20"/>
        </w:rPr>
        <w:t>0</w:t>
      </w:r>
      <w:r>
        <w:rPr>
          <w:rFonts w:ascii="Arial" w:hAnsi="Arial" w:cs="Arial"/>
          <w:sz w:val="20"/>
          <w:szCs w:val="20"/>
        </w:rPr>
        <w:t xml:space="preserve"> shares of its Class A common stock at</w:t>
      </w:r>
      <w:r>
        <w:rPr>
          <w:rFonts w:ascii="Arial" w:hAnsi="Arial" w:cs="Arial"/>
          <w:sz w:val="20"/>
          <w:szCs w:val="20"/>
        </w:rPr>
        <w:t xml:space="preserve"> </w:t>
      </w:r>
      <w:r>
        <w:rPr>
          <w:rFonts w:ascii="Arial" w:hAnsi="Arial" w:cs="Arial"/>
          <w:sz w:val="20"/>
          <w:szCs w:val="20"/>
        </w:rPr>
        <w:t>$</w:t>
      </w:r>
      <w:r>
        <w:rPr>
          <w:rFonts w:ascii="Arial" w:hAnsi="Arial" w:cs="Arial"/>
          <w:sz w:val="20"/>
          <w:szCs w:val="20"/>
        </w:rPr>
        <w:t>21.0</w:t>
      </w:r>
      <w:r>
        <w:rPr>
          <w:rFonts w:ascii="Arial" w:hAnsi="Arial" w:cs="Arial"/>
          <w:sz w:val="20"/>
          <w:szCs w:val="20"/>
        </w:rPr>
        <w:t>0</w:t>
      </w:r>
      <w:r>
        <w:rPr>
          <w:rFonts w:ascii="Arial" w:hAnsi="Arial" w:cs="Arial"/>
          <w:sz w:val="20"/>
          <w:szCs w:val="20"/>
        </w:rPr>
        <w:t xml:space="preserve"> per share, including</w:t>
      </w:r>
      <w:r>
        <w:rPr>
          <w:rFonts w:ascii="Arial" w:hAnsi="Arial" w:cs="Arial"/>
          <w:sz w:val="20"/>
          <w:szCs w:val="20"/>
        </w:rPr>
        <w:t xml:space="preserve"> </w:t>
      </w:r>
      <w:r>
        <w:rPr>
          <w:rFonts w:ascii="Arial" w:hAnsi="Arial" w:cs="Arial"/>
          <w:sz w:val="20"/>
          <w:szCs w:val="20"/>
        </w:rPr>
        <w:t>1,500,00</w:t>
      </w:r>
      <w:r>
        <w:rPr>
          <w:rFonts w:ascii="Arial" w:hAnsi="Arial" w:cs="Arial"/>
          <w:sz w:val="20"/>
          <w:szCs w:val="20"/>
        </w:rPr>
        <w:t>0</w:t>
      </w:r>
      <w:r>
        <w:rPr>
          <w:rFonts w:ascii="Arial" w:hAnsi="Arial" w:cs="Arial"/>
          <w:sz w:val="20"/>
          <w:szCs w:val="20"/>
        </w:rPr>
        <w:t xml:space="preserve"> shares issued </w:t>
      </w:r>
      <w:r>
        <w:rPr>
          <w:rFonts w:ascii="Arial" w:hAnsi="Arial" w:cs="Arial"/>
          <w:sz w:val="20"/>
          <w:szCs w:val="20"/>
        </w:rPr>
        <w:t>upon the exercise of the underwriters’ option to purchase additional shares. The Company received net proceeds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224.</w:t>
      </w:r>
      <w:r>
        <w:rPr>
          <w:rFonts w:ascii="Arial" w:hAnsi="Arial" w:cs="Arial"/>
          <w:sz w:val="20"/>
          <w:szCs w:val="20"/>
        </w:rPr>
        <w:t>6</w:t>
      </w:r>
      <w:r>
        <w:rPr>
          <w:rFonts w:ascii="Arial" w:hAnsi="Arial" w:cs="Arial"/>
          <w:sz w:val="20"/>
          <w:szCs w:val="20"/>
        </w:rPr>
        <w:t xml:space="preserve"> million after deducting underwriting discounts and commissions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16.</w:t>
      </w:r>
      <w:r>
        <w:rPr>
          <w:rFonts w:ascii="Arial" w:hAnsi="Arial" w:cs="Arial"/>
          <w:sz w:val="20"/>
          <w:szCs w:val="20"/>
        </w:rPr>
        <w:t>9</w:t>
      </w:r>
      <w:r>
        <w:rPr>
          <w:rFonts w:ascii="Arial" w:hAnsi="Arial" w:cs="Arial"/>
          <w:sz w:val="20"/>
          <w:szCs w:val="20"/>
        </w:rPr>
        <w:t xml:space="preserve"> million. The Company incurred direct offering expenses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w:t>
      </w:r>
      <w:r>
        <w:rPr>
          <w:rFonts w:ascii="Arial" w:hAnsi="Arial" w:cs="Arial"/>
          <w:sz w:val="20"/>
          <w:szCs w:val="20"/>
        </w:rPr>
        <w:t>million</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divId w:val="940646532"/>
        <w:rPr>
          <w:sz w:val="20"/>
          <w:szCs w:val="20"/>
        </w:rPr>
      </w:pPr>
      <w:r>
        <w:rPr>
          <w:rFonts w:ascii="Arial" w:hAnsi="Arial" w:cs="Arial"/>
          <w:sz w:val="20"/>
          <w:szCs w:val="20"/>
        </w:rPr>
        <w:t>In connection with the IPO</w:t>
      </w:r>
      <w:r>
        <w:rPr>
          <w:rFonts w:ascii="Arial" w:hAnsi="Arial" w:cs="Arial"/>
          <w:sz w:val="20"/>
          <w:szCs w:val="20"/>
        </w:rPr>
        <w:t>:</w:t>
      </w:r>
    </w:p>
    <w:p w:rsidR="00000000" w:rsidRDefault="00CA40A2">
      <w:pPr>
        <w:divId w:val="1697733078"/>
        <w:rPr>
          <w:rFonts w:ascii="Arial" w:eastAsia="Times New Roman" w:hAnsi="Arial" w:cs="Arial"/>
          <w:sz w:val="20"/>
          <w:szCs w:val="20"/>
        </w:rPr>
      </w:pPr>
      <w:r>
        <w:rPr>
          <w:rFonts w:eastAsia="Times New Roman"/>
          <w:sz w:val="20"/>
          <w:szCs w:val="20"/>
        </w:rPr>
        <w:t>•</w:t>
      </w:r>
    </w:p>
    <w:p w:rsidR="00000000" w:rsidRDefault="00CA40A2">
      <w:pPr>
        <w:divId w:val="526526803"/>
        <w:rPr>
          <w:rFonts w:ascii="Arial" w:eastAsia="Times New Roman" w:hAnsi="Arial" w:cs="Arial"/>
          <w:sz w:val="20"/>
          <w:szCs w:val="20"/>
        </w:rPr>
      </w:pPr>
      <w:r>
        <w:rPr>
          <w:rFonts w:ascii="Arial" w:eastAsia="Times New Roman" w:hAnsi="Arial" w:cs="Arial"/>
          <w:sz w:val="20"/>
          <w:szCs w:val="20"/>
        </w:rPr>
        <w:t>all</w:t>
      </w:r>
      <w:r>
        <w:rPr>
          <w:rFonts w:ascii="Arial" w:eastAsia="Times New Roman" w:hAnsi="Arial" w:cs="Arial"/>
          <w:sz w:val="20"/>
          <w:szCs w:val="20"/>
        </w:rPr>
        <w:t xml:space="preserve"> </w:t>
      </w:r>
      <w:r>
        <w:rPr>
          <w:rFonts w:ascii="Arial" w:eastAsia="Times New Roman" w:hAnsi="Arial" w:cs="Arial"/>
          <w:sz w:val="20"/>
          <w:szCs w:val="20"/>
        </w:rPr>
        <w:t>103,479,23</w:t>
      </w:r>
      <w:r>
        <w:rPr>
          <w:rFonts w:ascii="Arial" w:eastAsia="Times New Roman" w:hAnsi="Arial" w:cs="Arial"/>
          <w:sz w:val="20"/>
          <w:szCs w:val="20"/>
        </w:rPr>
        <w:t>9</w:t>
      </w:r>
      <w:r>
        <w:rPr>
          <w:rFonts w:ascii="Arial" w:eastAsia="Times New Roman" w:hAnsi="Arial" w:cs="Arial"/>
          <w:sz w:val="20"/>
          <w:szCs w:val="20"/>
        </w:rPr>
        <w:t xml:space="preserve"> shares of the Company’s outstanding common stock automatically converted into an equivalent number of shares of Class B common stock on a one-to-one basis; an</w:t>
      </w:r>
      <w:r>
        <w:rPr>
          <w:rFonts w:ascii="Arial" w:eastAsia="Times New Roman" w:hAnsi="Arial" w:cs="Arial"/>
          <w:sz w:val="20"/>
          <w:szCs w:val="20"/>
        </w:rPr>
        <w:t>d</w:t>
      </w:r>
    </w:p>
    <w:p w:rsidR="00000000" w:rsidRDefault="00CA40A2">
      <w:pPr>
        <w:divId w:val="1852333631"/>
        <w:rPr>
          <w:rFonts w:ascii="Arial" w:eastAsia="Times New Roman" w:hAnsi="Arial" w:cs="Arial"/>
          <w:sz w:val="20"/>
          <w:szCs w:val="20"/>
        </w:rPr>
      </w:pPr>
      <w:r>
        <w:rPr>
          <w:rFonts w:eastAsia="Times New Roman"/>
          <w:sz w:val="20"/>
          <w:szCs w:val="20"/>
        </w:rPr>
        <w:t>•</w:t>
      </w:r>
    </w:p>
    <w:p w:rsidR="00000000" w:rsidRDefault="00CA40A2">
      <w:pPr>
        <w:divId w:val="441874947"/>
        <w:rPr>
          <w:rFonts w:ascii="Arial" w:eastAsia="Times New Roman" w:hAnsi="Arial" w:cs="Arial"/>
          <w:sz w:val="20"/>
          <w:szCs w:val="20"/>
        </w:rPr>
      </w:pPr>
      <w:r>
        <w:rPr>
          <w:rFonts w:ascii="Arial" w:eastAsia="Times New Roman" w:hAnsi="Arial" w:cs="Arial"/>
          <w:sz w:val="20"/>
          <w:szCs w:val="20"/>
        </w:rPr>
        <w:t>entities affiliated with Accel-KKR pur</w:t>
      </w:r>
      <w:r>
        <w:rPr>
          <w:rFonts w:ascii="Arial" w:eastAsia="Times New Roman" w:hAnsi="Arial" w:cs="Arial"/>
          <w:sz w:val="20"/>
          <w:szCs w:val="20"/>
        </w:rPr>
        <w:t>chased</w:t>
      </w:r>
      <w:r>
        <w:rPr>
          <w:rFonts w:ascii="Arial" w:eastAsia="Times New Roman" w:hAnsi="Arial" w:cs="Arial"/>
          <w:sz w:val="20"/>
          <w:szCs w:val="20"/>
        </w:rPr>
        <w:t xml:space="preserve"> </w:t>
      </w:r>
      <w:r>
        <w:rPr>
          <w:rFonts w:ascii="Arial" w:eastAsia="Times New Roman" w:hAnsi="Arial" w:cs="Arial"/>
          <w:sz w:val="20"/>
          <w:szCs w:val="20"/>
        </w:rPr>
        <w:t>2,380,95</w:t>
      </w:r>
      <w:r>
        <w:rPr>
          <w:rFonts w:ascii="Arial" w:eastAsia="Times New Roman" w:hAnsi="Arial" w:cs="Arial"/>
          <w:sz w:val="20"/>
          <w:szCs w:val="20"/>
        </w:rPr>
        <w:t>0</w:t>
      </w:r>
      <w:r>
        <w:rPr>
          <w:rFonts w:ascii="Arial" w:eastAsia="Times New Roman" w:hAnsi="Arial" w:cs="Arial"/>
          <w:sz w:val="20"/>
          <w:szCs w:val="20"/>
        </w:rPr>
        <w:t xml:space="preserve"> shares of the Company’s Class A common stock at</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21.0</w:t>
      </w:r>
      <w:r>
        <w:rPr>
          <w:rFonts w:ascii="Arial" w:eastAsia="Times New Roman" w:hAnsi="Arial" w:cs="Arial"/>
          <w:sz w:val="20"/>
          <w:szCs w:val="20"/>
        </w:rPr>
        <w:t>0</w:t>
      </w:r>
      <w:r>
        <w:rPr>
          <w:rFonts w:ascii="Arial" w:eastAsia="Times New Roman" w:hAnsi="Arial" w:cs="Arial"/>
          <w:sz w:val="20"/>
          <w:szCs w:val="20"/>
        </w:rPr>
        <w:t xml:space="preserve"> per share in a concurrent private placement that closed immediately subsequent to the closing of the IPO. The Company received aggregate proceeds of</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50.</w:t>
      </w:r>
      <w:r>
        <w:rPr>
          <w:rFonts w:ascii="Arial" w:eastAsia="Times New Roman" w:hAnsi="Arial" w:cs="Arial"/>
          <w:sz w:val="20"/>
          <w:szCs w:val="20"/>
        </w:rPr>
        <w:t>0</w:t>
      </w:r>
      <w:r>
        <w:rPr>
          <w:rFonts w:ascii="Arial" w:eastAsia="Times New Roman" w:hAnsi="Arial" w:cs="Arial"/>
          <w:sz w:val="20"/>
          <w:szCs w:val="20"/>
        </w:rPr>
        <w:t xml:space="preserve"> million in this concurrent pr</w:t>
      </w:r>
      <w:r>
        <w:rPr>
          <w:rFonts w:ascii="Arial" w:eastAsia="Times New Roman" w:hAnsi="Arial" w:cs="Arial"/>
          <w:sz w:val="20"/>
          <w:szCs w:val="20"/>
        </w:rPr>
        <w:t>ivate placement and did not pay underwriting discounts or commissions with respect to the shares of Class A common stock that were sold in the private placement</w:t>
      </w:r>
      <w:r>
        <w:rPr>
          <w:rFonts w:ascii="Arial" w:eastAsia="Times New Roman" w:hAnsi="Arial" w:cs="Arial"/>
          <w:sz w:val="20"/>
          <w:szCs w:val="20"/>
        </w:rPr>
        <w:t>.</w:t>
      </w:r>
    </w:p>
    <w:p w:rsidR="00000000" w:rsidRDefault="00CA40A2">
      <w:pPr>
        <w:pStyle w:val="a3"/>
        <w:spacing w:before="240" w:beforeAutospacing="0" w:after="0" w:afterAutospacing="0"/>
        <w:ind w:hanging="569"/>
        <w:divId w:val="1931230591"/>
        <w:rPr>
          <w:sz w:val="20"/>
          <w:szCs w:val="20"/>
        </w:rPr>
      </w:pPr>
      <w:r>
        <w:rPr>
          <w:rFonts w:ascii="Arial" w:hAnsi="Arial" w:cs="Arial"/>
          <w:b/>
          <w:bCs/>
          <w:sz w:val="20"/>
          <w:szCs w:val="20"/>
        </w:rPr>
        <w:t>2. Basis of Presentation and Summary of Significant Accounting Policie</w:t>
      </w:r>
      <w:r>
        <w:rPr>
          <w:rFonts w:ascii="Arial" w:hAnsi="Arial" w:cs="Arial"/>
          <w:b/>
          <w:bCs/>
          <w:sz w:val="20"/>
          <w:szCs w:val="20"/>
        </w:rPr>
        <w:t>s</w:t>
      </w:r>
    </w:p>
    <w:p w:rsidR="00000000" w:rsidRDefault="00CA40A2">
      <w:pPr>
        <w:pStyle w:val="a3"/>
        <w:spacing w:before="240" w:beforeAutospacing="0" w:after="0" w:afterAutospacing="0"/>
        <w:divId w:val="68769785"/>
        <w:rPr>
          <w:sz w:val="20"/>
          <w:szCs w:val="20"/>
        </w:rPr>
      </w:pPr>
      <w:r>
        <w:rPr>
          <w:rFonts w:ascii="Arial" w:hAnsi="Arial" w:cs="Arial"/>
          <w:b/>
          <w:bCs/>
          <w:i/>
          <w:iCs/>
          <w:sz w:val="20"/>
          <w:szCs w:val="20"/>
        </w:rPr>
        <w:t>Basis of Presentatio</w:t>
      </w:r>
      <w:r>
        <w:rPr>
          <w:rFonts w:ascii="Arial" w:hAnsi="Arial" w:cs="Arial"/>
          <w:b/>
          <w:bCs/>
          <w:i/>
          <w:iCs/>
          <w:sz w:val="20"/>
          <w:szCs w:val="20"/>
        </w:rPr>
        <w:t>n</w:t>
      </w:r>
    </w:p>
    <w:p w:rsidR="00000000" w:rsidRDefault="00CA40A2">
      <w:pPr>
        <w:pStyle w:val="a3"/>
        <w:spacing w:before="120" w:beforeAutospacing="0" w:after="0" w:afterAutospacing="0"/>
        <w:ind w:firstLine="539"/>
        <w:divId w:val="68769785"/>
        <w:rPr>
          <w:sz w:val="20"/>
          <w:szCs w:val="20"/>
        </w:rPr>
      </w:pPr>
      <w:r>
        <w:rPr>
          <w:rFonts w:ascii="Arial" w:hAnsi="Arial" w:cs="Arial"/>
          <w:sz w:val="20"/>
          <w:szCs w:val="20"/>
        </w:rPr>
        <w:t>The accompanying unaudited interim condensed consolidated financial statements and related notes have been prepared in accordance with accounting principles generally accepted in the United States (“GAAP”) and applicable rules and regulations of the United</w:t>
      </w:r>
      <w:r>
        <w:rPr>
          <w:rFonts w:ascii="Arial" w:hAnsi="Arial" w:cs="Arial"/>
          <w:sz w:val="20"/>
          <w:szCs w:val="20"/>
        </w:rPr>
        <w:t xml:space="preserve"> States Securities and Exchange Commission (the “SEC”) regarding interim financial reporting. Accordingly, they do not include all disclosures normally required in annual consolidated financial statements prepared in accordance with GAAP. Therefore, these </w:t>
      </w:r>
      <w:r>
        <w:rPr>
          <w:rFonts w:ascii="Arial" w:hAnsi="Arial" w:cs="Arial"/>
          <w:sz w:val="20"/>
          <w:szCs w:val="20"/>
        </w:rPr>
        <w:t>unaudited condensed consolidated financial statements and related notes should be read in conjunction with the audited consolidated financial statements and the related notes included in the Company's Form 10-K for the year ended December 31, 2021 filed wi</w:t>
      </w:r>
      <w:r>
        <w:rPr>
          <w:rFonts w:ascii="Arial" w:hAnsi="Arial" w:cs="Arial"/>
          <w:sz w:val="20"/>
          <w:szCs w:val="20"/>
        </w:rPr>
        <w:t>th the SEC on March 3, 2022, (the "2021 Form 10-K")</w:t>
      </w:r>
      <w:r>
        <w:rPr>
          <w:rFonts w:ascii="Arial" w:hAnsi="Arial" w:cs="Arial"/>
          <w:sz w:val="20"/>
          <w:szCs w:val="20"/>
        </w:rPr>
        <w:t>.</w:t>
      </w:r>
    </w:p>
    <w:p w:rsidR="00000000" w:rsidRDefault="00CA40A2">
      <w:pPr>
        <w:pStyle w:val="a3"/>
        <w:spacing w:before="120" w:beforeAutospacing="0" w:after="0" w:afterAutospacing="0"/>
        <w:ind w:firstLine="539"/>
        <w:divId w:val="1931230591"/>
        <w:rPr>
          <w:sz w:val="20"/>
          <w:szCs w:val="20"/>
        </w:rPr>
      </w:pPr>
      <w:r>
        <w:rPr>
          <w:rFonts w:ascii="Arial" w:hAnsi="Arial" w:cs="Arial"/>
          <w:sz w:val="20"/>
          <w:szCs w:val="20"/>
        </w:rPr>
        <w:t>These unaudited interim condensed consolidated financial statements have been prepared on the same basis as the annual financial statements and reflect all adjustments, which include only normal recurrin</w:t>
      </w:r>
      <w:r>
        <w:rPr>
          <w:rFonts w:ascii="Arial" w:hAnsi="Arial" w:cs="Arial"/>
          <w:sz w:val="20"/>
          <w:szCs w:val="20"/>
        </w:rPr>
        <w:t xml:space="preserve">g adjustments necessary for the fair statement of the Company’s financial position, results of operations, comprehensive income, changes in stockholders' equity and cash flows for the periods presented. The results of operations for the three months ended </w:t>
      </w:r>
      <w:r>
        <w:rPr>
          <w:rFonts w:ascii="Arial" w:hAnsi="Arial" w:cs="Arial"/>
          <w:sz w:val="20"/>
          <w:szCs w:val="20"/>
        </w:rPr>
        <w:t>March 31, 202</w:t>
      </w:r>
      <w:r>
        <w:rPr>
          <w:rFonts w:ascii="Arial" w:hAnsi="Arial" w:cs="Arial"/>
          <w:sz w:val="20"/>
          <w:szCs w:val="20"/>
        </w:rPr>
        <w:t>2</w:t>
      </w:r>
      <w:r>
        <w:rPr>
          <w:rFonts w:ascii="Arial" w:hAnsi="Arial" w:cs="Arial"/>
          <w:sz w:val="20"/>
          <w:szCs w:val="20"/>
        </w:rPr>
        <w:t xml:space="preserve"> and 2021 are not necessarily indicative of the results to be expected for the full year or any other future interim or annual period</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divId w:val="521943647"/>
        <w:rPr>
          <w:sz w:val="20"/>
          <w:szCs w:val="20"/>
        </w:rPr>
      </w:pPr>
      <w:r>
        <w:rPr>
          <w:rFonts w:ascii="Arial" w:hAnsi="Arial" w:cs="Arial"/>
          <w:b/>
          <w:bCs/>
          <w:i/>
          <w:iCs/>
          <w:sz w:val="20"/>
          <w:szCs w:val="20"/>
        </w:rPr>
        <w:t>Stock Spli</w:t>
      </w:r>
      <w:r>
        <w:rPr>
          <w:rFonts w:ascii="Arial" w:hAnsi="Arial" w:cs="Arial"/>
          <w:b/>
          <w:bCs/>
          <w:i/>
          <w:iCs/>
          <w:sz w:val="20"/>
          <w:szCs w:val="20"/>
        </w:rPr>
        <w:t>t</w:t>
      </w:r>
    </w:p>
    <w:p w:rsidR="00000000" w:rsidRDefault="00CA40A2">
      <w:pPr>
        <w:pStyle w:val="a3"/>
        <w:spacing w:before="120" w:beforeAutospacing="0" w:after="0" w:afterAutospacing="0"/>
        <w:ind w:firstLine="539"/>
        <w:divId w:val="521943647"/>
        <w:rPr>
          <w:sz w:val="20"/>
          <w:szCs w:val="20"/>
        </w:rPr>
      </w:pPr>
      <w:r>
        <w:rPr>
          <w:rFonts w:ascii="Arial" w:hAnsi="Arial" w:cs="Arial"/>
          <w:sz w:val="20"/>
          <w:szCs w:val="20"/>
        </w:rPr>
        <w:t>On May 10, 2021, the Company effected a</w:t>
      </w:r>
      <w:r>
        <w:rPr>
          <w:rFonts w:ascii="Arial" w:hAnsi="Arial" w:cs="Arial"/>
          <w:sz w:val="20"/>
          <w:szCs w:val="20"/>
        </w:rPr>
        <w:t xml:space="preserve"> </w:t>
      </w:r>
      <w:r>
        <w:rPr>
          <w:rFonts w:ascii="Arial" w:hAnsi="Arial" w:cs="Arial"/>
          <w:sz w:val="20"/>
          <w:szCs w:val="20"/>
        </w:rPr>
        <w:t>5</w:t>
      </w:r>
      <w:r>
        <w:rPr>
          <w:rFonts w:ascii="Arial" w:hAnsi="Arial" w:cs="Arial"/>
          <w:sz w:val="20"/>
          <w:szCs w:val="20"/>
        </w:rPr>
        <w:t>-for-1 forward stock split of its common stock. In co</w:t>
      </w:r>
      <w:r>
        <w:rPr>
          <w:rFonts w:ascii="Arial" w:hAnsi="Arial" w:cs="Arial"/>
          <w:sz w:val="20"/>
          <w:szCs w:val="20"/>
        </w:rPr>
        <w:t xml:space="preserve">nnection with the forward stock split, each issued and outstanding share of common stock, automatically and without action on the part of the holders, became five shares of common stock. The par value per share of common stock was not adjusted. All share, </w:t>
      </w:r>
      <w:r>
        <w:rPr>
          <w:rFonts w:ascii="Arial" w:hAnsi="Arial" w:cs="Arial"/>
          <w:sz w:val="20"/>
          <w:szCs w:val="20"/>
        </w:rPr>
        <w:t>per share and related information presented in the unaudited interim condensed consolidated financial statements and accompanying notes have been retroactively adjusted, where applicable, to reflect the impact of the stock split</w:t>
      </w:r>
      <w:r>
        <w:rPr>
          <w:rFonts w:ascii="Arial" w:hAnsi="Arial" w:cs="Arial"/>
          <w:sz w:val="20"/>
          <w:szCs w:val="20"/>
        </w:rPr>
        <w:t>.</w:t>
      </w:r>
    </w:p>
    <w:p w:rsidR="00000000" w:rsidRDefault="00CA40A2">
      <w:pPr>
        <w:pStyle w:val="a3"/>
        <w:spacing w:before="120" w:beforeAutospacing="0" w:after="0" w:afterAutospacing="0"/>
        <w:jc w:val="center"/>
        <w:divId w:val="1931230591"/>
        <w:rPr>
          <w:sz w:val="20"/>
          <w:szCs w:val="20"/>
        </w:rPr>
      </w:pPr>
      <w:r>
        <w:rPr>
          <w:rFonts w:ascii="Arial" w:hAnsi="Arial" w:cs="Arial"/>
          <w:sz w:val="20"/>
          <w:szCs w:val="20"/>
        </w:rPr>
        <w:t>1</w:t>
      </w:r>
      <w:r>
        <w:rPr>
          <w:rFonts w:ascii="Arial" w:hAnsi="Arial" w:cs="Arial"/>
          <w:sz w:val="20"/>
          <w:szCs w:val="20"/>
        </w:rPr>
        <w:t>0</w:t>
      </w:r>
    </w:p>
    <w:p w:rsidR="00000000" w:rsidRDefault="00CA40A2">
      <w:pPr>
        <w:divId w:val="1931230591"/>
        <w:rPr>
          <w:rFonts w:ascii="Arial" w:eastAsia="Times New Roman" w:hAnsi="Arial" w:cs="Arial"/>
          <w:sz w:val="20"/>
          <w:szCs w:val="20"/>
        </w:rPr>
      </w:pPr>
      <w:r>
        <w:rPr>
          <w:rFonts w:ascii="Arial" w:eastAsia="Times New Roman" w:hAnsi="Arial" w:cs="Arial"/>
          <w:sz w:val="20"/>
          <w:szCs w:val="20"/>
        </w:rPr>
        <w:pict>
          <v:rect id="_x0000_i1035" style="width:0;height:1.5pt" o:hralign="center" o:hrstd="t" o:hr="t" fillcolor="#a0a0a0" stroked="f"/>
        </w:pict>
      </w:r>
    </w:p>
    <w:p w:rsidR="00000000" w:rsidRDefault="00CA40A2">
      <w:pPr>
        <w:pStyle w:val="a3"/>
        <w:spacing w:before="0" w:beforeAutospacing="0" w:after="0" w:afterAutospacing="0"/>
        <w:divId w:val="1931230591"/>
        <w:rPr>
          <w:sz w:val="20"/>
          <w:szCs w:val="20"/>
        </w:rPr>
      </w:pPr>
      <w:r>
        <w:rPr>
          <w:rFonts w:ascii="Arial" w:hAnsi="Arial" w:cs="Arial"/>
          <w:sz w:val="20"/>
          <w:szCs w:val="20"/>
        </w:rPr>
        <w:t> </w:t>
      </w:r>
    </w:p>
    <w:p w:rsidR="00000000" w:rsidRDefault="00CA40A2">
      <w:pPr>
        <w:pStyle w:val="a3"/>
        <w:spacing w:before="240" w:beforeAutospacing="0" w:after="0" w:afterAutospacing="0"/>
        <w:divId w:val="1705403135"/>
        <w:rPr>
          <w:sz w:val="20"/>
          <w:szCs w:val="20"/>
        </w:rPr>
      </w:pPr>
      <w:r>
        <w:rPr>
          <w:rFonts w:ascii="Arial" w:hAnsi="Arial" w:cs="Arial"/>
          <w:b/>
          <w:bCs/>
          <w:i/>
          <w:iCs/>
          <w:sz w:val="20"/>
          <w:szCs w:val="20"/>
        </w:rPr>
        <w:t>Principles of Consolidatio</w:t>
      </w:r>
      <w:r>
        <w:rPr>
          <w:rFonts w:ascii="Arial" w:hAnsi="Arial" w:cs="Arial"/>
          <w:b/>
          <w:bCs/>
          <w:i/>
          <w:iCs/>
          <w:sz w:val="20"/>
          <w:szCs w:val="20"/>
        </w:rPr>
        <w:t>n</w:t>
      </w:r>
    </w:p>
    <w:p w:rsidR="00000000" w:rsidRDefault="00CA40A2">
      <w:pPr>
        <w:pStyle w:val="a3"/>
        <w:spacing w:before="120" w:beforeAutospacing="0" w:after="0" w:afterAutospacing="0"/>
        <w:ind w:firstLine="539"/>
        <w:divId w:val="1705403135"/>
        <w:rPr>
          <w:sz w:val="20"/>
          <w:szCs w:val="20"/>
        </w:rPr>
      </w:pPr>
      <w:r>
        <w:rPr>
          <w:rFonts w:ascii="Arial" w:hAnsi="Arial" w:cs="Arial"/>
          <w:sz w:val="20"/>
          <w:szCs w:val="20"/>
        </w:rPr>
        <w:t>The unaudited interim condensed consolidated financial statements include the accounts of the Company and its wholly owned subsidiaries. All intercompany accounts and balances have been elim</w:t>
      </w:r>
      <w:r>
        <w:rPr>
          <w:rFonts w:ascii="Arial" w:hAnsi="Arial" w:cs="Arial"/>
          <w:sz w:val="20"/>
          <w:szCs w:val="20"/>
        </w:rPr>
        <w:t>inated upon consolidation</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divId w:val="1711301479"/>
        <w:rPr>
          <w:sz w:val="20"/>
          <w:szCs w:val="20"/>
        </w:rPr>
      </w:pPr>
      <w:r>
        <w:rPr>
          <w:rFonts w:ascii="Arial" w:hAnsi="Arial" w:cs="Arial"/>
          <w:b/>
          <w:bCs/>
          <w:i/>
          <w:iCs/>
          <w:sz w:val="20"/>
          <w:szCs w:val="20"/>
        </w:rPr>
        <w:t>Segment Informatio</w:t>
      </w:r>
      <w:r>
        <w:rPr>
          <w:rFonts w:ascii="Arial" w:hAnsi="Arial" w:cs="Arial"/>
          <w:b/>
          <w:bCs/>
          <w:i/>
          <w:iCs/>
          <w:sz w:val="20"/>
          <w:szCs w:val="20"/>
        </w:rPr>
        <w:t>n</w:t>
      </w:r>
    </w:p>
    <w:p w:rsidR="00000000" w:rsidRDefault="00CA40A2">
      <w:pPr>
        <w:pStyle w:val="a3"/>
        <w:spacing w:before="120" w:beforeAutospacing="0" w:after="0" w:afterAutospacing="0"/>
        <w:ind w:firstLine="539"/>
        <w:divId w:val="1711301479"/>
        <w:rPr>
          <w:sz w:val="20"/>
          <w:szCs w:val="20"/>
        </w:rPr>
      </w:pPr>
      <w:r>
        <w:rPr>
          <w:rFonts w:ascii="Arial" w:hAnsi="Arial" w:cs="Arial"/>
          <w:sz w:val="20"/>
          <w:szCs w:val="20"/>
        </w:rPr>
        <w:t>Operating segments are defined as components of an enterprise for which separate financial information is available and evaluated regularly by the chief operating decision maker (“CODM”) in deciding how to ma</w:t>
      </w:r>
      <w:r>
        <w:rPr>
          <w:rFonts w:ascii="Arial" w:hAnsi="Arial" w:cs="Arial"/>
          <w:sz w:val="20"/>
          <w:szCs w:val="20"/>
        </w:rPr>
        <w:t>ke operating decisions, allocate resources and assess performance. The Company has</w:t>
      </w:r>
      <w:r>
        <w:rPr>
          <w:rFonts w:ascii="Arial" w:hAnsi="Arial" w:cs="Arial"/>
          <w:sz w:val="20"/>
          <w:szCs w:val="20"/>
        </w:rPr>
        <w:t xml:space="preserve"> </w:t>
      </w:r>
      <w:r>
        <w:rPr>
          <w:rFonts w:ascii="Arial" w:hAnsi="Arial" w:cs="Arial"/>
          <w:sz w:val="20"/>
          <w:szCs w:val="20"/>
        </w:rPr>
        <w:t>thre</w:t>
      </w:r>
      <w:r>
        <w:rPr>
          <w:rFonts w:ascii="Arial" w:hAnsi="Arial" w:cs="Arial"/>
          <w:sz w:val="20"/>
          <w:szCs w:val="20"/>
        </w:rPr>
        <w:t>e</w:t>
      </w:r>
      <w:r>
        <w:rPr>
          <w:rFonts w:ascii="Arial" w:hAnsi="Arial" w:cs="Arial"/>
          <w:sz w:val="20"/>
          <w:szCs w:val="20"/>
        </w:rPr>
        <w:t xml:space="preserve"> operating segments based on geography. The United States segment represents the vast majority of the Company’s consolidated net sales and gross profit. The additional </w:t>
      </w:r>
      <w:r>
        <w:rPr>
          <w:rFonts w:ascii="Arial" w:hAnsi="Arial" w:cs="Arial"/>
          <w:sz w:val="20"/>
          <w:szCs w:val="20"/>
        </w:rPr>
        <w:t xml:space="preserve">two operating segments, Canada and India, do not meet the quantitative thresholds for separate reporting, either individually or in the aggregate. None of the operating segments qualified for aggregation. The Company’s CODM is its Chief Executive Officer. </w:t>
      </w:r>
      <w:r>
        <w:rPr>
          <w:rFonts w:ascii="Arial" w:hAnsi="Arial" w:cs="Arial"/>
          <w:sz w:val="20"/>
          <w:szCs w:val="20"/>
        </w:rPr>
        <w:t>The CODM evaluates the performance of the Company’s operating segments based on revenue and gross profit. The Company does not analyze discrete segment balance sheet information related to long-term assets. All other financial information is presented on a</w:t>
      </w:r>
      <w:r>
        <w:rPr>
          <w:rFonts w:ascii="Arial" w:hAnsi="Arial" w:cs="Arial"/>
          <w:sz w:val="20"/>
          <w:szCs w:val="20"/>
        </w:rPr>
        <w:t xml:space="preserve"> consolidated basis. For information regarding the Company’s long-lived assets and revenue by geographic area, see Note 15</w:t>
      </w:r>
      <w:r>
        <w:rPr>
          <w:rFonts w:ascii="Arial" w:hAnsi="Arial" w:cs="Arial"/>
          <w:sz w:val="20"/>
          <w:szCs w:val="20"/>
        </w:rPr>
        <w:t>.</w:t>
      </w:r>
    </w:p>
    <w:p w:rsidR="00000000" w:rsidRDefault="00CA40A2">
      <w:pPr>
        <w:pStyle w:val="a3"/>
        <w:spacing w:before="240" w:beforeAutospacing="0" w:after="0" w:afterAutospacing="0"/>
        <w:divId w:val="48305824"/>
        <w:rPr>
          <w:sz w:val="20"/>
          <w:szCs w:val="20"/>
        </w:rPr>
      </w:pPr>
      <w:r>
        <w:rPr>
          <w:rFonts w:ascii="Arial" w:hAnsi="Arial" w:cs="Arial"/>
          <w:b/>
          <w:bCs/>
          <w:i/>
          <w:iCs/>
          <w:sz w:val="20"/>
          <w:szCs w:val="20"/>
        </w:rPr>
        <w:t>Use of Estimate</w:t>
      </w:r>
      <w:r>
        <w:rPr>
          <w:rFonts w:ascii="Arial" w:hAnsi="Arial" w:cs="Arial"/>
          <w:b/>
          <w:bCs/>
          <w:i/>
          <w:iCs/>
          <w:sz w:val="20"/>
          <w:szCs w:val="20"/>
        </w:rPr>
        <w:t>s</w:t>
      </w:r>
    </w:p>
    <w:p w:rsidR="00000000" w:rsidRDefault="00CA40A2">
      <w:pPr>
        <w:pStyle w:val="a3"/>
        <w:spacing w:before="120" w:beforeAutospacing="0" w:after="0" w:afterAutospacing="0"/>
        <w:ind w:firstLine="539"/>
        <w:divId w:val="48305824"/>
        <w:rPr>
          <w:sz w:val="20"/>
          <w:szCs w:val="20"/>
        </w:rPr>
      </w:pPr>
      <w:r>
        <w:rPr>
          <w:rFonts w:ascii="Arial" w:hAnsi="Arial" w:cs="Arial"/>
          <w:sz w:val="20"/>
          <w:szCs w:val="20"/>
        </w:rPr>
        <w:t xml:space="preserve">The preparation of consolidated financial statements in conformity with GAAP requires management to make estimates </w:t>
      </w:r>
      <w:r>
        <w:rPr>
          <w:rFonts w:ascii="Arial" w:hAnsi="Arial" w:cs="Arial"/>
          <w:sz w:val="20"/>
          <w:szCs w:val="20"/>
        </w:rPr>
        <w:t>and assumptions that affect the amounts reported in the consolidated financial statements and accompanying notes. Such estimates include revenue recognition, the allowance for credit losses, the lives of tangible and intangible assets, the valuation of acq</w:t>
      </w:r>
      <w:r>
        <w:rPr>
          <w:rFonts w:ascii="Arial" w:hAnsi="Arial" w:cs="Arial"/>
          <w:sz w:val="20"/>
          <w:szCs w:val="20"/>
        </w:rPr>
        <w:t>uired intangible assets and the recoverability or impairment of intangible assets, including goodwill, internal-use software development costs, valuation of stock warrants issued, stock-based compensation, and accounting for income taxes. The Company bases</w:t>
      </w:r>
      <w:r>
        <w:rPr>
          <w:rFonts w:ascii="Arial" w:hAnsi="Arial" w:cs="Arial"/>
          <w:sz w:val="20"/>
          <w:szCs w:val="20"/>
        </w:rPr>
        <w:t xml:space="preserve"> its estimates on historical experience and also on assumptions that management considers reasonable. The Company assesses these estimates on a regular basis; however, actual results could differ from these estimates</w:t>
      </w:r>
      <w:r>
        <w:rPr>
          <w:rFonts w:ascii="Arial" w:hAnsi="Arial" w:cs="Arial"/>
          <w:sz w:val="20"/>
          <w:szCs w:val="20"/>
        </w:rPr>
        <w:t>.</w:t>
      </w:r>
    </w:p>
    <w:p w:rsidR="00000000" w:rsidRDefault="00CA40A2">
      <w:pPr>
        <w:pStyle w:val="a3"/>
        <w:spacing w:before="240" w:beforeAutospacing="0" w:after="0" w:afterAutospacing="0"/>
        <w:divId w:val="216204224"/>
        <w:rPr>
          <w:sz w:val="20"/>
          <w:szCs w:val="20"/>
        </w:rPr>
      </w:pPr>
      <w:r>
        <w:rPr>
          <w:rFonts w:ascii="Arial" w:hAnsi="Arial" w:cs="Arial"/>
          <w:b/>
          <w:bCs/>
          <w:i/>
          <w:iCs/>
          <w:sz w:val="20"/>
          <w:szCs w:val="20"/>
        </w:rPr>
        <w:t>Custodial Account</w:t>
      </w:r>
      <w:r>
        <w:rPr>
          <w:rFonts w:ascii="Arial" w:hAnsi="Arial" w:cs="Arial"/>
          <w:b/>
          <w:bCs/>
          <w:i/>
          <w:iCs/>
          <w:sz w:val="20"/>
          <w:szCs w:val="20"/>
        </w:rPr>
        <w:t>s</w:t>
      </w:r>
    </w:p>
    <w:p w:rsidR="00000000" w:rsidRDefault="00CA40A2">
      <w:pPr>
        <w:pStyle w:val="a3"/>
        <w:spacing w:before="120" w:beforeAutospacing="0" w:after="0" w:afterAutospacing="0"/>
        <w:ind w:firstLine="539"/>
        <w:divId w:val="216204224"/>
        <w:rPr>
          <w:sz w:val="20"/>
          <w:szCs w:val="20"/>
        </w:rPr>
      </w:pPr>
      <w:r>
        <w:rPr>
          <w:rFonts w:ascii="Arial" w:hAnsi="Arial" w:cs="Arial"/>
          <w:sz w:val="20"/>
          <w:szCs w:val="20"/>
        </w:rPr>
        <w:t>The Company has est</w:t>
      </w:r>
      <w:r>
        <w:rPr>
          <w:rFonts w:ascii="Arial" w:hAnsi="Arial" w:cs="Arial"/>
          <w:sz w:val="20"/>
          <w:szCs w:val="20"/>
        </w:rPr>
        <w:t xml:space="preserve">ablished a relationship with its merchant processors to act as collection and paying agents, whereby a merchant processor receives funds from customers and forwards such funds to the respective Paymentus client, based on the instructions received from the </w:t>
      </w:r>
      <w:r>
        <w:rPr>
          <w:rFonts w:ascii="Arial" w:hAnsi="Arial" w:cs="Arial"/>
          <w:sz w:val="20"/>
          <w:szCs w:val="20"/>
        </w:rPr>
        <w:t xml:space="preserve">Company. These merchant processors act as custodians of the cash received and the Company has no legal ownership rights to the funds held in such custodial accounts and does not control the use of these funds. As the Company does not take ownership of the </w:t>
      </w:r>
      <w:r>
        <w:rPr>
          <w:rFonts w:ascii="Arial" w:hAnsi="Arial" w:cs="Arial"/>
          <w:sz w:val="20"/>
          <w:szCs w:val="20"/>
        </w:rPr>
        <w:t>funds, these custodial accounts are not included in the Company’s consolidated balance sheets. The balance of cash in the custodial accounts held by these merchant processors was</w:t>
      </w:r>
      <w:r>
        <w:rPr>
          <w:rFonts w:ascii="Arial" w:hAnsi="Arial" w:cs="Arial"/>
          <w:sz w:val="20"/>
          <w:szCs w:val="20"/>
        </w:rPr>
        <w:t xml:space="preserve"> </w:t>
      </w:r>
      <w:r>
        <w:rPr>
          <w:rFonts w:ascii="Arial" w:hAnsi="Arial" w:cs="Arial"/>
          <w:sz w:val="20"/>
          <w:szCs w:val="20"/>
        </w:rPr>
        <w:t>$</w:t>
      </w:r>
      <w:r>
        <w:rPr>
          <w:rFonts w:ascii="Arial" w:hAnsi="Arial" w:cs="Arial"/>
          <w:sz w:val="20"/>
          <w:szCs w:val="20"/>
        </w:rPr>
        <w:t>43.</w:t>
      </w:r>
      <w:r>
        <w:rPr>
          <w:rFonts w:ascii="Arial" w:hAnsi="Arial" w:cs="Arial"/>
          <w:sz w:val="20"/>
          <w:szCs w:val="20"/>
        </w:rPr>
        <w:t>4</w:t>
      </w:r>
      <w:r>
        <w:rPr>
          <w:rFonts w:ascii="Arial" w:hAnsi="Arial" w:cs="Arial"/>
          <w:sz w:val="20"/>
          <w:szCs w:val="20"/>
        </w:rPr>
        <w:t xml:space="preserve"> million</w:t>
      </w:r>
      <w:r>
        <w:rPr>
          <w:rFonts w:ascii="Arial" w:hAnsi="Arial" w:cs="Arial"/>
          <w:sz w:val="20"/>
          <w:szCs w:val="20"/>
        </w:rPr>
        <w:t xml:space="preserve"> </w:t>
      </w:r>
      <w:r>
        <w:rPr>
          <w:rFonts w:ascii="Arial" w:hAnsi="Arial" w:cs="Arial"/>
          <w:sz w:val="20"/>
          <w:szCs w:val="20"/>
        </w:rPr>
        <w:t xml:space="preserve">and </w:t>
      </w:r>
      <w:r>
        <w:rPr>
          <w:rFonts w:ascii="Arial" w:hAnsi="Arial" w:cs="Arial"/>
          <w:sz w:val="20"/>
          <w:szCs w:val="20"/>
        </w:rPr>
        <w:t>$</w:t>
      </w:r>
      <w:r>
        <w:rPr>
          <w:rFonts w:ascii="Arial" w:hAnsi="Arial" w:cs="Arial"/>
          <w:sz w:val="20"/>
          <w:szCs w:val="20"/>
        </w:rPr>
        <w:t>47.</w:t>
      </w:r>
      <w:r>
        <w:rPr>
          <w:rFonts w:ascii="Arial" w:hAnsi="Arial" w:cs="Arial"/>
          <w:sz w:val="20"/>
          <w:szCs w:val="20"/>
        </w:rPr>
        <w:t>4</w:t>
      </w:r>
      <w:r>
        <w:rPr>
          <w:rFonts w:ascii="Arial" w:hAnsi="Arial" w:cs="Arial"/>
          <w:sz w:val="20"/>
          <w:szCs w:val="20"/>
        </w:rPr>
        <w:t xml:space="preserve"> million as of</w:t>
      </w:r>
      <w:r>
        <w:rPr>
          <w:rFonts w:ascii="Arial" w:hAnsi="Arial" w:cs="Arial"/>
          <w:sz w:val="20"/>
          <w:szCs w:val="20"/>
        </w:rPr>
        <w:t xml:space="preserve"> </w:t>
      </w:r>
      <w:r>
        <w:rPr>
          <w:rFonts w:ascii="Arial" w:hAnsi="Arial" w:cs="Arial"/>
          <w:sz w:val="20"/>
          <w:szCs w:val="20"/>
        </w:rPr>
        <w:t>March 31, 2022 and December 31, 202</w:t>
      </w:r>
      <w:r>
        <w:rPr>
          <w:rFonts w:ascii="Arial" w:hAnsi="Arial" w:cs="Arial"/>
          <w:sz w:val="20"/>
          <w:szCs w:val="20"/>
        </w:rPr>
        <w:t>1</w:t>
      </w:r>
      <w:r>
        <w:rPr>
          <w:rFonts w:ascii="Arial" w:hAnsi="Arial" w:cs="Arial"/>
          <w:sz w:val="20"/>
          <w:szCs w:val="20"/>
        </w:rPr>
        <w:t>, r</w:t>
      </w:r>
      <w:r>
        <w:rPr>
          <w:rFonts w:ascii="Arial" w:hAnsi="Arial" w:cs="Arial"/>
          <w:sz w:val="20"/>
          <w:szCs w:val="20"/>
        </w:rPr>
        <w:t>espectively</w:t>
      </w:r>
      <w:r>
        <w:rPr>
          <w:rFonts w:ascii="Arial" w:hAnsi="Arial" w:cs="Arial"/>
          <w:sz w:val="20"/>
          <w:szCs w:val="20"/>
        </w:rPr>
        <w:t>.</w:t>
      </w:r>
    </w:p>
    <w:p w:rsidR="00000000" w:rsidRDefault="00CA40A2">
      <w:pPr>
        <w:pStyle w:val="a3"/>
        <w:spacing w:before="240" w:beforeAutospacing="0" w:after="0" w:afterAutospacing="0"/>
        <w:divId w:val="1806970195"/>
        <w:rPr>
          <w:sz w:val="20"/>
          <w:szCs w:val="20"/>
        </w:rPr>
      </w:pPr>
      <w:r>
        <w:rPr>
          <w:rFonts w:ascii="Arial" w:hAnsi="Arial" w:cs="Arial"/>
          <w:b/>
          <w:bCs/>
          <w:i/>
          <w:iCs/>
          <w:sz w:val="20"/>
          <w:szCs w:val="20"/>
        </w:rPr>
        <w:t>Restricted Funds Held for Financial Institutions and Financial Institution Funds In-Transi</w:t>
      </w:r>
      <w:r>
        <w:rPr>
          <w:rFonts w:ascii="Arial" w:hAnsi="Arial" w:cs="Arial"/>
          <w:b/>
          <w:bCs/>
          <w:i/>
          <w:iCs/>
          <w:sz w:val="20"/>
          <w:szCs w:val="20"/>
        </w:rPr>
        <w:t>t</w:t>
      </w:r>
    </w:p>
    <w:p w:rsidR="00000000" w:rsidRDefault="00CA40A2">
      <w:pPr>
        <w:pStyle w:val="a3"/>
        <w:spacing w:before="120" w:beforeAutospacing="0" w:after="0" w:afterAutospacing="0"/>
        <w:ind w:firstLine="539"/>
        <w:divId w:val="1806970195"/>
        <w:rPr>
          <w:sz w:val="20"/>
          <w:szCs w:val="20"/>
        </w:rPr>
      </w:pPr>
      <w:r>
        <w:rPr>
          <w:rFonts w:ascii="Arial" w:hAnsi="Arial" w:cs="Arial"/>
          <w:sz w:val="20"/>
          <w:szCs w:val="20"/>
        </w:rPr>
        <w:t>Restricted funds held for financial institutions and the corresponding liability of financial institution funds in-transit represent the timing differe</w:t>
      </w:r>
      <w:r>
        <w:rPr>
          <w:rFonts w:ascii="Arial" w:hAnsi="Arial" w:cs="Arial"/>
          <w:sz w:val="20"/>
          <w:szCs w:val="20"/>
        </w:rPr>
        <w:t>nces arising between the amounts the Company's sponsor bank receives from the sending financial institutions and the amounts disbursed to the recipient financial institutions. The restricted funds held for financial institutions' account is a transaction a</w:t>
      </w:r>
      <w:r>
        <w:rPr>
          <w:rFonts w:ascii="Arial" w:hAnsi="Arial" w:cs="Arial"/>
          <w:sz w:val="20"/>
          <w:szCs w:val="20"/>
        </w:rPr>
        <w:t>ccount maintained at the Company’s sponsor bank for clearing payments from financial institutions (as defined by the U.S. Treasury’s Financial Crimes Enforcement Network) to other financial institutions. Restricted funds held for financial institutions rep</w:t>
      </w:r>
      <w:r>
        <w:rPr>
          <w:rFonts w:ascii="Arial" w:hAnsi="Arial" w:cs="Arial"/>
          <w:sz w:val="20"/>
          <w:szCs w:val="20"/>
        </w:rPr>
        <w:t>resent restricted cash that, based upon the Company's intent, are restricted solely for satisfying the corresponding obligations to send funds to the various financial institutions</w:t>
      </w:r>
      <w:r>
        <w:rPr>
          <w:rFonts w:ascii="Arial" w:hAnsi="Arial" w:cs="Arial"/>
          <w:sz w:val="20"/>
          <w:szCs w:val="20"/>
        </w:rPr>
        <w:t>.</w:t>
      </w:r>
    </w:p>
    <w:p w:rsidR="00000000" w:rsidRDefault="00CA40A2">
      <w:pPr>
        <w:pStyle w:val="a3"/>
        <w:spacing w:before="240" w:beforeAutospacing="0" w:after="0" w:afterAutospacing="0"/>
        <w:divId w:val="1546680510"/>
        <w:rPr>
          <w:sz w:val="20"/>
          <w:szCs w:val="20"/>
        </w:rPr>
      </w:pPr>
      <w:r>
        <w:rPr>
          <w:rFonts w:ascii="Arial" w:hAnsi="Arial" w:cs="Arial"/>
          <w:b/>
          <w:bCs/>
          <w:i/>
          <w:iCs/>
          <w:sz w:val="20"/>
          <w:szCs w:val="20"/>
        </w:rPr>
        <w:t>Concentration of Credit Ris</w:t>
      </w:r>
      <w:r>
        <w:rPr>
          <w:rFonts w:ascii="Arial" w:hAnsi="Arial" w:cs="Arial"/>
          <w:b/>
          <w:bCs/>
          <w:i/>
          <w:iCs/>
          <w:sz w:val="20"/>
          <w:szCs w:val="20"/>
        </w:rPr>
        <w:t>k</w:t>
      </w:r>
    </w:p>
    <w:p w:rsidR="00000000" w:rsidRDefault="00CA40A2">
      <w:pPr>
        <w:pStyle w:val="a3"/>
        <w:spacing w:before="120" w:beforeAutospacing="0" w:after="0" w:afterAutospacing="0"/>
        <w:ind w:firstLine="539"/>
        <w:divId w:val="1546680510"/>
        <w:rPr>
          <w:sz w:val="20"/>
          <w:szCs w:val="20"/>
        </w:rPr>
      </w:pPr>
      <w:r>
        <w:rPr>
          <w:rFonts w:ascii="Arial" w:hAnsi="Arial" w:cs="Arial"/>
          <w:sz w:val="20"/>
          <w:szCs w:val="20"/>
        </w:rPr>
        <w:t>Financial instruments that potentially subjec</w:t>
      </w:r>
      <w:r>
        <w:rPr>
          <w:rFonts w:ascii="Arial" w:hAnsi="Arial" w:cs="Arial"/>
          <w:sz w:val="20"/>
          <w:szCs w:val="20"/>
        </w:rPr>
        <w:t>t the Company to credit risk primarily consist of cash, cash equivalents, and accounts receivable. The Company maintains its cash and cash equivalents with high-quality financial institutions with investment-grade ratings. For accounts receivable, the Comp</w:t>
      </w:r>
      <w:r>
        <w:rPr>
          <w:rFonts w:ascii="Arial" w:hAnsi="Arial" w:cs="Arial"/>
          <w:sz w:val="20"/>
          <w:szCs w:val="20"/>
        </w:rPr>
        <w:t>any is exposed to credit risk in the event of nonpayment by customers to the extent of the amounts recorded in the consolidated balance sheets.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revenue for either of the</w:t>
      </w:r>
      <w:r>
        <w:rPr>
          <w:rFonts w:ascii="Arial" w:hAnsi="Arial" w:cs="Arial"/>
          <w:sz w:val="20"/>
          <w:szCs w:val="20"/>
        </w:rPr>
        <w:t xml:space="preserve"> </w:t>
      </w:r>
      <w:r>
        <w:rPr>
          <w:rFonts w:ascii="Arial" w:hAnsi="Arial" w:cs="Arial"/>
          <w:sz w:val="20"/>
          <w:szCs w:val="20"/>
        </w:rPr>
        <w:t>three months ended March 31, 2022 and 202</w:t>
      </w:r>
      <w:r>
        <w:rPr>
          <w:rFonts w:ascii="Arial" w:hAnsi="Arial" w:cs="Arial"/>
          <w:sz w:val="20"/>
          <w:szCs w:val="20"/>
        </w:rPr>
        <w:t>1</w:t>
      </w:r>
      <w:r>
        <w:rPr>
          <w:rFonts w:ascii="Arial" w:hAnsi="Arial" w:cs="Arial"/>
          <w:sz w:val="20"/>
          <w:szCs w:val="20"/>
        </w:rPr>
        <w:t>.</w:t>
      </w:r>
      <w:r>
        <w:rPr>
          <w:rFonts w:ascii="Arial" w:hAnsi="Arial" w:cs="Arial"/>
          <w:sz w:val="20"/>
          <w:szCs w:val="20"/>
        </w:rPr>
        <w:t xml:space="preserve">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accounts receivable as of</w:t>
      </w:r>
      <w:r>
        <w:rPr>
          <w:rFonts w:ascii="Arial" w:hAnsi="Arial" w:cs="Arial"/>
          <w:sz w:val="20"/>
          <w:szCs w:val="20"/>
        </w:rPr>
        <w:t xml:space="preserve"> </w:t>
      </w:r>
      <w:r>
        <w:rPr>
          <w:rFonts w:ascii="Arial" w:hAnsi="Arial" w:cs="Arial"/>
          <w:sz w:val="20"/>
          <w:szCs w:val="20"/>
        </w:rPr>
        <w:t>March 31, 202</w:t>
      </w:r>
      <w:r>
        <w:rPr>
          <w:rFonts w:ascii="Arial" w:hAnsi="Arial" w:cs="Arial"/>
          <w:sz w:val="20"/>
          <w:szCs w:val="20"/>
        </w:rPr>
        <w:t>2</w:t>
      </w:r>
      <w:r>
        <w:rPr>
          <w:rFonts w:ascii="Arial" w:hAnsi="Arial" w:cs="Arial"/>
          <w:sz w:val="20"/>
          <w:szCs w:val="20"/>
        </w:rPr>
        <w:t>, while one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accounts receivable as of</w:t>
      </w:r>
      <w:r>
        <w:rPr>
          <w:rFonts w:ascii="Arial" w:hAnsi="Arial" w:cs="Arial"/>
          <w:sz w:val="20"/>
          <w:szCs w:val="20"/>
        </w:rPr>
        <w:t xml:space="preserve"> </w:t>
      </w:r>
      <w:r>
        <w:rPr>
          <w:rFonts w:ascii="Arial" w:hAnsi="Arial" w:cs="Arial"/>
          <w:sz w:val="20"/>
          <w:szCs w:val="20"/>
        </w:rPr>
        <w:t>December 31, 202</w:t>
      </w:r>
      <w:r>
        <w:rPr>
          <w:rFonts w:ascii="Arial" w:hAnsi="Arial" w:cs="Arial"/>
          <w:sz w:val="20"/>
          <w:szCs w:val="20"/>
        </w:rPr>
        <w:t>1</w:t>
      </w:r>
      <w:r>
        <w:rPr>
          <w:rFonts w:ascii="Arial" w:hAnsi="Arial" w:cs="Arial"/>
          <w:sz w:val="20"/>
          <w:szCs w:val="20"/>
        </w:rPr>
        <w:t>.</w:t>
      </w:r>
    </w:p>
    <w:p w:rsidR="00000000" w:rsidRDefault="00CA40A2">
      <w:pPr>
        <w:pStyle w:val="a3"/>
        <w:spacing w:before="240" w:beforeAutospacing="0" w:after="0" w:afterAutospacing="0"/>
        <w:divId w:val="1038310710"/>
        <w:rPr>
          <w:sz w:val="20"/>
          <w:szCs w:val="20"/>
        </w:rPr>
      </w:pPr>
      <w:r>
        <w:rPr>
          <w:rFonts w:ascii="Arial" w:hAnsi="Arial" w:cs="Arial"/>
          <w:b/>
          <w:bCs/>
          <w:i/>
          <w:iCs/>
          <w:sz w:val="20"/>
          <w:szCs w:val="20"/>
        </w:rPr>
        <w:t>Summary of Significant Accounting Policie</w:t>
      </w:r>
      <w:r>
        <w:rPr>
          <w:rFonts w:ascii="Arial" w:hAnsi="Arial" w:cs="Arial"/>
          <w:b/>
          <w:bCs/>
          <w:i/>
          <w:iCs/>
          <w:sz w:val="20"/>
          <w:szCs w:val="20"/>
        </w:rPr>
        <w:t>s</w:t>
      </w:r>
    </w:p>
    <w:p w:rsidR="00000000" w:rsidRDefault="00CA40A2">
      <w:pPr>
        <w:pStyle w:val="a3"/>
        <w:spacing w:before="120" w:beforeAutospacing="0" w:after="0" w:afterAutospacing="0"/>
        <w:ind w:firstLine="539"/>
        <w:divId w:val="1038310710"/>
        <w:rPr>
          <w:sz w:val="20"/>
          <w:szCs w:val="20"/>
        </w:rPr>
      </w:pPr>
      <w:r>
        <w:rPr>
          <w:rFonts w:ascii="Arial" w:hAnsi="Arial" w:cs="Arial"/>
          <w:sz w:val="20"/>
          <w:szCs w:val="20"/>
        </w:rPr>
        <w:t>The Company’s significant accoun</w:t>
      </w:r>
      <w:r>
        <w:rPr>
          <w:rFonts w:ascii="Arial" w:hAnsi="Arial" w:cs="Arial"/>
          <w:sz w:val="20"/>
          <w:szCs w:val="20"/>
        </w:rPr>
        <w:t>ting policies are discussed in Note 2, “Basis of Presentation and Summary of Significant Accounting Policies” in the Notes to Consolidated Financial Statements as of December 31, 2021 and 202</w:t>
      </w:r>
      <w:r>
        <w:rPr>
          <w:rFonts w:ascii="Arial" w:hAnsi="Arial" w:cs="Arial"/>
          <w:sz w:val="20"/>
          <w:szCs w:val="20"/>
        </w:rPr>
        <w:t>0</w:t>
      </w:r>
      <w:r>
        <w:rPr>
          <w:rFonts w:ascii="Arial" w:hAnsi="Arial" w:cs="Arial"/>
          <w:sz w:val="20"/>
          <w:szCs w:val="20"/>
        </w:rPr>
        <w:t xml:space="preserve"> </w:t>
      </w:r>
    </w:p>
    <w:p w:rsidR="00000000" w:rsidRDefault="00CA40A2">
      <w:pPr>
        <w:pStyle w:val="a3"/>
        <w:spacing w:before="120" w:beforeAutospacing="0" w:after="0" w:afterAutospacing="0"/>
        <w:jc w:val="center"/>
        <w:divId w:val="1038310710"/>
        <w:rPr>
          <w:sz w:val="20"/>
          <w:szCs w:val="20"/>
        </w:rPr>
      </w:pPr>
      <w:r>
        <w:rPr>
          <w:rFonts w:ascii="Arial" w:hAnsi="Arial" w:cs="Arial"/>
          <w:sz w:val="20"/>
          <w:szCs w:val="20"/>
        </w:rPr>
        <w:t>1</w:t>
      </w:r>
      <w:r>
        <w:rPr>
          <w:rFonts w:ascii="Arial" w:hAnsi="Arial" w:cs="Arial"/>
          <w:sz w:val="20"/>
          <w:szCs w:val="20"/>
        </w:rPr>
        <w:t>1</w:t>
      </w:r>
    </w:p>
    <w:p w:rsidR="00000000" w:rsidRDefault="00CA40A2">
      <w:pPr>
        <w:divId w:val="1038310710"/>
        <w:rPr>
          <w:rFonts w:ascii="Arial" w:eastAsia="Times New Roman" w:hAnsi="Arial" w:cs="Arial"/>
          <w:sz w:val="20"/>
          <w:szCs w:val="20"/>
        </w:rPr>
      </w:pPr>
      <w:r>
        <w:rPr>
          <w:rFonts w:ascii="Arial" w:eastAsia="Times New Roman" w:hAnsi="Arial" w:cs="Arial"/>
          <w:sz w:val="20"/>
          <w:szCs w:val="20"/>
        </w:rPr>
        <w:pict>
          <v:rect id="_x0000_i1036" style="width:0;height:1.5pt" o:hralign="center" o:hrstd="t" o:hr="t" fillcolor="#a0a0a0" stroked="f"/>
        </w:pict>
      </w:r>
    </w:p>
    <w:p w:rsidR="00000000" w:rsidRDefault="00CA40A2">
      <w:pPr>
        <w:pStyle w:val="a3"/>
        <w:spacing w:before="0" w:beforeAutospacing="0" w:after="0" w:afterAutospacing="0"/>
        <w:divId w:val="1038310710"/>
        <w:rPr>
          <w:sz w:val="20"/>
          <w:szCs w:val="20"/>
        </w:rPr>
      </w:pPr>
      <w:r>
        <w:rPr>
          <w:rFonts w:ascii="Arial" w:hAnsi="Arial" w:cs="Arial"/>
          <w:sz w:val="20"/>
          <w:szCs w:val="20"/>
        </w:rPr>
        <w:t> </w:t>
      </w:r>
    </w:p>
    <w:p w:rsidR="00000000" w:rsidRDefault="00CA40A2">
      <w:pPr>
        <w:pStyle w:val="a3"/>
        <w:spacing w:before="120" w:beforeAutospacing="0" w:after="0" w:afterAutospacing="0"/>
        <w:divId w:val="1038310710"/>
        <w:rPr>
          <w:sz w:val="20"/>
          <w:szCs w:val="20"/>
        </w:rPr>
      </w:pPr>
      <w:r>
        <w:rPr>
          <w:rFonts w:ascii="Arial" w:hAnsi="Arial" w:cs="Arial"/>
          <w:sz w:val="20"/>
          <w:szCs w:val="20"/>
        </w:rPr>
        <w:t>and for the years ended December 31, 2021 and 2020 included in the 2021 Form 10-K. There have been no significant changes to these policies during the three months ended March 31, 202</w:t>
      </w:r>
      <w:r>
        <w:rPr>
          <w:rFonts w:ascii="Arial" w:hAnsi="Arial" w:cs="Arial"/>
          <w:sz w:val="20"/>
          <w:szCs w:val="20"/>
        </w:rPr>
        <w:t>2</w:t>
      </w:r>
      <w:r>
        <w:rPr>
          <w:rFonts w:ascii="Arial" w:hAnsi="Arial" w:cs="Arial"/>
          <w:sz w:val="20"/>
          <w:szCs w:val="20"/>
        </w:rPr>
        <w:t>.</w:t>
      </w:r>
    </w:p>
    <w:p w:rsidR="00000000" w:rsidRDefault="00CA40A2">
      <w:pPr>
        <w:pStyle w:val="a3"/>
        <w:spacing w:before="240" w:beforeAutospacing="0" w:after="0" w:afterAutospacing="0"/>
        <w:divId w:val="2006130580"/>
        <w:rPr>
          <w:sz w:val="20"/>
          <w:szCs w:val="20"/>
        </w:rPr>
      </w:pPr>
      <w:r>
        <w:rPr>
          <w:rFonts w:ascii="Arial" w:hAnsi="Arial" w:cs="Arial"/>
          <w:b/>
          <w:bCs/>
          <w:i/>
          <w:iCs/>
          <w:sz w:val="20"/>
          <w:szCs w:val="20"/>
        </w:rPr>
        <w:t>Accounting Pronouncement</w:t>
      </w:r>
      <w:r>
        <w:rPr>
          <w:rFonts w:ascii="Arial" w:hAnsi="Arial" w:cs="Arial"/>
          <w:b/>
          <w:bCs/>
          <w:i/>
          <w:iCs/>
          <w:sz w:val="20"/>
          <w:szCs w:val="20"/>
        </w:rPr>
        <w:t>s</w:t>
      </w:r>
    </w:p>
    <w:p w:rsidR="00000000" w:rsidRDefault="00CA40A2">
      <w:pPr>
        <w:pStyle w:val="a3"/>
        <w:spacing w:before="120" w:beforeAutospacing="0" w:after="0" w:afterAutospacing="0"/>
        <w:ind w:firstLine="555"/>
        <w:divId w:val="2006130580"/>
        <w:rPr>
          <w:sz w:val="20"/>
          <w:szCs w:val="20"/>
        </w:rPr>
      </w:pPr>
      <w:r>
        <w:rPr>
          <w:rFonts w:ascii="Arial" w:hAnsi="Arial" w:cs="Arial"/>
          <w:sz w:val="20"/>
          <w:szCs w:val="20"/>
        </w:rPr>
        <w:t xml:space="preserve">The Company is provided the option to adopt </w:t>
      </w:r>
      <w:r>
        <w:rPr>
          <w:rFonts w:ascii="Arial" w:hAnsi="Arial" w:cs="Arial"/>
          <w:sz w:val="20"/>
          <w:szCs w:val="20"/>
        </w:rPr>
        <w:t>new or revised accounting guidance as an “emerging growth company” under the Jumpstart Our Business Startups Act of 2012 either (1) within the same periods as those otherwise applicable to public business entities, or (2) within the same time periods as no</w:t>
      </w:r>
      <w:r>
        <w:rPr>
          <w:rFonts w:ascii="Arial" w:hAnsi="Arial" w:cs="Arial"/>
          <w:sz w:val="20"/>
          <w:szCs w:val="20"/>
        </w:rPr>
        <w:t xml:space="preserve">n-public business entities, including early adoption when permissible. With the exception of standards the Company elected to early adopt, when permissible, the Company has elected to adopt new or revised accounting guidance within the same time period as </w:t>
      </w:r>
      <w:r>
        <w:rPr>
          <w:rFonts w:ascii="Arial" w:hAnsi="Arial" w:cs="Arial"/>
          <w:sz w:val="20"/>
          <w:szCs w:val="20"/>
        </w:rPr>
        <w:t>non-public business entities, as indicated below</w:t>
      </w:r>
      <w:r>
        <w:rPr>
          <w:rFonts w:ascii="Arial" w:hAnsi="Arial" w:cs="Arial"/>
          <w:sz w:val="20"/>
          <w:szCs w:val="20"/>
        </w:rPr>
        <w:t>.</w:t>
      </w:r>
    </w:p>
    <w:p w:rsidR="00000000" w:rsidRDefault="00CA40A2">
      <w:pPr>
        <w:pStyle w:val="a3"/>
        <w:spacing w:before="240" w:beforeAutospacing="0" w:after="0" w:afterAutospacing="0"/>
        <w:divId w:val="2006130580"/>
        <w:rPr>
          <w:sz w:val="20"/>
          <w:szCs w:val="20"/>
        </w:rPr>
      </w:pPr>
      <w:r>
        <w:rPr>
          <w:rFonts w:ascii="Arial" w:hAnsi="Arial" w:cs="Arial"/>
          <w:b/>
          <w:bCs/>
          <w:i/>
          <w:iCs/>
          <w:sz w:val="20"/>
          <w:szCs w:val="20"/>
        </w:rPr>
        <w:t>Accounting Pronouncements Not Yet Adopte</w:t>
      </w:r>
      <w:r>
        <w:rPr>
          <w:rFonts w:ascii="Arial" w:hAnsi="Arial" w:cs="Arial"/>
          <w:b/>
          <w:bCs/>
          <w:i/>
          <w:iCs/>
          <w:sz w:val="20"/>
          <w:szCs w:val="20"/>
        </w:rPr>
        <w:t>d</w:t>
      </w:r>
    </w:p>
    <w:p w:rsidR="00000000" w:rsidRDefault="00CA40A2">
      <w:pPr>
        <w:pStyle w:val="a3"/>
        <w:spacing w:before="120" w:beforeAutospacing="0" w:after="0" w:afterAutospacing="0"/>
        <w:ind w:firstLine="539"/>
        <w:divId w:val="2006130580"/>
        <w:rPr>
          <w:sz w:val="20"/>
          <w:szCs w:val="20"/>
        </w:rPr>
      </w:pPr>
      <w:r>
        <w:rPr>
          <w:rFonts w:ascii="Arial" w:hAnsi="Arial" w:cs="Arial"/>
          <w:sz w:val="20"/>
          <w:szCs w:val="20"/>
        </w:rPr>
        <w:t>In October 2021, the FASB issued ASU 2021-08,</w:t>
      </w:r>
      <w:r>
        <w:rPr>
          <w:rFonts w:ascii="Arial" w:hAnsi="Arial" w:cs="Arial"/>
          <w:sz w:val="20"/>
          <w:szCs w:val="20"/>
        </w:rPr>
        <w:t xml:space="preserve"> </w:t>
      </w:r>
      <w:r>
        <w:rPr>
          <w:rFonts w:ascii="Arial" w:hAnsi="Arial" w:cs="Arial"/>
          <w:i/>
          <w:iCs/>
          <w:sz w:val="20"/>
          <w:szCs w:val="20"/>
        </w:rPr>
        <w:t>"</w:t>
      </w:r>
      <w:r>
        <w:rPr>
          <w:rFonts w:ascii="Arial" w:hAnsi="Arial" w:cs="Arial"/>
          <w:i/>
          <w:iCs/>
          <w:sz w:val="20"/>
          <w:szCs w:val="20"/>
        </w:rPr>
        <w:t>Business Combinations (Topic 805): Accounting for Contract Assets and Contract Liabilities from Contracts with Customers" ("ASU 2021-08"</w:t>
      </w:r>
      <w:r>
        <w:rPr>
          <w:rFonts w:ascii="Arial" w:hAnsi="Arial" w:cs="Arial"/>
          <w:i/>
          <w:iCs/>
          <w:sz w:val="20"/>
          <w:szCs w:val="20"/>
        </w:rPr>
        <w:t>)</w:t>
      </w:r>
      <w:r>
        <w:rPr>
          <w:rFonts w:ascii="Arial" w:hAnsi="Arial" w:cs="Arial"/>
          <w:sz w:val="20"/>
          <w:szCs w:val="20"/>
        </w:rPr>
        <w:t>. ASU 2021-08 will require companies to apply the definition of a performance obligation under ASU 2014-0</w:t>
      </w:r>
      <w:r>
        <w:rPr>
          <w:rFonts w:ascii="Arial" w:hAnsi="Arial" w:cs="Arial"/>
          <w:sz w:val="20"/>
          <w:szCs w:val="20"/>
        </w:rPr>
        <w:t>9</w:t>
      </w:r>
      <w:r>
        <w:rPr>
          <w:rFonts w:ascii="Arial" w:hAnsi="Arial" w:cs="Arial"/>
          <w:i/>
          <w:iCs/>
          <w:sz w:val="20"/>
          <w:szCs w:val="20"/>
        </w:rPr>
        <w:t>, Revenue fro</w:t>
      </w:r>
      <w:r>
        <w:rPr>
          <w:rFonts w:ascii="Arial" w:hAnsi="Arial" w:cs="Arial"/>
          <w:i/>
          <w:iCs/>
          <w:sz w:val="20"/>
          <w:szCs w:val="20"/>
        </w:rPr>
        <w:t>m contracts with customers (“Topic 606”</w:t>
      </w:r>
      <w:r>
        <w:rPr>
          <w:rFonts w:ascii="Arial" w:hAnsi="Arial" w:cs="Arial"/>
          <w:i/>
          <w:iCs/>
          <w:sz w:val="20"/>
          <w:szCs w:val="20"/>
        </w:rPr>
        <w:t>)</w:t>
      </w:r>
      <w:r>
        <w:rPr>
          <w:rFonts w:ascii="Arial" w:hAnsi="Arial" w:cs="Arial"/>
          <w:sz w:val="20"/>
          <w:szCs w:val="20"/>
        </w:rPr>
        <w:t xml:space="preserve"> to recognize and measure contract assets and contract liabilities relating to contracts with customers that are acquired in a business combination. Under current U.S. GAAP, an acquirer generally recognizes assets ac</w:t>
      </w:r>
      <w:r>
        <w:rPr>
          <w:rFonts w:ascii="Arial" w:hAnsi="Arial" w:cs="Arial"/>
          <w:sz w:val="20"/>
          <w:szCs w:val="20"/>
        </w:rPr>
        <w:t>quired and liabilities assumed in a business combination, including contract assets and contract liabilities arising from revenue contracts with customers, at fair value on the acquisition date. ASU 2021-08 will result in the acquirer recording acquired co</w:t>
      </w:r>
      <w:r>
        <w:rPr>
          <w:rFonts w:ascii="Arial" w:hAnsi="Arial" w:cs="Arial"/>
          <w:sz w:val="20"/>
          <w:szCs w:val="20"/>
        </w:rPr>
        <w:t>ntract assets and liabilities on the same basis that would have been recorded by the acquiree before the acquisition under ASU Topic 606. ASU 2021-08 is effective for fiscal years beginning after December 15, 2022, with early adoption permitted. The Compan</w:t>
      </w:r>
      <w:r>
        <w:rPr>
          <w:rFonts w:ascii="Arial" w:hAnsi="Arial" w:cs="Arial"/>
          <w:sz w:val="20"/>
          <w:szCs w:val="20"/>
        </w:rPr>
        <w:t>y is currently evaluating the impact of this ASU on its condensed consolidated financial statements</w:t>
      </w:r>
      <w:r>
        <w:rPr>
          <w:rFonts w:ascii="Arial" w:hAnsi="Arial" w:cs="Arial"/>
          <w:sz w:val="20"/>
          <w:szCs w:val="20"/>
        </w:rPr>
        <w:t>.</w:t>
      </w:r>
    </w:p>
    <w:p w:rsidR="00000000" w:rsidRDefault="00CA40A2">
      <w:pPr>
        <w:pStyle w:val="a3"/>
        <w:spacing w:before="240" w:beforeAutospacing="0" w:after="0" w:afterAutospacing="0"/>
        <w:ind w:hanging="422"/>
        <w:divId w:val="1386294964"/>
        <w:rPr>
          <w:sz w:val="20"/>
          <w:szCs w:val="20"/>
        </w:rPr>
      </w:pPr>
      <w:r>
        <w:rPr>
          <w:rFonts w:ascii="Arial" w:hAnsi="Arial" w:cs="Arial"/>
          <w:b/>
          <w:bCs/>
          <w:sz w:val="20"/>
          <w:szCs w:val="20"/>
        </w:rPr>
        <w:t>3. Revenue, Performance Obligations and Contract Balance</w:t>
      </w:r>
      <w:r>
        <w:rPr>
          <w:rFonts w:ascii="Arial" w:hAnsi="Arial" w:cs="Arial"/>
          <w:b/>
          <w:bCs/>
          <w:sz w:val="20"/>
          <w:szCs w:val="20"/>
        </w:rPr>
        <w:t>s</w:t>
      </w:r>
    </w:p>
    <w:p w:rsidR="00000000" w:rsidRDefault="00CA40A2">
      <w:pPr>
        <w:pStyle w:val="a3"/>
        <w:spacing w:before="240" w:beforeAutospacing="0" w:after="0" w:afterAutospacing="0"/>
        <w:divId w:val="1386294964"/>
        <w:rPr>
          <w:sz w:val="20"/>
          <w:szCs w:val="20"/>
        </w:rPr>
      </w:pPr>
      <w:r>
        <w:rPr>
          <w:rFonts w:ascii="Arial" w:hAnsi="Arial" w:cs="Arial"/>
          <w:b/>
          <w:bCs/>
          <w:i/>
          <w:iCs/>
          <w:sz w:val="20"/>
          <w:szCs w:val="20"/>
        </w:rPr>
        <w:t>Disaggregation of Revenu</w:t>
      </w:r>
      <w:r>
        <w:rPr>
          <w:rFonts w:ascii="Arial" w:hAnsi="Arial" w:cs="Arial"/>
          <w:b/>
          <w:bCs/>
          <w:i/>
          <w:iCs/>
          <w:sz w:val="20"/>
          <w:szCs w:val="20"/>
        </w:rPr>
        <w:t>e</w:t>
      </w:r>
    </w:p>
    <w:p w:rsidR="00000000" w:rsidRDefault="00CA40A2">
      <w:pPr>
        <w:pStyle w:val="a3"/>
        <w:spacing w:before="120" w:beforeAutospacing="0" w:after="120" w:afterAutospacing="0"/>
        <w:ind w:firstLine="539"/>
        <w:divId w:val="120539150"/>
        <w:rPr>
          <w:sz w:val="20"/>
          <w:szCs w:val="20"/>
        </w:rPr>
      </w:pPr>
      <w:r>
        <w:rPr>
          <w:rFonts w:ascii="Arial" w:hAnsi="Arial" w:cs="Arial"/>
          <w:sz w:val="20"/>
          <w:szCs w:val="20"/>
        </w:rPr>
        <w:t>The following table presents a disaggregation of revenue from contracts</w:t>
      </w:r>
      <w:r>
        <w:rPr>
          <w:rFonts w:ascii="Arial" w:hAnsi="Arial" w:cs="Arial"/>
          <w:sz w:val="20"/>
          <w:szCs w:val="20"/>
        </w:rPr>
        <w:t xml:space="preserve"> with customers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71"/>
        <w:gridCol w:w="122"/>
        <w:gridCol w:w="172"/>
        <w:gridCol w:w="1100"/>
        <w:gridCol w:w="116"/>
        <w:gridCol w:w="122"/>
        <w:gridCol w:w="172"/>
        <w:gridCol w:w="1100"/>
        <w:gridCol w:w="131"/>
      </w:tblGrid>
      <w:tr w:rsidR="00000000">
        <w:trPr>
          <w:divId w:val="120539150"/>
          <w:tblCellSpacing w:w="15" w:type="dxa"/>
        </w:trPr>
        <w:tc>
          <w:tcPr>
            <w:tcW w:w="3278" w:type="pct"/>
            <w:vAlign w:val="center"/>
            <w:hideMark/>
          </w:tcPr>
          <w:p w:rsidR="00000000" w:rsidRDefault="00CA40A2">
            <w:pPr>
              <w:rPr>
                <w:sz w:val="20"/>
                <w:szCs w:val="20"/>
              </w:rPr>
            </w:pPr>
          </w:p>
        </w:tc>
        <w:tc>
          <w:tcPr>
            <w:tcW w:w="75"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85"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75"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84"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divId w:val="120539150"/>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20539150"/>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20539150"/>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Payment transaction processing revenu</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114,96</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91,20</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20539150"/>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1,74</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1,02</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20539150"/>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Total revenu</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116,70</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92,22</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0" w:afterAutospacing="0"/>
        <w:divId w:val="1386294964"/>
        <w:rPr>
          <w:sz w:val="20"/>
          <w:szCs w:val="20"/>
        </w:rPr>
      </w:pPr>
      <w:r>
        <w:rPr>
          <w:rFonts w:ascii="Arial" w:hAnsi="Arial" w:cs="Arial"/>
          <w:b/>
          <w:bCs/>
          <w:i/>
          <w:iCs/>
          <w:sz w:val="20"/>
          <w:szCs w:val="20"/>
        </w:rPr>
        <w:t>Remaining Performance Obligation</w:t>
      </w:r>
      <w:r>
        <w:rPr>
          <w:rFonts w:ascii="Arial" w:hAnsi="Arial" w:cs="Arial"/>
          <w:b/>
          <w:bCs/>
          <w:i/>
          <w:iCs/>
          <w:sz w:val="20"/>
          <w:szCs w:val="20"/>
        </w:rPr>
        <w:t>s</w:t>
      </w:r>
    </w:p>
    <w:p w:rsidR="00000000" w:rsidRDefault="00CA40A2">
      <w:pPr>
        <w:pStyle w:val="a3"/>
        <w:spacing w:before="120" w:beforeAutospacing="0" w:after="0" w:afterAutospacing="0"/>
        <w:ind w:firstLine="539"/>
        <w:divId w:val="1386294964"/>
        <w:rPr>
          <w:sz w:val="20"/>
          <w:szCs w:val="20"/>
        </w:rPr>
      </w:pPr>
      <w:r>
        <w:rPr>
          <w:rFonts w:ascii="Arial" w:hAnsi="Arial" w:cs="Arial"/>
          <w:sz w:val="20"/>
          <w:szCs w:val="20"/>
        </w:rPr>
        <w:t>ASU Topic 606 requires disclosure of the aggregate amount of the transaction price allocated to unsatisfied performance obligations. The purpose of this disclosure is to provide additional information about the amounts and</w:t>
      </w:r>
      <w:r>
        <w:rPr>
          <w:rFonts w:ascii="Arial" w:hAnsi="Arial" w:cs="Arial"/>
          <w:sz w:val="20"/>
          <w:szCs w:val="20"/>
        </w:rPr>
        <w:t xml:space="preserve"> expected timing of revenue to be recognized from the remaining performance obligations in our existing contracts</w:t>
      </w:r>
      <w:r>
        <w:rPr>
          <w:rFonts w:ascii="Arial" w:hAnsi="Arial" w:cs="Arial"/>
          <w:sz w:val="20"/>
          <w:szCs w:val="20"/>
        </w:rPr>
        <w:t>.</w:t>
      </w:r>
    </w:p>
    <w:p w:rsidR="00000000" w:rsidRDefault="00CA40A2">
      <w:pPr>
        <w:pStyle w:val="a3"/>
        <w:spacing w:before="120" w:beforeAutospacing="0" w:after="0" w:afterAutospacing="0"/>
        <w:ind w:firstLine="539"/>
        <w:divId w:val="1386294964"/>
        <w:rPr>
          <w:sz w:val="20"/>
          <w:szCs w:val="20"/>
        </w:rPr>
      </w:pPr>
      <w:r>
        <w:rPr>
          <w:rFonts w:ascii="Arial" w:hAnsi="Arial" w:cs="Arial"/>
          <w:sz w:val="20"/>
          <w:szCs w:val="20"/>
        </w:rPr>
        <w:t>As of March 31, 202</w:t>
      </w:r>
      <w:r>
        <w:rPr>
          <w:rFonts w:ascii="Arial" w:hAnsi="Arial" w:cs="Arial"/>
          <w:sz w:val="20"/>
          <w:szCs w:val="20"/>
        </w:rPr>
        <w:t>2</w:t>
      </w:r>
      <w:r>
        <w:rPr>
          <w:rFonts w:ascii="Arial" w:hAnsi="Arial" w:cs="Arial"/>
          <w:sz w:val="20"/>
          <w:szCs w:val="20"/>
        </w:rPr>
        <w:t xml:space="preserve">, the aggregate amount of transaction price allocated to performance obligations that are unsatisfied or partially unsatisfied was </w:t>
      </w:r>
      <w:r>
        <w:rPr>
          <w:rFonts w:ascii="Arial" w:hAnsi="Arial" w:cs="Arial"/>
          <w:sz w:val="20"/>
          <w:szCs w:val="20"/>
        </w:rPr>
        <w:t>$</w:t>
      </w:r>
      <w:r>
        <w:rPr>
          <w:rFonts w:ascii="Arial" w:hAnsi="Arial" w:cs="Arial"/>
          <w:sz w:val="20"/>
          <w:szCs w:val="20"/>
        </w:rPr>
        <w:t>3.</w:t>
      </w:r>
      <w:r>
        <w:rPr>
          <w:rFonts w:ascii="Arial" w:hAnsi="Arial" w:cs="Arial"/>
          <w:sz w:val="20"/>
          <w:szCs w:val="20"/>
        </w:rPr>
        <w:t>8</w:t>
      </w:r>
      <w:r>
        <w:rPr>
          <w:rFonts w:ascii="Arial" w:hAnsi="Arial" w:cs="Arial"/>
          <w:sz w:val="20"/>
          <w:szCs w:val="20"/>
        </w:rPr>
        <w:t xml:space="preserve"> million, which the Company expects to recognize over</w:t>
      </w:r>
      <w:r>
        <w:rPr>
          <w:rFonts w:ascii="Arial" w:hAnsi="Arial" w:cs="Arial"/>
          <w:sz w:val="20"/>
          <w:szCs w:val="20"/>
        </w:rPr>
        <w:t xml:space="preserve"> </w:t>
      </w:r>
      <w:r>
        <w:rPr>
          <w:rFonts w:ascii="Arial" w:hAnsi="Arial" w:cs="Arial"/>
          <w:sz w:val="20"/>
          <w:szCs w:val="20"/>
        </w:rPr>
        <w:t>8</w:t>
      </w:r>
      <w:r>
        <w:rPr>
          <w:rFonts w:ascii="Arial" w:hAnsi="Arial" w:cs="Arial"/>
          <w:sz w:val="20"/>
          <w:szCs w:val="20"/>
        </w:rPr>
        <w:t>0</w:t>
      </w:r>
      <w:r>
        <w:rPr>
          <w:rFonts w:ascii="Arial" w:hAnsi="Arial" w:cs="Arial"/>
          <w:sz w:val="20"/>
          <w:szCs w:val="20"/>
        </w:rPr>
        <w:t>% within the next</w:t>
      </w:r>
      <w:r>
        <w:rPr>
          <w:rFonts w:ascii="Arial" w:hAnsi="Arial" w:cs="Arial"/>
          <w:sz w:val="20"/>
          <w:szCs w:val="20"/>
        </w:rPr>
        <w:t xml:space="preserve"> </w:t>
      </w:r>
      <w:r>
        <w:rPr>
          <w:rFonts w:ascii="Arial" w:hAnsi="Arial" w:cs="Arial"/>
          <w:sz w:val="20"/>
          <w:szCs w:val="20"/>
        </w:rPr>
        <w:t>four year</w:t>
      </w:r>
      <w:r>
        <w:rPr>
          <w:rFonts w:ascii="Arial" w:hAnsi="Arial" w:cs="Arial"/>
          <w:sz w:val="20"/>
          <w:szCs w:val="20"/>
        </w:rPr>
        <w:t>s</w:t>
      </w:r>
      <w:r>
        <w:rPr>
          <w:rFonts w:ascii="Arial" w:hAnsi="Arial" w:cs="Arial"/>
          <w:sz w:val="20"/>
          <w:szCs w:val="20"/>
        </w:rPr>
        <w:t>. The timing of revenue recognition w</w:t>
      </w:r>
      <w:r>
        <w:rPr>
          <w:rFonts w:ascii="Arial" w:hAnsi="Arial" w:cs="Arial"/>
          <w:sz w:val="20"/>
          <w:szCs w:val="20"/>
        </w:rPr>
        <w:t>ithin the next year is largely dependent upon the go-live dates of the Company's contracts</w:t>
      </w:r>
      <w:r>
        <w:rPr>
          <w:rFonts w:ascii="Arial" w:hAnsi="Arial" w:cs="Arial"/>
          <w:sz w:val="20"/>
          <w:szCs w:val="20"/>
        </w:rPr>
        <w:t>.</w:t>
      </w:r>
    </w:p>
    <w:p w:rsidR="00000000" w:rsidRDefault="00CA40A2">
      <w:pPr>
        <w:pStyle w:val="a3"/>
        <w:spacing w:before="240" w:beforeAutospacing="0" w:after="0" w:afterAutospacing="0"/>
        <w:ind w:firstLine="539"/>
        <w:divId w:val="1386294964"/>
        <w:rPr>
          <w:sz w:val="20"/>
          <w:szCs w:val="20"/>
        </w:rPr>
      </w:pPr>
      <w:r>
        <w:rPr>
          <w:rFonts w:ascii="Arial" w:hAnsi="Arial" w:cs="Arial"/>
          <w:sz w:val="20"/>
          <w:szCs w:val="20"/>
        </w:rPr>
        <w:t>As of March 31, 202</w:t>
      </w:r>
      <w:r>
        <w:rPr>
          <w:rFonts w:ascii="Arial" w:hAnsi="Arial" w:cs="Arial"/>
          <w:sz w:val="20"/>
          <w:szCs w:val="20"/>
        </w:rPr>
        <w:t>2</w:t>
      </w:r>
      <w:r>
        <w:rPr>
          <w:rFonts w:ascii="Arial" w:hAnsi="Arial" w:cs="Arial"/>
          <w:sz w:val="20"/>
          <w:szCs w:val="20"/>
        </w:rPr>
        <w:t xml:space="preserve">, the Company has contractual rights under its commercial agreements to receive </w:t>
      </w:r>
      <w:r>
        <w:rPr>
          <w:rFonts w:ascii="Arial" w:hAnsi="Arial" w:cs="Arial"/>
          <w:sz w:val="20"/>
          <w:szCs w:val="20"/>
        </w:rPr>
        <w:t>$</w:t>
      </w:r>
      <w:r>
        <w:rPr>
          <w:rFonts w:ascii="Arial" w:hAnsi="Arial" w:cs="Arial"/>
          <w:sz w:val="20"/>
          <w:szCs w:val="20"/>
        </w:rPr>
        <w:t>31.</w:t>
      </w:r>
      <w:r>
        <w:rPr>
          <w:rFonts w:ascii="Arial" w:hAnsi="Arial" w:cs="Arial"/>
          <w:sz w:val="20"/>
          <w:szCs w:val="20"/>
        </w:rPr>
        <w:t>6</w:t>
      </w:r>
      <w:r>
        <w:rPr>
          <w:rFonts w:ascii="Arial" w:hAnsi="Arial" w:cs="Arial"/>
          <w:sz w:val="20"/>
          <w:szCs w:val="20"/>
        </w:rPr>
        <w:t xml:space="preserve"> million of fixed consideration related to the future minim</w:t>
      </w:r>
      <w:r>
        <w:rPr>
          <w:rFonts w:ascii="Arial" w:hAnsi="Arial" w:cs="Arial"/>
          <w:sz w:val="20"/>
          <w:szCs w:val="20"/>
        </w:rPr>
        <w:t>um guarantees through March 2026. As permitted, the Company has elected to exclude from this disclosure any variable consideration that meets specified criteria. Accordingly, the total unsatisfied or partially unsatisfied performance obligations related to</w:t>
      </w:r>
      <w:r>
        <w:rPr>
          <w:rFonts w:ascii="Arial" w:hAnsi="Arial" w:cs="Arial"/>
          <w:sz w:val="20"/>
          <w:szCs w:val="20"/>
        </w:rPr>
        <w:t xml:space="preserve"> processing services is significantly higher than the amount disclosed</w:t>
      </w:r>
      <w:r>
        <w:rPr>
          <w:rFonts w:ascii="Arial" w:hAnsi="Arial" w:cs="Arial"/>
          <w:sz w:val="20"/>
          <w:szCs w:val="20"/>
        </w:rPr>
        <w:t>.</w:t>
      </w:r>
    </w:p>
    <w:p w:rsidR="00000000" w:rsidRDefault="00CA40A2">
      <w:pPr>
        <w:pStyle w:val="a3"/>
        <w:spacing w:before="240" w:beforeAutospacing="0" w:after="0" w:afterAutospacing="0"/>
        <w:divId w:val="1386294964"/>
        <w:rPr>
          <w:sz w:val="20"/>
          <w:szCs w:val="20"/>
        </w:rPr>
      </w:pPr>
      <w:r>
        <w:rPr>
          <w:rFonts w:ascii="Arial" w:hAnsi="Arial" w:cs="Arial"/>
          <w:b/>
          <w:bCs/>
          <w:i/>
          <w:iCs/>
          <w:sz w:val="20"/>
          <w:szCs w:val="20"/>
        </w:rPr>
        <w:t>Contract Balance</w:t>
      </w:r>
      <w:r>
        <w:rPr>
          <w:rFonts w:ascii="Arial" w:hAnsi="Arial" w:cs="Arial"/>
          <w:b/>
          <w:bCs/>
          <w:i/>
          <w:iCs/>
          <w:sz w:val="20"/>
          <w:szCs w:val="20"/>
        </w:rPr>
        <w:t>s</w:t>
      </w:r>
    </w:p>
    <w:p w:rsidR="00000000" w:rsidRDefault="00CA40A2">
      <w:pPr>
        <w:pStyle w:val="a3"/>
        <w:spacing w:before="120" w:beforeAutospacing="0" w:after="0" w:afterAutospacing="0"/>
        <w:ind w:firstLine="539"/>
        <w:divId w:val="1386294964"/>
        <w:rPr>
          <w:sz w:val="20"/>
          <w:szCs w:val="20"/>
        </w:rPr>
      </w:pPr>
      <w:r>
        <w:rPr>
          <w:rFonts w:ascii="Arial" w:hAnsi="Arial" w:cs="Arial"/>
          <w:sz w:val="20"/>
          <w:szCs w:val="20"/>
        </w:rPr>
        <w:t xml:space="preserve">The contract asset balances at March 31, 2022 and December 31, 2021 were </w:t>
      </w:r>
      <w:r>
        <w:rPr>
          <w:rFonts w:ascii="Arial" w:hAnsi="Arial" w:cs="Arial"/>
          <w:sz w:val="20"/>
          <w:szCs w:val="20"/>
        </w:rPr>
        <w:t>$</w:t>
      </w:r>
      <w:r>
        <w:rPr>
          <w:rFonts w:ascii="Arial" w:hAnsi="Arial" w:cs="Arial"/>
          <w:sz w:val="20"/>
          <w:szCs w:val="20"/>
        </w:rPr>
        <w:t>6.</w:t>
      </w:r>
      <w:r>
        <w:rPr>
          <w:rFonts w:ascii="Arial" w:hAnsi="Arial" w:cs="Arial"/>
          <w:sz w:val="20"/>
          <w:szCs w:val="20"/>
        </w:rPr>
        <w:t>2</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5.</w:t>
      </w:r>
      <w:r>
        <w:rPr>
          <w:rFonts w:ascii="Arial" w:hAnsi="Arial" w:cs="Arial"/>
          <w:sz w:val="20"/>
          <w:szCs w:val="20"/>
        </w:rPr>
        <w:t>6</w:t>
      </w:r>
      <w:r>
        <w:rPr>
          <w:rFonts w:ascii="Arial" w:hAnsi="Arial" w:cs="Arial"/>
          <w:sz w:val="20"/>
          <w:szCs w:val="20"/>
        </w:rPr>
        <w:t xml:space="preserve"> million, respectively of which </w:t>
      </w:r>
      <w:r>
        <w:rPr>
          <w:rFonts w:ascii="Arial" w:hAnsi="Arial" w:cs="Arial"/>
          <w:sz w:val="20"/>
          <w:szCs w:val="20"/>
        </w:rPr>
        <w:t>$</w:t>
      </w:r>
      <w:r>
        <w:rPr>
          <w:rFonts w:ascii="Arial" w:hAnsi="Arial" w:cs="Arial"/>
          <w:sz w:val="20"/>
          <w:szCs w:val="20"/>
        </w:rPr>
        <w:t>1.</w:t>
      </w:r>
      <w:r>
        <w:rPr>
          <w:rFonts w:ascii="Arial" w:hAnsi="Arial" w:cs="Arial"/>
          <w:sz w:val="20"/>
          <w:szCs w:val="20"/>
        </w:rPr>
        <w:t>8</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was includ</w:t>
      </w:r>
      <w:r>
        <w:rPr>
          <w:rFonts w:ascii="Arial" w:hAnsi="Arial" w:cs="Arial"/>
          <w:sz w:val="20"/>
          <w:szCs w:val="20"/>
        </w:rPr>
        <w:t xml:space="preserve">ed in prepaid expenses and other current assets and </w:t>
      </w:r>
      <w:r>
        <w:rPr>
          <w:rFonts w:ascii="Arial" w:hAnsi="Arial" w:cs="Arial"/>
          <w:sz w:val="20"/>
          <w:szCs w:val="20"/>
        </w:rPr>
        <w:t>$</w:t>
      </w:r>
      <w:r>
        <w:rPr>
          <w:rFonts w:ascii="Arial" w:hAnsi="Arial" w:cs="Arial"/>
          <w:sz w:val="20"/>
          <w:szCs w:val="20"/>
        </w:rPr>
        <w:t>4.</w:t>
      </w:r>
      <w:r>
        <w:rPr>
          <w:rFonts w:ascii="Arial" w:hAnsi="Arial" w:cs="Arial"/>
          <w:sz w:val="20"/>
          <w:szCs w:val="20"/>
        </w:rPr>
        <w:t>4</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3.</w:t>
      </w:r>
      <w:r>
        <w:rPr>
          <w:rFonts w:ascii="Arial" w:hAnsi="Arial" w:cs="Arial"/>
          <w:sz w:val="20"/>
          <w:szCs w:val="20"/>
        </w:rPr>
        <w:t>9</w:t>
      </w:r>
      <w:r>
        <w:rPr>
          <w:rFonts w:ascii="Arial" w:hAnsi="Arial" w:cs="Arial"/>
          <w:sz w:val="20"/>
          <w:szCs w:val="20"/>
        </w:rPr>
        <w:t xml:space="preserve"> million was included in other long-term assets in the condensed consolidated balance sheets, respectively. During the</w:t>
      </w:r>
      <w:r>
        <w:rPr>
          <w:rFonts w:ascii="Arial" w:hAnsi="Arial" w:cs="Arial"/>
          <w:sz w:val="20"/>
          <w:szCs w:val="20"/>
        </w:rPr>
        <w:t xml:space="preserve"> </w:t>
      </w:r>
      <w:r>
        <w:rPr>
          <w:rFonts w:ascii="Arial" w:hAnsi="Arial" w:cs="Arial"/>
          <w:sz w:val="20"/>
          <w:szCs w:val="20"/>
        </w:rPr>
        <w:t>three months ended March 31, 202</w:t>
      </w:r>
      <w:r>
        <w:rPr>
          <w:rFonts w:ascii="Arial" w:hAnsi="Arial" w:cs="Arial"/>
          <w:sz w:val="20"/>
          <w:szCs w:val="20"/>
        </w:rPr>
        <w:t>2</w:t>
      </w:r>
      <w:r>
        <w:rPr>
          <w:rFonts w:ascii="Arial" w:hAnsi="Arial" w:cs="Arial"/>
          <w:sz w:val="20"/>
          <w:szCs w:val="20"/>
        </w:rPr>
        <w:t>, the Company reduced revenue a</w:t>
      </w:r>
      <w:r>
        <w:rPr>
          <w:rFonts w:ascii="Arial" w:hAnsi="Arial" w:cs="Arial"/>
          <w:sz w:val="20"/>
          <w:szCs w:val="20"/>
        </w:rPr>
        <w:t xml:space="preserve">nd the related contract assets by </w:t>
      </w:r>
      <w:r>
        <w:rPr>
          <w:rFonts w:ascii="Arial" w:hAnsi="Arial" w:cs="Arial"/>
          <w:sz w:val="20"/>
          <w:szCs w:val="20"/>
        </w:rPr>
        <w:t>$</w:t>
      </w:r>
      <w:r>
        <w:rPr>
          <w:rFonts w:ascii="Arial" w:hAnsi="Arial" w:cs="Arial"/>
          <w:sz w:val="20"/>
          <w:szCs w:val="20"/>
        </w:rPr>
        <w:t>0.</w:t>
      </w:r>
      <w:r>
        <w:rPr>
          <w:rFonts w:ascii="Arial" w:hAnsi="Arial" w:cs="Arial"/>
          <w:sz w:val="20"/>
          <w:szCs w:val="20"/>
        </w:rPr>
        <w:t>5</w:t>
      </w:r>
      <w:r>
        <w:rPr>
          <w:rFonts w:ascii="Arial" w:hAnsi="Arial" w:cs="Arial"/>
          <w:sz w:val="20"/>
          <w:szCs w:val="20"/>
        </w:rPr>
        <w:t xml:space="preserve"> million.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contract assets as of March 31, 2021</w:t>
      </w:r>
      <w:r>
        <w:rPr>
          <w:rFonts w:ascii="Arial" w:hAnsi="Arial" w:cs="Arial"/>
          <w:sz w:val="20"/>
          <w:szCs w:val="20"/>
        </w:rPr>
        <w:t>.</w:t>
      </w:r>
    </w:p>
    <w:p w:rsidR="00000000" w:rsidRDefault="00CA40A2">
      <w:pPr>
        <w:pStyle w:val="a3"/>
        <w:spacing w:before="120" w:beforeAutospacing="0" w:after="0" w:afterAutospacing="0"/>
        <w:ind w:firstLine="539"/>
        <w:divId w:val="1386294964"/>
        <w:rPr>
          <w:sz w:val="20"/>
          <w:szCs w:val="20"/>
        </w:rPr>
      </w:pPr>
      <w:r>
        <w:rPr>
          <w:rFonts w:ascii="Arial" w:hAnsi="Arial" w:cs="Arial"/>
          <w:sz w:val="20"/>
          <w:szCs w:val="20"/>
        </w:rPr>
        <w:t xml:space="preserve">The Company recorded </w:t>
      </w:r>
      <w:r>
        <w:rPr>
          <w:rFonts w:ascii="Arial" w:hAnsi="Arial" w:cs="Arial"/>
          <w:sz w:val="20"/>
          <w:szCs w:val="20"/>
        </w:rPr>
        <w:t>$</w:t>
      </w:r>
      <w:r>
        <w:rPr>
          <w:rFonts w:ascii="Arial" w:hAnsi="Arial" w:cs="Arial"/>
          <w:sz w:val="20"/>
          <w:szCs w:val="20"/>
        </w:rPr>
        <w:t>3.</w:t>
      </w:r>
      <w:r>
        <w:rPr>
          <w:rFonts w:ascii="Arial" w:hAnsi="Arial" w:cs="Arial"/>
          <w:sz w:val="20"/>
          <w:szCs w:val="20"/>
        </w:rPr>
        <w:t>8</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3.</w:t>
      </w:r>
      <w:r>
        <w:rPr>
          <w:rFonts w:ascii="Arial" w:hAnsi="Arial" w:cs="Arial"/>
          <w:sz w:val="20"/>
          <w:szCs w:val="20"/>
        </w:rPr>
        <w:t>9</w:t>
      </w:r>
      <w:r>
        <w:rPr>
          <w:rFonts w:ascii="Arial" w:hAnsi="Arial" w:cs="Arial"/>
          <w:sz w:val="20"/>
          <w:szCs w:val="20"/>
        </w:rPr>
        <w:t xml:space="preserve"> million of contract liabilities in the condensed consolidated balance sheets as of</w:t>
      </w:r>
      <w:r>
        <w:rPr>
          <w:rFonts w:ascii="Arial" w:hAnsi="Arial" w:cs="Arial"/>
          <w:sz w:val="20"/>
          <w:szCs w:val="20"/>
        </w:rPr>
        <w:t xml:space="preserve"> </w:t>
      </w:r>
      <w:r>
        <w:rPr>
          <w:rFonts w:ascii="Arial" w:hAnsi="Arial" w:cs="Arial"/>
          <w:sz w:val="20"/>
          <w:szCs w:val="20"/>
        </w:rPr>
        <w:t>March 31, 2022 and December 31</w:t>
      </w:r>
      <w:r>
        <w:rPr>
          <w:rFonts w:ascii="Arial" w:hAnsi="Arial" w:cs="Arial"/>
          <w:sz w:val="20"/>
          <w:szCs w:val="20"/>
        </w:rPr>
        <w:t>, 202</w:t>
      </w:r>
      <w:r>
        <w:rPr>
          <w:rFonts w:ascii="Arial" w:hAnsi="Arial" w:cs="Arial"/>
          <w:sz w:val="20"/>
          <w:szCs w:val="20"/>
        </w:rPr>
        <w:t>1</w:t>
      </w:r>
      <w:r>
        <w:rPr>
          <w:rFonts w:ascii="Arial" w:hAnsi="Arial" w:cs="Arial"/>
          <w:sz w:val="20"/>
          <w:szCs w:val="20"/>
        </w:rPr>
        <w:t xml:space="preserve">, respectively, of which </w:t>
      </w:r>
      <w:r>
        <w:rPr>
          <w:rFonts w:ascii="Arial" w:hAnsi="Arial" w:cs="Arial"/>
          <w:sz w:val="20"/>
          <w:szCs w:val="20"/>
        </w:rPr>
        <w:t>$</w:t>
      </w:r>
      <w:r>
        <w:rPr>
          <w:rFonts w:ascii="Arial" w:hAnsi="Arial" w:cs="Arial"/>
          <w:sz w:val="20"/>
          <w:szCs w:val="20"/>
        </w:rPr>
        <w:t>2.</w:t>
      </w:r>
      <w:r>
        <w:rPr>
          <w:rFonts w:ascii="Arial" w:hAnsi="Arial" w:cs="Arial"/>
          <w:sz w:val="20"/>
          <w:szCs w:val="20"/>
        </w:rPr>
        <w:t>8</w:t>
      </w:r>
      <w:r>
        <w:rPr>
          <w:rFonts w:ascii="Arial" w:hAnsi="Arial" w:cs="Arial"/>
          <w:sz w:val="20"/>
          <w:szCs w:val="20"/>
        </w:rPr>
        <w:t xml:space="preserve"> million</w:t>
      </w:r>
      <w:r>
        <w:rPr>
          <w:rFonts w:ascii="Arial" w:hAnsi="Arial" w:cs="Arial"/>
          <w:sz w:val="20"/>
          <w:szCs w:val="20"/>
        </w:rPr>
        <w:t xml:space="preserve"> </w:t>
      </w:r>
      <w:r>
        <w:rPr>
          <w:rFonts w:ascii="Arial" w:hAnsi="Arial" w:cs="Arial"/>
          <w:sz w:val="20"/>
          <w:szCs w:val="20"/>
        </w:rPr>
        <w:t>is related to acquisitions durin</w:t>
      </w:r>
      <w:r>
        <w:rPr>
          <w:rFonts w:ascii="Arial" w:hAnsi="Arial" w:cs="Arial"/>
          <w:sz w:val="20"/>
          <w:szCs w:val="20"/>
        </w:rPr>
        <w:t>g</w:t>
      </w:r>
      <w:r>
        <w:rPr>
          <w:rFonts w:ascii="Arial" w:hAnsi="Arial" w:cs="Arial"/>
          <w:sz w:val="20"/>
          <w:szCs w:val="20"/>
        </w:rPr>
        <w:t xml:space="preserve"> </w:t>
      </w:r>
    </w:p>
    <w:p w:rsidR="00000000" w:rsidRDefault="00CA40A2">
      <w:pPr>
        <w:pStyle w:val="a3"/>
        <w:spacing w:before="120" w:beforeAutospacing="0" w:after="0" w:afterAutospacing="0"/>
        <w:jc w:val="center"/>
        <w:divId w:val="1386294964"/>
        <w:rPr>
          <w:sz w:val="20"/>
          <w:szCs w:val="20"/>
        </w:rPr>
      </w:pPr>
      <w:r>
        <w:rPr>
          <w:rFonts w:ascii="Arial" w:hAnsi="Arial" w:cs="Arial"/>
          <w:sz w:val="20"/>
          <w:szCs w:val="20"/>
        </w:rPr>
        <w:t>1</w:t>
      </w:r>
      <w:r>
        <w:rPr>
          <w:rFonts w:ascii="Arial" w:hAnsi="Arial" w:cs="Arial"/>
          <w:sz w:val="20"/>
          <w:szCs w:val="20"/>
        </w:rPr>
        <w:t>2</w:t>
      </w:r>
    </w:p>
    <w:p w:rsidR="00000000" w:rsidRDefault="00CA40A2">
      <w:pPr>
        <w:divId w:val="1386294964"/>
        <w:rPr>
          <w:rFonts w:ascii="Arial" w:eastAsia="Times New Roman" w:hAnsi="Arial" w:cs="Arial"/>
          <w:sz w:val="20"/>
          <w:szCs w:val="20"/>
        </w:rPr>
      </w:pPr>
      <w:r>
        <w:rPr>
          <w:rFonts w:ascii="Arial" w:eastAsia="Times New Roman" w:hAnsi="Arial" w:cs="Arial"/>
          <w:sz w:val="20"/>
          <w:szCs w:val="20"/>
        </w:rPr>
        <w:pict>
          <v:rect id="_x0000_i1037" style="width:0;height:1.5pt" o:hralign="center" o:hrstd="t" o:hr="t" fillcolor="#a0a0a0" stroked="f"/>
        </w:pict>
      </w:r>
    </w:p>
    <w:p w:rsidR="00000000" w:rsidRDefault="00CA40A2">
      <w:pPr>
        <w:pStyle w:val="a3"/>
        <w:spacing w:before="0" w:beforeAutospacing="0" w:after="0" w:afterAutospacing="0"/>
        <w:divId w:val="1386294964"/>
        <w:rPr>
          <w:sz w:val="20"/>
          <w:szCs w:val="20"/>
        </w:rPr>
      </w:pPr>
      <w:r>
        <w:rPr>
          <w:rFonts w:ascii="Arial" w:hAnsi="Arial" w:cs="Arial"/>
          <w:sz w:val="20"/>
          <w:szCs w:val="20"/>
        </w:rPr>
        <w:t> </w:t>
      </w:r>
    </w:p>
    <w:p w:rsidR="00000000" w:rsidRDefault="00CA40A2">
      <w:pPr>
        <w:pStyle w:val="a3"/>
        <w:spacing w:before="120" w:beforeAutospacing="0" w:after="0" w:afterAutospacing="0"/>
        <w:divId w:val="1386294964"/>
        <w:rPr>
          <w:sz w:val="20"/>
          <w:szCs w:val="20"/>
        </w:rPr>
      </w:pPr>
      <w:r>
        <w:rPr>
          <w:rFonts w:ascii="Arial" w:hAnsi="Arial" w:cs="Arial"/>
          <w:sz w:val="20"/>
          <w:szCs w:val="20"/>
        </w:rPr>
        <w:t>the</w:t>
      </w:r>
      <w:r>
        <w:rPr>
          <w:rFonts w:ascii="Arial" w:hAnsi="Arial" w:cs="Arial"/>
          <w:sz w:val="20"/>
          <w:szCs w:val="20"/>
        </w:rPr>
        <w:t xml:space="preserve"> </w:t>
      </w:r>
      <w:r>
        <w:rPr>
          <w:rFonts w:ascii="Arial" w:hAnsi="Arial" w:cs="Arial"/>
          <w:sz w:val="20"/>
          <w:szCs w:val="20"/>
        </w:rPr>
        <w:t>year ended December 31, 2021 and the remaining amount related to legacy contracts obtained from prior acquisitions associated with t</w:t>
      </w:r>
      <w:r>
        <w:rPr>
          <w:rFonts w:ascii="Arial" w:hAnsi="Arial" w:cs="Arial"/>
          <w:sz w:val="20"/>
          <w:szCs w:val="20"/>
        </w:rPr>
        <w:t>he Company’s insignificant other revenue stream and other payments the Company received in advance for services. The change in the contract liabilities is primarily the result of the Payveris acquisition and timing differences between payment from the cust</w:t>
      </w:r>
      <w:r>
        <w:rPr>
          <w:rFonts w:ascii="Arial" w:hAnsi="Arial" w:cs="Arial"/>
          <w:sz w:val="20"/>
          <w:szCs w:val="20"/>
        </w:rPr>
        <w:t>omer and the Company’s satisfaction of each performance obligation. The revenue recognized during the three months ended March 31, 2022 and 202</w:t>
      </w:r>
      <w:r>
        <w:rPr>
          <w:rFonts w:ascii="Arial" w:hAnsi="Arial" w:cs="Arial"/>
          <w:sz w:val="20"/>
          <w:szCs w:val="20"/>
        </w:rPr>
        <w:t>1</w:t>
      </w:r>
      <w:r>
        <w:rPr>
          <w:rFonts w:ascii="Arial" w:hAnsi="Arial" w:cs="Arial"/>
          <w:sz w:val="20"/>
          <w:szCs w:val="20"/>
        </w:rPr>
        <w:t xml:space="preserve"> that was included in the contract liabilities balance at the beginning of each of the periods was </w:t>
      </w:r>
      <w:r>
        <w:rPr>
          <w:rFonts w:ascii="Arial" w:hAnsi="Arial" w:cs="Arial"/>
          <w:sz w:val="20"/>
          <w:szCs w:val="20"/>
        </w:rPr>
        <w:t>$</w:t>
      </w:r>
      <w:r>
        <w:rPr>
          <w:rFonts w:ascii="Arial" w:hAnsi="Arial" w:cs="Arial"/>
          <w:sz w:val="20"/>
          <w:szCs w:val="20"/>
        </w:rPr>
        <w:t>0.</w:t>
      </w:r>
      <w:r>
        <w:rPr>
          <w:rFonts w:ascii="Arial" w:hAnsi="Arial" w:cs="Arial"/>
          <w:sz w:val="20"/>
          <w:szCs w:val="20"/>
        </w:rPr>
        <w:t>7</w:t>
      </w:r>
      <w:r>
        <w:rPr>
          <w:rFonts w:ascii="Arial" w:hAnsi="Arial" w:cs="Arial"/>
          <w:sz w:val="20"/>
          <w:szCs w:val="20"/>
        </w:rPr>
        <w:t xml:space="preserve"> million </w:t>
      </w:r>
      <w:r>
        <w:rPr>
          <w:rFonts w:ascii="Arial" w:hAnsi="Arial" w:cs="Arial"/>
          <w:sz w:val="20"/>
          <w:szCs w:val="20"/>
        </w:rPr>
        <w:t xml:space="preserve">and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million, respectively</w:t>
      </w:r>
      <w:r>
        <w:rPr>
          <w:rFonts w:ascii="Arial" w:hAnsi="Arial" w:cs="Arial"/>
          <w:sz w:val="20"/>
          <w:szCs w:val="20"/>
        </w:rPr>
        <w:t>.</w:t>
      </w:r>
    </w:p>
    <w:p w:rsidR="00000000" w:rsidRDefault="00CA40A2">
      <w:pPr>
        <w:pStyle w:val="a3"/>
        <w:spacing w:before="240" w:beforeAutospacing="0" w:after="0" w:afterAutospacing="0"/>
        <w:ind w:hanging="422"/>
        <w:divId w:val="1494031990"/>
        <w:rPr>
          <w:sz w:val="20"/>
          <w:szCs w:val="20"/>
        </w:rPr>
      </w:pPr>
      <w:r>
        <w:rPr>
          <w:rFonts w:ascii="Arial" w:hAnsi="Arial" w:cs="Arial"/>
          <w:b/>
          <w:bCs/>
          <w:sz w:val="20"/>
          <w:szCs w:val="20"/>
        </w:rPr>
        <w:t>4. Business Combination</w:t>
      </w:r>
      <w:r>
        <w:rPr>
          <w:rFonts w:ascii="Arial" w:hAnsi="Arial" w:cs="Arial"/>
          <w:b/>
          <w:bCs/>
          <w:sz w:val="20"/>
          <w:szCs w:val="20"/>
        </w:rPr>
        <w:t>s</w:t>
      </w:r>
    </w:p>
    <w:p w:rsidR="00000000" w:rsidRDefault="00CA40A2">
      <w:pPr>
        <w:pStyle w:val="a3"/>
        <w:spacing w:before="120" w:beforeAutospacing="0" w:after="0" w:afterAutospacing="0"/>
        <w:ind w:firstLine="539"/>
        <w:divId w:val="1494031990"/>
        <w:rPr>
          <w:sz w:val="20"/>
          <w:szCs w:val="20"/>
        </w:rPr>
      </w:pPr>
      <w:r>
        <w:rPr>
          <w:rFonts w:ascii="Arial" w:hAnsi="Arial" w:cs="Arial"/>
          <w:b/>
          <w:bCs/>
          <w:i/>
          <w:iCs/>
          <w:sz w:val="20"/>
          <w:szCs w:val="20"/>
        </w:rPr>
        <w:t>Payveris, LL</w:t>
      </w:r>
      <w:r>
        <w:rPr>
          <w:rFonts w:ascii="Arial" w:hAnsi="Arial" w:cs="Arial"/>
          <w:b/>
          <w:bCs/>
          <w:i/>
          <w:iCs/>
          <w:sz w:val="20"/>
          <w:szCs w:val="20"/>
        </w:rPr>
        <w:t>C</w:t>
      </w:r>
    </w:p>
    <w:p w:rsidR="00000000" w:rsidRDefault="00CA40A2">
      <w:pPr>
        <w:pStyle w:val="a3"/>
        <w:spacing w:before="120" w:beforeAutospacing="0" w:after="0" w:afterAutospacing="0"/>
        <w:ind w:firstLine="539"/>
        <w:divId w:val="1494031990"/>
        <w:rPr>
          <w:sz w:val="20"/>
          <w:szCs w:val="20"/>
        </w:rPr>
      </w:pPr>
      <w:r>
        <w:rPr>
          <w:rFonts w:ascii="Arial" w:hAnsi="Arial" w:cs="Arial"/>
          <w:sz w:val="20"/>
          <w:szCs w:val="20"/>
        </w:rPr>
        <w:t>On September 1, 2021, the Company completed its acquisition of Payveris, LLC ("Payveris"</w:t>
      </w:r>
      <w:r>
        <w:rPr>
          <w:rFonts w:ascii="Arial" w:hAnsi="Arial" w:cs="Arial"/>
          <w:sz w:val="20"/>
          <w:szCs w:val="20"/>
        </w:rPr>
        <w:t xml:space="preserve">) by acquiring all outstanding equity interests for a total purchase price of approximately </w:t>
      </w:r>
      <w:r>
        <w:rPr>
          <w:rFonts w:ascii="Arial" w:hAnsi="Arial" w:cs="Arial"/>
          <w:sz w:val="20"/>
          <w:szCs w:val="20"/>
        </w:rPr>
        <w:t>$</w:t>
      </w:r>
      <w:r>
        <w:rPr>
          <w:rFonts w:ascii="Arial" w:hAnsi="Arial" w:cs="Arial"/>
          <w:sz w:val="20"/>
          <w:szCs w:val="20"/>
        </w:rPr>
        <w:t>145.</w:t>
      </w:r>
      <w:r>
        <w:rPr>
          <w:rFonts w:ascii="Arial" w:hAnsi="Arial" w:cs="Arial"/>
          <w:sz w:val="20"/>
          <w:szCs w:val="20"/>
        </w:rPr>
        <w:t>5</w:t>
      </w:r>
      <w:r>
        <w:rPr>
          <w:rFonts w:ascii="Arial" w:hAnsi="Arial" w:cs="Arial"/>
          <w:sz w:val="20"/>
          <w:szCs w:val="20"/>
        </w:rPr>
        <w:t xml:space="preserve"> million, comprised of </w:t>
      </w:r>
      <w:r>
        <w:rPr>
          <w:rFonts w:ascii="Arial" w:hAnsi="Arial" w:cs="Arial"/>
          <w:sz w:val="20"/>
          <w:szCs w:val="20"/>
        </w:rPr>
        <w:t>$</w:t>
      </w:r>
      <w:r>
        <w:rPr>
          <w:rFonts w:ascii="Arial" w:hAnsi="Arial" w:cs="Arial"/>
          <w:sz w:val="20"/>
          <w:szCs w:val="20"/>
        </w:rPr>
        <w:t>85.</w:t>
      </w:r>
      <w:r>
        <w:rPr>
          <w:rFonts w:ascii="Arial" w:hAnsi="Arial" w:cs="Arial"/>
          <w:sz w:val="20"/>
          <w:szCs w:val="20"/>
        </w:rPr>
        <w:t>1</w:t>
      </w:r>
      <w:r>
        <w:rPr>
          <w:rFonts w:ascii="Arial" w:hAnsi="Arial" w:cs="Arial"/>
          <w:sz w:val="20"/>
          <w:szCs w:val="20"/>
        </w:rPr>
        <w:t xml:space="preserve"> million in cash and</w:t>
      </w:r>
      <w:r>
        <w:rPr>
          <w:rFonts w:ascii="Arial" w:hAnsi="Arial" w:cs="Arial"/>
          <w:sz w:val="20"/>
          <w:szCs w:val="20"/>
        </w:rPr>
        <w:t xml:space="preserve"> </w:t>
      </w:r>
      <w:r>
        <w:rPr>
          <w:rFonts w:ascii="Arial" w:hAnsi="Arial" w:cs="Arial"/>
          <w:sz w:val="20"/>
          <w:szCs w:val="20"/>
        </w:rPr>
        <w:t>2,364,27</w:t>
      </w:r>
      <w:r>
        <w:rPr>
          <w:rFonts w:ascii="Arial" w:hAnsi="Arial" w:cs="Arial"/>
          <w:sz w:val="20"/>
          <w:szCs w:val="20"/>
        </w:rPr>
        <w:t>0</w:t>
      </w:r>
      <w:r>
        <w:rPr>
          <w:rFonts w:ascii="Arial" w:hAnsi="Arial" w:cs="Arial"/>
          <w:sz w:val="20"/>
          <w:szCs w:val="20"/>
        </w:rPr>
        <w:t xml:space="preserve"> shares of the Company's Class A common stock with a fair value of approximately </w:t>
      </w:r>
      <w:r>
        <w:rPr>
          <w:rFonts w:ascii="Arial" w:hAnsi="Arial" w:cs="Arial"/>
          <w:sz w:val="20"/>
          <w:szCs w:val="20"/>
        </w:rPr>
        <w:t>$</w:t>
      </w:r>
      <w:r>
        <w:rPr>
          <w:rFonts w:ascii="Arial" w:hAnsi="Arial" w:cs="Arial"/>
          <w:sz w:val="20"/>
          <w:szCs w:val="20"/>
        </w:rPr>
        <w:t>60.</w:t>
      </w:r>
      <w:r>
        <w:rPr>
          <w:rFonts w:ascii="Arial" w:hAnsi="Arial" w:cs="Arial"/>
          <w:sz w:val="20"/>
          <w:szCs w:val="20"/>
        </w:rPr>
        <w:t>4</w:t>
      </w:r>
      <w:r>
        <w:rPr>
          <w:rFonts w:ascii="Arial" w:hAnsi="Arial" w:cs="Arial"/>
          <w:sz w:val="20"/>
          <w:szCs w:val="20"/>
        </w:rPr>
        <w:t xml:space="preserve"> million, of w</w:t>
      </w:r>
      <w:r>
        <w:rPr>
          <w:rFonts w:ascii="Arial" w:hAnsi="Arial" w:cs="Arial"/>
          <w:sz w:val="20"/>
          <w:szCs w:val="20"/>
        </w:rPr>
        <w:t>hich</w:t>
      </w:r>
      <w:r>
        <w:rPr>
          <w:rFonts w:ascii="Arial" w:hAnsi="Arial" w:cs="Arial"/>
          <w:sz w:val="20"/>
          <w:szCs w:val="20"/>
        </w:rPr>
        <w:t xml:space="preserve"> </w:t>
      </w:r>
      <w:r>
        <w:rPr>
          <w:rFonts w:ascii="Arial" w:hAnsi="Arial" w:cs="Arial"/>
          <w:sz w:val="20"/>
          <w:szCs w:val="20"/>
        </w:rPr>
        <w:t>2,47</w:t>
      </w:r>
      <w:r>
        <w:rPr>
          <w:rFonts w:ascii="Arial" w:hAnsi="Arial" w:cs="Arial"/>
          <w:sz w:val="20"/>
          <w:szCs w:val="20"/>
        </w:rPr>
        <w:t>1</w:t>
      </w:r>
      <w:r>
        <w:rPr>
          <w:rFonts w:ascii="Arial" w:hAnsi="Arial" w:cs="Arial"/>
          <w:sz w:val="20"/>
          <w:szCs w:val="20"/>
        </w:rPr>
        <w:t xml:space="preserve"> shares of the Company's Class A common stock with an approximate value of </w:t>
      </w:r>
      <w:r>
        <w:rPr>
          <w:rFonts w:ascii="Arial" w:hAnsi="Arial" w:cs="Arial"/>
          <w:sz w:val="20"/>
          <w:szCs w:val="20"/>
        </w:rPr>
        <w:t>$</w:t>
      </w:r>
      <w:r>
        <w:rPr>
          <w:rFonts w:ascii="Arial" w:hAnsi="Arial" w:cs="Arial"/>
          <w:sz w:val="20"/>
          <w:szCs w:val="20"/>
        </w:rPr>
        <w:t>0.0</w:t>
      </w:r>
      <w:r>
        <w:rPr>
          <w:rFonts w:ascii="Arial" w:hAnsi="Arial" w:cs="Arial"/>
          <w:sz w:val="20"/>
          <w:szCs w:val="20"/>
        </w:rPr>
        <w:t>6</w:t>
      </w:r>
      <w:r>
        <w:rPr>
          <w:rFonts w:ascii="Arial" w:hAnsi="Arial" w:cs="Arial"/>
          <w:sz w:val="20"/>
          <w:szCs w:val="20"/>
        </w:rPr>
        <w:t xml:space="preserve"> million are subject to final issuance and are currently recorded in accrued liabilities in the condensed consolidated balance sheets. Payveris is a payments processi</w:t>
      </w:r>
      <w:r>
        <w:rPr>
          <w:rFonts w:ascii="Arial" w:hAnsi="Arial" w:cs="Arial"/>
          <w:sz w:val="20"/>
          <w:szCs w:val="20"/>
        </w:rPr>
        <w:t>ng company for financial institutions. The acquisition is expected to increase the addressable market opportunity for the Company's existing solutions while also enhancing Payveris’ platform with real-time capabilities, enhanced electronic bill presentment</w:t>
      </w:r>
      <w:r>
        <w:rPr>
          <w:rFonts w:ascii="Arial" w:hAnsi="Arial" w:cs="Arial"/>
          <w:sz w:val="20"/>
          <w:szCs w:val="20"/>
        </w:rPr>
        <w:t xml:space="preserve"> and additional payment options for banks, credit unions and financial institutions of all sizes</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120" w:afterAutospacing="0"/>
        <w:ind w:firstLine="539"/>
        <w:divId w:val="1494031990"/>
        <w:rPr>
          <w:sz w:val="20"/>
          <w:szCs w:val="20"/>
        </w:rPr>
      </w:pPr>
      <w:r>
        <w:rPr>
          <w:rFonts w:ascii="Arial" w:hAnsi="Arial" w:cs="Arial"/>
          <w:sz w:val="20"/>
          <w:szCs w:val="20"/>
        </w:rPr>
        <w:t>The acquisition was accounted for as a business combination and, accordingly, the total fair value of purchase consideration was allocated to the tangible an</w:t>
      </w:r>
      <w:r>
        <w:rPr>
          <w:rFonts w:ascii="Arial" w:hAnsi="Arial" w:cs="Arial"/>
          <w:sz w:val="20"/>
          <w:szCs w:val="20"/>
        </w:rPr>
        <w:t>d intangible assets acquired and liabilities assumed based on their fair values on the acquisition date.</w:t>
      </w:r>
      <w:r>
        <w:rPr>
          <w:rFonts w:ascii="Arial" w:hAnsi="Arial" w:cs="Arial"/>
          <w:sz w:val="20"/>
          <w:szCs w:val="20"/>
        </w:rPr>
        <w:t xml:space="preserve"> </w:t>
      </w:r>
      <w:r>
        <w:rPr>
          <w:rFonts w:ascii="Arial" w:hAnsi="Arial" w:cs="Arial"/>
          <w:sz w:val="20"/>
          <w:szCs w:val="20"/>
        </w:rPr>
        <w:t>The major classes of assets and liabilities to which the Company has allocated the fair value of purchase consideration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92"/>
        <w:gridCol w:w="172"/>
        <w:gridCol w:w="1300"/>
        <w:gridCol w:w="142"/>
      </w:tblGrid>
      <w:tr w:rsidR="00000000">
        <w:trPr>
          <w:divId w:val="1938368892"/>
          <w:tblCellSpacing w:w="15" w:type="dxa"/>
        </w:trPr>
        <w:tc>
          <w:tcPr>
            <w:tcW w:w="4093" w:type="pct"/>
            <w:vAlign w:val="center"/>
            <w:hideMark/>
          </w:tcPr>
          <w:p w:rsidR="00000000" w:rsidRDefault="00CA40A2">
            <w:pPr>
              <w:rPr>
                <w:sz w:val="20"/>
                <w:szCs w:val="20"/>
              </w:rPr>
            </w:pPr>
          </w:p>
        </w:tc>
        <w:tc>
          <w:tcPr>
            <w:tcW w:w="68" w:type="pct"/>
            <w:vAlign w:val="center"/>
            <w:hideMark/>
          </w:tcPr>
          <w:p w:rsidR="00000000" w:rsidRDefault="00CA40A2">
            <w:pPr>
              <w:rPr>
                <w:rFonts w:eastAsia="Times New Roman"/>
                <w:sz w:val="20"/>
                <w:szCs w:val="20"/>
              </w:rPr>
            </w:pPr>
          </w:p>
        </w:tc>
        <w:tc>
          <w:tcPr>
            <w:tcW w:w="797" w:type="pct"/>
            <w:vAlign w:val="center"/>
            <w:hideMark/>
          </w:tcPr>
          <w:p w:rsidR="00000000" w:rsidRDefault="00CA40A2">
            <w:pPr>
              <w:rPr>
                <w:rFonts w:eastAsia="Times New Roman"/>
                <w:sz w:val="20"/>
                <w:szCs w:val="20"/>
              </w:rPr>
            </w:pPr>
          </w:p>
        </w:tc>
        <w:tc>
          <w:tcPr>
            <w:tcW w:w="41" w:type="pct"/>
            <w:vAlign w:val="center"/>
            <w:hideMark/>
          </w:tcPr>
          <w:p w:rsidR="00000000" w:rsidRDefault="00CA40A2">
            <w:pPr>
              <w:rPr>
                <w:rFonts w:eastAsia="Times New Roman"/>
                <w:sz w:val="20"/>
                <w:szCs w:val="20"/>
              </w:rPr>
            </w:pPr>
          </w:p>
        </w:tc>
      </w:tr>
      <w:tr w:rsidR="00000000">
        <w:trPr>
          <w:divId w:val="1938368892"/>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Accounts receivabl</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1,02</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938368892"/>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Prepaid expenses and other current asset</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938368892"/>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Intangible assets, includes software acquire</w:t>
            </w:r>
            <w:r>
              <w:rPr>
                <w:rFonts w:ascii="Arial" w:hAnsi="Arial" w:cs="Arial"/>
                <w:sz w:val="20"/>
                <w:szCs w:val="20"/>
              </w:rPr>
              <w:t>d</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38,49</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938368892"/>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Property and equipmen</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938368892"/>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108,95</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938368892"/>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Restricted funds held for financial institution</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31,45</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938368892"/>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Financial institution funds in-transi</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31,45</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divId w:val="1938368892"/>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Accounts payabl</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19</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divId w:val="1938368892"/>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Accrued liabilitie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divId w:val="1938368892"/>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Deferred revenu</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2,80</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divId w:val="1938368892"/>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145,52</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120" w:beforeAutospacing="0" w:after="120" w:afterAutospacing="0"/>
        <w:ind w:firstLine="539"/>
        <w:divId w:val="1494031990"/>
        <w:rPr>
          <w:sz w:val="20"/>
          <w:szCs w:val="20"/>
        </w:rPr>
      </w:pPr>
      <w:r>
        <w:rPr>
          <w:rFonts w:ascii="Arial" w:hAnsi="Arial" w:cs="Arial"/>
          <w:sz w:val="20"/>
          <w:szCs w:val="20"/>
        </w:rPr>
        <w:t>The purchase price allocation is preliminary. The Company continues to collect information with regard to its estimates and assumptions, including potential liabilities and contingencies. The Company will record adjustments to the fair value of the net ass</w:t>
      </w:r>
      <w:r>
        <w:rPr>
          <w:rFonts w:ascii="Arial" w:hAnsi="Arial" w:cs="Arial"/>
          <w:sz w:val="20"/>
          <w:szCs w:val="20"/>
        </w:rPr>
        <w:t xml:space="preserve">ets acquired and goodwill within the twelve months measurement period, if necessary. The Company recorded a measurement period adjustment of </w:t>
      </w:r>
      <w:r>
        <w:rPr>
          <w:rFonts w:ascii="Arial" w:hAnsi="Arial" w:cs="Arial"/>
          <w:sz w:val="20"/>
          <w:szCs w:val="20"/>
        </w:rPr>
        <w:t>$</w:t>
      </w:r>
      <w:r>
        <w:rPr>
          <w:rFonts w:ascii="Arial" w:hAnsi="Arial" w:cs="Arial"/>
          <w:sz w:val="20"/>
          <w:szCs w:val="20"/>
        </w:rPr>
        <w:t>8.</w:t>
      </w:r>
      <w:r>
        <w:rPr>
          <w:rFonts w:ascii="Arial" w:hAnsi="Arial" w:cs="Arial"/>
          <w:sz w:val="20"/>
          <w:szCs w:val="20"/>
        </w:rPr>
        <w:t>5</w:t>
      </w:r>
      <w:r>
        <w:rPr>
          <w:rFonts w:ascii="Arial" w:hAnsi="Arial" w:cs="Arial"/>
          <w:sz w:val="20"/>
          <w:szCs w:val="20"/>
        </w:rPr>
        <w:t xml:space="preserve"> million during the fourth quarter of 2021 to decrease trademarks and increase goodwill related to the refineme</w:t>
      </w:r>
      <w:r>
        <w:rPr>
          <w:rFonts w:ascii="Arial" w:hAnsi="Arial" w:cs="Arial"/>
          <w:sz w:val="20"/>
          <w:szCs w:val="20"/>
        </w:rPr>
        <w:t>nt of i</w:t>
      </w:r>
      <w:r>
        <w:rPr>
          <w:rFonts w:ascii="Arial" w:hAnsi="Arial" w:cs="Arial"/>
          <w:sz w:val="20"/>
          <w:szCs w:val="20"/>
        </w:rPr>
        <w:t>n</w:t>
      </w:r>
      <w:r>
        <w:rPr>
          <w:rFonts w:ascii="Arial" w:hAnsi="Arial" w:cs="Arial"/>
          <w:sz w:val="20"/>
          <w:szCs w:val="20"/>
        </w:rPr>
        <w:t>puts in the acquisition valuation. There were no measurement period adjustments during the three months ended March 31, 2022</w:t>
      </w:r>
      <w:r>
        <w:rPr>
          <w:rFonts w:ascii="Arial" w:hAnsi="Arial" w:cs="Arial"/>
          <w:sz w:val="20"/>
          <w:szCs w:val="20"/>
        </w:rPr>
        <w:t>.</w:t>
      </w:r>
    </w:p>
    <w:p w:rsidR="00000000" w:rsidRDefault="00CA40A2">
      <w:pPr>
        <w:pStyle w:val="a3"/>
        <w:spacing w:before="120" w:beforeAutospacing="0" w:after="120" w:afterAutospacing="0"/>
        <w:ind w:firstLine="539"/>
        <w:divId w:val="1494031990"/>
        <w:rPr>
          <w:sz w:val="20"/>
          <w:szCs w:val="20"/>
        </w:rPr>
      </w:pPr>
      <w:r>
        <w:rPr>
          <w:rFonts w:ascii="Arial" w:hAnsi="Arial" w:cs="Arial"/>
          <w:sz w:val="20"/>
          <w:szCs w:val="20"/>
        </w:rPr>
        <w:t>The goodwill recognized was primarily attributed to increased synergies that are expected to be achieved from the integrat</w:t>
      </w:r>
      <w:r>
        <w:rPr>
          <w:rFonts w:ascii="Arial" w:hAnsi="Arial" w:cs="Arial"/>
          <w:sz w:val="20"/>
          <w:szCs w:val="20"/>
        </w:rPr>
        <w:t>ion of Payveris and the assembled workforce. The goodwill is deductible for income tax purposes</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120" w:afterAutospacing="0"/>
        <w:ind w:firstLine="539"/>
        <w:divId w:val="929267661"/>
        <w:rPr>
          <w:sz w:val="20"/>
          <w:szCs w:val="20"/>
        </w:rPr>
      </w:pPr>
      <w:r>
        <w:rPr>
          <w:rFonts w:ascii="Arial" w:hAnsi="Arial" w:cs="Arial"/>
          <w:sz w:val="20"/>
          <w:szCs w:val="20"/>
        </w:rPr>
        <w:t>The fair values and estimated useful lives of the acquired intangible assets by category were as follows (in thousands, except years)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37"/>
        <w:gridCol w:w="172"/>
        <w:gridCol w:w="1103"/>
        <w:gridCol w:w="116"/>
        <w:gridCol w:w="129"/>
        <w:gridCol w:w="117"/>
        <w:gridCol w:w="801"/>
        <w:gridCol w:w="131"/>
      </w:tblGrid>
      <w:tr w:rsidR="00000000">
        <w:trPr>
          <w:divId w:val="929267661"/>
          <w:tblCellSpacing w:w="15" w:type="dxa"/>
        </w:trPr>
        <w:tc>
          <w:tcPr>
            <w:tcW w:w="3560" w:type="pct"/>
            <w:vAlign w:val="center"/>
            <w:hideMark/>
          </w:tcPr>
          <w:p w:rsidR="00000000" w:rsidRDefault="00CA40A2">
            <w:pPr>
              <w:rPr>
                <w:sz w:val="20"/>
                <w:szCs w:val="20"/>
              </w:rPr>
            </w:pPr>
          </w:p>
        </w:tc>
        <w:tc>
          <w:tcPr>
            <w:tcW w:w="68" w:type="pct"/>
            <w:vAlign w:val="center"/>
            <w:hideMark/>
          </w:tcPr>
          <w:p w:rsidR="00000000" w:rsidRDefault="00CA40A2">
            <w:pPr>
              <w:rPr>
                <w:rFonts w:eastAsia="Times New Roman"/>
                <w:sz w:val="20"/>
                <w:szCs w:val="20"/>
              </w:rPr>
            </w:pPr>
          </w:p>
        </w:tc>
        <w:tc>
          <w:tcPr>
            <w:tcW w:w="687"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c>
          <w:tcPr>
            <w:tcW w:w="82"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c>
          <w:tcPr>
            <w:tcW w:w="500"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r>
      <w:tr w:rsidR="00000000">
        <w:trPr>
          <w:divId w:val="929267661"/>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929267661"/>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Customer Relationship</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26,15</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929267661"/>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Trademark</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3,99</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929267661"/>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Developed Technolog</w:t>
            </w:r>
            <w:r>
              <w:rPr>
                <w:rFonts w:ascii="Arial" w:hAnsi="Arial" w:cs="Arial"/>
                <w:sz w:val="20"/>
                <w:szCs w:val="20"/>
              </w:rPr>
              <w:t>y</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8,10</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929267661"/>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38,24</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0" w:afterAutospacing="0"/>
        <w:ind w:firstLine="539"/>
        <w:divId w:val="1494031990"/>
        <w:rPr>
          <w:sz w:val="20"/>
          <w:szCs w:val="20"/>
        </w:rPr>
      </w:pPr>
      <w:r>
        <w:rPr>
          <w:rFonts w:ascii="Arial" w:hAnsi="Arial" w:cs="Arial"/>
          <w:b/>
          <w:bCs/>
          <w:i/>
          <w:iCs/>
          <w:sz w:val="20"/>
          <w:szCs w:val="20"/>
        </w:rPr>
        <w:t>Finovera, Inc</w:t>
      </w:r>
      <w:r>
        <w:rPr>
          <w:rFonts w:ascii="Arial" w:hAnsi="Arial" w:cs="Arial"/>
          <w:b/>
          <w:bCs/>
          <w:i/>
          <w:iCs/>
          <w:sz w:val="20"/>
          <w:szCs w:val="20"/>
        </w:rPr>
        <w:t>.</w:t>
      </w:r>
    </w:p>
    <w:p w:rsidR="00000000" w:rsidRDefault="00CA40A2">
      <w:pPr>
        <w:pStyle w:val="a3"/>
        <w:spacing w:before="120" w:beforeAutospacing="0" w:after="0" w:afterAutospacing="0"/>
        <w:ind w:firstLine="539"/>
        <w:divId w:val="1494031990"/>
        <w:rPr>
          <w:sz w:val="20"/>
          <w:szCs w:val="20"/>
        </w:rPr>
      </w:pPr>
      <w:r>
        <w:rPr>
          <w:rFonts w:ascii="Arial" w:hAnsi="Arial" w:cs="Arial"/>
          <w:sz w:val="20"/>
          <w:szCs w:val="20"/>
        </w:rPr>
        <w:t xml:space="preserve">On September 2, 2021, the Company completed its acquisition of Finovera by acquiring all outstanding shares for a total purchase price of approximately </w:t>
      </w:r>
      <w:r>
        <w:rPr>
          <w:rFonts w:ascii="Arial" w:hAnsi="Arial" w:cs="Arial"/>
          <w:sz w:val="20"/>
          <w:szCs w:val="20"/>
        </w:rPr>
        <w:t>$</w:t>
      </w:r>
      <w:r>
        <w:rPr>
          <w:rFonts w:ascii="Arial" w:hAnsi="Arial" w:cs="Arial"/>
          <w:sz w:val="20"/>
          <w:szCs w:val="20"/>
        </w:rPr>
        <w:t>12.</w:t>
      </w:r>
      <w:r>
        <w:rPr>
          <w:rFonts w:ascii="Arial" w:hAnsi="Arial" w:cs="Arial"/>
          <w:sz w:val="20"/>
          <w:szCs w:val="20"/>
        </w:rPr>
        <w:t>9</w:t>
      </w:r>
      <w:r>
        <w:rPr>
          <w:rFonts w:ascii="Arial" w:hAnsi="Arial" w:cs="Arial"/>
          <w:sz w:val="20"/>
          <w:szCs w:val="20"/>
        </w:rPr>
        <w:t xml:space="preserve"> million, net of cash acquired, comprised of </w:t>
      </w:r>
      <w:r>
        <w:rPr>
          <w:rFonts w:ascii="Arial" w:hAnsi="Arial" w:cs="Arial"/>
          <w:sz w:val="20"/>
          <w:szCs w:val="20"/>
        </w:rPr>
        <w:t>$</w:t>
      </w:r>
      <w:r>
        <w:rPr>
          <w:rFonts w:ascii="Arial" w:hAnsi="Arial" w:cs="Arial"/>
          <w:sz w:val="20"/>
          <w:szCs w:val="20"/>
        </w:rPr>
        <w:t>5.</w:t>
      </w:r>
      <w:r>
        <w:rPr>
          <w:rFonts w:ascii="Arial" w:hAnsi="Arial" w:cs="Arial"/>
          <w:sz w:val="20"/>
          <w:szCs w:val="20"/>
        </w:rPr>
        <w:t>0</w:t>
      </w:r>
      <w:r>
        <w:rPr>
          <w:rFonts w:ascii="Arial" w:hAnsi="Arial" w:cs="Arial"/>
          <w:sz w:val="20"/>
          <w:szCs w:val="20"/>
        </w:rPr>
        <w:t xml:space="preserve"> million in cash of which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is being he</w:t>
      </w:r>
      <w:r>
        <w:rPr>
          <w:rFonts w:ascii="Arial" w:hAnsi="Arial" w:cs="Arial"/>
          <w:sz w:val="20"/>
          <w:szCs w:val="20"/>
        </w:rPr>
        <w:t>ld back by the Company for a period of twenty-four months following the transaction closing date and is recorded in finance leases and other finance obligations, net of current portion in the condensed consolidated balance sheets, and</w:t>
      </w:r>
      <w:r>
        <w:rPr>
          <w:rFonts w:ascii="Arial" w:hAnsi="Arial" w:cs="Arial"/>
          <w:sz w:val="20"/>
          <w:szCs w:val="20"/>
        </w:rPr>
        <w:t xml:space="preserve"> </w:t>
      </w:r>
      <w:r>
        <w:rPr>
          <w:rFonts w:ascii="Arial" w:hAnsi="Arial" w:cs="Arial"/>
          <w:sz w:val="20"/>
          <w:szCs w:val="20"/>
        </w:rPr>
        <w:t>293,50</w:t>
      </w:r>
      <w:r>
        <w:rPr>
          <w:rFonts w:ascii="Arial" w:hAnsi="Arial" w:cs="Arial"/>
          <w:sz w:val="20"/>
          <w:szCs w:val="20"/>
        </w:rPr>
        <w:t>6</w:t>
      </w:r>
      <w:r>
        <w:rPr>
          <w:rFonts w:ascii="Arial" w:hAnsi="Arial" w:cs="Arial"/>
          <w:sz w:val="20"/>
          <w:szCs w:val="20"/>
        </w:rPr>
        <w:t xml:space="preserve"> shares of the</w:t>
      </w:r>
      <w:r>
        <w:rPr>
          <w:rFonts w:ascii="Arial" w:hAnsi="Arial" w:cs="Arial"/>
          <w:sz w:val="20"/>
          <w:szCs w:val="20"/>
        </w:rPr>
        <w:t xml:space="preserve"> Company's Class A common stock with a fair value of approximately </w:t>
      </w:r>
      <w:r>
        <w:rPr>
          <w:rFonts w:ascii="Arial" w:hAnsi="Arial" w:cs="Arial"/>
          <w:sz w:val="20"/>
          <w:szCs w:val="20"/>
        </w:rPr>
        <w:t>$</w:t>
      </w:r>
      <w:r>
        <w:rPr>
          <w:rFonts w:ascii="Arial" w:hAnsi="Arial" w:cs="Arial"/>
          <w:sz w:val="20"/>
          <w:szCs w:val="20"/>
        </w:rPr>
        <w:t>7.</w:t>
      </w:r>
      <w:r>
        <w:rPr>
          <w:rFonts w:ascii="Arial" w:hAnsi="Arial" w:cs="Arial"/>
          <w:sz w:val="20"/>
          <w:szCs w:val="20"/>
        </w:rPr>
        <w:t>9</w:t>
      </w:r>
      <w:r>
        <w:rPr>
          <w:rFonts w:ascii="Arial" w:hAnsi="Arial" w:cs="Arial"/>
          <w:sz w:val="20"/>
          <w:szCs w:val="20"/>
        </w:rPr>
        <w:t xml:space="preserve"> million</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jc w:val="center"/>
        <w:divId w:val="1494031990"/>
        <w:rPr>
          <w:sz w:val="20"/>
          <w:szCs w:val="20"/>
        </w:rPr>
      </w:pPr>
      <w:r>
        <w:rPr>
          <w:rFonts w:ascii="Arial" w:hAnsi="Arial" w:cs="Arial"/>
          <w:sz w:val="20"/>
          <w:szCs w:val="20"/>
        </w:rPr>
        <w:t>1</w:t>
      </w:r>
      <w:r>
        <w:rPr>
          <w:rFonts w:ascii="Arial" w:hAnsi="Arial" w:cs="Arial"/>
          <w:sz w:val="20"/>
          <w:szCs w:val="20"/>
        </w:rPr>
        <w:t>3</w:t>
      </w:r>
    </w:p>
    <w:p w:rsidR="00000000" w:rsidRDefault="00CA40A2">
      <w:pPr>
        <w:divId w:val="1494031990"/>
        <w:rPr>
          <w:rFonts w:eastAsia="Times New Roman"/>
        </w:rPr>
      </w:pPr>
      <w:r>
        <w:rPr>
          <w:rFonts w:eastAsia="Times New Roman"/>
        </w:rPr>
        <w:pict>
          <v:rect id="_x0000_i1038" style="width:0;height:1.5pt" o:hralign="center" o:hrstd="t" o:hr="t" fillcolor="#a0a0a0" stroked="f"/>
        </w:pict>
      </w:r>
    </w:p>
    <w:p w:rsidR="00000000" w:rsidRDefault="00CA40A2">
      <w:pPr>
        <w:pStyle w:val="a3"/>
        <w:spacing w:before="0" w:beforeAutospacing="0" w:after="0" w:afterAutospacing="0"/>
        <w:divId w:val="1494031990"/>
        <w:rPr>
          <w:sz w:val="20"/>
          <w:szCs w:val="20"/>
        </w:rPr>
      </w:pPr>
      <w:r>
        <w:rPr>
          <w:rFonts w:ascii="Arial" w:hAnsi="Arial" w:cs="Arial"/>
          <w:sz w:val="20"/>
          <w:szCs w:val="20"/>
        </w:rPr>
        <w:t> </w:t>
      </w:r>
    </w:p>
    <w:p w:rsidR="00000000" w:rsidRDefault="00CA40A2">
      <w:pPr>
        <w:pStyle w:val="a3"/>
        <w:spacing w:before="120" w:beforeAutospacing="0" w:after="0" w:afterAutospacing="0"/>
        <w:divId w:val="1494031990"/>
        <w:rPr>
          <w:sz w:val="20"/>
          <w:szCs w:val="20"/>
        </w:rPr>
      </w:pPr>
      <w:r>
        <w:rPr>
          <w:rFonts w:ascii="Arial" w:hAnsi="Arial" w:cs="Arial"/>
          <w:sz w:val="20"/>
          <w:szCs w:val="20"/>
        </w:rPr>
        <w:t>Finovera</w:t>
      </w:r>
      <w:r>
        <w:rPr>
          <w:rFonts w:ascii="Arial" w:hAnsi="Arial" w:cs="Arial"/>
          <w:sz w:val="20"/>
          <w:szCs w:val="20"/>
        </w:rPr>
        <w:t xml:space="preserve"> </w:t>
      </w:r>
      <w:r>
        <w:rPr>
          <w:rFonts w:ascii="Arial" w:hAnsi="Arial" w:cs="Arial"/>
          <w:sz w:val="20"/>
          <w:szCs w:val="20"/>
        </w:rPr>
        <w:t>is a bill aggregation technology provider for financial institutions. The acquisition of Finovera is expected to increase t</w:t>
      </w:r>
      <w:r>
        <w:rPr>
          <w:rFonts w:ascii="Arial" w:hAnsi="Arial" w:cs="Arial"/>
          <w:sz w:val="20"/>
          <w:szCs w:val="20"/>
        </w:rPr>
        <w:t>he addressable market opportunity for the Company's biller and financial institution solutions by, among other things, increasing the availability of certain bill data</w:t>
      </w:r>
      <w:r>
        <w:rPr>
          <w:rFonts w:ascii="Arial" w:hAnsi="Arial" w:cs="Arial"/>
          <w:sz w:val="20"/>
          <w:szCs w:val="20"/>
        </w:rPr>
        <w:t>.</w:t>
      </w:r>
    </w:p>
    <w:p w:rsidR="00000000" w:rsidRDefault="00CA40A2">
      <w:pPr>
        <w:pStyle w:val="a3"/>
        <w:spacing w:before="120" w:beforeAutospacing="0" w:after="120" w:afterAutospacing="0"/>
        <w:ind w:firstLine="539"/>
        <w:divId w:val="1494031990"/>
        <w:rPr>
          <w:sz w:val="20"/>
          <w:szCs w:val="20"/>
        </w:rPr>
      </w:pPr>
      <w:r>
        <w:rPr>
          <w:rFonts w:ascii="Arial" w:hAnsi="Arial" w:cs="Arial"/>
          <w:sz w:val="20"/>
          <w:szCs w:val="20"/>
        </w:rPr>
        <w:t>The acquisition was accounted for as a business combination and, accordingly, the total</w:t>
      </w:r>
      <w:r>
        <w:rPr>
          <w:rFonts w:ascii="Arial" w:hAnsi="Arial" w:cs="Arial"/>
          <w:sz w:val="20"/>
          <w:szCs w:val="20"/>
        </w:rPr>
        <w:t xml:space="preserve"> fair value of purchase consideration was allocated to the tangible and intangible assets acquired and liabilities assumed based on their fair values on the acquisition date.</w:t>
      </w:r>
      <w:r>
        <w:rPr>
          <w:rFonts w:ascii="Arial" w:hAnsi="Arial" w:cs="Arial"/>
          <w:sz w:val="20"/>
          <w:szCs w:val="20"/>
        </w:rPr>
        <w:t xml:space="preserve"> </w:t>
      </w:r>
      <w:r>
        <w:rPr>
          <w:rFonts w:ascii="Arial" w:hAnsi="Arial" w:cs="Arial"/>
          <w:sz w:val="20"/>
          <w:szCs w:val="20"/>
        </w:rPr>
        <w:t>The major classes of assets and liabilities to which the Company has allocated th</w:t>
      </w:r>
      <w:r>
        <w:rPr>
          <w:rFonts w:ascii="Arial" w:hAnsi="Arial" w:cs="Arial"/>
          <w:sz w:val="20"/>
          <w:szCs w:val="20"/>
        </w:rPr>
        <w:t>e fair value of purchase consideration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92"/>
        <w:gridCol w:w="172"/>
        <w:gridCol w:w="1300"/>
        <w:gridCol w:w="142"/>
      </w:tblGrid>
      <w:tr w:rsidR="00000000">
        <w:trPr>
          <w:divId w:val="104471070"/>
          <w:tblCellSpacing w:w="15" w:type="dxa"/>
        </w:trPr>
        <w:tc>
          <w:tcPr>
            <w:tcW w:w="4093" w:type="pct"/>
            <w:vAlign w:val="center"/>
            <w:hideMark/>
          </w:tcPr>
          <w:p w:rsidR="00000000" w:rsidRDefault="00CA40A2">
            <w:pPr>
              <w:rPr>
                <w:sz w:val="20"/>
                <w:szCs w:val="20"/>
              </w:rPr>
            </w:pPr>
          </w:p>
        </w:tc>
        <w:tc>
          <w:tcPr>
            <w:tcW w:w="68" w:type="pct"/>
            <w:vAlign w:val="center"/>
            <w:hideMark/>
          </w:tcPr>
          <w:p w:rsidR="00000000" w:rsidRDefault="00CA40A2">
            <w:pPr>
              <w:rPr>
                <w:rFonts w:eastAsia="Times New Roman"/>
                <w:sz w:val="20"/>
                <w:szCs w:val="20"/>
              </w:rPr>
            </w:pPr>
          </w:p>
        </w:tc>
        <w:tc>
          <w:tcPr>
            <w:tcW w:w="797" w:type="pct"/>
            <w:vAlign w:val="center"/>
            <w:hideMark/>
          </w:tcPr>
          <w:p w:rsidR="00000000" w:rsidRDefault="00CA40A2">
            <w:pPr>
              <w:rPr>
                <w:rFonts w:eastAsia="Times New Roman"/>
                <w:sz w:val="20"/>
                <w:szCs w:val="20"/>
              </w:rPr>
            </w:pPr>
          </w:p>
        </w:tc>
        <w:tc>
          <w:tcPr>
            <w:tcW w:w="41" w:type="pct"/>
            <w:vAlign w:val="center"/>
            <w:hideMark/>
          </w:tcPr>
          <w:p w:rsidR="00000000" w:rsidRDefault="00CA40A2">
            <w:pPr>
              <w:rPr>
                <w:rFonts w:eastAsia="Times New Roman"/>
                <w:sz w:val="20"/>
                <w:szCs w:val="20"/>
              </w:rPr>
            </w:pPr>
          </w:p>
        </w:tc>
      </w:tr>
      <w:tr w:rsidR="00000000">
        <w:trPr>
          <w:divId w:val="104471070"/>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Cas</w:t>
            </w:r>
            <w:r>
              <w:rPr>
                <w:rFonts w:ascii="Arial" w:hAnsi="Arial" w:cs="Arial"/>
                <w:sz w:val="20"/>
                <w:szCs w:val="20"/>
              </w:rPr>
              <w:t>h</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04471070"/>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Accounts receivabl</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04471070"/>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Intangible asset</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6,04</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04471070"/>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Prepaid expenses and other current asset</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04471070"/>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7,26</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04471070"/>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Accounts payabl</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divId w:val="104471070"/>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Accrued liabilitie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divId w:val="104471070"/>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Deferred taxe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58</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divId w:val="104471070"/>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12,94</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120" w:beforeAutospacing="0" w:after="120" w:afterAutospacing="0"/>
        <w:ind w:firstLine="539"/>
        <w:divId w:val="1494031990"/>
        <w:rPr>
          <w:sz w:val="20"/>
          <w:szCs w:val="20"/>
        </w:rPr>
      </w:pPr>
      <w:r>
        <w:rPr>
          <w:rFonts w:ascii="Arial" w:hAnsi="Arial" w:cs="Arial"/>
          <w:sz w:val="20"/>
          <w:szCs w:val="20"/>
        </w:rPr>
        <w:t>The purchase price allocation is preliminary. The Company continues to collect information with regard to its estimates and assumptions, including potential liabilities and contingencies. The Company will record adjustments to the fair value of the net ass</w:t>
      </w:r>
      <w:r>
        <w:rPr>
          <w:rFonts w:ascii="Arial" w:hAnsi="Arial" w:cs="Arial"/>
          <w:sz w:val="20"/>
          <w:szCs w:val="20"/>
        </w:rPr>
        <w:t>ets acquired and goodwill within the twelve months measurement period, if necessary. There were no measurement period adjustments during the three months ended March 31, 2022</w:t>
      </w:r>
      <w:r>
        <w:rPr>
          <w:rFonts w:ascii="Arial" w:hAnsi="Arial" w:cs="Arial"/>
          <w:sz w:val="20"/>
          <w:szCs w:val="20"/>
        </w:rPr>
        <w:t>.</w:t>
      </w:r>
    </w:p>
    <w:p w:rsidR="00000000" w:rsidRDefault="00CA40A2">
      <w:pPr>
        <w:pStyle w:val="a3"/>
        <w:spacing w:before="120" w:beforeAutospacing="0" w:after="240" w:afterAutospacing="0"/>
        <w:ind w:firstLine="539"/>
        <w:divId w:val="1494031990"/>
        <w:rPr>
          <w:sz w:val="20"/>
          <w:szCs w:val="20"/>
        </w:rPr>
      </w:pPr>
      <w:r>
        <w:rPr>
          <w:rFonts w:ascii="Arial" w:hAnsi="Arial" w:cs="Arial"/>
          <w:sz w:val="20"/>
          <w:szCs w:val="20"/>
        </w:rPr>
        <w:t>The goodwill recognized was primarily attributed to increased synergies that are</w:t>
      </w:r>
      <w:r>
        <w:rPr>
          <w:rFonts w:ascii="Arial" w:hAnsi="Arial" w:cs="Arial"/>
          <w:sz w:val="20"/>
          <w:szCs w:val="20"/>
        </w:rPr>
        <w:t xml:space="preserve"> expected to be achieved from the integration of Finovera and the assembled workforce. The goodwill is not deductible for income tax purposes</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120" w:afterAutospacing="0"/>
        <w:ind w:firstLine="539"/>
        <w:divId w:val="1973975388"/>
        <w:rPr>
          <w:sz w:val="20"/>
          <w:szCs w:val="20"/>
        </w:rPr>
      </w:pPr>
      <w:r>
        <w:rPr>
          <w:rFonts w:ascii="Arial" w:hAnsi="Arial" w:cs="Arial"/>
          <w:sz w:val="20"/>
          <w:szCs w:val="20"/>
        </w:rPr>
        <w:t>The fair values and estimated useful lives of the acquired intangible assets by category were as follows (in tho</w:t>
      </w:r>
      <w:r>
        <w:rPr>
          <w:rFonts w:ascii="Arial" w:hAnsi="Arial" w:cs="Arial"/>
          <w:sz w:val="20"/>
          <w:szCs w:val="20"/>
        </w:rPr>
        <w:t>usands, except years)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37"/>
        <w:gridCol w:w="172"/>
        <w:gridCol w:w="1103"/>
        <w:gridCol w:w="116"/>
        <w:gridCol w:w="129"/>
        <w:gridCol w:w="117"/>
        <w:gridCol w:w="801"/>
        <w:gridCol w:w="131"/>
      </w:tblGrid>
      <w:tr w:rsidR="00000000">
        <w:trPr>
          <w:divId w:val="1973975388"/>
          <w:tblCellSpacing w:w="15" w:type="dxa"/>
        </w:trPr>
        <w:tc>
          <w:tcPr>
            <w:tcW w:w="3560" w:type="pct"/>
            <w:vAlign w:val="center"/>
            <w:hideMark/>
          </w:tcPr>
          <w:p w:rsidR="00000000" w:rsidRDefault="00CA40A2">
            <w:pPr>
              <w:rPr>
                <w:sz w:val="20"/>
                <w:szCs w:val="20"/>
              </w:rPr>
            </w:pPr>
          </w:p>
        </w:tc>
        <w:tc>
          <w:tcPr>
            <w:tcW w:w="68" w:type="pct"/>
            <w:vAlign w:val="center"/>
            <w:hideMark/>
          </w:tcPr>
          <w:p w:rsidR="00000000" w:rsidRDefault="00CA40A2">
            <w:pPr>
              <w:rPr>
                <w:rFonts w:eastAsia="Times New Roman"/>
                <w:sz w:val="20"/>
                <w:szCs w:val="20"/>
              </w:rPr>
            </w:pPr>
          </w:p>
        </w:tc>
        <w:tc>
          <w:tcPr>
            <w:tcW w:w="687"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c>
          <w:tcPr>
            <w:tcW w:w="82"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c>
          <w:tcPr>
            <w:tcW w:w="500"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r>
      <w:tr w:rsidR="00000000">
        <w:trPr>
          <w:divId w:val="1973975388"/>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973975388"/>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Developed Technolog</w:t>
            </w:r>
            <w:r>
              <w:rPr>
                <w:rFonts w:ascii="Arial" w:hAnsi="Arial" w:cs="Arial"/>
                <w:sz w:val="20"/>
                <w:szCs w:val="20"/>
              </w:rPr>
              <w:t>y</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5,15</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973975388"/>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Customer Relationship</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973975388"/>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6,04</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120" w:beforeAutospacing="0" w:after="0" w:afterAutospacing="0"/>
        <w:ind w:firstLine="539"/>
        <w:divId w:val="1494031990"/>
        <w:rPr>
          <w:sz w:val="20"/>
          <w:szCs w:val="20"/>
        </w:rPr>
      </w:pPr>
      <w:r>
        <w:rPr>
          <w:rFonts w:ascii="Arial" w:hAnsi="Arial" w:cs="Arial"/>
          <w:sz w:val="20"/>
          <w:szCs w:val="20"/>
        </w:rPr>
        <w:t>The revenue and expenses of the acquired businesses have been included in the Company's condensed consolidated financial results since the acquisition date. Revenues and expenses related to these acquisitions and pro forma results of operations have not be</w:t>
      </w:r>
      <w:r>
        <w:rPr>
          <w:rFonts w:ascii="Arial" w:hAnsi="Arial" w:cs="Arial"/>
          <w:sz w:val="20"/>
          <w:szCs w:val="20"/>
        </w:rPr>
        <w:t>en presented for the three months ended March 31, 2021 because the effects of these acquisitions was not material to the Company's overall operations</w:t>
      </w:r>
      <w:r>
        <w:rPr>
          <w:rFonts w:ascii="Arial" w:hAnsi="Arial" w:cs="Arial"/>
          <w:sz w:val="20"/>
          <w:szCs w:val="20"/>
        </w:rPr>
        <w:t>.</w:t>
      </w:r>
    </w:p>
    <w:p w:rsidR="00000000" w:rsidRDefault="00CA40A2">
      <w:pPr>
        <w:pStyle w:val="a3"/>
        <w:spacing w:before="120" w:beforeAutospacing="0" w:after="0" w:afterAutospacing="0"/>
        <w:ind w:firstLine="539"/>
        <w:divId w:val="1494031990"/>
        <w:rPr>
          <w:sz w:val="20"/>
          <w:szCs w:val="20"/>
        </w:rPr>
      </w:pPr>
      <w:r>
        <w:rPr>
          <w:rFonts w:ascii="Arial" w:hAnsi="Arial" w:cs="Arial"/>
          <w:sz w:val="20"/>
          <w:szCs w:val="20"/>
        </w:rPr>
        <w:t xml:space="preserve">The Company incurred costs related to these acquisitions of approximately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for the year ended</w:t>
      </w:r>
      <w:r>
        <w:rPr>
          <w:rFonts w:ascii="Arial" w:hAnsi="Arial" w:cs="Arial"/>
          <w:sz w:val="20"/>
          <w:szCs w:val="20"/>
        </w:rPr>
        <w:t xml:space="preserve"> December 31, 2021. All acquisition related costs were expensed as incurred and have been recorded in general and administrative expenses in the condensed consolidated statements of operations</w:t>
      </w:r>
      <w:r>
        <w:rPr>
          <w:rFonts w:ascii="Arial" w:hAnsi="Arial" w:cs="Arial"/>
          <w:sz w:val="20"/>
          <w:szCs w:val="20"/>
        </w:rPr>
        <w:t>.</w:t>
      </w:r>
    </w:p>
    <w:p w:rsidR="00000000" w:rsidRDefault="00CA40A2">
      <w:pPr>
        <w:pStyle w:val="a3"/>
        <w:spacing w:before="240" w:beforeAutospacing="0" w:after="0" w:afterAutospacing="0"/>
        <w:ind w:hanging="422"/>
        <w:divId w:val="892929377"/>
        <w:rPr>
          <w:sz w:val="20"/>
          <w:szCs w:val="20"/>
        </w:rPr>
      </w:pPr>
      <w:r>
        <w:rPr>
          <w:rFonts w:ascii="Arial" w:hAnsi="Arial" w:cs="Arial"/>
          <w:b/>
          <w:bCs/>
          <w:sz w:val="20"/>
          <w:szCs w:val="20"/>
        </w:rPr>
        <w:t>5. Property and Equipment, Ne</w:t>
      </w:r>
      <w:r>
        <w:rPr>
          <w:rFonts w:ascii="Arial" w:hAnsi="Arial" w:cs="Arial"/>
          <w:b/>
          <w:bCs/>
          <w:sz w:val="20"/>
          <w:szCs w:val="20"/>
        </w:rPr>
        <w:t>t</w:t>
      </w:r>
    </w:p>
    <w:p w:rsidR="00000000" w:rsidRDefault="00CA40A2">
      <w:pPr>
        <w:pStyle w:val="a3"/>
        <w:spacing w:before="120" w:beforeAutospacing="0" w:after="0" w:afterAutospacing="0"/>
        <w:ind w:firstLine="539"/>
        <w:divId w:val="1339500818"/>
        <w:rPr>
          <w:sz w:val="20"/>
          <w:szCs w:val="20"/>
        </w:rPr>
      </w:pPr>
      <w:r>
        <w:rPr>
          <w:rFonts w:ascii="Arial" w:hAnsi="Arial" w:cs="Arial"/>
          <w:sz w:val="20"/>
          <w:szCs w:val="20"/>
        </w:rPr>
        <w:t>Property and equipment, net con</w:t>
      </w:r>
      <w:r>
        <w:rPr>
          <w:rFonts w:ascii="Arial" w:hAnsi="Arial" w:cs="Arial"/>
          <w:sz w:val="20"/>
          <w:szCs w:val="20"/>
        </w:rPr>
        <w:t>sisted of the following (in thousands)</w:t>
      </w:r>
      <w:r>
        <w:rPr>
          <w:rFonts w:ascii="Arial" w:hAnsi="Arial" w:cs="Arial"/>
          <w:sz w:val="20"/>
          <w:szCs w:val="20"/>
        </w:rPr>
        <w:t>:</w:t>
      </w:r>
    </w:p>
    <w:p w:rsidR="00000000" w:rsidRDefault="00CA40A2">
      <w:pPr>
        <w:pStyle w:val="a3"/>
        <w:spacing w:before="0" w:beforeAutospacing="0" w:after="0" w:afterAutospacing="0"/>
        <w:divId w:val="1339500818"/>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16"/>
        <w:gridCol w:w="116"/>
        <w:gridCol w:w="116"/>
        <w:gridCol w:w="172"/>
        <w:gridCol w:w="1019"/>
        <w:gridCol w:w="127"/>
        <w:gridCol w:w="116"/>
        <w:gridCol w:w="173"/>
        <w:gridCol w:w="1009"/>
        <w:gridCol w:w="142"/>
      </w:tblGrid>
      <w:tr w:rsidR="00000000">
        <w:trPr>
          <w:divId w:val="1339500818"/>
          <w:tblCellSpacing w:w="15" w:type="dxa"/>
        </w:trPr>
        <w:tc>
          <w:tcPr>
            <w:tcW w:w="3329" w:type="pct"/>
            <w:vAlign w:val="center"/>
            <w:hideMark/>
          </w:tcPr>
          <w:p w:rsidR="00000000" w:rsidRDefault="00CA40A2">
            <w:pPr>
              <w:rPr>
                <w:sz w:val="20"/>
                <w:szCs w:val="20"/>
              </w:rPr>
            </w:pPr>
          </w:p>
        </w:tc>
        <w:tc>
          <w:tcPr>
            <w:tcW w:w="6" w:type="pct"/>
            <w:vAlign w:val="center"/>
            <w:hideMark/>
          </w:tcPr>
          <w:p w:rsidR="00000000" w:rsidRDefault="00CA40A2">
            <w:pPr>
              <w:rPr>
                <w:rFonts w:eastAsia="Times New Roman"/>
                <w:sz w:val="20"/>
                <w:szCs w:val="20"/>
              </w:rPr>
            </w:pPr>
          </w:p>
        </w:tc>
        <w:tc>
          <w:tcPr>
            <w:tcW w:w="76"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51"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c>
          <w:tcPr>
            <w:tcW w:w="76"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45"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r>
      <w:tr w:rsidR="00000000">
        <w:trPr>
          <w:divId w:val="1339500818"/>
          <w:trHeight w:val="160"/>
          <w:tblCellSpacing w:w="15" w:type="dxa"/>
        </w:trPr>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339500818"/>
          <w:trHeight w:val="160"/>
          <w:tblCellSpacing w:w="15" w:type="dxa"/>
        </w:trPr>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339500818"/>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Computer equipmen</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5,35</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4,93</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339500818"/>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Furniture and fixture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1,48</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1,45</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339500818"/>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Leasehold improvement</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46</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44</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339500818"/>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Total property and equipmen</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7,30</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6,83</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339500818"/>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Less: Accumulated depreciation and amortizatio</w:t>
            </w:r>
            <w:r>
              <w:rPr>
                <w:rFonts w:ascii="Arial" w:hAnsi="Arial" w:cs="Arial"/>
                <w:sz w:val="20"/>
                <w:szCs w:val="20"/>
              </w:rPr>
              <w:t>n</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5,14</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4,79</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divId w:val="1339500818"/>
          <w:trHeight w:val="200"/>
          <w:tblCellSpacing w:w="15" w:type="dxa"/>
        </w:trPr>
        <w:tc>
          <w:tcPr>
            <w:tcW w:w="0" w:type="auto"/>
            <w:hideMark/>
          </w:tcPr>
          <w:p w:rsidR="00000000" w:rsidRDefault="00CA40A2">
            <w:pPr>
              <w:pStyle w:val="a3"/>
              <w:spacing w:before="0" w:beforeAutospacing="0" w:after="0" w:afterAutospacing="0"/>
              <w:ind w:left="280"/>
              <w:rPr>
                <w:sz w:val="20"/>
                <w:szCs w:val="20"/>
              </w:rPr>
            </w:pPr>
            <w:r>
              <w:rPr>
                <w:rFonts w:ascii="Arial" w:hAnsi="Arial" w:cs="Arial"/>
                <w:sz w:val="20"/>
                <w:szCs w:val="20"/>
              </w:rPr>
              <w:t>Property and equipment, ne</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2,15</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0" w:afterAutospacing="0"/>
        <w:ind w:firstLine="539"/>
        <w:divId w:val="892929377"/>
        <w:rPr>
          <w:sz w:val="20"/>
          <w:szCs w:val="20"/>
        </w:rPr>
      </w:pPr>
      <w:r>
        <w:rPr>
          <w:rFonts w:ascii="Arial" w:hAnsi="Arial" w:cs="Arial"/>
          <w:sz w:val="20"/>
          <w:szCs w:val="20"/>
        </w:rPr>
        <w:t xml:space="preserve">Depreciation and amortization expense recorded for property and equipment was </w:t>
      </w:r>
      <w:r>
        <w:rPr>
          <w:rFonts w:ascii="Arial" w:hAnsi="Arial" w:cs="Arial"/>
          <w:sz w:val="20"/>
          <w:szCs w:val="20"/>
        </w:rPr>
        <w:t>$</w:t>
      </w:r>
      <w:r>
        <w:rPr>
          <w:rFonts w:ascii="Arial" w:hAnsi="Arial" w:cs="Arial"/>
          <w:sz w:val="20"/>
          <w:szCs w:val="20"/>
        </w:rPr>
        <w:t>0.</w:t>
      </w:r>
      <w:r>
        <w:rPr>
          <w:rFonts w:ascii="Arial" w:hAnsi="Arial" w:cs="Arial"/>
          <w:sz w:val="20"/>
          <w:szCs w:val="20"/>
        </w:rPr>
        <w:t>3</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for the</w:t>
      </w:r>
      <w:r>
        <w:rPr>
          <w:rFonts w:ascii="Arial" w:hAnsi="Arial" w:cs="Arial"/>
          <w:sz w:val="20"/>
          <w:szCs w:val="20"/>
        </w:rPr>
        <w:t xml:space="preserve"> </w:t>
      </w:r>
      <w:r>
        <w:rPr>
          <w:rFonts w:ascii="Arial" w:hAnsi="Arial" w:cs="Arial"/>
          <w:sz w:val="20"/>
          <w:szCs w:val="20"/>
        </w:rPr>
        <w:t>three months ended March 31, 2022 and 202</w:t>
      </w:r>
      <w:r>
        <w:rPr>
          <w:rFonts w:ascii="Arial" w:hAnsi="Arial" w:cs="Arial"/>
          <w:sz w:val="20"/>
          <w:szCs w:val="20"/>
        </w:rPr>
        <w:t>1</w:t>
      </w:r>
      <w:r>
        <w:rPr>
          <w:rFonts w:ascii="Arial" w:hAnsi="Arial" w:cs="Arial"/>
          <w:sz w:val="20"/>
          <w:szCs w:val="20"/>
        </w:rPr>
        <w:t>, respectively</w:t>
      </w:r>
      <w:r>
        <w:rPr>
          <w:rFonts w:ascii="Arial" w:hAnsi="Arial" w:cs="Arial"/>
          <w:sz w:val="20"/>
          <w:szCs w:val="20"/>
        </w:rPr>
        <w:t>.</w:t>
      </w:r>
    </w:p>
    <w:p w:rsidR="00000000" w:rsidRDefault="00CA40A2">
      <w:pPr>
        <w:pStyle w:val="a3"/>
        <w:spacing w:before="120" w:beforeAutospacing="0" w:after="0" w:afterAutospacing="0"/>
        <w:jc w:val="center"/>
        <w:rPr>
          <w:sz w:val="20"/>
          <w:szCs w:val="20"/>
        </w:rPr>
      </w:pPr>
      <w:r>
        <w:rPr>
          <w:rFonts w:ascii="Arial" w:hAnsi="Arial" w:cs="Arial"/>
          <w:sz w:val="20"/>
          <w:szCs w:val="20"/>
        </w:rPr>
        <w:t>1</w:t>
      </w:r>
      <w:r>
        <w:rPr>
          <w:rFonts w:ascii="Arial" w:hAnsi="Arial" w:cs="Arial"/>
          <w:sz w:val="20"/>
          <w:szCs w:val="20"/>
        </w:rPr>
        <w:t>4</w:t>
      </w:r>
    </w:p>
    <w:p w:rsidR="00000000" w:rsidRDefault="00CA40A2">
      <w:pPr>
        <w:rPr>
          <w:rFonts w:eastAsia="Times New Roman"/>
        </w:rPr>
      </w:pPr>
      <w:r>
        <w:rPr>
          <w:rFonts w:eastAsia="Times New Roman"/>
        </w:rPr>
        <w:pict>
          <v:rect id="_x0000_i1039"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240" w:beforeAutospacing="0" w:after="0" w:afterAutospacing="0"/>
        <w:ind w:hanging="422"/>
        <w:divId w:val="674108447"/>
        <w:rPr>
          <w:sz w:val="20"/>
          <w:szCs w:val="20"/>
        </w:rPr>
      </w:pPr>
      <w:r>
        <w:rPr>
          <w:rFonts w:ascii="Arial" w:hAnsi="Arial" w:cs="Arial"/>
          <w:b/>
          <w:bCs/>
          <w:sz w:val="20"/>
          <w:szCs w:val="20"/>
        </w:rPr>
        <w:t>6. Goodwill, Internal-use Software Development Costs and Intangible Asset</w:t>
      </w:r>
      <w:r>
        <w:rPr>
          <w:rFonts w:ascii="Arial" w:hAnsi="Arial" w:cs="Arial"/>
          <w:b/>
          <w:bCs/>
          <w:sz w:val="20"/>
          <w:szCs w:val="20"/>
        </w:rPr>
        <w:t>s</w:t>
      </w:r>
    </w:p>
    <w:p w:rsidR="00000000" w:rsidRDefault="00CA40A2">
      <w:pPr>
        <w:pStyle w:val="a3"/>
        <w:spacing w:before="240" w:beforeAutospacing="0" w:after="0" w:afterAutospacing="0"/>
        <w:divId w:val="674108447"/>
        <w:rPr>
          <w:sz w:val="20"/>
          <w:szCs w:val="20"/>
        </w:rPr>
      </w:pPr>
      <w:r>
        <w:rPr>
          <w:rFonts w:ascii="Arial" w:hAnsi="Arial" w:cs="Arial"/>
          <w:b/>
          <w:bCs/>
          <w:i/>
          <w:iCs/>
          <w:sz w:val="20"/>
          <w:szCs w:val="20"/>
        </w:rPr>
        <w:t>Goodwil</w:t>
      </w:r>
      <w:r>
        <w:rPr>
          <w:rFonts w:ascii="Arial" w:hAnsi="Arial" w:cs="Arial"/>
          <w:b/>
          <w:bCs/>
          <w:i/>
          <w:iCs/>
          <w:sz w:val="20"/>
          <w:szCs w:val="20"/>
        </w:rPr>
        <w:t>l</w:t>
      </w:r>
    </w:p>
    <w:p w:rsidR="00000000" w:rsidRDefault="00CA40A2">
      <w:pPr>
        <w:pStyle w:val="a3"/>
        <w:spacing w:before="120" w:beforeAutospacing="0" w:after="120" w:afterAutospacing="0"/>
        <w:ind w:firstLine="539"/>
        <w:divId w:val="2009282691"/>
        <w:rPr>
          <w:sz w:val="20"/>
          <w:szCs w:val="20"/>
        </w:rPr>
      </w:pPr>
      <w:r>
        <w:rPr>
          <w:rFonts w:ascii="Arial" w:hAnsi="Arial" w:cs="Arial"/>
          <w:sz w:val="20"/>
          <w:szCs w:val="20"/>
        </w:rPr>
        <w:t>The changes in the carrying amount of goodwill by reporting unit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30"/>
        <w:gridCol w:w="116"/>
        <w:gridCol w:w="172"/>
        <w:gridCol w:w="850"/>
        <w:gridCol w:w="116"/>
        <w:gridCol w:w="116"/>
        <w:gridCol w:w="172"/>
        <w:gridCol w:w="848"/>
        <w:gridCol w:w="116"/>
        <w:gridCol w:w="116"/>
        <w:gridCol w:w="172"/>
        <w:gridCol w:w="851"/>
        <w:gridCol w:w="131"/>
      </w:tblGrid>
      <w:tr w:rsidR="00000000">
        <w:trPr>
          <w:divId w:val="2009282691"/>
          <w:tblCellSpacing w:w="15" w:type="dxa"/>
        </w:trPr>
        <w:tc>
          <w:tcPr>
            <w:tcW w:w="2861" w:type="pct"/>
            <w:vAlign w:val="center"/>
            <w:hideMark/>
          </w:tcPr>
          <w:p w:rsidR="00000000" w:rsidRDefault="00CA40A2">
            <w:pPr>
              <w:rPr>
                <w:sz w:val="20"/>
                <w:szCs w:val="20"/>
              </w:rPr>
            </w:pPr>
          </w:p>
        </w:tc>
        <w:tc>
          <w:tcPr>
            <w:tcW w:w="65"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548"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65"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546"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65"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548"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divId w:val="2009282691"/>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United</w:t>
            </w:r>
            <w:r>
              <w:rPr>
                <w:rFonts w:ascii="Arial" w:hAnsi="Arial" w:cs="Arial"/>
                <w:b/>
                <w:bCs/>
                <w:sz w:val="16"/>
                <w:szCs w:val="16"/>
              </w:rPr>
              <w:br/>
              <w:t>State</w:t>
            </w:r>
            <w:r>
              <w:rPr>
                <w:rFonts w:ascii="Arial" w:hAnsi="Arial" w:cs="Arial"/>
                <w:b/>
                <w:bCs/>
                <w:sz w:val="16"/>
                <w:szCs w:val="16"/>
              </w:rPr>
              <w:t>s</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2009282691"/>
          <w:trHeight w:val="200"/>
          <w:tblCellSpacing w:w="15" w:type="dxa"/>
        </w:trPr>
        <w:tc>
          <w:tcPr>
            <w:tcW w:w="0" w:type="auto"/>
            <w:vAlign w:val="bottom"/>
            <w:hideMark/>
          </w:tcPr>
          <w:p w:rsidR="00000000" w:rsidRDefault="00CA40A2">
            <w:pPr>
              <w:pStyle w:val="a3"/>
              <w:spacing w:before="0" w:beforeAutospacing="0" w:after="0" w:afterAutospacing="0"/>
              <w:rPr>
                <w:sz w:val="18"/>
                <w:szCs w:val="18"/>
              </w:rPr>
            </w:pPr>
            <w:r>
              <w:rPr>
                <w:rFonts w:ascii="Arial" w:hAnsi="Arial" w:cs="Arial"/>
                <w:b/>
                <w:bCs/>
                <w:sz w:val="18"/>
                <w:szCs w:val="18"/>
              </w:rPr>
              <w:t>Balance as of December 31, 202</w:t>
            </w:r>
            <w:r>
              <w:rPr>
                <w:rFonts w:ascii="Arial" w:hAnsi="Arial" w:cs="Arial"/>
                <w:b/>
                <w:bCs/>
                <w:sz w:val="18"/>
                <w:szCs w:val="18"/>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128,51</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129,41</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2009282691"/>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Foreign currency translation adjustment</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2009282691"/>
          <w:trHeight w:val="200"/>
          <w:tblCellSpacing w:w="15" w:type="dxa"/>
        </w:trPr>
        <w:tc>
          <w:tcPr>
            <w:tcW w:w="0" w:type="auto"/>
            <w:vAlign w:val="bottom"/>
            <w:hideMark/>
          </w:tcPr>
          <w:p w:rsidR="00000000" w:rsidRDefault="00CA40A2">
            <w:pPr>
              <w:pStyle w:val="a3"/>
              <w:spacing w:before="0" w:beforeAutospacing="0" w:after="0" w:afterAutospacing="0"/>
              <w:rPr>
                <w:sz w:val="18"/>
                <w:szCs w:val="18"/>
              </w:rPr>
            </w:pPr>
            <w:r>
              <w:rPr>
                <w:rFonts w:ascii="Arial" w:hAnsi="Arial" w:cs="Arial"/>
                <w:b/>
                <w:bCs/>
                <w:sz w:val="18"/>
                <w:szCs w:val="18"/>
              </w:rPr>
              <w:t>Balance as of March 31, 202</w:t>
            </w:r>
            <w:r>
              <w:rPr>
                <w:rFonts w:ascii="Arial" w:hAnsi="Arial" w:cs="Arial"/>
                <w:b/>
                <w:bCs/>
                <w:sz w:val="18"/>
                <w:szCs w:val="18"/>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128,51</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129,41</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0" w:afterAutospacing="0"/>
        <w:divId w:val="674108447"/>
        <w:rPr>
          <w:sz w:val="20"/>
          <w:szCs w:val="20"/>
        </w:rPr>
      </w:pPr>
      <w:r>
        <w:rPr>
          <w:rFonts w:ascii="Arial" w:hAnsi="Arial" w:cs="Arial"/>
          <w:b/>
          <w:bCs/>
          <w:i/>
          <w:iCs/>
          <w:sz w:val="20"/>
          <w:szCs w:val="20"/>
        </w:rPr>
        <w:t>Internal-use Software Development Cost</w:t>
      </w:r>
      <w:r>
        <w:rPr>
          <w:rFonts w:ascii="Arial" w:hAnsi="Arial" w:cs="Arial"/>
          <w:b/>
          <w:bCs/>
          <w:i/>
          <w:iCs/>
          <w:sz w:val="20"/>
          <w:szCs w:val="20"/>
        </w:rPr>
        <w:t>s</w:t>
      </w:r>
    </w:p>
    <w:p w:rsidR="00000000" w:rsidRDefault="00CA40A2">
      <w:pPr>
        <w:pStyle w:val="a3"/>
        <w:spacing w:before="120" w:beforeAutospacing="0" w:after="0" w:afterAutospacing="0"/>
        <w:ind w:firstLine="539"/>
        <w:divId w:val="674108447"/>
        <w:rPr>
          <w:sz w:val="20"/>
          <w:szCs w:val="20"/>
        </w:rPr>
      </w:pPr>
      <w:r>
        <w:rPr>
          <w:rFonts w:ascii="Arial" w:hAnsi="Arial" w:cs="Arial"/>
          <w:sz w:val="20"/>
          <w:szCs w:val="20"/>
        </w:rPr>
        <w:t>The Company capitalizes qualifying internal-use software development costs related to it</w:t>
      </w:r>
      <w:r>
        <w:rPr>
          <w:rFonts w:ascii="Arial" w:hAnsi="Arial" w:cs="Arial"/>
          <w:sz w:val="20"/>
          <w:szCs w:val="20"/>
        </w:rPr>
        <w:t>s</w:t>
      </w:r>
      <w:r>
        <w:rPr>
          <w:rFonts w:ascii="Arial" w:hAnsi="Arial" w:cs="Arial"/>
          <w:b/>
          <w:bCs/>
          <w:sz w:val="20"/>
          <w:szCs w:val="20"/>
        </w:rPr>
        <w:t xml:space="preserve"> </w:t>
      </w:r>
      <w:r>
        <w:rPr>
          <w:rFonts w:ascii="Arial" w:hAnsi="Arial" w:cs="Arial"/>
          <w:sz w:val="20"/>
          <w:szCs w:val="20"/>
        </w:rPr>
        <w:t>platform</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The costs consist of personnel costs (including related benefits) that are incurred during the application developme</w:t>
      </w:r>
      <w:r>
        <w:rPr>
          <w:rFonts w:ascii="Arial" w:hAnsi="Arial" w:cs="Arial"/>
          <w:sz w:val="20"/>
          <w:szCs w:val="20"/>
        </w:rPr>
        <w:t>nt stage, as well as implementation costs incurred to fulfill our contracts with customers as they (1) relate directly to the contract, (2) are expected to generate resources that will be used to satisfy the performance obligation under the contract, and (</w:t>
      </w:r>
      <w:r>
        <w:rPr>
          <w:rFonts w:ascii="Arial" w:hAnsi="Arial" w:cs="Arial"/>
          <w:sz w:val="20"/>
          <w:szCs w:val="20"/>
        </w:rPr>
        <w:t>3) are expected to be recovered through revenues generated under the contract. Capitalization of costs begins when two criteria are met: (1) the preliminary project stage is completed, and (2) it is probable that the software will be completed and used for</w:t>
      </w:r>
      <w:r>
        <w:rPr>
          <w:rFonts w:ascii="Arial" w:hAnsi="Arial" w:cs="Arial"/>
          <w:sz w:val="20"/>
          <w:szCs w:val="20"/>
        </w:rPr>
        <w:t xml:space="preserve"> its intended function. Capitalization ceases when the software is substantially complete and ready for its intended use, including the completion of all significant testing. Costs related to preliminary project activities and post-implementation operating</w:t>
      </w:r>
      <w:r>
        <w:rPr>
          <w:rFonts w:ascii="Arial" w:hAnsi="Arial" w:cs="Arial"/>
          <w:sz w:val="20"/>
          <w:szCs w:val="20"/>
        </w:rPr>
        <w:t xml:space="preserve"> activities are expensed as incurred. During the three months ended March 31, 2022 and 2021, the Company capitalized</w:t>
      </w:r>
      <w:r>
        <w:rPr>
          <w:rFonts w:ascii="Arial" w:hAnsi="Arial" w:cs="Arial"/>
          <w:sz w:val="20"/>
          <w:szCs w:val="20"/>
        </w:rPr>
        <w:t xml:space="preserve"> </w:t>
      </w:r>
      <w:r>
        <w:rPr>
          <w:rFonts w:ascii="Arial" w:hAnsi="Arial" w:cs="Arial"/>
          <w:sz w:val="20"/>
          <w:szCs w:val="20"/>
        </w:rPr>
        <w:t>$</w:t>
      </w:r>
      <w:r>
        <w:rPr>
          <w:rFonts w:ascii="Arial" w:hAnsi="Arial" w:cs="Arial"/>
          <w:sz w:val="20"/>
          <w:szCs w:val="20"/>
        </w:rPr>
        <w:t>6.</w:t>
      </w:r>
      <w:r>
        <w:rPr>
          <w:rFonts w:ascii="Arial" w:hAnsi="Arial" w:cs="Arial"/>
          <w:sz w:val="20"/>
          <w:szCs w:val="20"/>
        </w:rPr>
        <w:t>7</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4.</w:t>
      </w:r>
      <w:r>
        <w:rPr>
          <w:rFonts w:ascii="Arial" w:hAnsi="Arial" w:cs="Arial"/>
          <w:sz w:val="20"/>
          <w:szCs w:val="20"/>
        </w:rPr>
        <w:t>3</w:t>
      </w:r>
      <w:r>
        <w:rPr>
          <w:rFonts w:ascii="Arial" w:hAnsi="Arial" w:cs="Arial"/>
          <w:sz w:val="20"/>
          <w:szCs w:val="20"/>
        </w:rPr>
        <w:t xml:space="preserve"> million in software development costs, respectively</w:t>
      </w:r>
      <w:r>
        <w:rPr>
          <w:rFonts w:ascii="Arial" w:hAnsi="Arial" w:cs="Arial"/>
          <w:sz w:val="20"/>
          <w:szCs w:val="20"/>
        </w:rPr>
        <w:t>.</w:t>
      </w:r>
    </w:p>
    <w:p w:rsidR="00000000" w:rsidRDefault="00CA40A2">
      <w:pPr>
        <w:pStyle w:val="a3"/>
        <w:spacing w:before="120" w:beforeAutospacing="0" w:after="0" w:afterAutospacing="0"/>
        <w:ind w:firstLine="539"/>
        <w:divId w:val="674108447"/>
        <w:rPr>
          <w:sz w:val="20"/>
          <w:szCs w:val="20"/>
        </w:rPr>
      </w:pPr>
      <w:r>
        <w:rPr>
          <w:rFonts w:ascii="Arial" w:hAnsi="Arial" w:cs="Arial"/>
          <w:sz w:val="20"/>
          <w:szCs w:val="20"/>
        </w:rPr>
        <w:t>Capitalized costs are amortized over the estimated useful life o</w:t>
      </w:r>
      <w:r>
        <w:rPr>
          <w:rFonts w:ascii="Arial" w:hAnsi="Arial" w:cs="Arial"/>
          <w:sz w:val="20"/>
          <w:szCs w:val="20"/>
        </w:rPr>
        <w:t>f the software, which management estimated to be a range of three to</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and are recorded on a straight-line basis, which represents the manner in which the expected benefit will be derived. Amortization expense is recorded in cost of revenue and o</w:t>
      </w:r>
      <w:r>
        <w:rPr>
          <w:rFonts w:ascii="Arial" w:hAnsi="Arial" w:cs="Arial"/>
          <w:sz w:val="20"/>
          <w:szCs w:val="20"/>
        </w:rPr>
        <w:t>perating expenses in the condensed consolidated statement of operations aligned with the internal organizations that are the primary beneficiaries of such assets. During the</w:t>
      </w:r>
      <w:r>
        <w:rPr>
          <w:rFonts w:ascii="Arial" w:hAnsi="Arial" w:cs="Arial"/>
          <w:sz w:val="20"/>
          <w:szCs w:val="20"/>
        </w:rPr>
        <w:t xml:space="preserve"> </w:t>
      </w:r>
      <w:r>
        <w:rPr>
          <w:rFonts w:ascii="Arial" w:hAnsi="Arial" w:cs="Arial"/>
          <w:sz w:val="20"/>
          <w:szCs w:val="20"/>
        </w:rPr>
        <w:t>three months ended March 31, 2022 and 2021, the Company recorded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1</w:t>
      </w:r>
      <w:r>
        <w:rPr>
          <w:rFonts w:ascii="Arial" w:hAnsi="Arial" w:cs="Arial"/>
          <w:sz w:val="20"/>
          <w:szCs w:val="20"/>
        </w:rPr>
        <w:t xml:space="preserve"> million of amortization expense in cost of revenue,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4</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0</w:t>
      </w:r>
      <w:r>
        <w:rPr>
          <w:rFonts w:ascii="Arial" w:hAnsi="Arial" w:cs="Arial"/>
          <w:sz w:val="20"/>
          <w:szCs w:val="20"/>
        </w:rPr>
        <w:t xml:space="preserve"> million of amortization expense in operating expenses, respectively</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divId w:val="674108447"/>
        <w:rPr>
          <w:sz w:val="20"/>
          <w:szCs w:val="20"/>
        </w:rPr>
      </w:pPr>
      <w:r>
        <w:rPr>
          <w:rFonts w:ascii="Arial" w:hAnsi="Arial" w:cs="Arial"/>
          <w:b/>
          <w:bCs/>
          <w:i/>
          <w:iCs/>
          <w:sz w:val="20"/>
          <w:szCs w:val="20"/>
        </w:rPr>
        <w:t>Intangible Asset</w:t>
      </w:r>
      <w:r>
        <w:rPr>
          <w:rFonts w:ascii="Arial" w:hAnsi="Arial" w:cs="Arial"/>
          <w:b/>
          <w:bCs/>
          <w:i/>
          <w:iCs/>
          <w:sz w:val="20"/>
          <w:szCs w:val="20"/>
        </w:rPr>
        <w:t>s</w:t>
      </w:r>
    </w:p>
    <w:p w:rsidR="00000000" w:rsidRDefault="00CA40A2">
      <w:pPr>
        <w:pStyle w:val="a3"/>
        <w:spacing w:before="120" w:beforeAutospacing="0" w:after="0" w:afterAutospacing="0"/>
        <w:ind w:firstLine="539"/>
        <w:divId w:val="847402467"/>
        <w:rPr>
          <w:sz w:val="20"/>
          <w:szCs w:val="20"/>
        </w:rPr>
      </w:pPr>
      <w:r>
        <w:rPr>
          <w:rFonts w:ascii="Arial" w:hAnsi="Arial" w:cs="Arial"/>
          <w:sz w:val="20"/>
          <w:szCs w:val="20"/>
        </w:rPr>
        <w:t>Intangible assets, net consisted of the following (in thousands)</w:t>
      </w:r>
      <w:r>
        <w:rPr>
          <w:rFonts w:ascii="Arial" w:hAnsi="Arial" w:cs="Arial"/>
          <w:sz w:val="20"/>
          <w:szCs w:val="20"/>
        </w:rPr>
        <w:t>:</w:t>
      </w:r>
    </w:p>
    <w:p w:rsidR="00000000" w:rsidRDefault="00CA40A2">
      <w:pPr>
        <w:pStyle w:val="a3"/>
        <w:spacing w:before="0" w:beforeAutospacing="0" w:after="0" w:afterAutospacing="0"/>
        <w:divId w:val="847402467"/>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11"/>
        <w:gridCol w:w="116"/>
        <w:gridCol w:w="172"/>
        <w:gridCol w:w="672"/>
        <w:gridCol w:w="116"/>
        <w:gridCol w:w="116"/>
        <w:gridCol w:w="173"/>
        <w:gridCol w:w="909"/>
        <w:gridCol w:w="127"/>
        <w:gridCol w:w="116"/>
        <w:gridCol w:w="172"/>
        <w:gridCol w:w="672"/>
        <w:gridCol w:w="116"/>
        <w:gridCol w:w="116"/>
        <w:gridCol w:w="117"/>
        <w:gridCol w:w="754"/>
        <w:gridCol w:w="131"/>
      </w:tblGrid>
      <w:tr w:rsidR="00000000">
        <w:trPr>
          <w:divId w:val="847402467"/>
          <w:tblCellSpacing w:w="15" w:type="dxa"/>
        </w:trPr>
        <w:tc>
          <w:tcPr>
            <w:tcW w:w="2493" w:type="pct"/>
            <w:vAlign w:val="center"/>
            <w:hideMark/>
          </w:tcPr>
          <w:p w:rsidR="00000000" w:rsidRDefault="00CA40A2">
            <w:pPr>
              <w:rPr>
                <w:sz w:val="20"/>
                <w:szCs w:val="20"/>
              </w:rPr>
            </w:pPr>
          </w:p>
        </w:tc>
        <w:tc>
          <w:tcPr>
            <w:tcW w:w="57"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467"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57"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469"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c>
          <w:tcPr>
            <w:tcW w:w="57"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467"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92"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467"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divId w:val="847402467"/>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March 31, 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847402467"/>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847402467"/>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20,85</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9,51</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11,33</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47402467"/>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2,71</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2,71</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47402467"/>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33,84</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8,96</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24,87</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47402467"/>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91</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50</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41</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47402467"/>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4,19</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78</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3,41</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47402467"/>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62,52</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22,48</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40,03</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bl>
    <w:p w:rsidR="00000000" w:rsidRDefault="00CA40A2">
      <w:pPr>
        <w:pStyle w:val="a3"/>
        <w:spacing w:before="0" w:beforeAutospacing="0" w:after="0" w:afterAutospacing="0"/>
        <w:divId w:val="847402467"/>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12"/>
        <w:gridCol w:w="116"/>
        <w:gridCol w:w="172"/>
        <w:gridCol w:w="672"/>
        <w:gridCol w:w="116"/>
        <w:gridCol w:w="116"/>
        <w:gridCol w:w="173"/>
        <w:gridCol w:w="908"/>
        <w:gridCol w:w="127"/>
        <w:gridCol w:w="116"/>
        <w:gridCol w:w="172"/>
        <w:gridCol w:w="672"/>
        <w:gridCol w:w="116"/>
        <w:gridCol w:w="116"/>
        <w:gridCol w:w="117"/>
        <w:gridCol w:w="754"/>
        <w:gridCol w:w="131"/>
      </w:tblGrid>
      <w:tr w:rsidR="00000000">
        <w:trPr>
          <w:divId w:val="847402467"/>
          <w:tblCellSpacing w:w="15" w:type="dxa"/>
        </w:trPr>
        <w:tc>
          <w:tcPr>
            <w:tcW w:w="2497" w:type="pct"/>
            <w:vAlign w:val="center"/>
            <w:hideMark/>
          </w:tcPr>
          <w:p w:rsidR="00000000" w:rsidRDefault="00CA40A2">
            <w:pPr>
              <w:rPr>
                <w:sz w:val="20"/>
                <w:szCs w:val="20"/>
              </w:rPr>
            </w:pPr>
          </w:p>
        </w:tc>
        <w:tc>
          <w:tcPr>
            <w:tcW w:w="57"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467"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57"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464"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c>
          <w:tcPr>
            <w:tcW w:w="57"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467"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92"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467"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divId w:val="847402467"/>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December 31, 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847402467"/>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847402467"/>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20,83</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8,65</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12,18</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47402467"/>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2,65</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2,65</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47402467"/>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33,83</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8,02</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25,80</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47402467"/>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45</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43</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47402467"/>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4,19</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53</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3,66</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47402467"/>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62,40</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20,31</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42,08</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bl>
    <w:p w:rsidR="00000000" w:rsidRDefault="00CA40A2">
      <w:pPr>
        <w:pStyle w:val="a3"/>
        <w:spacing w:before="0" w:beforeAutospacing="0" w:after="0" w:afterAutospacing="0"/>
        <w:divId w:val="674108447"/>
        <w:rPr>
          <w:sz w:val="20"/>
          <w:szCs w:val="20"/>
        </w:rPr>
      </w:pPr>
      <w:r>
        <w:rPr>
          <w:rFonts w:ascii="Arial" w:hAnsi="Arial" w:cs="Arial"/>
          <w:sz w:val="20"/>
          <w:szCs w:val="20"/>
        </w:rPr>
        <w:t> </w:t>
      </w:r>
    </w:p>
    <w:p w:rsidR="00000000" w:rsidRDefault="00CA40A2">
      <w:pPr>
        <w:pStyle w:val="a3"/>
        <w:spacing w:before="40" w:beforeAutospacing="0" w:after="0" w:afterAutospacing="0"/>
        <w:ind w:firstLine="539"/>
        <w:divId w:val="674108447"/>
        <w:rPr>
          <w:sz w:val="20"/>
          <w:szCs w:val="20"/>
        </w:rPr>
      </w:pPr>
      <w:r>
        <w:rPr>
          <w:rFonts w:ascii="Arial" w:hAnsi="Arial" w:cs="Arial"/>
          <w:sz w:val="20"/>
          <w:szCs w:val="20"/>
        </w:rPr>
        <w:t xml:space="preserve">Amortization expense of intangible assets was </w:t>
      </w:r>
      <w:r>
        <w:rPr>
          <w:rFonts w:ascii="Arial" w:hAnsi="Arial" w:cs="Arial"/>
          <w:sz w:val="20"/>
          <w:szCs w:val="20"/>
        </w:rPr>
        <w:t>$</w:t>
      </w:r>
      <w:r>
        <w:rPr>
          <w:rFonts w:ascii="Arial" w:hAnsi="Arial" w:cs="Arial"/>
          <w:sz w:val="20"/>
          <w:szCs w:val="20"/>
        </w:rPr>
        <w:t>2.</w:t>
      </w:r>
      <w:r>
        <w:rPr>
          <w:rFonts w:ascii="Arial" w:hAnsi="Arial" w:cs="Arial"/>
          <w:sz w:val="20"/>
          <w:szCs w:val="20"/>
        </w:rPr>
        <w:t>1</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1</w:t>
      </w:r>
      <w:r>
        <w:rPr>
          <w:rFonts w:ascii="Arial" w:hAnsi="Arial" w:cs="Arial"/>
          <w:sz w:val="20"/>
          <w:szCs w:val="20"/>
        </w:rPr>
        <w:t xml:space="preserve"> million for the</w:t>
      </w:r>
      <w:r>
        <w:rPr>
          <w:rFonts w:ascii="Arial" w:hAnsi="Arial" w:cs="Arial"/>
          <w:sz w:val="20"/>
          <w:szCs w:val="20"/>
        </w:rPr>
        <w:t xml:space="preserve"> </w:t>
      </w:r>
      <w:r>
        <w:rPr>
          <w:rFonts w:ascii="Arial" w:hAnsi="Arial" w:cs="Arial"/>
          <w:sz w:val="20"/>
          <w:szCs w:val="20"/>
        </w:rPr>
        <w:t>three months ended March 31, 2022 and 2021, respectively</w:t>
      </w:r>
      <w:r>
        <w:rPr>
          <w:rFonts w:ascii="Arial" w:hAnsi="Arial" w:cs="Arial"/>
          <w:sz w:val="20"/>
          <w:szCs w:val="20"/>
        </w:rPr>
        <w:t>.</w:t>
      </w:r>
    </w:p>
    <w:p w:rsidR="00000000" w:rsidRDefault="00CA40A2">
      <w:pPr>
        <w:pStyle w:val="a3"/>
        <w:spacing w:before="120" w:beforeAutospacing="0" w:after="0" w:afterAutospacing="0"/>
        <w:jc w:val="center"/>
        <w:divId w:val="674108447"/>
        <w:rPr>
          <w:sz w:val="20"/>
          <w:szCs w:val="20"/>
        </w:rPr>
      </w:pPr>
      <w:r>
        <w:rPr>
          <w:rFonts w:ascii="Arial" w:hAnsi="Arial" w:cs="Arial"/>
          <w:sz w:val="20"/>
          <w:szCs w:val="20"/>
        </w:rPr>
        <w:t>1</w:t>
      </w:r>
      <w:r>
        <w:rPr>
          <w:rFonts w:ascii="Arial" w:hAnsi="Arial" w:cs="Arial"/>
          <w:sz w:val="20"/>
          <w:szCs w:val="20"/>
        </w:rPr>
        <w:t>5</w:t>
      </w:r>
    </w:p>
    <w:p w:rsidR="00000000" w:rsidRDefault="00CA40A2">
      <w:pPr>
        <w:divId w:val="674108447"/>
        <w:rPr>
          <w:rFonts w:ascii="Arial" w:eastAsia="Times New Roman" w:hAnsi="Arial" w:cs="Arial"/>
          <w:sz w:val="20"/>
          <w:szCs w:val="20"/>
        </w:rPr>
      </w:pPr>
      <w:r>
        <w:rPr>
          <w:rFonts w:ascii="Arial" w:eastAsia="Times New Roman" w:hAnsi="Arial" w:cs="Arial"/>
          <w:sz w:val="20"/>
          <w:szCs w:val="20"/>
        </w:rPr>
        <w:pict>
          <v:rect id="_x0000_i1040" style="width:0;height:1.5pt" o:hralign="center" o:hrstd="t" o:hr="t" fillcolor="#a0a0a0" stroked="f"/>
        </w:pict>
      </w:r>
    </w:p>
    <w:p w:rsidR="00000000" w:rsidRDefault="00CA40A2">
      <w:pPr>
        <w:pStyle w:val="a3"/>
        <w:spacing w:before="0" w:beforeAutospacing="0" w:after="0" w:afterAutospacing="0"/>
        <w:divId w:val="674108447"/>
        <w:rPr>
          <w:sz w:val="20"/>
          <w:szCs w:val="20"/>
        </w:rPr>
      </w:pPr>
      <w:r>
        <w:rPr>
          <w:rFonts w:ascii="Arial" w:hAnsi="Arial" w:cs="Arial"/>
          <w:sz w:val="20"/>
          <w:szCs w:val="20"/>
        </w:rPr>
        <w:t> </w:t>
      </w:r>
    </w:p>
    <w:p w:rsidR="00000000" w:rsidRDefault="00CA40A2">
      <w:pPr>
        <w:pStyle w:val="a3"/>
        <w:spacing w:before="120" w:beforeAutospacing="0" w:after="0" w:afterAutospacing="0"/>
        <w:ind w:firstLine="539"/>
        <w:divId w:val="739331268"/>
        <w:rPr>
          <w:sz w:val="20"/>
          <w:szCs w:val="20"/>
        </w:rPr>
      </w:pPr>
      <w:r>
        <w:rPr>
          <w:rFonts w:ascii="Arial" w:hAnsi="Arial" w:cs="Arial"/>
          <w:sz w:val="20"/>
          <w:szCs w:val="20"/>
        </w:rPr>
        <w:t>As of</w:t>
      </w:r>
      <w:r>
        <w:rPr>
          <w:rFonts w:ascii="Arial" w:hAnsi="Arial" w:cs="Arial"/>
          <w:sz w:val="20"/>
          <w:szCs w:val="20"/>
        </w:rPr>
        <w:t xml:space="preserve"> </w:t>
      </w:r>
      <w:r>
        <w:rPr>
          <w:rFonts w:ascii="Arial" w:hAnsi="Arial" w:cs="Arial"/>
          <w:sz w:val="20"/>
          <w:szCs w:val="20"/>
        </w:rPr>
        <w:t>March 31, 2022, future amortization expense is expected to be as follows (in thousands)</w:t>
      </w:r>
      <w:r>
        <w:rPr>
          <w:rFonts w:ascii="Arial" w:hAnsi="Arial" w:cs="Arial"/>
          <w:sz w:val="20"/>
          <w:szCs w:val="20"/>
        </w:rPr>
        <w:t>:</w:t>
      </w:r>
    </w:p>
    <w:p w:rsidR="00000000" w:rsidRDefault="00CA40A2">
      <w:pPr>
        <w:pStyle w:val="a3"/>
        <w:spacing w:before="0" w:beforeAutospacing="0" w:after="0" w:afterAutospacing="0"/>
        <w:divId w:val="739331268"/>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37"/>
        <w:gridCol w:w="178"/>
        <w:gridCol w:w="172"/>
        <w:gridCol w:w="1288"/>
        <w:gridCol w:w="131"/>
      </w:tblGrid>
      <w:tr w:rsidR="00000000">
        <w:trPr>
          <w:divId w:val="739331268"/>
          <w:tblCellSpacing w:w="15" w:type="dxa"/>
        </w:trPr>
        <w:tc>
          <w:tcPr>
            <w:tcW w:w="4001" w:type="pct"/>
            <w:vAlign w:val="center"/>
            <w:hideMark/>
          </w:tcPr>
          <w:p w:rsidR="00000000" w:rsidRDefault="00CA40A2">
            <w:pPr>
              <w:rPr>
                <w:sz w:val="20"/>
                <w:szCs w:val="20"/>
              </w:rPr>
            </w:pPr>
          </w:p>
        </w:tc>
        <w:tc>
          <w:tcPr>
            <w:tcW w:w="99"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782"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r>
      <w:tr w:rsidR="00000000">
        <w:trPr>
          <w:divId w:val="739331268"/>
          <w:trHeight w:val="160"/>
          <w:tblCellSpacing w:w="15" w:type="dxa"/>
        </w:trPr>
        <w:tc>
          <w:tcPr>
            <w:tcW w:w="0" w:type="auto"/>
            <w:hideMark/>
          </w:tcPr>
          <w:p w:rsidR="00000000" w:rsidRDefault="00CA40A2">
            <w:pPr>
              <w:pStyle w:val="a3"/>
              <w:spacing w:before="0" w:beforeAutospacing="0" w:after="0" w:afterAutospacing="0"/>
              <w:rPr>
                <w:sz w:val="16"/>
                <w:szCs w:val="16"/>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739331268"/>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2022 (remaining nine months</w:t>
            </w: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6,17</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739331268"/>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8,06</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739331268"/>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7,63</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739331268"/>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6,16</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739331268"/>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3,28</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739331268"/>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8,71</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739331268"/>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Total future amortization expens</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40,03</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0" w:beforeAutospacing="0" w:after="0" w:afterAutospacing="0"/>
        <w:ind w:firstLine="539"/>
        <w:rPr>
          <w:sz w:val="20"/>
          <w:szCs w:val="20"/>
        </w:rPr>
      </w:pPr>
      <w:r>
        <w:rPr>
          <w:rFonts w:ascii="Arial" w:hAnsi="Arial" w:cs="Arial"/>
          <w:sz w:val="20"/>
          <w:szCs w:val="20"/>
        </w:rPr>
        <w:t> </w:t>
      </w:r>
    </w:p>
    <w:p w:rsidR="00000000" w:rsidRDefault="00CA40A2">
      <w:pPr>
        <w:pStyle w:val="a3"/>
        <w:spacing w:before="0" w:beforeAutospacing="0" w:after="0" w:afterAutospacing="0"/>
        <w:ind w:hanging="422"/>
        <w:divId w:val="1132139364"/>
        <w:rPr>
          <w:sz w:val="20"/>
          <w:szCs w:val="20"/>
        </w:rPr>
      </w:pPr>
      <w:r>
        <w:rPr>
          <w:rFonts w:ascii="Arial" w:hAnsi="Arial" w:cs="Arial"/>
          <w:b/>
          <w:bCs/>
          <w:sz w:val="20"/>
          <w:szCs w:val="20"/>
        </w:rPr>
        <w:t>7. Lease</w:t>
      </w:r>
      <w:r>
        <w:rPr>
          <w:rFonts w:ascii="Arial" w:hAnsi="Arial" w:cs="Arial"/>
          <w:b/>
          <w:bCs/>
          <w:sz w:val="20"/>
          <w:szCs w:val="20"/>
        </w:rPr>
        <w:t>s</w:t>
      </w:r>
    </w:p>
    <w:p w:rsidR="00000000" w:rsidRDefault="00CA40A2">
      <w:pPr>
        <w:pStyle w:val="a3"/>
        <w:spacing w:before="120" w:beforeAutospacing="0" w:after="0" w:afterAutospacing="0"/>
        <w:ind w:firstLine="543"/>
        <w:divId w:val="1132139364"/>
        <w:rPr>
          <w:sz w:val="20"/>
          <w:szCs w:val="20"/>
        </w:rPr>
      </w:pPr>
      <w:r>
        <w:rPr>
          <w:rFonts w:ascii="Arial" w:hAnsi="Arial" w:cs="Arial"/>
          <w:sz w:val="20"/>
          <w:szCs w:val="20"/>
        </w:rPr>
        <w:t>The Company enters into operating and finance leases, primarily related to rental of office space, equipment and data centers. Both operating and finance leases have remaining lease terms which range from less than</w:t>
      </w:r>
      <w:r>
        <w:rPr>
          <w:rFonts w:ascii="Arial" w:hAnsi="Arial" w:cs="Arial"/>
          <w:sz w:val="20"/>
          <w:szCs w:val="20"/>
        </w:rPr>
        <w:t xml:space="preserve"> </w:t>
      </w:r>
      <w:r>
        <w:rPr>
          <w:rFonts w:ascii="Arial" w:hAnsi="Arial" w:cs="Arial"/>
          <w:sz w:val="20"/>
          <w:szCs w:val="20"/>
        </w:rPr>
        <w:t>one yea</w:t>
      </w:r>
      <w:r>
        <w:rPr>
          <w:rFonts w:ascii="Arial" w:hAnsi="Arial" w:cs="Arial"/>
          <w:sz w:val="20"/>
          <w:szCs w:val="20"/>
        </w:rPr>
        <w:t>r</w:t>
      </w:r>
      <w:r>
        <w:rPr>
          <w:rFonts w:ascii="Arial" w:hAnsi="Arial" w:cs="Arial"/>
          <w:sz w:val="20"/>
          <w:szCs w:val="20"/>
        </w:rPr>
        <w:t xml:space="preserve"> to</w:t>
      </w:r>
      <w:r>
        <w:rPr>
          <w:rFonts w:ascii="Arial" w:hAnsi="Arial" w:cs="Arial"/>
          <w:sz w:val="20"/>
          <w:szCs w:val="20"/>
        </w:rPr>
        <w:t xml:space="preserve"> </w:t>
      </w:r>
      <w:r>
        <w:rPr>
          <w:rFonts w:ascii="Arial" w:hAnsi="Arial" w:cs="Arial"/>
          <w:sz w:val="20"/>
          <w:szCs w:val="20"/>
        </w:rPr>
        <w:t>ten yea</w:t>
      </w:r>
      <w:r>
        <w:rPr>
          <w:rFonts w:ascii="Arial" w:hAnsi="Arial" w:cs="Arial"/>
          <w:sz w:val="20"/>
          <w:szCs w:val="20"/>
        </w:rPr>
        <w:t>r</w:t>
      </w:r>
      <w:r>
        <w:rPr>
          <w:rFonts w:ascii="Arial" w:hAnsi="Arial" w:cs="Arial"/>
          <w:sz w:val="20"/>
          <w:szCs w:val="20"/>
        </w:rPr>
        <w:t xml:space="preserve">s, and often include </w:t>
      </w:r>
      <w:r>
        <w:rPr>
          <w:rFonts w:ascii="Arial" w:hAnsi="Arial" w:cs="Arial"/>
          <w:sz w:val="20"/>
          <w:szCs w:val="20"/>
        </w:rPr>
        <w:t>one or more renewal or termination options. These options are not included in the determination of the lease term at commencement unless it is reasonably certain that the Company will exercise the option</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120" w:afterAutospacing="0"/>
        <w:ind w:firstLine="539"/>
        <w:divId w:val="1559825788"/>
        <w:rPr>
          <w:sz w:val="20"/>
          <w:szCs w:val="20"/>
        </w:rPr>
      </w:pPr>
      <w:r>
        <w:rPr>
          <w:rFonts w:ascii="Arial" w:hAnsi="Arial" w:cs="Arial"/>
          <w:sz w:val="20"/>
          <w:szCs w:val="20"/>
        </w:rPr>
        <w:t>The components of lease cost were as follows (in t</w:t>
      </w:r>
      <w:r>
        <w:rPr>
          <w:rFonts w:ascii="Arial" w:hAnsi="Arial" w:cs="Arial"/>
          <w:sz w:val="20"/>
          <w:szCs w:val="20"/>
        </w:rPr>
        <w: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72"/>
        <w:gridCol w:w="122"/>
        <w:gridCol w:w="172"/>
        <w:gridCol w:w="1099"/>
        <w:gridCol w:w="116"/>
        <w:gridCol w:w="122"/>
        <w:gridCol w:w="172"/>
        <w:gridCol w:w="1100"/>
        <w:gridCol w:w="131"/>
      </w:tblGrid>
      <w:tr w:rsidR="00000000">
        <w:trPr>
          <w:divId w:val="1559825788"/>
          <w:tblCellSpacing w:w="15" w:type="dxa"/>
        </w:trPr>
        <w:tc>
          <w:tcPr>
            <w:tcW w:w="3279" w:type="pct"/>
            <w:vAlign w:val="center"/>
            <w:hideMark/>
          </w:tcPr>
          <w:p w:rsidR="00000000" w:rsidRDefault="00CA40A2">
            <w:pPr>
              <w:rPr>
                <w:sz w:val="20"/>
                <w:szCs w:val="20"/>
              </w:rPr>
            </w:pPr>
          </w:p>
        </w:tc>
        <w:tc>
          <w:tcPr>
            <w:tcW w:w="75"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84"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75"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84"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divId w:val="1559825788"/>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559825788"/>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559825788"/>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Operating lease cos</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52</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85</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559825788"/>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Finance lease cos</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r w:rsidR="00000000">
        <w:trPr>
          <w:divId w:val="1559825788"/>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Depreciation expens</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559825788"/>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Interest on finance lease liabilitie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559825788"/>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Total finance lease cos</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559825788"/>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Short-term lease cos</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45</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559825788"/>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Total lease cos</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1,04</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1,01</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0" w:beforeAutospacing="0" w:after="0" w:afterAutospacing="0"/>
        <w:divId w:val="1132139364"/>
        <w:rPr>
          <w:sz w:val="20"/>
          <w:szCs w:val="20"/>
        </w:rPr>
      </w:pPr>
      <w:r>
        <w:rPr>
          <w:rFonts w:ascii="Arial" w:hAnsi="Arial" w:cs="Arial"/>
          <w:sz w:val="20"/>
          <w:szCs w:val="20"/>
        </w:rPr>
        <w:t> </w:t>
      </w:r>
    </w:p>
    <w:p w:rsidR="00000000" w:rsidRDefault="00CA40A2">
      <w:pPr>
        <w:pStyle w:val="a3"/>
        <w:spacing w:before="0" w:beforeAutospacing="0" w:after="0" w:afterAutospacing="0"/>
        <w:ind w:firstLine="539"/>
        <w:divId w:val="980697385"/>
        <w:rPr>
          <w:sz w:val="20"/>
          <w:szCs w:val="20"/>
        </w:rPr>
      </w:pPr>
      <w:r>
        <w:rPr>
          <w:rFonts w:ascii="Arial" w:hAnsi="Arial" w:cs="Arial"/>
          <w:sz w:val="20"/>
          <w:szCs w:val="20"/>
        </w:rPr>
        <w:t>Supplemental cash flow information related to leases was as follows (in thousands)</w:t>
      </w:r>
      <w:r>
        <w:rPr>
          <w:rFonts w:ascii="Arial" w:hAnsi="Arial" w:cs="Arial"/>
          <w:sz w:val="20"/>
          <w:szCs w:val="20"/>
        </w:rPr>
        <w:t>:</w:t>
      </w:r>
    </w:p>
    <w:p w:rsidR="00000000" w:rsidRDefault="00CA40A2">
      <w:pPr>
        <w:pStyle w:val="a3"/>
        <w:spacing w:before="0" w:beforeAutospacing="0" w:after="0" w:afterAutospacing="0"/>
        <w:divId w:val="980697385"/>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73"/>
        <w:gridCol w:w="122"/>
        <w:gridCol w:w="172"/>
        <w:gridCol w:w="1099"/>
        <w:gridCol w:w="116"/>
        <w:gridCol w:w="122"/>
        <w:gridCol w:w="172"/>
        <w:gridCol w:w="1099"/>
        <w:gridCol w:w="131"/>
      </w:tblGrid>
      <w:tr w:rsidR="00000000">
        <w:trPr>
          <w:divId w:val="980697385"/>
          <w:tblCellSpacing w:w="15" w:type="dxa"/>
        </w:trPr>
        <w:tc>
          <w:tcPr>
            <w:tcW w:w="3280" w:type="pct"/>
            <w:vAlign w:val="center"/>
            <w:hideMark/>
          </w:tcPr>
          <w:p w:rsidR="00000000" w:rsidRDefault="00CA40A2">
            <w:pPr>
              <w:rPr>
                <w:sz w:val="20"/>
                <w:szCs w:val="20"/>
              </w:rPr>
            </w:pPr>
          </w:p>
        </w:tc>
        <w:tc>
          <w:tcPr>
            <w:tcW w:w="75"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84"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75"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84"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divId w:val="980697385"/>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980697385"/>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980697385"/>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Cash paid for amounts included in the measurement of lease liabilitie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980697385"/>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Operating cash flows for operating lease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72</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980697385"/>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Operating cash flows for finance lease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980697385"/>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Financing cash flows for finance lease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980697385"/>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Right-of-use assets obtained in exchange of operating lease obligation</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0" w:afterAutospacing="0"/>
        <w:ind w:firstLine="539"/>
        <w:divId w:val="809906124"/>
        <w:rPr>
          <w:sz w:val="20"/>
          <w:szCs w:val="20"/>
        </w:rPr>
      </w:pPr>
      <w:r>
        <w:rPr>
          <w:rFonts w:ascii="Arial" w:hAnsi="Arial" w:cs="Arial"/>
          <w:sz w:val="20"/>
          <w:szCs w:val="20"/>
        </w:rPr>
        <w:t>The total remaining lease payments under non-cancelable operating and finance leases as of</w:t>
      </w:r>
      <w:r>
        <w:rPr>
          <w:rFonts w:ascii="Arial" w:hAnsi="Arial" w:cs="Arial"/>
          <w:sz w:val="20"/>
          <w:szCs w:val="20"/>
        </w:rPr>
        <w:t xml:space="preserve"> </w:t>
      </w:r>
      <w:r>
        <w:rPr>
          <w:rFonts w:ascii="Arial" w:hAnsi="Arial" w:cs="Arial"/>
          <w:sz w:val="20"/>
          <w:szCs w:val="20"/>
        </w:rPr>
        <w:t>March 31, 2022 were as follows (in thousands)</w:t>
      </w:r>
      <w:r>
        <w:rPr>
          <w:rFonts w:ascii="Arial" w:hAnsi="Arial" w:cs="Arial"/>
          <w:sz w:val="20"/>
          <w:szCs w:val="20"/>
        </w:rPr>
        <w:t>:</w:t>
      </w:r>
      <w:r>
        <w:rPr>
          <w:rFonts w:ascii="Arial" w:hAnsi="Arial" w:cs="Arial"/>
          <w:sz w:val="20"/>
          <w:szCs w:val="20"/>
        </w:rPr>
        <w:t xml:space="preserve"> </w:t>
      </w:r>
    </w:p>
    <w:p w:rsidR="00000000" w:rsidRDefault="00CA40A2">
      <w:pPr>
        <w:pStyle w:val="a3"/>
        <w:spacing w:before="0" w:beforeAutospacing="0" w:after="0" w:afterAutospacing="0"/>
        <w:divId w:val="809906124"/>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05"/>
        <w:gridCol w:w="124"/>
        <w:gridCol w:w="173"/>
        <w:gridCol w:w="1088"/>
        <w:gridCol w:w="127"/>
        <w:gridCol w:w="124"/>
        <w:gridCol w:w="173"/>
        <w:gridCol w:w="1050"/>
        <w:gridCol w:w="142"/>
      </w:tblGrid>
      <w:tr w:rsidR="00000000">
        <w:trPr>
          <w:divId w:val="809906124"/>
          <w:tblCellSpacing w:w="15" w:type="dxa"/>
        </w:trPr>
        <w:tc>
          <w:tcPr>
            <w:tcW w:w="3296" w:type="pct"/>
            <w:vAlign w:val="center"/>
            <w:hideMark/>
          </w:tcPr>
          <w:p w:rsidR="00000000" w:rsidRDefault="00CA40A2">
            <w:pPr>
              <w:rPr>
                <w:sz w:val="20"/>
                <w:szCs w:val="20"/>
              </w:rPr>
            </w:pPr>
          </w:p>
        </w:tc>
        <w:tc>
          <w:tcPr>
            <w:tcW w:w="72"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73" w:type="pct"/>
            <w:vAlign w:val="center"/>
            <w:hideMark/>
          </w:tcPr>
          <w:p w:rsidR="00000000" w:rsidRDefault="00CA40A2">
            <w:pPr>
              <w:rPr>
                <w:rFonts w:eastAsia="Times New Roman"/>
                <w:sz w:val="20"/>
                <w:szCs w:val="20"/>
              </w:rPr>
            </w:pPr>
          </w:p>
        </w:tc>
        <w:tc>
          <w:tcPr>
            <w:tcW w:w="50" w:type="pct"/>
            <w:vAlign w:val="center"/>
            <w:hideMark/>
          </w:tcPr>
          <w:p w:rsidR="00000000" w:rsidRDefault="00CA40A2">
            <w:pPr>
              <w:rPr>
                <w:rFonts w:eastAsia="Times New Roman"/>
                <w:sz w:val="20"/>
                <w:szCs w:val="20"/>
              </w:rPr>
            </w:pPr>
          </w:p>
        </w:tc>
        <w:tc>
          <w:tcPr>
            <w:tcW w:w="72"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49" w:type="pct"/>
            <w:vAlign w:val="center"/>
            <w:hideMark/>
          </w:tcPr>
          <w:p w:rsidR="00000000" w:rsidRDefault="00CA40A2">
            <w:pPr>
              <w:rPr>
                <w:rFonts w:eastAsia="Times New Roman"/>
                <w:sz w:val="20"/>
                <w:szCs w:val="20"/>
              </w:rPr>
            </w:pPr>
          </w:p>
        </w:tc>
        <w:tc>
          <w:tcPr>
            <w:tcW w:w="50" w:type="pct"/>
            <w:vAlign w:val="center"/>
            <w:hideMark/>
          </w:tcPr>
          <w:p w:rsidR="00000000" w:rsidRDefault="00CA40A2">
            <w:pPr>
              <w:rPr>
                <w:rFonts w:eastAsia="Times New Roman"/>
                <w:sz w:val="20"/>
                <w:szCs w:val="20"/>
              </w:rPr>
            </w:pPr>
          </w:p>
        </w:tc>
      </w:tr>
      <w:tr w:rsidR="00000000">
        <w:trPr>
          <w:divId w:val="809906124"/>
          <w:trHeight w:val="160"/>
          <w:tblCellSpacing w:w="15" w:type="dxa"/>
        </w:trPr>
        <w:tc>
          <w:tcPr>
            <w:tcW w:w="0" w:type="auto"/>
            <w:vAlign w:val="bottom"/>
            <w:hideMark/>
          </w:tcPr>
          <w:p w:rsidR="00000000" w:rsidRDefault="00CA40A2">
            <w:pPr>
              <w:pStyle w:val="a3"/>
              <w:spacing w:before="0" w:beforeAutospacing="0" w:after="0" w:afterAutospacing="0"/>
              <w:rPr>
                <w:sz w:val="16"/>
                <w:szCs w:val="16"/>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Operating Lease</w:t>
            </w:r>
            <w:r>
              <w:rPr>
                <w:rFonts w:ascii="Arial" w:hAnsi="Arial" w:cs="Arial"/>
                <w:b/>
                <w:bCs/>
                <w:sz w:val="16"/>
                <w:szCs w:val="16"/>
              </w:rPr>
              <w:t>s</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Finance Lease</w:t>
            </w:r>
            <w:r>
              <w:rPr>
                <w:rFonts w:ascii="Arial" w:hAnsi="Arial" w:cs="Arial"/>
                <w:b/>
                <w:bCs/>
                <w:sz w:val="16"/>
                <w:szCs w:val="16"/>
              </w:rPr>
              <w:t>s</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809906124"/>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2022 (remaining nine months</w:t>
            </w: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1,34</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09906124"/>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1,02</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09906124"/>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85</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09906124"/>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86</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09906124"/>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87</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09906124"/>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3,78</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09906124"/>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Total minimum lease payments including interes</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8,76</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09906124"/>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Less imputed interes</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85</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divId w:val="809906124"/>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Total lease liabilitie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7,90</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0" w:beforeAutospacing="0" w:after="0" w:afterAutospacing="0"/>
        <w:divId w:val="809906124"/>
        <w:rPr>
          <w:sz w:val="20"/>
          <w:szCs w:val="20"/>
        </w:rPr>
      </w:pPr>
      <w:r>
        <w:rPr>
          <w:sz w:val="20"/>
          <w:szCs w:val="20"/>
        </w:rPr>
        <w:t> </w:t>
      </w:r>
    </w:p>
    <w:p w:rsidR="00000000" w:rsidRDefault="00CA40A2">
      <w:pPr>
        <w:pStyle w:val="a3"/>
        <w:spacing w:before="120" w:beforeAutospacing="0" w:after="0" w:afterAutospacing="0"/>
        <w:jc w:val="center"/>
        <w:divId w:val="809906124"/>
        <w:rPr>
          <w:sz w:val="20"/>
          <w:szCs w:val="20"/>
        </w:rPr>
      </w:pPr>
      <w:r>
        <w:rPr>
          <w:rFonts w:ascii="Arial" w:hAnsi="Arial" w:cs="Arial"/>
          <w:sz w:val="20"/>
          <w:szCs w:val="20"/>
        </w:rPr>
        <w:t>1</w:t>
      </w:r>
      <w:r>
        <w:rPr>
          <w:rFonts w:ascii="Arial" w:hAnsi="Arial" w:cs="Arial"/>
          <w:sz w:val="20"/>
          <w:szCs w:val="20"/>
        </w:rPr>
        <w:t>6</w:t>
      </w:r>
    </w:p>
    <w:p w:rsidR="00000000" w:rsidRDefault="00CA40A2">
      <w:pPr>
        <w:divId w:val="809906124"/>
        <w:rPr>
          <w:rFonts w:ascii="Arial" w:eastAsia="Times New Roman" w:hAnsi="Arial" w:cs="Arial"/>
          <w:sz w:val="20"/>
          <w:szCs w:val="20"/>
        </w:rPr>
      </w:pPr>
      <w:r>
        <w:rPr>
          <w:rFonts w:ascii="Arial" w:eastAsia="Times New Roman" w:hAnsi="Arial" w:cs="Arial"/>
          <w:sz w:val="20"/>
          <w:szCs w:val="20"/>
        </w:rPr>
        <w:pict>
          <v:rect id="_x0000_i1041" style="width:0;height:1.5pt" o:hralign="center" o:hrstd="t" o:hr="t" fillcolor="#a0a0a0" stroked="f"/>
        </w:pict>
      </w:r>
    </w:p>
    <w:p w:rsidR="00000000" w:rsidRDefault="00CA40A2">
      <w:pPr>
        <w:pStyle w:val="a3"/>
        <w:spacing w:before="0" w:beforeAutospacing="0" w:after="0" w:afterAutospacing="0"/>
        <w:divId w:val="809906124"/>
        <w:rPr>
          <w:sz w:val="20"/>
          <w:szCs w:val="20"/>
        </w:rPr>
      </w:pPr>
      <w:r>
        <w:rPr>
          <w:rFonts w:ascii="Arial" w:hAnsi="Arial" w:cs="Arial"/>
          <w:sz w:val="20"/>
          <w:szCs w:val="20"/>
        </w:rPr>
        <w:t> </w:t>
      </w:r>
    </w:p>
    <w:p w:rsidR="00000000" w:rsidRDefault="00CA40A2">
      <w:pPr>
        <w:pStyle w:val="a3"/>
        <w:spacing w:before="240" w:beforeAutospacing="0" w:after="0" w:afterAutospacing="0"/>
        <w:ind w:firstLine="539"/>
        <w:divId w:val="1132139364"/>
        <w:rPr>
          <w:sz w:val="20"/>
          <w:szCs w:val="20"/>
        </w:rPr>
      </w:pPr>
      <w:r>
        <w:rPr>
          <w:rFonts w:ascii="Arial" w:hAnsi="Arial" w:cs="Arial"/>
          <w:sz w:val="20"/>
          <w:szCs w:val="20"/>
        </w:rPr>
        <w:t xml:space="preserve">Operating lease payments presented above exclude </w:t>
      </w:r>
      <w:r>
        <w:rPr>
          <w:rFonts w:ascii="Arial" w:hAnsi="Arial" w:cs="Arial"/>
          <w:sz w:val="20"/>
          <w:szCs w:val="20"/>
        </w:rPr>
        <w:t>$</w:t>
      </w:r>
      <w:r>
        <w:rPr>
          <w:rFonts w:ascii="Arial" w:hAnsi="Arial" w:cs="Arial"/>
          <w:sz w:val="20"/>
          <w:szCs w:val="20"/>
        </w:rPr>
        <w:t>4.</w:t>
      </w:r>
      <w:r>
        <w:rPr>
          <w:rFonts w:ascii="Arial" w:hAnsi="Arial" w:cs="Arial"/>
          <w:sz w:val="20"/>
          <w:szCs w:val="20"/>
        </w:rPr>
        <w:t>2</w:t>
      </w:r>
      <w:r>
        <w:rPr>
          <w:rFonts w:ascii="Arial" w:hAnsi="Arial" w:cs="Arial"/>
          <w:sz w:val="20"/>
          <w:szCs w:val="20"/>
        </w:rPr>
        <w:t xml:space="preserve"> </w:t>
      </w:r>
      <w:r>
        <w:rPr>
          <w:rFonts w:ascii="Arial" w:hAnsi="Arial" w:cs="Arial"/>
          <w:sz w:val="20"/>
          <w:szCs w:val="20"/>
        </w:rPr>
        <w:t>million of legally-binding lease commitments for a lease signed but not yet commenced as of March 31, 2022. This operating lease commenced on April 1, 2022 with a lease term of</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w:t>
      </w:r>
    </w:p>
    <w:p w:rsidR="00000000" w:rsidRDefault="00CA40A2">
      <w:pPr>
        <w:pStyle w:val="a3"/>
        <w:spacing w:before="160" w:beforeAutospacing="0" w:after="0" w:afterAutospacing="0"/>
        <w:ind w:hanging="422"/>
        <w:divId w:val="1447963492"/>
        <w:rPr>
          <w:sz w:val="20"/>
          <w:szCs w:val="20"/>
        </w:rPr>
      </w:pPr>
      <w:r>
        <w:rPr>
          <w:rFonts w:ascii="Arial" w:hAnsi="Arial" w:cs="Arial"/>
          <w:b/>
          <w:bCs/>
          <w:sz w:val="20"/>
          <w:szCs w:val="20"/>
        </w:rPr>
        <w:t>8. Accrued Liabilitie</w:t>
      </w:r>
      <w:r>
        <w:rPr>
          <w:rFonts w:ascii="Arial" w:hAnsi="Arial" w:cs="Arial"/>
          <w:b/>
          <w:bCs/>
          <w:sz w:val="20"/>
          <w:szCs w:val="20"/>
        </w:rPr>
        <w:t>s</w:t>
      </w:r>
    </w:p>
    <w:p w:rsidR="00000000" w:rsidRDefault="00CA40A2">
      <w:pPr>
        <w:pStyle w:val="a3"/>
        <w:spacing w:before="120" w:beforeAutospacing="0" w:after="120" w:afterAutospacing="0"/>
        <w:ind w:firstLine="539"/>
        <w:divId w:val="2035694225"/>
        <w:rPr>
          <w:sz w:val="20"/>
          <w:szCs w:val="20"/>
        </w:rPr>
      </w:pPr>
      <w:r>
        <w:rPr>
          <w:rFonts w:ascii="Arial" w:hAnsi="Arial" w:cs="Arial"/>
          <w:sz w:val="20"/>
          <w:szCs w:val="20"/>
        </w:rPr>
        <w:t>Accrued liabilities consisted of the followi</w:t>
      </w:r>
      <w:r>
        <w:rPr>
          <w:rFonts w:ascii="Arial" w:hAnsi="Arial" w:cs="Arial"/>
          <w:sz w:val="20"/>
          <w:szCs w:val="20"/>
        </w:rPr>
        <w:t>ng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6"/>
        <w:gridCol w:w="129"/>
        <w:gridCol w:w="172"/>
        <w:gridCol w:w="1035"/>
        <w:gridCol w:w="116"/>
        <w:gridCol w:w="130"/>
        <w:gridCol w:w="172"/>
        <w:gridCol w:w="1035"/>
        <w:gridCol w:w="131"/>
      </w:tblGrid>
      <w:tr w:rsidR="00000000">
        <w:trPr>
          <w:divId w:val="2035694225"/>
          <w:tblCellSpacing w:w="15" w:type="dxa"/>
        </w:trPr>
        <w:tc>
          <w:tcPr>
            <w:tcW w:w="3344" w:type="pct"/>
            <w:vAlign w:val="center"/>
            <w:hideMark/>
          </w:tcPr>
          <w:p w:rsidR="00000000" w:rsidRDefault="00CA40A2">
            <w:pPr>
              <w:rPr>
                <w:sz w:val="20"/>
                <w:szCs w:val="20"/>
              </w:rPr>
            </w:pPr>
          </w:p>
        </w:tc>
        <w:tc>
          <w:tcPr>
            <w:tcW w:w="73"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37"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73"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37"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r>
      <w:tr w:rsidR="00000000">
        <w:trPr>
          <w:divId w:val="2035694225"/>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2035694225"/>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2035694225"/>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Payroll and employee-related expense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8,74</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8,09</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2035694225"/>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Finance leases and other financing obligation</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1,50</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2,38</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2035694225"/>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Other accrued liabilitie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2,25</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2,01</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2035694225"/>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12,50</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12,49</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0" w:afterAutospacing="0"/>
        <w:ind w:firstLine="543"/>
        <w:divId w:val="1447963492"/>
        <w:rPr>
          <w:sz w:val="20"/>
          <w:szCs w:val="20"/>
        </w:rPr>
      </w:pPr>
      <w:r>
        <w:rPr>
          <w:rFonts w:ascii="Arial" w:hAnsi="Arial" w:cs="Arial"/>
          <w:sz w:val="20"/>
          <w:szCs w:val="20"/>
        </w:rPr>
        <w:t>Finance leases and other financing obligations includes the current portion of finance leases related to the acquisition of computer equipment and short-term insurance premium financing arrangements</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ind w:hanging="422"/>
        <w:divId w:val="604772628"/>
        <w:rPr>
          <w:sz w:val="20"/>
          <w:szCs w:val="20"/>
        </w:rPr>
      </w:pPr>
      <w:r>
        <w:rPr>
          <w:rFonts w:ascii="Arial" w:hAnsi="Arial" w:cs="Arial"/>
          <w:b/>
          <w:bCs/>
          <w:sz w:val="20"/>
          <w:szCs w:val="20"/>
        </w:rPr>
        <w:t>9. Commitments and Contingencie</w:t>
      </w:r>
      <w:r>
        <w:rPr>
          <w:rFonts w:ascii="Arial" w:hAnsi="Arial" w:cs="Arial"/>
          <w:b/>
          <w:bCs/>
          <w:sz w:val="20"/>
          <w:szCs w:val="20"/>
        </w:rPr>
        <w:t>s</w:t>
      </w:r>
    </w:p>
    <w:p w:rsidR="00000000" w:rsidRDefault="00CA40A2">
      <w:pPr>
        <w:pStyle w:val="a3"/>
        <w:spacing w:before="240" w:beforeAutospacing="0" w:after="0" w:afterAutospacing="0"/>
        <w:divId w:val="604772628"/>
        <w:rPr>
          <w:sz w:val="20"/>
          <w:szCs w:val="20"/>
        </w:rPr>
      </w:pPr>
      <w:r>
        <w:rPr>
          <w:rFonts w:ascii="Arial" w:hAnsi="Arial" w:cs="Arial"/>
          <w:b/>
          <w:bCs/>
          <w:i/>
          <w:iCs/>
          <w:sz w:val="20"/>
          <w:szCs w:val="20"/>
        </w:rPr>
        <w:t>Other Commitment</w:t>
      </w:r>
      <w:r>
        <w:rPr>
          <w:rFonts w:ascii="Arial" w:hAnsi="Arial" w:cs="Arial"/>
          <w:b/>
          <w:bCs/>
          <w:i/>
          <w:iCs/>
          <w:sz w:val="20"/>
          <w:szCs w:val="20"/>
        </w:rPr>
        <w:t>s</w:t>
      </w:r>
      <w:r>
        <w:rPr>
          <w:rFonts w:ascii="Arial" w:hAnsi="Arial" w:cs="Arial"/>
          <w:b/>
          <w:bCs/>
          <w:i/>
          <w:iCs/>
          <w:sz w:val="20"/>
          <w:szCs w:val="20"/>
        </w:rPr>
        <w:t xml:space="preserve"> </w:t>
      </w:r>
    </w:p>
    <w:p w:rsidR="00000000" w:rsidRDefault="00CA40A2">
      <w:pPr>
        <w:pStyle w:val="a3"/>
        <w:spacing w:before="120" w:beforeAutospacing="0" w:after="0" w:afterAutospacing="0"/>
        <w:ind w:firstLine="539"/>
        <w:divId w:val="604772628"/>
        <w:rPr>
          <w:sz w:val="20"/>
          <w:szCs w:val="20"/>
        </w:rPr>
      </w:pPr>
      <w:r>
        <w:rPr>
          <w:rFonts w:ascii="Arial" w:hAnsi="Arial" w:cs="Arial"/>
          <w:sz w:val="20"/>
          <w:szCs w:val="20"/>
        </w:rPr>
        <w:t>The</w:t>
      </w:r>
      <w:r>
        <w:rPr>
          <w:rFonts w:ascii="Arial" w:hAnsi="Arial" w:cs="Arial"/>
          <w:sz w:val="20"/>
          <w:szCs w:val="20"/>
        </w:rPr>
        <w:t xml:space="preserve"> Company has entered into certain non-cancellable agreements for software and marketing services that specify all significant terms, including fixed or minimum services to be used, pricing provisions and the approximate timing of the transaction. Obligatio</w:t>
      </w:r>
      <w:r>
        <w:rPr>
          <w:rFonts w:ascii="Arial" w:hAnsi="Arial" w:cs="Arial"/>
          <w:sz w:val="20"/>
          <w:szCs w:val="20"/>
        </w:rPr>
        <w:t>ns under contracts that are cancellable or with remaining terms of 12 months or less are not included. There have been no material changes to the Company's contractual obligations or commitments outside of the ordinary course of business as compared to tho</w:t>
      </w:r>
      <w:r>
        <w:rPr>
          <w:rFonts w:ascii="Arial" w:hAnsi="Arial" w:cs="Arial"/>
          <w:sz w:val="20"/>
          <w:szCs w:val="20"/>
        </w:rPr>
        <w:t>se described in the 2021 Form 10-K</w:t>
      </w:r>
      <w:r>
        <w:rPr>
          <w:rFonts w:ascii="Arial" w:hAnsi="Arial" w:cs="Arial"/>
          <w:sz w:val="20"/>
          <w:szCs w:val="20"/>
        </w:rPr>
        <w:t>.</w:t>
      </w:r>
    </w:p>
    <w:p w:rsidR="00000000" w:rsidRDefault="00CA40A2">
      <w:pPr>
        <w:pStyle w:val="a3"/>
        <w:spacing w:before="120" w:beforeAutospacing="0" w:after="0" w:afterAutospacing="0"/>
        <w:ind w:firstLine="539"/>
        <w:divId w:val="604772628"/>
        <w:rPr>
          <w:sz w:val="20"/>
          <w:szCs w:val="20"/>
        </w:rPr>
      </w:pPr>
      <w:r>
        <w:rPr>
          <w:rFonts w:ascii="Arial" w:hAnsi="Arial" w:cs="Arial"/>
          <w:sz w:val="20"/>
          <w:szCs w:val="20"/>
        </w:rPr>
        <w:t xml:space="preserve">The Company sponsors a 401(k) defined contribution plan covering all eligible U.S. employees. Contributions to the 401(k) plan are discretionary. For the three months ended March 31, 2022, the Company made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o</w:t>
      </w:r>
      <w:r>
        <w:rPr>
          <w:rFonts w:ascii="Arial" w:hAnsi="Arial" w:cs="Arial"/>
          <w:sz w:val="20"/>
          <w:szCs w:val="20"/>
        </w:rPr>
        <w:t>f matching contributions to the 401(k) plan. The Company did</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make any matching contributions to the 401(k) plan for the three months ended March 31, 2021</w:t>
      </w:r>
      <w:r>
        <w:rPr>
          <w:rFonts w:ascii="Arial" w:hAnsi="Arial" w:cs="Arial"/>
          <w:sz w:val="20"/>
          <w:szCs w:val="20"/>
        </w:rPr>
        <w:t>.</w:t>
      </w:r>
    </w:p>
    <w:p w:rsidR="00000000" w:rsidRDefault="00CA40A2">
      <w:pPr>
        <w:pStyle w:val="a3"/>
        <w:spacing w:before="240" w:beforeAutospacing="0" w:after="0" w:afterAutospacing="0"/>
        <w:divId w:val="604772628"/>
        <w:rPr>
          <w:sz w:val="20"/>
          <w:szCs w:val="20"/>
        </w:rPr>
      </w:pPr>
      <w:r>
        <w:rPr>
          <w:rFonts w:ascii="Arial" w:hAnsi="Arial" w:cs="Arial"/>
          <w:b/>
          <w:bCs/>
          <w:i/>
          <w:iCs/>
          <w:sz w:val="20"/>
          <w:szCs w:val="20"/>
        </w:rPr>
        <w:t>Legal Matter</w:t>
      </w:r>
      <w:r>
        <w:rPr>
          <w:rFonts w:ascii="Arial" w:hAnsi="Arial" w:cs="Arial"/>
          <w:b/>
          <w:bCs/>
          <w:i/>
          <w:iCs/>
          <w:sz w:val="20"/>
          <w:szCs w:val="20"/>
        </w:rPr>
        <w:t>s</w:t>
      </w:r>
    </w:p>
    <w:p w:rsidR="00000000" w:rsidRDefault="00CA40A2">
      <w:pPr>
        <w:pStyle w:val="a3"/>
        <w:spacing w:before="120" w:beforeAutospacing="0" w:after="0" w:afterAutospacing="0"/>
        <w:ind w:firstLine="539"/>
        <w:divId w:val="604772628"/>
        <w:rPr>
          <w:sz w:val="20"/>
          <w:szCs w:val="20"/>
        </w:rPr>
      </w:pPr>
      <w:r>
        <w:rPr>
          <w:rFonts w:ascii="Arial" w:hAnsi="Arial" w:cs="Arial"/>
          <w:sz w:val="20"/>
          <w:szCs w:val="20"/>
        </w:rPr>
        <w:t>The Company is involved from time to time in various claims and legal actions arisi</w:t>
      </w:r>
      <w:r>
        <w:rPr>
          <w:rFonts w:ascii="Arial" w:hAnsi="Arial" w:cs="Arial"/>
          <w:sz w:val="20"/>
          <w:szCs w:val="20"/>
        </w:rPr>
        <w:t>ng in the ordinary course of business. While it is not feasible to predict or determine the ultimate outcome of these matters, the Company believes that none of its current legal proceedings will have a material adverse effect on its financial position, re</w:t>
      </w:r>
      <w:r>
        <w:rPr>
          <w:rFonts w:ascii="Arial" w:hAnsi="Arial" w:cs="Arial"/>
          <w:sz w:val="20"/>
          <w:szCs w:val="20"/>
        </w:rPr>
        <w:t>sults of operations, or cash flows as of and for the three months ended March 31, 2022</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divId w:val="604772628"/>
        <w:rPr>
          <w:sz w:val="20"/>
          <w:szCs w:val="20"/>
        </w:rPr>
      </w:pPr>
      <w:r>
        <w:rPr>
          <w:rFonts w:ascii="Arial" w:hAnsi="Arial" w:cs="Arial"/>
          <w:b/>
          <w:bCs/>
          <w:i/>
          <w:iCs/>
          <w:sz w:val="20"/>
          <w:szCs w:val="20"/>
        </w:rPr>
        <w:t>Indemnificatio</w:t>
      </w:r>
      <w:r>
        <w:rPr>
          <w:rFonts w:ascii="Arial" w:hAnsi="Arial" w:cs="Arial"/>
          <w:b/>
          <w:bCs/>
          <w:i/>
          <w:iCs/>
          <w:sz w:val="20"/>
          <w:szCs w:val="20"/>
        </w:rPr>
        <w:t>n</w:t>
      </w:r>
    </w:p>
    <w:p w:rsidR="00000000" w:rsidRDefault="00CA40A2">
      <w:pPr>
        <w:pStyle w:val="a3"/>
        <w:spacing w:before="120" w:beforeAutospacing="0" w:after="0" w:afterAutospacing="0"/>
        <w:ind w:firstLine="539"/>
        <w:rPr>
          <w:sz w:val="20"/>
          <w:szCs w:val="20"/>
        </w:rPr>
      </w:pPr>
      <w:r>
        <w:rPr>
          <w:rFonts w:ascii="Arial" w:hAnsi="Arial" w:cs="Arial"/>
          <w:sz w:val="20"/>
          <w:szCs w:val="20"/>
        </w:rPr>
        <w:t>The Company enters into indemnification provisions under agreements with other parties in the ordinary course of business, including business partners,</w:t>
      </w:r>
      <w:r>
        <w:rPr>
          <w:rFonts w:ascii="Arial" w:hAnsi="Arial" w:cs="Arial"/>
          <w:sz w:val="20"/>
          <w:szCs w:val="20"/>
        </w:rPr>
        <w:t xml:space="preserve"> investors, contractors, customers, and the Company’s officers, directors, and certain employees. The Company has agreed to indemnify and defend the indemnified party claims and related losses suffered or incurred by the indemnified party from actual or th</w:t>
      </w:r>
      <w:r>
        <w:rPr>
          <w:rFonts w:ascii="Arial" w:hAnsi="Arial" w:cs="Arial"/>
          <w:sz w:val="20"/>
          <w:szCs w:val="20"/>
        </w:rPr>
        <w:t>reatened third-party claims due to the Company’s activities or non-compliance with obligations or representations made by the Company. The Company seeks to limit, or cap, its indemnification exposure in its commercial and other contracts. It is not possibl</w:t>
      </w:r>
      <w:r>
        <w:rPr>
          <w:rFonts w:ascii="Arial" w:hAnsi="Arial" w:cs="Arial"/>
          <w:sz w:val="20"/>
          <w:szCs w:val="20"/>
        </w:rPr>
        <w:t>e to determine the maximum potential loss under these indemnification provisions due to the Company’s limited history of prior indemnification claims and the unique facts and circumstances involved in each particular provision</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ind w:hanging="422"/>
        <w:divId w:val="551893596"/>
        <w:rPr>
          <w:sz w:val="20"/>
          <w:szCs w:val="20"/>
        </w:rPr>
      </w:pPr>
      <w:r>
        <w:rPr>
          <w:rFonts w:ascii="Arial" w:hAnsi="Arial" w:cs="Arial"/>
          <w:b/>
          <w:bCs/>
          <w:sz w:val="20"/>
          <w:szCs w:val="20"/>
        </w:rPr>
        <w:t>10. Related Party Transacti</w:t>
      </w:r>
      <w:r>
        <w:rPr>
          <w:rFonts w:ascii="Arial" w:hAnsi="Arial" w:cs="Arial"/>
          <w:b/>
          <w:bCs/>
          <w:sz w:val="20"/>
          <w:szCs w:val="20"/>
        </w:rPr>
        <w:t>on</w:t>
      </w:r>
      <w:r>
        <w:rPr>
          <w:rFonts w:ascii="Arial" w:hAnsi="Arial" w:cs="Arial"/>
          <w:b/>
          <w:bCs/>
          <w:sz w:val="20"/>
          <w:szCs w:val="20"/>
        </w:rPr>
        <w:t>s</w:t>
      </w:r>
    </w:p>
    <w:p w:rsidR="00000000" w:rsidRDefault="00CA40A2">
      <w:pPr>
        <w:pStyle w:val="a3"/>
        <w:spacing w:before="120" w:beforeAutospacing="0" w:after="0" w:afterAutospacing="0"/>
        <w:ind w:firstLine="539"/>
        <w:divId w:val="551893596"/>
        <w:rPr>
          <w:sz w:val="20"/>
          <w:szCs w:val="20"/>
        </w:rPr>
      </w:pPr>
      <w:r>
        <w:rPr>
          <w:rFonts w:ascii="Arial" w:hAnsi="Arial" w:cs="Arial"/>
          <w:sz w:val="20"/>
          <w:szCs w:val="20"/>
        </w:rPr>
        <w:t>There have been no material changes to the Company's related party transactions as previously disclosed in the Company's 2021 Form 10-K</w:t>
      </w:r>
      <w:r>
        <w:rPr>
          <w:rFonts w:ascii="Arial" w:hAnsi="Arial" w:cs="Arial"/>
          <w:sz w:val="20"/>
          <w:szCs w:val="20"/>
        </w:rPr>
        <w:t>.</w:t>
      </w:r>
    </w:p>
    <w:p w:rsidR="00000000" w:rsidRDefault="00CA40A2">
      <w:pPr>
        <w:pStyle w:val="a3"/>
        <w:spacing w:before="240" w:beforeAutospacing="0" w:after="0" w:afterAutospacing="0"/>
        <w:ind w:hanging="422"/>
        <w:divId w:val="1931425975"/>
        <w:rPr>
          <w:sz w:val="20"/>
          <w:szCs w:val="20"/>
        </w:rPr>
      </w:pPr>
      <w:r>
        <w:rPr>
          <w:rFonts w:ascii="Arial" w:hAnsi="Arial" w:cs="Arial"/>
          <w:b/>
          <w:bCs/>
          <w:sz w:val="20"/>
          <w:szCs w:val="20"/>
        </w:rPr>
        <w:t>11. Equit</w:t>
      </w:r>
      <w:r>
        <w:rPr>
          <w:rFonts w:ascii="Arial" w:hAnsi="Arial" w:cs="Arial"/>
          <w:b/>
          <w:bCs/>
          <w:sz w:val="20"/>
          <w:szCs w:val="20"/>
        </w:rPr>
        <w:t>y</w:t>
      </w:r>
    </w:p>
    <w:p w:rsidR="00000000" w:rsidRDefault="00CA40A2">
      <w:pPr>
        <w:pStyle w:val="a3"/>
        <w:spacing w:before="240" w:beforeAutospacing="0" w:after="0" w:afterAutospacing="0"/>
        <w:divId w:val="1931425975"/>
        <w:rPr>
          <w:sz w:val="20"/>
          <w:szCs w:val="20"/>
        </w:rPr>
      </w:pPr>
      <w:r>
        <w:rPr>
          <w:rFonts w:ascii="Arial" w:hAnsi="Arial" w:cs="Arial"/>
          <w:b/>
          <w:bCs/>
          <w:i/>
          <w:iCs/>
          <w:sz w:val="20"/>
          <w:szCs w:val="20"/>
        </w:rPr>
        <w:t>Preferred Stoc</w:t>
      </w:r>
      <w:r>
        <w:rPr>
          <w:rFonts w:ascii="Arial" w:hAnsi="Arial" w:cs="Arial"/>
          <w:b/>
          <w:bCs/>
          <w:i/>
          <w:iCs/>
          <w:sz w:val="20"/>
          <w:szCs w:val="20"/>
        </w:rPr>
        <w:t>k</w:t>
      </w:r>
    </w:p>
    <w:p w:rsidR="00000000" w:rsidRDefault="00CA40A2">
      <w:pPr>
        <w:pStyle w:val="a3"/>
        <w:spacing w:before="120" w:beforeAutospacing="0" w:after="120" w:afterAutospacing="0"/>
        <w:ind w:firstLine="408"/>
        <w:divId w:val="1931425975"/>
        <w:rPr>
          <w:sz w:val="20"/>
          <w:szCs w:val="20"/>
        </w:rPr>
      </w:pPr>
      <w:r>
        <w:rPr>
          <w:rFonts w:ascii="Arial" w:hAnsi="Arial" w:cs="Arial"/>
          <w:sz w:val="20"/>
          <w:szCs w:val="20"/>
        </w:rPr>
        <w:t>The Company’s amended and restated certificate of incorporation authorizes the issuance of</w:t>
      </w:r>
      <w:r>
        <w:rPr>
          <w:rFonts w:ascii="Arial" w:hAnsi="Arial" w:cs="Arial"/>
          <w:sz w:val="20"/>
          <w:szCs w:val="20"/>
        </w:rPr>
        <w:t xml:space="preserve"> </w:t>
      </w:r>
      <w:r>
        <w:rPr>
          <w:rFonts w:ascii="Arial" w:hAnsi="Arial" w:cs="Arial"/>
          <w:sz w:val="20"/>
          <w:szCs w:val="20"/>
        </w:rPr>
        <w:t>5</w:t>
      </w:r>
      <w:r>
        <w:rPr>
          <w:rFonts w:ascii="Arial" w:hAnsi="Arial" w:cs="Arial"/>
          <w:sz w:val="20"/>
          <w:szCs w:val="20"/>
        </w:rPr>
        <w:t>,000,00</w:t>
      </w:r>
      <w:r>
        <w:rPr>
          <w:rFonts w:ascii="Arial" w:hAnsi="Arial" w:cs="Arial"/>
          <w:sz w:val="20"/>
          <w:szCs w:val="20"/>
        </w:rPr>
        <w:t>0</w:t>
      </w:r>
      <w:r>
        <w:rPr>
          <w:rFonts w:ascii="Arial" w:hAnsi="Arial" w:cs="Arial"/>
          <w:sz w:val="20"/>
          <w:szCs w:val="20"/>
        </w:rPr>
        <w:t xml:space="preserve"> shares of undesignated preferred stock with a par 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xml:space="preserve"> per share with rights and preferences, including voting rights</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jc w:val="center"/>
        <w:divId w:val="1931425975"/>
        <w:rPr>
          <w:sz w:val="20"/>
          <w:szCs w:val="20"/>
        </w:rPr>
      </w:pPr>
      <w:r>
        <w:rPr>
          <w:rFonts w:ascii="Arial" w:hAnsi="Arial" w:cs="Arial"/>
          <w:sz w:val="20"/>
          <w:szCs w:val="20"/>
        </w:rPr>
        <w:t>1</w:t>
      </w:r>
      <w:r>
        <w:rPr>
          <w:rFonts w:ascii="Arial" w:hAnsi="Arial" w:cs="Arial"/>
          <w:sz w:val="20"/>
          <w:szCs w:val="20"/>
        </w:rPr>
        <w:t>7</w:t>
      </w:r>
    </w:p>
    <w:p w:rsidR="00000000" w:rsidRDefault="00CA40A2">
      <w:pPr>
        <w:divId w:val="1931425975"/>
        <w:rPr>
          <w:rFonts w:ascii="Arial" w:eastAsia="Times New Roman" w:hAnsi="Arial" w:cs="Arial"/>
          <w:sz w:val="20"/>
          <w:szCs w:val="20"/>
        </w:rPr>
      </w:pPr>
      <w:r>
        <w:rPr>
          <w:rFonts w:ascii="Arial" w:eastAsia="Times New Roman" w:hAnsi="Arial" w:cs="Arial"/>
          <w:sz w:val="20"/>
          <w:szCs w:val="20"/>
        </w:rPr>
        <w:pict>
          <v:rect id="_x0000_i1042" style="width:0;height:1.5pt" o:hralign="center" o:hrstd="t" o:hr="t" fillcolor="#a0a0a0" stroked="f"/>
        </w:pict>
      </w:r>
    </w:p>
    <w:p w:rsidR="00000000" w:rsidRDefault="00CA40A2">
      <w:pPr>
        <w:pStyle w:val="a3"/>
        <w:spacing w:before="0" w:beforeAutospacing="0" w:after="0" w:afterAutospacing="0"/>
        <w:divId w:val="1931425975"/>
        <w:rPr>
          <w:sz w:val="20"/>
          <w:szCs w:val="20"/>
        </w:rPr>
      </w:pPr>
      <w:r>
        <w:rPr>
          <w:rFonts w:ascii="Arial" w:hAnsi="Arial" w:cs="Arial"/>
          <w:sz w:val="20"/>
          <w:szCs w:val="20"/>
        </w:rPr>
        <w:t> </w:t>
      </w:r>
    </w:p>
    <w:p w:rsidR="00000000" w:rsidRDefault="00CA40A2">
      <w:pPr>
        <w:pStyle w:val="a3"/>
        <w:spacing w:before="120" w:beforeAutospacing="0" w:after="120" w:afterAutospacing="0"/>
        <w:divId w:val="1931425975"/>
        <w:rPr>
          <w:sz w:val="20"/>
          <w:szCs w:val="20"/>
        </w:rPr>
      </w:pPr>
      <w:r>
        <w:rPr>
          <w:rFonts w:ascii="Arial" w:hAnsi="Arial" w:cs="Arial"/>
          <w:sz w:val="20"/>
          <w:szCs w:val="20"/>
        </w:rPr>
        <w:t>designated from time to time by the board of directors. There were no shares of preferred stock issued or outstanding as of March 31, 2022</w:t>
      </w:r>
      <w:r>
        <w:rPr>
          <w:rFonts w:ascii="Arial" w:hAnsi="Arial" w:cs="Arial"/>
          <w:sz w:val="20"/>
          <w:szCs w:val="20"/>
        </w:rPr>
        <w:t>.</w:t>
      </w:r>
    </w:p>
    <w:p w:rsidR="00000000" w:rsidRDefault="00CA40A2">
      <w:pPr>
        <w:pStyle w:val="a3"/>
        <w:spacing w:before="240" w:beforeAutospacing="0" w:after="120" w:afterAutospacing="0"/>
        <w:divId w:val="1931425975"/>
        <w:rPr>
          <w:sz w:val="20"/>
          <w:szCs w:val="20"/>
        </w:rPr>
      </w:pPr>
      <w:r>
        <w:rPr>
          <w:rFonts w:ascii="Arial" w:hAnsi="Arial" w:cs="Arial"/>
          <w:b/>
          <w:bCs/>
          <w:i/>
          <w:iCs/>
          <w:sz w:val="20"/>
          <w:szCs w:val="20"/>
        </w:rPr>
        <w:t>Common Stoc</w:t>
      </w:r>
      <w:r>
        <w:rPr>
          <w:rFonts w:ascii="Arial" w:hAnsi="Arial" w:cs="Arial"/>
          <w:b/>
          <w:bCs/>
          <w:i/>
          <w:iCs/>
          <w:sz w:val="20"/>
          <w:szCs w:val="20"/>
        </w:rPr>
        <w:t>k</w:t>
      </w:r>
    </w:p>
    <w:p w:rsidR="00000000" w:rsidRDefault="00CA40A2">
      <w:pPr>
        <w:pStyle w:val="a3"/>
        <w:spacing w:before="0" w:beforeAutospacing="0" w:after="120" w:afterAutospacing="0"/>
        <w:ind w:firstLine="408"/>
        <w:divId w:val="1931425975"/>
        <w:rPr>
          <w:sz w:val="20"/>
          <w:szCs w:val="20"/>
        </w:rPr>
      </w:pPr>
      <w:r>
        <w:rPr>
          <w:rFonts w:ascii="Arial" w:hAnsi="Arial" w:cs="Arial"/>
          <w:sz w:val="20"/>
          <w:szCs w:val="20"/>
        </w:rPr>
        <w:t>The Company has two classes of common stock: Class A common stock and Class B common stock. The Company</w:t>
      </w:r>
      <w:r>
        <w:rPr>
          <w:rFonts w:ascii="Arial" w:hAnsi="Arial" w:cs="Arial"/>
          <w:sz w:val="20"/>
          <w:szCs w:val="20"/>
        </w:rPr>
        <w:t>’s amended and restated certificate of incorporation authorizes the issuance of</w:t>
      </w:r>
      <w:r>
        <w:rPr>
          <w:rFonts w:ascii="Arial" w:hAnsi="Arial" w:cs="Arial"/>
          <w:sz w:val="20"/>
          <w:szCs w:val="20"/>
        </w:rPr>
        <w:t xml:space="preserve"> </w:t>
      </w:r>
      <w:r>
        <w:rPr>
          <w:rFonts w:ascii="Arial" w:hAnsi="Arial" w:cs="Arial"/>
          <w:sz w:val="20"/>
          <w:szCs w:val="20"/>
        </w:rPr>
        <w:t>883,950,00</w:t>
      </w:r>
      <w:r>
        <w:rPr>
          <w:rFonts w:ascii="Arial" w:hAnsi="Arial" w:cs="Arial"/>
          <w:sz w:val="20"/>
          <w:szCs w:val="20"/>
        </w:rPr>
        <w:t>0</w:t>
      </w:r>
      <w:r>
        <w:rPr>
          <w:rFonts w:ascii="Arial" w:hAnsi="Arial" w:cs="Arial"/>
          <w:sz w:val="20"/>
          <w:szCs w:val="20"/>
        </w:rPr>
        <w:t xml:space="preserve"> shares of Class A common stock and</w:t>
      </w:r>
      <w:r>
        <w:rPr>
          <w:rFonts w:ascii="Arial" w:hAnsi="Arial" w:cs="Arial"/>
          <w:sz w:val="20"/>
          <w:szCs w:val="20"/>
        </w:rPr>
        <w:t xml:space="preserve"> </w:t>
      </w:r>
      <w:r>
        <w:rPr>
          <w:rFonts w:ascii="Arial" w:hAnsi="Arial" w:cs="Arial"/>
          <w:sz w:val="20"/>
          <w:szCs w:val="20"/>
        </w:rPr>
        <w:t>111,050,00</w:t>
      </w:r>
      <w:r>
        <w:rPr>
          <w:rFonts w:ascii="Arial" w:hAnsi="Arial" w:cs="Arial"/>
          <w:sz w:val="20"/>
          <w:szCs w:val="20"/>
        </w:rPr>
        <w:t>0</w:t>
      </w:r>
      <w:r>
        <w:rPr>
          <w:rFonts w:ascii="Arial" w:hAnsi="Arial" w:cs="Arial"/>
          <w:sz w:val="20"/>
          <w:szCs w:val="20"/>
        </w:rPr>
        <w:t xml:space="preserve"> shares of Class B common stock. The shares of Class A common stock and Class B common stock are identical, except wit</w:t>
      </w:r>
      <w:r>
        <w:rPr>
          <w:rFonts w:ascii="Arial" w:hAnsi="Arial" w:cs="Arial"/>
          <w:sz w:val="20"/>
          <w:szCs w:val="20"/>
        </w:rPr>
        <w:t>h respect to voting and conversion. Each share of Class A common stock is entitled to</w:t>
      </w:r>
      <w:r>
        <w:rPr>
          <w:rFonts w:ascii="Arial" w:hAnsi="Arial" w:cs="Arial"/>
          <w:sz w:val="20"/>
          <w:szCs w:val="20"/>
        </w:rPr>
        <w:t xml:space="preserve"> </w:t>
      </w:r>
      <w:r>
        <w:rPr>
          <w:rFonts w:ascii="Arial" w:hAnsi="Arial" w:cs="Arial"/>
          <w:sz w:val="20"/>
          <w:szCs w:val="20"/>
        </w:rPr>
        <w:t>on</w:t>
      </w:r>
      <w:r>
        <w:rPr>
          <w:rFonts w:ascii="Arial" w:hAnsi="Arial" w:cs="Arial"/>
          <w:sz w:val="20"/>
          <w:szCs w:val="20"/>
        </w:rPr>
        <w:t>e</w:t>
      </w:r>
      <w:r>
        <w:rPr>
          <w:rFonts w:ascii="Arial" w:hAnsi="Arial" w:cs="Arial"/>
          <w:sz w:val="20"/>
          <w:szCs w:val="20"/>
        </w:rPr>
        <w:t xml:space="preserve"> vote. Each share of Class B common stock is entitled to ten votes. Class A and Class B common stock have a par 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xml:space="preserve"> per share, and are referred to as comm</w:t>
      </w:r>
      <w:r>
        <w:rPr>
          <w:rFonts w:ascii="Arial" w:hAnsi="Arial" w:cs="Arial"/>
          <w:sz w:val="20"/>
          <w:szCs w:val="20"/>
        </w:rPr>
        <w:t>on stock throughout the notes to the condensed consolidated financial statements, unless otherwise noted. Holders of common stock are entitled to receive any dividends as may be declared from time to time by the board of directors</w:t>
      </w:r>
      <w:r>
        <w:rPr>
          <w:rFonts w:ascii="Arial" w:hAnsi="Arial" w:cs="Arial"/>
          <w:sz w:val="20"/>
          <w:szCs w:val="20"/>
        </w:rPr>
        <w:t>.</w:t>
      </w:r>
    </w:p>
    <w:p w:rsidR="00000000" w:rsidRDefault="00CA40A2">
      <w:pPr>
        <w:pStyle w:val="a3"/>
        <w:spacing w:before="0" w:beforeAutospacing="0" w:after="0" w:afterAutospacing="0"/>
        <w:ind w:firstLine="408"/>
        <w:divId w:val="1931425975"/>
        <w:rPr>
          <w:sz w:val="20"/>
          <w:szCs w:val="20"/>
        </w:rPr>
      </w:pPr>
      <w:r>
        <w:rPr>
          <w:rFonts w:ascii="Arial" w:hAnsi="Arial" w:cs="Arial"/>
          <w:sz w:val="20"/>
          <w:szCs w:val="20"/>
        </w:rPr>
        <w:t>Shares of Class B common</w:t>
      </w:r>
      <w:r>
        <w:rPr>
          <w:rFonts w:ascii="Arial" w:hAnsi="Arial" w:cs="Arial"/>
          <w:sz w:val="20"/>
          <w:szCs w:val="20"/>
        </w:rPr>
        <w:t xml:space="preserve"> stock may be converted to Class A common stock at any time at the option of the stockholder. Shares of Class B common stock automatically convert to Class A common stock upon the following: (i) sale or transfer of such share of Class B common stock; (ii) </w:t>
      </w:r>
      <w:r>
        <w:rPr>
          <w:rFonts w:ascii="Arial" w:hAnsi="Arial" w:cs="Arial"/>
          <w:sz w:val="20"/>
          <w:szCs w:val="20"/>
        </w:rPr>
        <w:t>the death of the Class B common stockholder (or nine months after the date of death if the stockholder is one of the Company’s founders); and (iii) on the first trading day on or after the date on which the outstanding shares of Class B common stock repres</w:t>
      </w:r>
      <w:r>
        <w:rPr>
          <w:rFonts w:ascii="Arial" w:hAnsi="Arial" w:cs="Arial"/>
          <w:sz w:val="20"/>
          <w:szCs w:val="20"/>
        </w:rPr>
        <w:t>ent less than 10% of the then outstanding Class A and Class B common stock. Following the conversion of all outstanding shares of Class B common stock into Class A common stock,</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further shares of Class B common stock will be issued</w:t>
      </w:r>
      <w:r>
        <w:rPr>
          <w:rFonts w:ascii="Arial" w:hAnsi="Arial" w:cs="Arial"/>
          <w:sz w:val="20"/>
          <w:szCs w:val="20"/>
        </w:rPr>
        <w:t>.</w:t>
      </w:r>
    </w:p>
    <w:p w:rsidR="00000000" w:rsidRDefault="00CA40A2">
      <w:pPr>
        <w:pStyle w:val="a3"/>
        <w:spacing w:before="240" w:beforeAutospacing="0" w:after="0" w:afterAutospacing="0"/>
        <w:jc w:val="both"/>
        <w:divId w:val="1931425975"/>
        <w:rPr>
          <w:sz w:val="20"/>
          <w:szCs w:val="20"/>
        </w:rPr>
      </w:pPr>
      <w:r>
        <w:rPr>
          <w:rFonts w:ascii="Arial" w:hAnsi="Arial" w:cs="Arial"/>
          <w:b/>
          <w:bCs/>
          <w:i/>
          <w:iCs/>
          <w:sz w:val="20"/>
          <w:szCs w:val="20"/>
        </w:rPr>
        <w:t>Series A Preferred S</w:t>
      </w:r>
      <w:r>
        <w:rPr>
          <w:rFonts w:ascii="Arial" w:hAnsi="Arial" w:cs="Arial"/>
          <w:b/>
          <w:bCs/>
          <w:i/>
          <w:iCs/>
          <w:sz w:val="20"/>
          <w:szCs w:val="20"/>
        </w:rPr>
        <w:t>toc</w:t>
      </w:r>
      <w:r>
        <w:rPr>
          <w:rFonts w:ascii="Arial" w:hAnsi="Arial" w:cs="Arial"/>
          <w:b/>
          <w:bCs/>
          <w:i/>
          <w:iCs/>
          <w:sz w:val="20"/>
          <w:szCs w:val="20"/>
        </w:rPr>
        <w:t>k</w:t>
      </w:r>
    </w:p>
    <w:p w:rsidR="00000000" w:rsidRDefault="00CA40A2">
      <w:pPr>
        <w:pStyle w:val="a3"/>
        <w:spacing w:before="120" w:beforeAutospacing="0" w:after="0" w:afterAutospacing="0"/>
        <w:ind w:firstLine="408"/>
        <w:divId w:val="1931425975"/>
        <w:rPr>
          <w:sz w:val="20"/>
          <w:szCs w:val="20"/>
        </w:rPr>
      </w:pPr>
      <w:r>
        <w:rPr>
          <w:rFonts w:ascii="Arial" w:hAnsi="Arial" w:cs="Arial"/>
          <w:sz w:val="20"/>
          <w:szCs w:val="20"/>
        </w:rPr>
        <w:t>Upon completion of the IPO, the Company used approximately</w:t>
      </w:r>
      <w:r>
        <w:rPr>
          <w:rFonts w:ascii="Arial" w:hAnsi="Arial" w:cs="Arial"/>
          <w:sz w:val="20"/>
          <w:szCs w:val="20"/>
        </w:rPr>
        <w:t xml:space="preserve"> </w:t>
      </w:r>
      <w:r>
        <w:rPr>
          <w:rFonts w:ascii="Arial" w:hAnsi="Arial" w:cs="Arial"/>
          <w:sz w:val="20"/>
          <w:szCs w:val="20"/>
        </w:rPr>
        <w:t>$</w:t>
      </w:r>
      <w:r>
        <w:rPr>
          <w:rFonts w:ascii="Arial" w:hAnsi="Arial" w:cs="Arial"/>
          <w:sz w:val="20"/>
          <w:szCs w:val="20"/>
        </w:rPr>
        <w:t>57.</w:t>
      </w:r>
      <w:r>
        <w:rPr>
          <w:rFonts w:ascii="Arial" w:hAnsi="Arial" w:cs="Arial"/>
          <w:sz w:val="20"/>
          <w:szCs w:val="20"/>
        </w:rPr>
        <w:t>4</w:t>
      </w:r>
      <w:r>
        <w:rPr>
          <w:rFonts w:ascii="Arial" w:hAnsi="Arial" w:cs="Arial"/>
          <w:sz w:val="20"/>
          <w:szCs w:val="20"/>
        </w:rPr>
        <w:t xml:space="preserve"> million of the net proceeds to redeem all of the issued and outstanding shares of Series A preferred stock (including accrued dividends of </w:t>
      </w:r>
      <w:r>
        <w:rPr>
          <w:rFonts w:ascii="Arial" w:hAnsi="Arial" w:cs="Arial"/>
          <w:sz w:val="20"/>
          <w:szCs w:val="20"/>
        </w:rPr>
        <w:t>$</w:t>
      </w:r>
      <w:r>
        <w:rPr>
          <w:rFonts w:ascii="Arial" w:hAnsi="Arial" w:cs="Arial"/>
          <w:sz w:val="20"/>
          <w:szCs w:val="20"/>
        </w:rPr>
        <w:t>34.</w:t>
      </w:r>
      <w:r>
        <w:rPr>
          <w:rFonts w:ascii="Arial" w:hAnsi="Arial" w:cs="Arial"/>
          <w:sz w:val="20"/>
          <w:szCs w:val="20"/>
        </w:rPr>
        <w:t>4</w:t>
      </w:r>
      <w:r>
        <w:rPr>
          <w:rFonts w:ascii="Arial" w:hAnsi="Arial" w:cs="Arial"/>
          <w:sz w:val="20"/>
          <w:szCs w:val="20"/>
        </w:rPr>
        <w:t xml:space="preserve"> million). As o</w:t>
      </w:r>
      <w:r>
        <w:rPr>
          <w:rFonts w:ascii="Arial" w:hAnsi="Arial" w:cs="Arial"/>
          <w:sz w:val="20"/>
          <w:szCs w:val="20"/>
        </w:rPr>
        <w:t>f</w:t>
      </w:r>
      <w:r>
        <w:rPr>
          <w:rFonts w:ascii="Arial" w:hAnsi="Arial" w:cs="Arial"/>
          <w:sz w:val="20"/>
          <w:szCs w:val="20"/>
        </w:rPr>
        <w:t xml:space="preserve"> March 31, 202</w:t>
      </w:r>
      <w:r>
        <w:rPr>
          <w:rFonts w:ascii="Arial" w:hAnsi="Arial" w:cs="Arial"/>
          <w:sz w:val="20"/>
          <w:szCs w:val="20"/>
        </w:rPr>
        <w:t>2</w:t>
      </w:r>
      <w:r>
        <w:rPr>
          <w:rFonts w:ascii="Arial" w:hAnsi="Arial" w:cs="Arial"/>
          <w:sz w:val="20"/>
          <w:szCs w:val="20"/>
        </w:rPr>
        <w:t>, there wer</w:t>
      </w:r>
      <w:r>
        <w:rPr>
          <w:rFonts w:ascii="Arial" w:hAnsi="Arial" w:cs="Arial"/>
          <w:sz w:val="20"/>
          <w:szCs w:val="20"/>
        </w:rPr>
        <w:t>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shares of Series A preferred stock issued and outstanding</w:t>
      </w:r>
      <w:r>
        <w:rPr>
          <w:rFonts w:ascii="Arial" w:hAnsi="Arial" w:cs="Arial"/>
          <w:sz w:val="20"/>
          <w:szCs w:val="20"/>
        </w:rPr>
        <w:t>.</w:t>
      </w:r>
    </w:p>
    <w:p w:rsidR="00000000" w:rsidRDefault="00CA40A2">
      <w:pPr>
        <w:pStyle w:val="a3"/>
        <w:spacing w:before="240" w:beforeAutospacing="0" w:after="120" w:afterAutospacing="0"/>
        <w:divId w:val="1931425975"/>
        <w:rPr>
          <w:sz w:val="20"/>
          <w:szCs w:val="20"/>
        </w:rPr>
      </w:pPr>
      <w:r>
        <w:rPr>
          <w:rFonts w:ascii="Arial" w:hAnsi="Arial" w:cs="Arial"/>
          <w:b/>
          <w:bCs/>
          <w:i/>
          <w:iCs/>
          <w:sz w:val="20"/>
          <w:szCs w:val="20"/>
        </w:rPr>
        <w:t>Warran</w:t>
      </w:r>
      <w:r>
        <w:rPr>
          <w:rFonts w:ascii="Arial" w:hAnsi="Arial" w:cs="Arial"/>
          <w:b/>
          <w:bCs/>
          <w:i/>
          <w:iCs/>
          <w:sz w:val="20"/>
          <w:szCs w:val="20"/>
        </w:rPr>
        <w:t>t</w:t>
      </w:r>
    </w:p>
    <w:p w:rsidR="00000000" w:rsidRDefault="00CA40A2">
      <w:pPr>
        <w:pStyle w:val="a3"/>
        <w:spacing w:before="0" w:beforeAutospacing="0" w:after="0" w:afterAutospacing="0"/>
        <w:ind w:firstLine="490"/>
        <w:divId w:val="1931425975"/>
        <w:rPr>
          <w:sz w:val="20"/>
          <w:szCs w:val="20"/>
        </w:rPr>
      </w:pPr>
      <w:r>
        <w:rPr>
          <w:rFonts w:ascii="Arial" w:hAnsi="Arial" w:cs="Arial"/>
          <w:sz w:val="20"/>
          <w:szCs w:val="20"/>
        </w:rPr>
        <w:t>On May 13, 2021, the Company entered into a warrant agreement with an affiliate of J.P. Morgan Securities LLC, an underwriter in the IPO, pursuant to which the Company issued a warrant to such affiliate for up to</w:t>
      </w:r>
      <w:r>
        <w:rPr>
          <w:rFonts w:ascii="Arial" w:hAnsi="Arial" w:cs="Arial"/>
          <w:sz w:val="20"/>
          <w:szCs w:val="20"/>
        </w:rPr>
        <w:t xml:space="preserve"> </w:t>
      </w:r>
      <w:r>
        <w:rPr>
          <w:rFonts w:ascii="Arial" w:hAnsi="Arial" w:cs="Arial"/>
          <w:sz w:val="20"/>
          <w:szCs w:val="20"/>
        </w:rPr>
        <w:t>509,37</w:t>
      </w:r>
      <w:r>
        <w:rPr>
          <w:rFonts w:ascii="Arial" w:hAnsi="Arial" w:cs="Arial"/>
          <w:sz w:val="20"/>
          <w:szCs w:val="20"/>
        </w:rPr>
        <w:t>0</w:t>
      </w:r>
      <w:r>
        <w:rPr>
          <w:rFonts w:ascii="Arial" w:hAnsi="Arial" w:cs="Arial"/>
          <w:sz w:val="20"/>
          <w:szCs w:val="20"/>
        </w:rPr>
        <w:t xml:space="preserve"> shares of Class A common stock upon</w:t>
      </w:r>
      <w:r>
        <w:rPr>
          <w:rFonts w:ascii="Arial" w:hAnsi="Arial" w:cs="Arial"/>
          <w:sz w:val="20"/>
          <w:szCs w:val="20"/>
        </w:rPr>
        <w:t xml:space="preserve"> completion of the IPO at an exercise price of </w:t>
      </w:r>
      <w:r>
        <w:rPr>
          <w:rFonts w:ascii="Arial" w:hAnsi="Arial" w:cs="Arial"/>
          <w:sz w:val="20"/>
          <w:szCs w:val="20"/>
        </w:rPr>
        <w:t>$</w:t>
      </w:r>
      <w:r>
        <w:rPr>
          <w:rFonts w:ascii="Arial" w:hAnsi="Arial" w:cs="Arial"/>
          <w:sz w:val="20"/>
          <w:szCs w:val="20"/>
        </w:rPr>
        <w:t>18.3</w:t>
      </w:r>
      <w:r>
        <w:rPr>
          <w:rFonts w:ascii="Arial" w:hAnsi="Arial" w:cs="Arial"/>
          <w:sz w:val="20"/>
          <w:szCs w:val="20"/>
        </w:rPr>
        <w:t>8</w:t>
      </w:r>
      <w:r>
        <w:rPr>
          <w:rFonts w:ascii="Arial" w:hAnsi="Arial" w:cs="Arial"/>
          <w:sz w:val="20"/>
          <w:szCs w:val="20"/>
        </w:rPr>
        <w:t xml:space="preserve"> per share. Upon completion of the IPO,</w:t>
      </w:r>
      <w:r>
        <w:rPr>
          <w:rFonts w:ascii="Arial" w:hAnsi="Arial" w:cs="Arial"/>
          <w:sz w:val="20"/>
          <w:szCs w:val="20"/>
        </w:rPr>
        <w:t xml:space="preserve"> </w:t>
      </w:r>
      <w:r>
        <w:rPr>
          <w:rFonts w:ascii="Arial" w:hAnsi="Arial" w:cs="Arial"/>
          <w:sz w:val="20"/>
          <w:szCs w:val="20"/>
        </w:rPr>
        <w:t>382,02</w:t>
      </w:r>
      <w:r>
        <w:rPr>
          <w:rFonts w:ascii="Arial" w:hAnsi="Arial" w:cs="Arial"/>
          <w:sz w:val="20"/>
          <w:szCs w:val="20"/>
        </w:rPr>
        <w:t>7</w:t>
      </w:r>
      <w:r>
        <w:rPr>
          <w:rFonts w:ascii="Arial" w:hAnsi="Arial" w:cs="Arial"/>
          <w:sz w:val="20"/>
          <w:szCs w:val="20"/>
        </w:rPr>
        <w:t xml:space="preserve"> of the warrant shares had vested and are therefore, exercisable. The vesting of the remaining</w:t>
      </w:r>
      <w:r>
        <w:rPr>
          <w:rFonts w:ascii="Arial" w:hAnsi="Arial" w:cs="Arial"/>
          <w:sz w:val="20"/>
          <w:szCs w:val="20"/>
        </w:rPr>
        <w:t xml:space="preserve"> </w:t>
      </w:r>
      <w:r>
        <w:rPr>
          <w:rFonts w:ascii="Arial" w:hAnsi="Arial" w:cs="Arial"/>
          <w:sz w:val="20"/>
          <w:szCs w:val="20"/>
        </w:rPr>
        <w:t>127,34</w:t>
      </w:r>
      <w:r>
        <w:rPr>
          <w:rFonts w:ascii="Arial" w:hAnsi="Arial" w:cs="Arial"/>
          <w:sz w:val="20"/>
          <w:szCs w:val="20"/>
        </w:rPr>
        <w:t>3</w:t>
      </w:r>
      <w:r>
        <w:rPr>
          <w:rFonts w:ascii="Arial" w:hAnsi="Arial" w:cs="Arial"/>
          <w:sz w:val="20"/>
          <w:szCs w:val="20"/>
        </w:rPr>
        <w:t xml:space="preserve"> shares of Class A common stock underlying the warrant</w:t>
      </w:r>
      <w:r>
        <w:rPr>
          <w:rFonts w:ascii="Arial" w:hAnsi="Arial" w:cs="Arial"/>
          <w:sz w:val="20"/>
          <w:szCs w:val="20"/>
        </w:rPr>
        <w:t xml:space="preserve"> will be subject to the achievement of certain commercial milestones through December 31, 2025 pursuant to a related commercial agreement. Consistent with classification guidance in ASU Topic 606, the Company accounts for the consideration payable in the f</w:t>
      </w:r>
      <w:r>
        <w:rPr>
          <w:rFonts w:ascii="Arial" w:hAnsi="Arial" w:cs="Arial"/>
          <w:sz w:val="20"/>
          <w:szCs w:val="20"/>
        </w:rPr>
        <w:t>orm of warrants to a customer as a reduction of the transaction price and, therefore, of revenue as the revenue is earned. The warrant fair value was determined using the Black-Scholes pricing model in accordance with ASC 718,</w:t>
      </w:r>
      <w:r>
        <w:rPr>
          <w:rFonts w:ascii="Arial" w:hAnsi="Arial" w:cs="Arial"/>
          <w:sz w:val="20"/>
          <w:szCs w:val="20"/>
        </w:rPr>
        <w:t xml:space="preserve"> </w:t>
      </w:r>
      <w:r>
        <w:rPr>
          <w:rFonts w:ascii="Arial" w:hAnsi="Arial" w:cs="Arial"/>
          <w:i/>
          <w:iCs/>
          <w:sz w:val="20"/>
          <w:szCs w:val="20"/>
        </w:rPr>
        <w:t>Compensation-Stock Compensati</w:t>
      </w:r>
      <w:r>
        <w:rPr>
          <w:rFonts w:ascii="Arial" w:hAnsi="Arial" w:cs="Arial"/>
          <w:i/>
          <w:iCs/>
          <w:sz w:val="20"/>
          <w:szCs w:val="20"/>
        </w:rPr>
        <w:t>o</w:t>
      </w:r>
      <w:r>
        <w:rPr>
          <w:rFonts w:ascii="Arial" w:hAnsi="Arial" w:cs="Arial"/>
          <w:i/>
          <w:iCs/>
          <w:sz w:val="20"/>
          <w:szCs w:val="20"/>
        </w:rPr>
        <w:t>n</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divId w:val="1931425975"/>
        <w:rPr>
          <w:sz w:val="20"/>
          <w:szCs w:val="20"/>
        </w:rPr>
      </w:pPr>
      <w:r>
        <w:rPr>
          <w:rFonts w:ascii="Arial" w:hAnsi="Arial" w:cs="Arial"/>
          <w:sz w:val="20"/>
          <w:szCs w:val="20"/>
        </w:rPr>
        <w:t>As of March 31, 2022, 397,944 warrant shares had vested and were exercisable</w:t>
      </w:r>
      <w:r>
        <w:rPr>
          <w:rFonts w:ascii="Arial" w:hAnsi="Arial" w:cs="Arial"/>
          <w:sz w:val="20"/>
          <w:szCs w:val="20"/>
        </w:rPr>
        <w:t>.</w:t>
      </w:r>
    </w:p>
    <w:p w:rsidR="00000000" w:rsidRDefault="00CA40A2">
      <w:pPr>
        <w:pStyle w:val="a3"/>
        <w:spacing w:before="120" w:beforeAutospacing="0" w:after="0" w:afterAutospacing="0"/>
        <w:ind w:firstLine="539"/>
        <w:divId w:val="1931425975"/>
        <w:rPr>
          <w:sz w:val="20"/>
          <w:szCs w:val="20"/>
        </w:rPr>
      </w:pPr>
      <w:r>
        <w:rPr>
          <w:rFonts w:ascii="Arial" w:hAnsi="Arial" w:cs="Arial"/>
          <w:sz w:val="20"/>
          <w:szCs w:val="20"/>
        </w:rPr>
        <w:t>During 2021, the Company updated the warrant value recognized based on the expectation that the probability of achievement of certain milestones would be achieved. The incre</w:t>
      </w:r>
      <w:r>
        <w:rPr>
          <w:rFonts w:ascii="Arial" w:hAnsi="Arial" w:cs="Arial"/>
          <w:sz w:val="20"/>
          <w:szCs w:val="20"/>
        </w:rPr>
        <w:t>ase was recorded using the fair value determined at the time of grant multiplied by the estimated number of remaining warrants expected to vest. This increase was recorded as additional paid-in capital and as a contract asset included in prepaid expenses a</w:t>
      </w:r>
      <w:r>
        <w:rPr>
          <w:rFonts w:ascii="Arial" w:hAnsi="Arial" w:cs="Arial"/>
          <w:sz w:val="20"/>
          <w:szCs w:val="20"/>
        </w:rPr>
        <w:t>nd other current assets and other long-term assets in the condensed consolidated balance sheets.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changes to the valuation in the three months ended March 31, 2022</w:t>
      </w:r>
      <w:r>
        <w:rPr>
          <w:rFonts w:ascii="Arial" w:hAnsi="Arial" w:cs="Arial"/>
          <w:sz w:val="20"/>
          <w:szCs w:val="20"/>
        </w:rPr>
        <w:t>.</w:t>
      </w:r>
    </w:p>
    <w:p w:rsidR="00000000" w:rsidRDefault="00CA40A2">
      <w:pPr>
        <w:pStyle w:val="a3"/>
        <w:spacing w:before="240" w:beforeAutospacing="0" w:after="0" w:afterAutospacing="0"/>
        <w:ind w:hanging="422"/>
        <w:rPr>
          <w:sz w:val="20"/>
          <w:szCs w:val="20"/>
        </w:rPr>
      </w:pPr>
      <w:r>
        <w:rPr>
          <w:rFonts w:ascii="Arial" w:hAnsi="Arial" w:cs="Arial"/>
          <w:b/>
          <w:bCs/>
          <w:sz w:val="20"/>
          <w:szCs w:val="20"/>
        </w:rPr>
        <w:t>1</w:t>
      </w:r>
      <w:r>
        <w:rPr>
          <w:rFonts w:ascii="Arial" w:hAnsi="Arial" w:cs="Arial"/>
          <w:b/>
          <w:bCs/>
          <w:sz w:val="20"/>
          <w:szCs w:val="20"/>
        </w:rPr>
        <w:t>2. Stock-Based Compensatio</w:t>
      </w:r>
      <w:r>
        <w:rPr>
          <w:rFonts w:ascii="Arial" w:hAnsi="Arial" w:cs="Arial"/>
          <w:b/>
          <w:bCs/>
          <w:sz w:val="20"/>
          <w:szCs w:val="20"/>
        </w:rPr>
        <w:t>n</w:t>
      </w:r>
    </w:p>
    <w:p w:rsidR="00000000" w:rsidRDefault="00CA40A2">
      <w:pPr>
        <w:pStyle w:val="a3"/>
        <w:spacing w:before="120" w:beforeAutospacing="0" w:after="0" w:afterAutospacing="0"/>
        <w:ind w:firstLine="539"/>
        <w:divId w:val="320279997"/>
        <w:rPr>
          <w:sz w:val="20"/>
          <w:szCs w:val="20"/>
        </w:rPr>
      </w:pPr>
      <w:r>
        <w:rPr>
          <w:rFonts w:ascii="Arial" w:hAnsi="Arial" w:cs="Arial"/>
          <w:sz w:val="20"/>
          <w:szCs w:val="20"/>
        </w:rPr>
        <w:t>In May 2021, the Company’s board of directors ado</w:t>
      </w:r>
      <w:r>
        <w:rPr>
          <w:rFonts w:ascii="Arial" w:hAnsi="Arial" w:cs="Arial"/>
          <w:sz w:val="20"/>
          <w:szCs w:val="20"/>
        </w:rPr>
        <w:t>pted, and its stockholders approved, the 2021 Equity Incentive Plan (the “2021 Plan”), which became effective in connection with the IPO. The 2021 Plan provides for the grant of incentive stock options, within the meaning of Section 422 of the Internal Rev</w:t>
      </w:r>
      <w:r>
        <w:rPr>
          <w:rFonts w:ascii="Arial" w:hAnsi="Arial" w:cs="Arial"/>
          <w:sz w:val="20"/>
          <w:szCs w:val="20"/>
        </w:rPr>
        <w:t>enue Code, to the Company's employees and any of its parent or subsidiary corporations’ employees, and for the grant of nonstatutory stock options, restricted stock, restricted stock units, stock appreciation rights, and performance awards to the Company’s</w:t>
      </w:r>
      <w:r>
        <w:rPr>
          <w:rFonts w:ascii="Arial" w:hAnsi="Arial" w:cs="Arial"/>
          <w:sz w:val="20"/>
          <w:szCs w:val="20"/>
        </w:rPr>
        <w:t xml:space="preserve"> employees, directors and consultants and any of its parent or subsidiary corporations’ employees and consultants. A total of</w:t>
      </w:r>
      <w:r>
        <w:rPr>
          <w:rFonts w:ascii="Arial" w:hAnsi="Arial" w:cs="Arial"/>
          <w:sz w:val="20"/>
          <w:szCs w:val="20"/>
        </w:rPr>
        <w:t xml:space="preserve"> </w:t>
      </w:r>
      <w:r>
        <w:rPr>
          <w:rFonts w:ascii="Arial" w:hAnsi="Arial" w:cs="Arial"/>
          <w:sz w:val="20"/>
          <w:szCs w:val="20"/>
        </w:rPr>
        <w:t>10,459,00</w:t>
      </w:r>
      <w:r>
        <w:rPr>
          <w:rFonts w:ascii="Arial" w:hAnsi="Arial" w:cs="Arial"/>
          <w:sz w:val="20"/>
          <w:szCs w:val="20"/>
        </w:rPr>
        <w:t>0</w:t>
      </w:r>
      <w:r>
        <w:rPr>
          <w:rFonts w:ascii="Arial" w:hAnsi="Arial" w:cs="Arial"/>
          <w:sz w:val="20"/>
          <w:szCs w:val="20"/>
        </w:rPr>
        <w:t xml:space="preserve"> shares of the Company’s Class A common stock have been reserved for issuance under the 2021 Plan in addition to (i) an </w:t>
      </w:r>
      <w:r>
        <w:rPr>
          <w:rFonts w:ascii="Arial" w:hAnsi="Arial" w:cs="Arial"/>
          <w:sz w:val="20"/>
          <w:szCs w:val="20"/>
        </w:rPr>
        <w:t>annual increase of</w:t>
      </w:r>
      <w:r>
        <w:rPr>
          <w:rFonts w:ascii="Arial" w:hAnsi="Arial" w:cs="Arial"/>
          <w:sz w:val="20"/>
          <w:szCs w:val="20"/>
        </w:rPr>
        <w:t xml:space="preserve"> </w:t>
      </w:r>
      <w:r>
        <w:rPr>
          <w:rFonts w:ascii="Arial" w:hAnsi="Arial" w:cs="Arial"/>
          <w:sz w:val="20"/>
          <w:szCs w:val="20"/>
        </w:rPr>
        <w:t>4</w:t>
      </w:r>
      <w:r>
        <w:rPr>
          <w:rFonts w:ascii="Arial" w:hAnsi="Arial" w:cs="Arial"/>
          <w:sz w:val="20"/>
          <w:szCs w:val="20"/>
        </w:rPr>
        <w:t>% of the outstanding shares of the Company's common stock, with Class A and Class B common stock taken together, on the first day of each fiscal year ( the "Evergreen Addition") and (ii) upon the expiration, forfeiture, cancellation, or</w:t>
      </w:r>
      <w:r>
        <w:rPr>
          <w:rFonts w:ascii="Arial" w:hAnsi="Arial" w:cs="Arial"/>
          <w:sz w:val="20"/>
          <w:szCs w:val="20"/>
        </w:rPr>
        <w:t xml:space="preserve"> reacquisition of any shares of Class B common stock underlying outstanding stock awards granted under the 2012 Equity Incentive Plan, an equal number of shares of Class A common stock, such number of shares not to exceed</w:t>
      </w:r>
      <w:r>
        <w:rPr>
          <w:rFonts w:ascii="Arial" w:hAnsi="Arial" w:cs="Arial"/>
          <w:sz w:val="20"/>
          <w:szCs w:val="20"/>
        </w:rPr>
        <w:t xml:space="preserve"> </w:t>
      </w:r>
      <w:r>
        <w:rPr>
          <w:rFonts w:ascii="Arial" w:hAnsi="Arial" w:cs="Arial"/>
          <w:sz w:val="20"/>
          <w:szCs w:val="20"/>
        </w:rPr>
        <w:t>7,563,99</w:t>
      </w:r>
      <w:r>
        <w:rPr>
          <w:rFonts w:ascii="Arial" w:hAnsi="Arial" w:cs="Arial"/>
          <w:sz w:val="20"/>
          <w:szCs w:val="20"/>
        </w:rPr>
        <w:t>0</w:t>
      </w:r>
      <w:r>
        <w:rPr>
          <w:rFonts w:ascii="Arial" w:hAnsi="Arial" w:cs="Arial"/>
          <w:sz w:val="20"/>
          <w:szCs w:val="20"/>
        </w:rPr>
        <w:t>. On January 1, 2022, pur</w:t>
      </w:r>
      <w:r>
        <w:rPr>
          <w:rFonts w:ascii="Arial" w:hAnsi="Arial" w:cs="Arial"/>
          <w:sz w:val="20"/>
          <w:szCs w:val="20"/>
        </w:rPr>
        <w:t>suant to the Evergreen Addition,</w:t>
      </w:r>
      <w:r>
        <w:rPr>
          <w:rFonts w:ascii="Arial" w:hAnsi="Arial" w:cs="Arial"/>
          <w:sz w:val="20"/>
          <w:szCs w:val="20"/>
        </w:rPr>
        <w:t xml:space="preserve"> </w:t>
      </w:r>
      <w:r>
        <w:rPr>
          <w:rFonts w:ascii="Arial" w:hAnsi="Arial" w:cs="Arial"/>
          <w:sz w:val="20"/>
          <w:szCs w:val="20"/>
        </w:rPr>
        <w:t>4,825,56</w:t>
      </w:r>
      <w:r>
        <w:rPr>
          <w:rFonts w:ascii="Arial" w:hAnsi="Arial" w:cs="Arial"/>
          <w:sz w:val="20"/>
          <w:szCs w:val="20"/>
        </w:rPr>
        <w:t>6</w:t>
      </w:r>
      <w:r>
        <w:rPr>
          <w:rFonts w:ascii="Arial" w:hAnsi="Arial" w:cs="Arial"/>
          <w:sz w:val="20"/>
          <w:szCs w:val="20"/>
        </w:rPr>
        <w:t xml:space="preserve"> shares</w:t>
      </w:r>
      <w:r>
        <w:rPr>
          <w:rFonts w:ascii="Arial" w:hAnsi="Arial" w:cs="Arial"/>
          <w:sz w:val="20"/>
          <w:szCs w:val="20"/>
        </w:rPr>
        <w:t xml:space="preserve"> </w:t>
      </w:r>
      <w:r>
        <w:rPr>
          <w:rFonts w:ascii="Arial" w:hAnsi="Arial" w:cs="Arial"/>
          <w:sz w:val="20"/>
          <w:szCs w:val="20"/>
        </w:rPr>
        <w:t>of Class A common stoc</w:t>
      </w:r>
      <w:r>
        <w:rPr>
          <w:rFonts w:ascii="Arial" w:hAnsi="Arial" w:cs="Arial"/>
          <w:sz w:val="20"/>
          <w:szCs w:val="20"/>
        </w:rPr>
        <w:t>k</w:t>
      </w:r>
      <w:r>
        <w:rPr>
          <w:rFonts w:ascii="Arial" w:hAnsi="Arial" w:cs="Arial"/>
          <w:sz w:val="20"/>
          <w:szCs w:val="20"/>
        </w:rPr>
        <w:t xml:space="preserve"> </w:t>
      </w:r>
    </w:p>
    <w:p w:rsidR="00000000" w:rsidRDefault="00CA40A2">
      <w:pPr>
        <w:pStyle w:val="a3"/>
        <w:spacing w:before="120" w:beforeAutospacing="0" w:after="0" w:afterAutospacing="0"/>
        <w:jc w:val="center"/>
        <w:divId w:val="320279997"/>
        <w:rPr>
          <w:sz w:val="20"/>
          <w:szCs w:val="20"/>
        </w:rPr>
      </w:pPr>
      <w:r>
        <w:rPr>
          <w:rFonts w:ascii="Arial" w:hAnsi="Arial" w:cs="Arial"/>
          <w:sz w:val="20"/>
          <w:szCs w:val="20"/>
        </w:rPr>
        <w:t>1</w:t>
      </w:r>
      <w:r>
        <w:rPr>
          <w:rFonts w:ascii="Arial" w:hAnsi="Arial" w:cs="Arial"/>
          <w:sz w:val="20"/>
          <w:szCs w:val="20"/>
        </w:rPr>
        <w:t>8</w:t>
      </w:r>
    </w:p>
    <w:p w:rsidR="00000000" w:rsidRDefault="00CA40A2">
      <w:pPr>
        <w:divId w:val="320279997"/>
        <w:rPr>
          <w:rFonts w:ascii="Arial" w:eastAsia="Times New Roman" w:hAnsi="Arial" w:cs="Arial"/>
          <w:sz w:val="20"/>
          <w:szCs w:val="20"/>
        </w:rPr>
      </w:pPr>
      <w:r>
        <w:rPr>
          <w:rFonts w:ascii="Arial" w:eastAsia="Times New Roman" w:hAnsi="Arial" w:cs="Arial"/>
          <w:sz w:val="20"/>
          <w:szCs w:val="20"/>
        </w:rPr>
        <w:pict>
          <v:rect id="_x0000_i1043" style="width:0;height:1.5pt" o:hralign="center" o:hrstd="t" o:hr="t" fillcolor="#a0a0a0" stroked="f"/>
        </w:pict>
      </w:r>
    </w:p>
    <w:p w:rsidR="00000000" w:rsidRDefault="00CA40A2">
      <w:pPr>
        <w:pStyle w:val="a3"/>
        <w:spacing w:before="0" w:beforeAutospacing="0" w:after="0" w:afterAutospacing="0"/>
        <w:divId w:val="320279997"/>
        <w:rPr>
          <w:sz w:val="20"/>
          <w:szCs w:val="20"/>
        </w:rPr>
      </w:pPr>
      <w:r>
        <w:rPr>
          <w:rFonts w:ascii="Arial" w:hAnsi="Arial" w:cs="Arial"/>
          <w:sz w:val="20"/>
          <w:szCs w:val="20"/>
        </w:rPr>
        <w:t> </w:t>
      </w:r>
    </w:p>
    <w:p w:rsidR="00000000" w:rsidRDefault="00CA40A2">
      <w:pPr>
        <w:pStyle w:val="a3"/>
        <w:spacing w:before="120" w:beforeAutospacing="0" w:after="0" w:afterAutospacing="0"/>
        <w:divId w:val="320279997"/>
        <w:rPr>
          <w:sz w:val="20"/>
          <w:szCs w:val="20"/>
        </w:rPr>
      </w:pPr>
      <w:r>
        <w:rPr>
          <w:rFonts w:ascii="Arial" w:hAnsi="Arial" w:cs="Arial"/>
          <w:sz w:val="20"/>
          <w:szCs w:val="20"/>
        </w:rPr>
        <w:t>were</w:t>
      </w:r>
      <w:r>
        <w:rPr>
          <w:rFonts w:ascii="Arial" w:hAnsi="Arial" w:cs="Arial"/>
          <w:sz w:val="20"/>
          <w:szCs w:val="20"/>
        </w:rPr>
        <w:t xml:space="preserve"> </w:t>
      </w:r>
      <w:r>
        <w:rPr>
          <w:rFonts w:ascii="Arial" w:hAnsi="Arial" w:cs="Arial"/>
          <w:sz w:val="20"/>
          <w:szCs w:val="20"/>
        </w:rPr>
        <w:t>added to the 2021 Plan issuance reserve. At March 31, 202</w:t>
      </w:r>
      <w:r>
        <w:rPr>
          <w:rFonts w:ascii="Arial" w:hAnsi="Arial" w:cs="Arial"/>
          <w:sz w:val="20"/>
          <w:szCs w:val="20"/>
        </w:rPr>
        <w:t>2</w:t>
      </w:r>
      <w:r>
        <w:rPr>
          <w:rFonts w:ascii="Arial" w:hAnsi="Arial" w:cs="Arial"/>
          <w:sz w:val="20"/>
          <w:szCs w:val="20"/>
        </w:rPr>
        <w:t>, there were</w:t>
      </w:r>
      <w:r>
        <w:rPr>
          <w:rFonts w:ascii="Arial" w:hAnsi="Arial" w:cs="Arial"/>
          <w:sz w:val="20"/>
          <w:szCs w:val="20"/>
        </w:rPr>
        <w:t xml:space="preserve"> </w:t>
      </w:r>
      <w:r>
        <w:rPr>
          <w:rFonts w:ascii="Arial" w:hAnsi="Arial" w:cs="Arial"/>
          <w:sz w:val="20"/>
          <w:szCs w:val="20"/>
        </w:rPr>
        <w:t>14,803,28</w:t>
      </w:r>
      <w:r>
        <w:rPr>
          <w:rFonts w:ascii="Arial" w:hAnsi="Arial" w:cs="Arial"/>
          <w:sz w:val="20"/>
          <w:szCs w:val="20"/>
        </w:rPr>
        <w:t>1</w:t>
      </w:r>
      <w:r>
        <w:rPr>
          <w:rFonts w:ascii="Arial" w:hAnsi="Arial" w:cs="Arial"/>
          <w:sz w:val="20"/>
          <w:szCs w:val="20"/>
        </w:rPr>
        <w:t xml:space="preserve"> remaining shares available for the Company to grant u</w:t>
      </w:r>
      <w:r>
        <w:rPr>
          <w:rFonts w:ascii="Arial" w:hAnsi="Arial" w:cs="Arial"/>
          <w:sz w:val="20"/>
          <w:szCs w:val="20"/>
        </w:rPr>
        <w:t>nder the 2021 Plan</w:t>
      </w:r>
      <w:r>
        <w:rPr>
          <w:rFonts w:ascii="Arial" w:hAnsi="Arial" w:cs="Arial"/>
          <w:sz w:val="20"/>
          <w:szCs w:val="20"/>
        </w:rPr>
        <w:t>.</w:t>
      </w:r>
    </w:p>
    <w:p w:rsidR="00000000" w:rsidRDefault="00CA40A2">
      <w:pPr>
        <w:pStyle w:val="a3"/>
        <w:spacing w:before="240" w:beforeAutospacing="0" w:after="0" w:afterAutospacing="0"/>
        <w:divId w:val="320279997"/>
        <w:rPr>
          <w:sz w:val="20"/>
          <w:szCs w:val="20"/>
        </w:rPr>
      </w:pPr>
      <w:r>
        <w:rPr>
          <w:rFonts w:ascii="Arial" w:hAnsi="Arial" w:cs="Arial"/>
          <w:b/>
          <w:bCs/>
          <w:i/>
          <w:iCs/>
          <w:sz w:val="20"/>
          <w:szCs w:val="20"/>
        </w:rPr>
        <w:t>Stock Option</w:t>
      </w:r>
      <w:r>
        <w:rPr>
          <w:rFonts w:ascii="Arial" w:hAnsi="Arial" w:cs="Arial"/>
          <w:b/>
          <w:bCs/>
          <w:i/>
          <w:iCs/>
          <w:sz w:val="20"/>
          <w:szCs w:val="20"/>
        </w:rPr>
        <w:t>s</w:t>
      </w:r>
    </w:p>
    <w:p w:rsidR="00000000" w:rsidRDefault="00CA40A2">
      <w:pPr>
        <w:pStyle w:val="a3"/>
        <w:spacing w:before="120" w:beforeAutospacing="0" w:after="120" w:afterAutospacing="0"/>
        <w:ind w:firstLine="539"/>
        <w:divId w:val="1862546139"/>
        <w:rPr>
          <w:sz w:val="20"/>
          <w:szCs w:val="20"/>
        </w:rPr>
      </w:pPr>
      <w:r>
        <w:rPr>
          <w:rFonts w:ascii="Arial" w:hAnsi="Arial" w:cs="Arial"/>
          <w:sz w:val="20"/>
          <w:szCs w:val="20"/>
        </w:rPr>
        <w:t>A summary of the Company’s option activity during the three months ended March 31, 2022 was as follows (in thousands, except share and per share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19"/>
        <w:gridCol w:w="116"/>
        <w:gridCol w:w="116"/>
        <w:gridCol w:w="980"/>
        <w:gridCol w:w="127"/>
        <w:gridCol w:w="116"/>
        <w:gridCol w:w="173"/>
        <w:gridCol w:w="940"/>
        <w:gridCol w:w="116"/>
        <w:gridCol w:w="116"/>
        <w:gridCol w:w="118"/>
        <w:gridCol w:w="994"/>
        <w:gridCol w:w="116"/>
        <w:gridCol w:w="116"/>
        <w:gridCol w:w="172"/>
        <w:gridCol w:w="940"/>
        <w:gridCol w:w="131"/>
      </w:tblGrid>
      <w:tr w:rsidR="00000000">
        <w:trPr>
          <w:divId w:val="1862546139"/>
          <w:tblCellSpacing w:w="15" w:type="dxa"/>
        </w:trPr>
        <w:tc>
          <w:tcPr>
            <w:tcW w:w="1868" w:type="pct"/>
            <w:vAlign w:val="center"/>
            <w:hideMark/>
          </w:tcPr>
          <w:p w:rsidR="00000000" w:rsidRDefault="00CA40A2">
            <w:pPr>
              <w:rPr>
                <w:sz w:val="20"/>
                <w:szCs w:val="20"/>
              </w:rPr>
            </w:pPr>
          </w:p>
        </w:tc>
        <w:tc>
          <w:tcPr>
            <w:tcW w:w="74"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c>
          <w:tcPr>
            <w:tcW w:w="632" w:type="pct"/>
            <w:vAlign w:val="center"/>
            <w:hideMark/>
          </w:tcPr>
          <w:p w:rsidR="00000000" w:rsidRDefault="00CA40A2">
            <w:pPr>
              <w:rPr>
                <w:rFonts w:eastAsia="Times New Roman"/>
                <w:sz w:val="20"/>
                <w:szCs w:val="20"/>
              </w:rPr>
            </w:pPr>
          </w:p>
        </w:tc>
        <w:tc>
          <w:tcPr>
            <w:tcW w:w="41" w:type="pct"/>
            <w:vAlign w:val="center"/>
            <w:hideMark/>
          </w:tcPr>
          <w:p w:rsidR="00000000" w:rsidRDefault="00CA40A2">
            <w:pPr>
              <w:rPr>
                <w:rFonts w:eastAsia="Times New Roman"/>
                <w:sz w:val="20"/>
                <w:szCs w:val="20"/>
              </w:rPr>
            </w:pPr>
          </w:p>
        </w:tc>
        <w:tc>
          <w:tcPr>
            <w:tcW w:w="74" w:type="pct"/>
            <w:vAlign w:val="center"/>
            <w:hideMark/>
          </w:tcPr>
          <w:p w:rsidR="00000000" w:rsidRDefault="00CA40A2">
            <w:pPr>
              <w:rPr>
                <w:rFonts w:eastAsia="Times New Roman"/>
                <w:sz w:val="20"/>
                <w:szCs w:val="20"/>
              </w:rPr>
            </w:pPr>
          </w:p>
        </w:tc>
        <w:tc>
          <w:tcPr>
            <w:tcW w:w="68" w:type="pct"/>
            <w:vAlign w:val="center"/>
            <w:hideMark/>
          </w:tcPr>
          <w:p w:rsidR="00000000" w:rsidRDefault="00CA40A2">
            <w:pPr>
              <w:rPr>
                <w:rFonts w:eastAsia="Times New Roman"/>
                <w:sz w:val="20"/>
                <w:szCs w:val="20"/>
              </w:rPr>
            </w:pPr>
          </w:p>
        </w:tc>
        <w:tc>
          <w:tcPr>
            <w:tcW w:w="606"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c>
          <w:tcPr>
            <w:tcW w:w="74"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c>
          <w:tcPr>
            <w:tcW w:w="641"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c>
          <w:tcPr>
            <w:tcW w:w="74" w:type="pct"/>
            <w:vAlign w:val="center"/>
            <w:hideMark/>
          </w:tcPr>
          <w:p w:rsidR="00000000" w:rsidRDefault="00CA40A2">
            <w:pPr>
              <w:rPr>
                <w:rFonts w:eastAsia="Times New Roman"/>
                <w:sz w:val="20"/>
                <w:szCs w:val="20"/>
              </w:rPr>
            </w:pPr>
          </w:p>
        </w:tc>
        <w:tc>
          <w:tcPr>
            <w:tcW w:w="68" w:type="pct"/>
            <w:vAlign w:val="center"/>
            <w:hideMark/>
          </w:tcPr>
          <w:p w:rsidR="00000000" w:rsidRDefault="00CA40A2">
            <w:pPr>
              <w:rPr>
                <w:rFonts w:eastAsia="Times New Roman"/>
                <w:sz w:val="20"/>
                <w:szCs w:val="20"/>
              </w:rPr>
            </w:pPr>
          </w:p>
        </w:tc>
        <w:tc>
          <w:tcPr>
            <w:tcW w:w="606" w:type="pct"/>
            <w:vAlign w:val="center"/>
            <w:hideMark/>
          </w:tcPr>
          <w:p w:rsidR="00000000" w:rsidRDefault="00CA40A2">
            <w:pPr>
              <w:rPr>
                <w:rFonts w:eastAsia="Times New Roman"/>
                <w:sz w:val="20"/>
                <w:szCs w:val="20"/>
              </w:rPr>
            </w:pPr>
          </w:p>
        </w:tc>
        <w:tc>
          <w:tcPr>
            <w:tcW w:w="33" w:type="pct"/>
            <w:vAlign w:val="center"/>
            <w:hideMark/>
          </w:tcPr>
          <w:p w:rsidR="00000000" w:rsidRDefault="00CA40A2">
            <w:pPr>
              <w:rPr>
                <w:rFonts w:eastAsia="Times New Roman"/>
                <w:sz w:val="20"/>
                <w:szCs w:val="20"/>
              </w:rPr>
            </w:pPr>
          </w:p>
        </w:tc>
      </w:tr>
      <w:tr w:rsidR="00000000">
        <w:trPr>
          <w:divId w:val="1862546139"/>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862546139"/>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862546139"/>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Remainin</w:t>
            </w:r>
            <w:r>
              <w:rPr>
                <w:rFonts w:ascii="Arial" w:hAnsi="Arial" w:cs="Arial"/>
                <w:b/>
                <w:bCs/>
                <w:sz w:val="16"/>
                <w:szCs w:val="16"/>
              </w:rPr>
              <w:t>g</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Aggregat</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862546139"/>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Option</w:t>
            </w:r>
            <w:r>
              <w:rPr>
                <w:rFonts w:ascii="Arial" w:hAnsi="Arial" w:cs="Arial"/>
                <w:b/>
                <w:bCs/>
                <w:sz w:val="16"/>
                <w:szCs w:val="16"/>
              </w:rPr>
              <w:t>s</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Exercise Pric</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Contractua</w:t>
            </w:r>
            <w:r>
              <w:rPr>
                <w:rFonts w:ascii="Arial" w:hAnsi="Arial" w:cs="Arial"/>
                <w:b/>
                <w:bCs/>
                <w:sz w:val="16"/>
                <w:szCs w:val="16"/>
              </w:rPr>
              <w:t>l</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Intrinsi</w:t>
            </w:r>
            <w:r>
              <w:rPr>
                <w:rFonts w:ascii="Arial" w:hAnsi="Arial" w:cs="Arial"/>
                <w:b/>
                <w:bCs/>
                <w:sz w:val="16"/>
                <w:szCs w:val="16"/>
              </w:rPr>
              <w:t>c</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862546139"/>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Outstandin</w:t>
            </w:r>
            <w:r>
              <w:rPr>
                <w:rFonts w:ascii="Arial" w:hAnsi="Arial" w:cs="Arial"/>
                <w:b/>
                <w:bCs/>
                <w:sz w:val="16"/>
                <w:szCs w:val="16"/>
              </w:rPr>
              <w:t>g</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per Shar</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Life</w:t>
            </w:r>
            <w:r>
              <w:rPr>
                <w:rFonts w:ascii="Arial" w:hAnsi="Arial" w:cs="Arial"/>
                <w:b/>
                <w:bCs/>
                <w:sz w:val="16"/>
                <w:szCs w:val="16"/>
              </w:rPr>
              <w:t xml:space="preserve"> </w:t>
            </w:r>
            <w:r>
              <w:rPr>
                <w:rFonts w:ascii="Arial" w:hAnsi="Arial" w:cs="Arial"/>
                <w:b/>
                <w:bCs/>
                <w:i/>
                <w:iCs/>
                <w:sz w:val="16"/>
                <w:szCs w:val="16"/>
              </w:rPr>
              <w:t>(years</w:t>
            </w:r>
            <w:r>
              <w:rPr>
                <w:rFonts w:ascii="Arial" w:hAnsi="Arial" w:cs="Arial"/>
                <w:b/>
                <w:bCs/>
                <w:i/>
                <w:i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Valu</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862546139"/>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Outstanding at December 31, 202</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6,848,66</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4.9</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204,97</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862546139"/>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Options grante</w:t>
            </w:r>
            <w:r>
              <w:rPr>
                <w:rFonts w:ascii="Arial" w:hAnsi="Arial" w:cs="Arial"/>
                <w:sz w:val="20"/>
                <w:szCs w:val="20"/>
              </w:rPr>
              <w:t>d</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862546139"/>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Options exercise</w:t>
            </w:r>
            <w:r>
              <w:rPr>
                <w:rFonts w:ascii="Arial" w:hAnsi="Arial" w:cs="Arial"/>
                <w:sz w:val="20"/>
                <w:szCs w:val="20"/>
              </w:rPr>
              <w:t>d</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412,22</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862546139"/>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Options forfeite</w:t>
            </w:r>
            <w:r>
              <w:rPr>
                <w:rFonts w:ascii="Arial" w:hAnsi="Arial" w:cs="Arial"/>
                <w:sz w:val="20"/>
                <w:szCs w:val="20"/>
              </w:rPr>
              <w:t>d</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2,50</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8.6</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862546139"/>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Outstanding at March 31, 202</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6,433,93</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4.9</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101,07</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862546139"/>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Exercisable at March 31, 202</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4,771,99</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4.2</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4.1</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80,39</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0" w:afterAutospacing="0"/>
        <w:ind w:firstLine="543"/>
        <w:divId w:val="320279997"/>
        <w:rPr>
          <w:sz w:val="20"/>
          <w:szCs w:val="20"/>
        </w:rPr>
      </w:pPr>
      <w:r>
        <w:rPr>
          <w:rFonts w:ascii="Arial" w:hAnsi="Arial" w:cs="Arial"/>
          <w:sz w:val="20"/>
          <w:szCs w:val="20"/>
        </w:rPr>
        <w:t>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options granted during the</w:t>
      </w:r>
      <w:r>
        <w:rPr>
          <w:rFonts w:ascii="Arial" w:hAnsi="Arial" w:cs="Arial"/>
          <w:sz w:val="20"/>
          <w:szCs w:val="20"/>
        </w:rPr>
        <w:t xml:space="preserve"> </w:t>
      </w:r>
      <w:r>
        <w:rPr>
          <w:rFonts w:ascii="Arial" w:hAnsi="Arial" w:cs="Arial"/>
          <w:sz w:val="20"/>
          <w:szCs w:val="20"/>
        </w:rPr>
        <w:t>three months ended March 31, 202</w:t>
      </w:r>
      <w:r>
        <w:rPr>
          <w:rFonts w:ascii="Arial" w:hAnsi="Arial" w:cs="Arial"/>
          <w:sz w:val="20"/>
          <w:szCs w:val="20"/>
        </w:rPr>
        <w:t>2</w:t>
      </w:r>
      <w:r>
        <w:rPr>
          <w:rFonts w:ascii="Arial" w:hAnsi="Arial" w:cs="Arial"/>
          <w:sz w:val="20"/>
          <w:szCs w:val="20"/>
        </w:rPr>
        <w:t>.</w:t>
      </w:r>
      <w:r>
        <w:rPr>
          <w:rFonts w:ascii="Arial" w:hAnsi="Arial" w:cs="Arial"/>
          <w:sz w:val="20"/>
          <w:szCs w:val="20"/>
        </w:rPr>
        <w:t xml:space="preserve"> </w:t>
      </w:r>
      <w:r>
        <w:rPr>
          <w:rFonts w:ascii="Arial" w:hAnsi="Arial" w:cs="Arial"/>
          <w:sz w:val="20"/>
          <w:szCs w:val="20"/>
        </w:rPr>
        <w:t>The weighted average grant date fair value of options granted during the</w:t>
      </w:r>
      <w:r>
        <w:rPr>
          <w:rFonts w:ascii="Arial" w:hAnsi="Arial" w:cs="Arial"/>
          <w:sz w:val="20"/>
          <w:szCs w:val="20"/>
        </w:rPr>
        <w:t xml:space="preserve"> </w:t>
      </w:r>
      <w:r>
        <w:rPr>
          <w:rFonts w:ascii="Arial" w:hAnsi="Arial" w:cs="Arial"/>
          <w:sz w:val="20"/>
          <w:szCs w:val="20"/>
        </w:rPr>
        <w:t>three months ended March 31, 202</w:t>
      </w:r>
      <w:r>
        <w:rPr>
          <w:rFonts w:ascii="Arial" w:hAnsi="Arial" w:cs="Arial"/>
          <w:sz w:val="20"/>
          <w:szCs w:val="20"/>
        </w:rPr>
        <w:t>1</w:t>
      </w:r>
      <w:r>
        <w:rPr>
          <w:rFonts w:ascii="Arial" w:hAnsi="Arial" w:cs="Arial"/>
          <w:sz w:val="20"/>
          <w:szCs w:val="20"/>
        </w:rPr>
        <w:t xml:space="preserve"> was </w:t>
      </w:r>
      <w:r>
        <w:rPr>
          <w:rFonts w:ascii="Arial" w:hAnsi="Arial" w:cs="Arial"/>
          <w:sz w:val="20"/>
          <w:szCs w:val="20"/>
        </w:rPr>
        <w:t>$</w:t>
      </w:r>
      <w:r>
        <w:rPr>
          <w:rFonts w:ascii="Arial" w:hAnsi="Arial" w:cs="Arial"/>
          <w:sz w:val="20"/>
          <w:szCs w:val="20"/>
        </w:rPr>
        <w:t>3.0</w:t>
      </w:r>
      <w:r>
        <w:rPr>
          <w:rFonts w:ascii="Arial" w:hAnsi="Arial" w:cs="Arial"/>
          <w:sz w:val="20"/>
          <w:szCs w:val="20"/>
        </w:rPr>
        <w:t>2</w:t>
      </w:r>
      <w:r>
        <w:rPr>
          <w:rFonts w:ascii="Arial" w:hAnsi="Arial" w:cs="Arial"/>
          <w:sz w:val="20"/>
          <w:szCs w:val="20"/>
        </w:rPr>
        <w:t>. Aggregate intrinsic value represents the difference between the exercise price of the options and the f</w:t>
      </w:r>
      <w:r>
        <w:rPr>
          <w:rFonts w:ascii="Arial" w:hAnsi="Arial" w:cs="Arial"/>
          <w:sz w:val="20"/>
          <w:szCs w:val="20"/>
        </w:rPr>
        <w:t>air value of the Company’s common stock</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120" w:afterAutospacing="0"/>
        <w:ind w:firstLine="539"/>
        <w:divId w:val="78605299"/>
        <w:rPr>
          <w:sz w:val="20"/>
          <w:szCs w:val="20"/>
        </w:rPr>
      </w:pPr>
      <w:r>
        <w:rPr>
          <w:rFonts w:ascii="Arial" w:hAnsi="Arial" w:cs="Arial"/>
          <w:sz w:val="20"/>
          <w:szCs w:val="20"/>
        </w:rPr>
        <w:t>The fair value of options granted during the</w:t>
      </w:r>
      <w:r>
        <w:rPr>
          <w:rFonts w:ascii="Arial" w:hAnsi="Arial" w:cs="Arial"/>
          <w:sz w:val="20"/>
          <w:szCs w:val="20"/>
        </w:rPr>
        <w:t xml:space="preserve"> </w:t>
      </w:r>
      <w:r>
        <w:rPr>
          <w:rFonts w:ascii="Arial" w:hAnsi="Arial" w:cs="Arial"/>
          <w:sz w:val="20"/>
          <w:szCs w:val="20"/>
        </w:rPr>
        <w:t>three months ended March 31, 2021 was estimated using the Black-Scholes option-pricing model with the following weighted-average assumptions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33"/>
        <w:gridCol w:w="232"/>
        <w:gridCol w:w="117"/>
        <w:gridCol w:w="1971"/>
        <w:gridCol w:w="253"/>
      </w:tblGrid>
      <w:tr w:rsidR="00000000">
        <w:trPr>
          <w:divId w:val="78605299"/>
          <w:tblCellSpacing w:w="15" w:type="dxa"/>
        </w:trPr>
        <w:tc>
          <w:tcPr>
            <w:tcW w:w="3513" w:type="pct"/>
            <w:vAlign w:val="center"/>
            <w:hideMark/>
          </w:tcPr>
          <w:p w:rsidR="00000000" w:rsidRDefault="00CA40A2">
            <w:pPr>
              <w:rPr>
                <w:sz w:val="20"/>
                <w:szCs w:val="20"/>
              </w:rPr>
            </w:pPr>
          </w:p>
        </w:tc>
        <w:tc>
          <w:tcPr>
            <w:tcW w:w="138"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1208" w:type="pct"/>
            <w:vAlign w:val="center"/>
            <w:hideMark/>
          </w:tcPr>
          <w:p w:rsidR="00000000" w:rsidRDefault="00CA40A2">
            <w:pPr>
              <w:rPr>
                <w:rFonts w:eastAsia="Times New Roman"/>
                <w:sz w:val="20"/>
                <w:szCs w:val="20"/>
              </w:rPr>
            </w:pPr>
          </w:p>
        </w:tc>
        <w:tc>
          <w:tcPr>
            <w:tcW w:w="107" w:type="pct"/>
            <w:vAlign w:val="center"/>
            <w:hideMark/>
          </w:tcPr>
          <w:p w:rsidR="00000000" w:rsidRDefault="00CA40A2">
            <w:pPr>
              <w:rPr>
                <w:rFonts w:eastAsia="Times New Roman"/>
                <w:sz w:val="20"/>
                <w:szCs w:val="20"/>
              </w:rPr>
            </w:pPr>
          </w:p>
        </w:tc>
      </w:tr>
      <w:tr w:rsidR="00000000">
        <w:trPr>
          <w:divId w:val="78605299"/>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78605299"/>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78605299"/>
          <w:tblCellSpacing w:w="15" w:type="dxa"/>
        </w:trPr>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78605299"/>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Dividend yiel</w:t>
            </w:r>
            <w:r>
              <w:rPr>
                <w:rFonts w:ascii="Arial" w:hAnsi="Arial" w:cs="Arial"/>
                <w:sz w:val="20"/>
                <w:szCs w:val="20"/>
              </w:rPr>
              <w:t>d</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CA40A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divId w:val="78605299"/>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Risk-free interest rat</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center"/>
            <w:hideMark/>
          </w:tcPr>
          <w:p w:rsidR="00000000" w:rsidRDefault="00CA40A2">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 -</w:t>
            </w:r>
            <w:r>
              <w:rPr>
                <w:rFonts w:ascii="Arial" w:hAnsi="Arial" w:cs="Arial"/>
                <w:sz w:val="20"/>
                <w:szCs w:val="20"/>
              </w:rPr>
              <w:t xml:space="preserve"> </w:t>
            </w:r>
            <w:r>
              <w:rPr>
                <w:rFonts w:ascii="Arial" w:hAnsi="Arial" w:cs="Arial"/>
                <w:sz w:val="20"/>
                <w:szCs w:val="20"/>
              </w:rPr>
              <w:t>0.</w:t>
            </w:r>
            <w:r>
              <w:rPr>
                <w:rFonts w:ascii="Arial" w:hAnsi="Arial" w:cs="Arial"/>
                <w:sz w:val="20"/>
                <w:szCs w:val="20"/>
              </w:rPr>
              <w:t>7</w:t>
            </w:r>
            <w:r>
              <w:rPr>
                <w:rFonts w:ascii="Arial" w:hAnsi="Arial" w:cs="Arial"/>
                <w:sz w:val="20"/>
                <w:szCs w:val="20"/>
              </w:rPr>
              <w:t>%</w:t>
            </w:r>
          </w:p>
        </w:tc>
        <w:tc>
          <w:tcPr>
            <w:tcW w:w="0" w:type="auto"/>
            <w:vAlign w:val="center"/>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r w:rsidR="00000000">
        <w:trPr>
          <w:divId w:val="78605299"/>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Expected term (in years</w:t>
            </w: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center"/>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 -</w:t>
            </w:r>
            <w:r>
              <w:rPr>
                <w:rFonts w:ascii="Arial" w:hAnsi="Arial" w:cs="Arial"/>
                <w:sz w:val="20"/>
                <w:szCs w:val="20"/>
              </w:rPr>
              <w:t xml:space="preserve"> </w:t>
            </w:r>
            <w:r>
              <w:rPr>
                <w:rFonts w:ascii="Arial" w:hAnsi="Arial" w:cs="Arial"/>
                <w:sz w:val="20"/>
                <w:szCs w:val="20"/>
              </w:rPr>
              <w:t>5</w:t>
            </w:r>
          </w:p>
        </w:tc>
        <w:tc>
          <w:tcPr>
            <w:tcW w:w="0" w:type="auto"/>
            <w:vAlign w:val="center"/>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r w:rsidR="00000000">
        <w:trPr>
          <w:divId w:val="78605299"/>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Expected volatilit</w:t>
            </w:r>
            <w:r>
              <w:rPr>
                <w:rFonts w:ascii="Arial" w:hAnsi="Arial" w:cs="Arial"/>
                <w:sz w:val="20"/>
                <w:szCs w:val="20"/>
              </w:rPr>
              <w:t>y</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center"/>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8</w:t>
            </w:r>
            <w:r>
              <w:rPr>
                <w:rFonts w:ascii="Arial" w:hAnsi="Arial" w:cs="Arial"/>
                <w:sz w:val="20"/>
                <w:szCs w:val="20"/>
              </w:rPr>
              <w:t>% -</w:t>
            </w:r>
            <w:r>
              <w:rPr>
                <w:rFonts w:ascii="Arial" w:hAnsi="Arial" w:cs="Arial"/>
                <w:sz w:val="20"/>
                <w:szCs w:val="20"/>
              </w:rPr>
              <w:t xml:space="preserve"> </w:t>
            </w:r>
            <w:r>
              <w:rPr>
                <w:rFonts w:ascii="Arial" w:hAnsi="Arial" w:cs="Arial"/>
                <w:sz w:val="20"/>
                <w:szCs w:val="20"/>
              </w:rPr>
              <w:t>4</w:t>
            </w:r>
            <w:r>
              <w:rPr>
                <w:rFonts w:ascii="Arial" w:hAnsi="Arial" w:cs="Arial"/>
                <w:sz w:val="20"/>
                <w:szCs w:val="20"/>
              </w:rPr>
              <w:t>2</w:t>
            </w:r>
            <w:r>
              <w:rPr>
                <w:rFonts w:ascii="Arial" w:hAnsi="Arial" w:cs="Arial"/>
                <w:sz w:val="20"/>
                <w:szCs w:val="20"/>
              </w:rPr>
              <w:t>%</w:t>
            </w:r>
          </w:p>
        </w:tc>
        <w:tc>
          <w:tcPr>
            <w:tcW w:w="0" w:type="auto"/>
            <w:vAlign w:val="center"/>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bl>
    <w:p w:rsidR="00000000" w:rsidRDefault="00CA40A2">
      <w:pPr>
        <w:pStyle w:val="a3"/>
        <w:spacing w:before="360" w:beforeAutospacing="0" w:after="120" w:afterAutospacing="0" w:line="20" w:lineRule="atLeast"/>
        <w:jc w:val="both"/>
        <w:divId w:val="320279997"/>
        <w:rPr>
          <w:sz w:val="20"/>
          <w:szCs w:val="20"/>
        </w:rPr>
      </w:pPr>
      <w:r>
        <w:rPr>
          <w:rFonts w:ascii="Arial" w:hAnsi="Arial" w:cs="Arial"/>
          <w:b/>
          <w:bCs/>
          <w:i/>
          <w:iCs/>
          <w:sz w:val="20"/>
          <w:szCs w:val="20"/>
        </w:rPr>
        <w:t>Restricted Stock Units (“RSUs”</w:t>
      </w:r>
      <w:r>
        <w:rPr>
          <w:rFonts w:ascii="Arial" w:hAnsi="Arial" w:cs="Arial"/>
          <w:b/>
          <w:bCs/>
          <w:i/>
          <w:iCs/>
          <w:sz w:val="20"/>
          <w:szCs w:val="20"/>
        </w:rPr>
        <w:t>)</w:t>
      </w:r>
    </w:p>
    <w:p w:rsidR="00000000" w:rsidRDefault="00CA40A2">
      <w:pPr>
        <w:pStyle w:val="a3"/>
        <w:spacing w:before="240" w:beforeAutospacing="0" w:after="120" w:afterAutospacing="0"/>
        <w:ind w:firstLine="539"/>
        <w:divId w:val="1477642863"/>
        <w:rPr>
          <w:sz w:val="20"/>
          <w:szCs w:val="20"/>
        </w:rPr>
      </w:pPr>
      <w:r>
        <w:rPr>
          <w:rFonts w:ascii="Arial" w:hAnsi="Arial" w:cs="Arial"/>
          <w:sz w:val="20"/>
          <w:szCs w:val="20"/>
        </w:rPr>
        <w:t>A summary of the Company’s RSU activity during the</w:t>
      </w:r>
      <w:r>
        <w:rPr>
          <w:rFonts w:ascii="Arial" w:hAnsi="Arial" w:cs="Arial"/>
          <w:sz w:val="20"/>
          <w:szCs w:val="20"/>
        </w:rPr>
        <w:t xml:space="preserve"> </w:t>
      </w:r>
      <w:r>
        <w:rPr>
          <w:rFonts w:ascii="Arial" w:hAnsi="Arial" w:cs="Arial"/>
          <w:sz w:val="20"/>
          <w:szCs w:val="20"/>
        </w:rPr>
        <w:t>three months ended March 31, 2022 was as follows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4"/>
        <w:gridCol w:w="129"/>
        <w:gridCol w:w="1126"/>
        <w:gridCol w:w="129"/>
        <w:gridCol w:w="1126"/>
        <w:gridCol w:w="129"/>
        <w:gridCol w:w="117"/>
        <w:gridCol w:w="1039"/>
        <w:gridCol w:w="127"/>
        <w:gridCol w:w="130"/>
        <w:gridCol w:w="173"/>
        <w:gridCol w:w="976"/>
        <w:gridCol w:w="131"/>
      </w:tblGrid>
      <w:tr w:rsidR="00000000">
        <w:trPr>
          <w:divId w:val="1477642863"/>
          <w:tblCellSpacing w:w="15" w:type="dxa"/>
        </w:trPr>
        <w:tc>
          <w:tcPr>
            <w:tcW w:w="1864" w:type="pct"/>
            <w:vAlign w:val="center"/>
            <w:hideMark/>
          </w:tcPr>
          <w:p w:rsidR="00000000" w:rsidRDefault="00CA40A2">
            <w:pPr>
              <w:rPr>
                <w:sz w:val="20"/>
                <w:szCs w:val="20"/>
              </w:rPr>
            </w:pPr>
          </w:p>
        </w:tc>
        <w:tc>
          <w:tcPr>
            <w:tcW w:w="73" w:type="pct"/>
            <w:vAlign w:val="center"/>
            <w:hideMark/>
          </w:tcPr>
          <w:p w:rsidR="00000000" w:rsidRDefault="00CA40A2">
            <w:pPr>
              <w:rPr>
                <w:rFonts w:eastAsia="Times New Roman"/>
                <w:sz w:val="20"/>
                <w:szCs w:val="20"/>
              </w:rPr>
            </w:pPr>
          </w:p>
        </w:tc>
        <w:tc>
          <w:tcPr>
            <w:tcW w:w="704" w:type="pct"/>
            <w:vAlign w:val="center"/>
            <w:hideMark/>
          </w:tcPr>
          <w:p w:rsidR="00000000" w:rsidRDefault="00CA40A2">
            <w:pPr>
              <w:rPr>
                <w:rFonts w:eastAsia="Times New Roman"/>
                <w:sz w:val="20"/>
                <w:szCs w:val="20"/>
              </w:rPr>
            </w:pPr>
          </w:p>
        </w:tc>
        <w:tc>
          <w:tcPr>
            <w:tcW w:w="73" w:type="pct"/>
            <w:vAlign w:val="center"/>
            <w:hideMark/>
          </w:tcPr>
          <w:p w:rsidR="00000000" w:rsidRDefault="00CA40A2">
            <w:pPr>
              <w:rPr>
                <w:rFonts w:eastAsia="Times New Roman"/>
                <w:sz w:val="20"/>
                <w:szCs w:val="20"/>
              </w:rPr>
            </w:pPr>
          </w:p>
        </w:tc>
        <w:tc>
          <w:tcPr>
            <w:tcW w:w="704" w:type="pct"/>
            <w:vAlign w:val="center"/>
            <w:hideMark/>
          </w:tcPr>
          <w:p w:rsidR="00000000" w:rsidRDefault="00CA40A2">
            <w:pPr>
              <w:rPr>
                <w:rFonts w:eastAsia="Times New Roman"/>
                <w:sz w:val="20"/>
                <w:szCs w:val="20"/>
              </w:rPr>
            </w:pPr>
          </w:p>
        </w:tc>
        <w:tc>
          <w:tcPr>
            <w:tcW w:w="73"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649"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c>
          <w:tcPr>
            <w:tcW w:w="73"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08"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divId w:val="1477642863"/>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477642863"/>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477642863"/>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Number o</w:t>
            </w:r>
            <w:r>
              <w:rPr>
                <w:rFonts w:ascii="Arial" w:hAnsi="Arial" w:cs="Arial"/>
                <w:b/>
                <w:bCs/>
                <w:sz w:val="16"/>
                <w:szCs w:val="16"/>
              </w:rPr>
              <w:t>f</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Grant Dat</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477642863"/>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RSU's Outstandin</w:t>
            </w:r>
            <w:r>
              <w:rPr>
                <w:rFonts w:ascii="Arial" w:hAnsi="Arial" w:cs="Arial"/>
                <w:b/>
                <w:bCs/>
                <w:sz w:val="16"/>
                <w:szCs w:val="16"/>
              </w:rPr>
              <w:t>g</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477642863"/>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Awarded and unvested at December 31, 202</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512,63</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477642863"/>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Awards grante</w:t>
            </w:r>
            <w:r>
              <w:rPr>
                <w:rFonts w:ascii="Arial" w:hAnsi="Arial" w:cs="Arial"/>
                <w:sz w:val="20"/>
                <w:szCs w:val="20"/>
              </w:rPr>
              <w:t>d</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75,73</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27.8</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477642863"/>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Awards veste</w:t>
            </w:r>
            <w:r>
              <w:rPr>
                <w:rFonts w:ascii="Arial" w:hAnsi="Arial" w:cs="Arial"/>
                <w:sz w:val="20"/>
                <w:szCs w:val="20"/>
              </w:rPr>
              <w:t>d</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477642863"/>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Awards forfeite</w:t>
            </w:r>
            <w:r>
              <w:rPr>
                <w:rFonts w:ascii="Arial" w:hAnsi="Arial" w:cs="Arial"/>
                <w:sz w:val="20"/>
                <w:szCs w:val="20"/>
              </w:rPr>
              <w:t>d</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16,14</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26.1</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477642863"/>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Awarded and unvested at March 31, 202</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572,22</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26.1</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0" w:beforeAutospacing="0" w:after="0" w:afterAutospacing="0"/>
        <w:divId w:val="1477642863"/>
        <w:rPr>
          <w:sz w:val="20"/>
          <w:szCs w:val="20"/>
        </w:rPr>
      </w:pPr>
      <w:r>
        <w:rPr>
          <w:sz w:val="20"/>
          <w:szCs w:val="20"/>
        </w:rPr>
        <w:t> </w:t>
      </w:r>
    </w:p>
    <w:p w:rsidR="00000000" w:rsidRDefault="00CA40A2">
      <w:pPr>
        <w:pStyle w:val="a3"/>
        <w:spacing w:before="120" w:beforeAutospacing="0" w:after="0" w:afterAutospacing="0"/>
        <w:jc w:val="center"/>
        <w:divId w:val="1477642863"/>
        <w:rPr>
          <w:sz w:val="20"/>
          <w:szCs w:val="20"/>
        </w:rPr>
      </w:pPr>
      <w:r>
        <w:rPr>
          <w:rFonts w:ascii="Arial" w:hAnsi="Arial" w:cs="Arial"/>
          <w:sz w:val="20"/>
          <w:szCs w:val="20"/>
        </w:rPr>
        <w:t>1</w:t>
      </w:r>
      <w:r>
        <w:rPr>
          <w:rFonts w:ascii="Arial" w:hAnsi="Arial" w:cs="Arial"/>
          <w:sz w:val="20"/>
          <w:szCs w:val="20"/>
        </w:rPr>
        <w:t>9</w:t>
      </w:r>
    </w:p>
    <w:p w:rsidR="00000000" w:rsidRDefault="00CA40A2">
      <w:pPr>
        <w:divId w:val="1477642863"/>
        <w:rPr>
          <w:rFonts w:ascii="Arial" w:eastAsia="Times New Roman" w:hAnsi="Arial" w:cs="Arial"/>
          <w:sz w:val="20"/>
          <w:szCs w:val="20"/>
        </w:rPr>
      </w:pPr>
      <w:r>
        <w:rPr>
          <w:rFonts w:ascii="Arial" w:eastAsia="Times New Roman" w:hAnsi="Arial" w:cs="Arial"/>
          <w:sz w:val="20"/>
          <w:szCs w:val="20"/>
        </w:rPr>
        <w:pict>
          <v:rect id="_x0000_i1044" style="width:0;height:1.5pt" o:hralign="center" o:hrstd="t" o:hr="t" fillcolor="#a0a0a0" stroked="f"/>
        </w:pict>
      </w:r>
    </w:p>
    <w:p w:rsidR="00000000" w:rsidRDefault="00CA40A2">
      <w:pPr>
        <w:pStyle w:val="a3"/>
        <w:spacing w:before="0" w:beforeAutospacing="0" w:after="0" w:afterAutospacing="0"/>
        <w:divId w:val="1477642863"/>
        <w:rPr>
          <w:sz w:val="20"/>
          <w:szCs w:val="20"/>
        </w:rPr>
      </w:pPr>
      <w:r>
        <w:rPr>
          <w:rFonts w:ascii="Arial" w:hAnsi="Arial" w:cs="Arial"/>
          <w:sz w:val="20"/>
          <w:szCs w:val="20"/>
        </w:rPr>
        <w:t> </w:t>
      </w:r>
    </w:p>
    <w:p w:rsidR="00000000" w:rsidRDefault="00CA40A2">
      <w:pPr>
        <w:pStyle w:val="a3"/>
        <w:spacing w:before="240" w:beforeAutospacing="0" w:after="0" w:afterAutospacing="0"/>
        <w:ind w:firstLine="539"/>
        <w:divId w:val="320279997"/>
        <w:rPr>
          <w:sz w:val="20"/>
          <w:szCs w:val="20"/>
        </w:rPr>
      </w:pPr>
      <w:r>
        <w:rPr>
          <w:rFonts w:ascii="Arial" w:hAnsi="Arial" w:cs="Arial"/>
          <w:sz w:val="20"/>
          <w:szCs w:val="20"/>
        </w:rPr>
        <w:t>The fair value of RSU grants is determined based upon the market closing price of the Company's Class A common stock on the date of grant. RSUs vest over the requisite service period, which ranges between</w:t>
      </w:r>
      <w:r>
        <w:rPr>
          <w:rFonts w:ascii="Arial" w:hAnsi="Arial" w:cs="Arial"/>
          <w:sz w:val="20"/>
          <w:szCs w:val="20"/>
        </w:rPr>
        <w:t xml:space="preserve"> </w:t>
      </w:r>
      <w:r>
        <w:rPr>
          <w:rFonts w:ascii="Arial" w:hAnsi="Arial" w:cs="Arial"/>
          <w:sz w:val="20"/>
          <w:szCs w:val="20"/>
        </w:rPr>
        <w:t>four year</w:t>
      </w:r>
      <w:r>
        <w:rPr>
          <w:rFonts w:ascii="Arial" w:hAnsi="Arial" w:cs="Arial"/>
          <w:sz w:val="20"/>
          <w:szCs w:val="20"/>
        </w:rPr>
        <w:t>s</w:t>
      </w:r>
      <w:r>
        <w:rPr>
          <w:rFonts w:ascii="Arial" w:hAnsi="Arial" w:cs="Arial"/>
          <w:sz w:val="20"/>
          <w:szCs w:val="20"/>
        </w:rPr>
        <w:t xml:space="preserve"> an</w:t>
      </w:r>
      <w:r>
        <w:rPr>
          <w:rFonts w:ascii="Arial" w:hAnsi="Arial" w:cs="Arial"/>
          <w:sz w:val="20"/>
          <w:szCs w:val="20"/>
        </w:rPr>
        <w:t>d</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xml:space="preserve"> from the date of grant, subject to continued employment for employees and provision of services for nonemployees.</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RSUs vested during the</w:t>
      </w:r>
      <w:r>
        <w:rPr>
          <w:rFonts w:ascii="Arial" w:hAnsi="Arial" w:cs="Arial"/>
          <w:sz w:val="20"/>
          <w:szCs w:val="20"/>
        </w:rPr>
        <w:t xml:space="preserve"> </w:t>
      </w:r>
      <w:r>
        <w:rPr>
          <w:rFonts w:ascii="Arial" w:hAnsi="Arial" w:cs="Arial"/>
          <w:sz w:val="20"/>
          <w:szCs w:val="20"/>
        </w:rPr>
        <w:t>three months ended March 31, 2022</w:t>
      </w:r>
      <w:r>
        <w:rPr>
          <w:rFonts w:ascii="Arial" w:hAnsi="Arial" w:cs="Arial"/>
          <w:sz w:val="20"/>
          <w:szCs w:val="20"/>
        </w:rPr>
        <w:t>.</w:t>
      </w:r>
    </w:p>
    <w:p w:rsidR="00000000" w:rsidRDefault="00CA40A2">
      <w:pPr>
        <w:pStyle w:val="a3"/>
        <w:spacing w:before="120" w:beforeAutospacing="0" w:after="0" w:afterAutospacing="0"/>
        <w:ind w:firstLine="539"/>
        <w:divId w:val="1635600483"/>
        <w:rPr>
          <w:sz w:val="20"/>
          <w:szCs w:val="20"/>
        </w:rPr>
      </w:pPr>
      <w:r>
        <w:rPr>
          <w:rFonts w:ascii="Arial" w:hAnsi="Arial" w:cs="Arial"/>
          <w:sz w:val="20"/>
          <w:szCs w:val="20"/>
        </w:rPr>
        <w:t>Stock-based compensation expense included in the condensed consolida</w:t>
      </w:r>
      <w:r>
        <w:rPr>
          <w:rFonts w:ascii="Arial" w:hAnsi="Arial" w:cs="Arial"/>
          <w:sz w:val="20"/>
          <w:szCs w:val="20"/>
        </w:rPr>
        <w:t>ted statements of operations was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8"/>
        <w:gridCol w:w="129"/>
        <w:gridCol w:w="1128"/>
        <w:gridCol w:w="129"/>
        <w:gridCol w:w="1128"/>
        <w:gridCol w:w="129"/>
        <w:gridCol w:w="172"/>
        <w:gridCol w:w="992"/>
        <w:gridCol w:w="116"/>
        <w:gridCol w:w="130"/>
        <w:gridCol w:w="172"/>
        <w:gridCol w:w="972"/>
        <w:gridCol w:w="131"/>
      </w:tblGrid>
      <w:tr w:rsidR="00000000">
        <w:trPr>
          <w:divId w:val="1635600483"/>
          <w:tblCellSpacing w:w="15" w:type="dxa"/>
        </w:trPr>
        <w:tc>
          <w:tcPr>
            <w:tcW w:w="1867" w:type="pct"/>
            <w:vAlign w:val="center"/>
            <w:hideMark/>
          </w:tcPr>
          <w:p w:rsidR="00000000" w:rsidRDefault="00CA40A2">
            <w:pPr>
              <w:rPr>
                <w:sz w:val="20"/>
                <w:szCs w:val="20"/>
              </w:rPr>
            </w:pPr>
          </w:p>
        </w:tc>
        <w:tc>
          <w:tcPr>
            <w:tcW w:w="73" w:type="pct"/>
            <w:vAlign w:val="center"/>
            <w:hideMark/>
          </w:tcPr>
          <w:p w:rsidR="00000000" w:rsidRDefault="00CA40A2">
            <w:pPr>
              <w:rPr>
                <w:rFonts w:eastAsia="Times New Roman"/>
                <w:sz w:val="20"/>
                <w:szCs w:val="20"/>
              </w:rPr>
            </w:pPr>
          </w:p>
        </w:tc>
        <w:tc>
          <w:tcPr>
            <w:tcW w:w="705" w:type="pct"/>
            <w:vAlign w:val="center"/>
            <w:hideMark/>
          </w:tcPr>
          <w:p w:rsidR="00000000" w:rsidRDefault="00CA40A2">
            <w:pPr>
              <w:rPr>
                <w:rFonts w:eastAsia="Times New Roman"/>
                <w:sz w:val="20"/>
                <w:szCs w:val="20"/>
              </w:rPr>
            </w:pPr>
          </w:p>
        </w:tc>
        <w:tc>
          <w:tcPr>
            <w:tcW w:w="73" w:type="pct"/>
            <w:vAlign w:val="center"/>
            <w:hideMark/>
          </w:tcPr>
          <w:p w:rsidR="00000000" w:rsidRDefault="00CA40A2">
            <w:pPr>
              <w:rPr>
                <w:rFonts w:eastAsia="Times New Roman"/>
                <w:sz w:val="20"/>
                <w:szCs w:val="20"/>
              </w:rPr>
            </w:pPr>
          </w:p>
        </w:tc>
        <w:tc>
          <w:tcPr>
            <w:tcW w:w="705" w:type="pct"/>
            <w:vAlign w:val="center"/>
            <w:hideMark/>
          </w:tcPr>
          <w:p w:rsidR="00000000" w:rsidRDefault="00CA40A2">
            <w:pPr>
              <w:rPr>
                <w:rFonts w:eastAsia="Times New Roman"/>
                <w:sz w:val="20"/>
                <w:szCs w:val="20"/>
              </w:rPr>
            </w:pPr>
          </w:p>
        </w:tc>
        <w:tc>
          <w:tcPr>
            <w:tcW w:w="73"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19"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73"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06"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divId w:val="1635600483"/>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3"/>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635600483"/>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635600483"/>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635600483"/>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635600483"/>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635600483"/>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22</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635600483"/>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76</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635600483"/>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Total stock-based compensatio</w:t>
            </w:r>
            <w:r>
              <w:rPr>
                <w:rFonts w:ascii="Arial" w:hAnsi="Arial" w:cs="Arial"/>
                <w:sz w:val="20"/>
                <w:szCs w:val="20"/>
              </w:rPr>
              <w:t>n</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1,27</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56</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0" w:afterAutospacing="0"/>
        <w:ind w:firstLine="539"/>
        <w:divId w:val="320279997"/>
        <w:rPr>
          <w:sz w:val="20"/>
          <w:szCs w:val="20"/>
        </w:rPr>
      </w:pPr>
      <w:r>
        <w:rPr>
          <w:rFonts w:ascii="Arial" w:hAnsi="Arial" w:cs="Arial"/>
          <w:sz w:val="20"/>
          <w:szCs w:val="20"/>
        </w:rPr>
        <w:t>At March 31, 202</w:t>
      </w:r>
      <w:r>
        <w:rPr>
          <w:rFonts w:ascii="Arial" w:hAnsi="Arial" w:cs="Arial"/>
          <w:sz w:val="20"/>
          <w:szCs w:val="20"/>
        </w:rPr>
        <w:t>2</w:t>
      </w:r>
      <w:r>
        <w:rPr>
          <w:rFonts w:ascii="Arial" w:hAnsi="Arial" w:cs="Arial"/>
          <w:sz w:val="20"/>
          <w:szCs w:val="20"/>
        </w:rPr>
        <w:t xml:space="preserve">, there was </w:t>
      </w:r>
      <w:r>
        <w:rPr>
          <w:rFonts w:ascii="Arial" w:hAnsi="Arial" w:cs="Arial"/>
          <w:sz w:val="20"/>
          <w:szCs w:val="20"/>
        </w:rPr>
        <w:t>$</w:t>
      </w:r>
      <w:r>
        <w:rPr>
          <w:rFonts w:ascii="Arial" w:hAnsi="Arial" w:cs="Arial"/>
          <w:sz w:val="20"/>
          <w:szCs w:val="20"/>
        </w:rPr>
        <w:t>4.</w:t>
      </w:r>
      <w:r>
        <w:rPr>
          <w:rFonts w:ascii="Arial" w:hAnsi="Arial" w:cs="Arial"/>
          <w:sz w:val="20"/>
          <w:szCs w:val="20"/>
        </w:rPr>
        <w:t>6</w:t>
      </w:r>
      <w:r>
        <w:rPr>
          <w:rFonts w:ascii="Arial" w:hAnsi="Arial" w:cs="Arial"/>
          <w:sz w:val="20"/>
          <w:szCs w:val="20"/>
        </w:rPr>
        <w:t xml:space="preserve"> million of total unrecognized compensation cost related to unvested stock options granted under the 2012 Equity Incentive Plan and the 2021 Plan, which is expected to be recognized over a remaining weighted-average period of</w:t>
      </w:r>
      <w:r>
        <w:rPr>
          <w:rFonts w:ascii="Arial" w:hAnsi="Arial" w:cs="Arial"/>
          <w:sz w:val="20"/>
          <w:szCs w:val="20"/>
        </w:rPr>
        <w:t xml:space="preserve"> </w:t>
      </w:r>
      <w:r>
        <w:rPr>
          <w:rFonts w:ascii="Arial" w:hAnsi="Arial" w:cs="Arial"/>
          <w:sz w:val="20"/>
          <w:szCs w:val="20"/>
        </w:rPr>
        <w:t>2.3</w:t>
      </w:r>
      <w:r>
        <w:rPr>
          <w:rFonts w:ascii="Arial" w:hAnsi="Arial" w:cs="Arial"/>
          <w:sz w:val="20"/>
          <w:szCs w:val="20"/>
        </w:rPr>
        <w:t xml:space="preserve"> </w:t>
      </w:r>
      <w:r>
        <w:rPr>
          <w:rFonts w:ascii="Arial" w:hAnsi="Arial" w:cs="Arial"/>
          <w:sz w:val="20"/>
          <w:szCs w:val="20"/>
        </w:rPr>
        <w:t>years</w:t>
      </w:r>
      <w:r>
        <w:rPr>
          <w:rFonts w:ascii="Arial" w:hAnsi="Arial" w:cs="Arial"/>
          <w:sz w:val="20"/>
          <w:szCs w:val="20"/>
        </w:rPr>
        <w:t>.</w:t>
      </w:r>
    </w:p>
    <w:p w:rsidR="00000000" w:rsidRDefault="00CA40A2">
      <w:pPr>
        <w:pStyle w:val="a3"/>
        <w:spacing w:before="120" w:beforeAutospacing="0" w:after="0" w:afterAutospacing="0"/>
        <w:ind w:firstLine="539"/>
        <w:divId w:val="320279997"/>
        <w:rPr>
          <w:sz w:val="20"/>
          <w:szCs w:val="20"/>
        </w:rPr>
      </w:pPr>
      <w:r>
        <w:rPr>
          <w:rFonts w:ascii="Arial" w:hAnsi="Arial" w:cs="Arial"/>
          <w:sz w:val="20"/>
          <w:szCs w:val="20"/>
        </w:rPr>
        <w:t xml:space="preserve">At </w:t>
      </w:r>
      <w:r>
        <w:rPr>
          <w:rFonts w:ascii="Arial" w:hAnsi="Arial" w:cs="Arial"/>
          <w:sz w:val="20"/>
          <w:szCs w:val="20"/>
        </w:rPr>
        <w:t>March 31, 202</w:t>
      </w:r>
      <w:r>
        <w:rPr>
          <w:rFonts w:ascii="Arial" w:hAnsi="Arial" w:cs="Arial"/>
          <w:sz w:val="20"/>
          <w:szCs w:val="20"/>
        </w:rPr>
        <w:t>2</w:t>
      </w:r>
      <w:r>
        <w:rPr>
          <w:rFonts w:ascii="Arial" w:hAnsi="Arial" w:cs="Arial"/>
          <w:sz w:val="20"/>
          <w:szCs w:val="20"/>
        </w:rPr>
        <w:t xml:space="preserve">, there was </w:t>
      </w:r>
      <w:r>
        <w:rPr>
          <w:rFonts w:ascii="Arial" w:hAnsi="Arial" w:cs="Arial"/>
          <w:sz w:val="20"/>
          <w:szCs w:val="20"/>
        </w:rPr>
        <w:t>$</w:t>
      </w:r>
      <w:r>
        <w:rPr>
          <w:rFonts w:ascii="Arial" w:hAnsi="Arial" w:cs="Arial"/>
          <w:sz w:val="20"/>
          <w:szCs w:val="20"/>
        </w:rPr>
        <w:t>13.</w:t>
      </w:r>
      <w:r>
        <w:rPr>
          <w:rFonts w:ascii="Arial" w:hAnsi="Arial" w:cs="Arial"/>
          <w:sz w:val="20"/>
          <w:szCs w:val="20"/>
        </w:rPr>
        <w:t>4</w:t>
      </w:r>
      <w:r>
        <w:rPr>
          <w:rFonts w:ascii="Arial" w:hAnsi="Arial" w:cs="Arial"/>
          <w:sz w:val="20"/>
          <w:szCs w:val="20"/>
        </w:rPr>
        <w:t xml:space="preserve"> million of total unrecognized compensation cost related to unvested RSUs granted under the 2021 Plan, which is expected to be recognized over a remaining weighted-average period of</w:t>
      </w:r>
      <w:r>
        <w:rPr>
          <w:rFonts w:ascii="Arial" w:hAnsi="Arial" w:cs="Arial"/>
          <w:sz w:val="20"/>
          <w:szCs w:val="20"/>
        </w:rPr>
        <w:t xml:space="preserve"> </w:t>
      </w:r>
      <w:r>
        <w:rPr>
          <w:rFonts w:ascii="Arial" w:hAnsi="Arial" w:cs="Arial"/>
          <w:sz w:val="20"/>
          <w:szCs w:val="20"/>
        </w:rPr>
        <w:t>4.</w:t>
      </w:r>
      <w:r>
        <w:rPr>
          <w:rFonts w:ascii="Arial" w:hAnsi="Arial" w:cs="Arial"/>
          <w:sz w:val="20"/>
          <w:szCs w:val="20"/>
        </w:rPr>
        <w:t>1</w:t>
      </w:r>
      <w:r>
        <w:rPr>
          <w:rFonts w:ascii="Arial" w:hAnsi="Arial" w:cs="Arial"/>
          <w:sz w:val="20"/>
          <w:szCs w:val="20"/>
        </w:rPr>
        <w:t xml:space="preserve"> years</w:t>
      </w:r>
      <w:r>
        <w:rPr>
          <w:rFonts w:ascii="Arial" w:hAnsi="Arial" w:cs="Arial"/>
          <w:sz w:val="20"/>
          <w:szCs w:val="20"/>
        </w:rPr>
        <w:t>.</w:t>
      </w:r>
    </w:p>
    <w:p w:rsidR="00000000" w:rsidRDefault="00CA40A2">
      <w:pPr>
        <w:pStyle w:val="a3"/>
        <w:spacing w:before="240" w:beforeAutospacing="0" w:after="0" w:afterAutospacing="0"/>
        <w:ind w:hanging="569"/>
        <w:divId w:val="2119523951"/>
        <w:rPr>
          <w:sz w:val="20"/>
          <w:szCs w:val="20"/>
        </w:rPr>
      </w:pPr>
      <w:r>
        <w:rPr>
          <w:rFonts w:ascii="Arial" w:hAnsi="Arial" w:cs="Arial"/>
          <w:b/>
          <w:bCs/>
          <w:sz w:val="20"/>
          <w:szCs w:val="20"/>
        </w:rPr>
        <w:t>13. Income Taxe</w:t>
      </w:r>
      <w:r>
        <w:rPr>
          <w:rFonts w:ascii="Arial" w:hAnsi="Arial" w:cs="Arial"/>
          <w:b/>
          <w:bCs/>
          <w:sz w:val="20"/>
          <w:szCs w:val="20"/>
        </w:rPr>
        <w:t>s</w:t>
      </w:r>
    </w:p>
    <w:p w:rsidR="00000000" w:rsidRDefault="00CA40A2">
      <w:pPr>
        <w:pStyle w:val="a3"/>
        <w:spacing w:before="120" w:beforeAutospacing="0" w:after="0" w:afterAutospacing="0"/>
        <w:ind w:firstLine="408"/>
        <w:divId w:val="2119523951"/>
        <w:rPr>
          <w:sz w:val="20"/>
          <w:szCs w:val="20"/>
        </w:rPr>
      </w:pPr>
      <w:r>
        <w:rPr>
          <w:rFonts w:ascii="Arial" w:hAnsi="Arial" w:cs="Arial"/>
          <w:sz w:val="20"/>
          <w:szCs w:val="20"/>
        </w:rPr>
        <w:t>The Company com</w:t>
      </w:r>
      <w:r>
        <w:rPr>
          <w:rFonts w:ascii="Arial" w:hAnsi="Arial" w:cs="Arial"/>
          <w:sz w:val="20"/>
          <w:szCs w:val="20"/>
        </w:rPr>
        <w:t>putes its tax provision for interim periods by applying the estimated annual effective tax rate to year-to-date income from recurring operations and adjusting for discrete items arising in that quarter</w:t>
      </w:r>
      <w:r>
        <w:rPr>
          <w:rFonts w:ascii="Arial" w:hAnsi="Arial" w:cs="Arial"/>
          <w:sz w:val="20"/>
          <w:szCs w:val="20"/>
        </w:rPr>
        <w:t>.</w:t>
      </w:r>
    </w:p>
    <w:p w:rsidR="00000000" w:rsidRDefault="00CA40A2">
      <w:pPr>
        <w:pStyle w:val="a3"/>
        <w:spacing w:before="120" w:beforeAutospacing="0" w:after="0" w:afterAutospacing="0"/>
        <w:ind w:firstLine="408"/>
        <w:divId w:val="2119523951"/>
        <w:rPr>
          <w:sz w:val="20"/>
          <w:szCs w:val="20"/>
        </w:rPr>
      </w:pPr>
      <w:r>
        <w:rPr>
          <w:rFonts w:ascii="Arial" w:hAnsi="Arial" w:cs="Arial"/>
          <w:sz w:val="20"/>
          <w:szCs w:val="20"/>
        </w:rPr>
        <w:t>The Company’</w:t>
      </w:r>
      <w:r>
        <w:rPr>
          <w:rFonts w:ascii="Arial" w:hAnsi="Arial" w:cs="Arial"/>
          <w:sz w:val="20"/>
          <w:szCs w:val="20"/>
        </w:rPr>
        <w:t>s forecasted annual effective tax rate for the year ended December 31, 2022 is</w:t>
      </w:r>
      <w:r>
        <w:rPr>
          <w:rFonts w:ascii="Arial" w:hAnsi="Arial" w:cs="Arial"/>
          <w:sz w:val="20"/>
          <w:szCs w:val="20"/>
        </w:rPr>
        <w:t xml:space="preserve"> </w:t>
      </w:r>
      <w:r>
        <w:rPr>
          <w:rFonts w:ascii="Arial" w:hAnsi="Arial" w:cs="Arial"/>
          <w:sz w:val="20"/>
          <w:szCs w:val="20"/>
        </w:rPr>
        <w:t>30.</w:t>
      </w:r>
      <w:r>
        <w:rPr>
          <w:rFonts w:ascii="Arial" w:hAnsi="Arial" w:cs="Arial"/>
          <w:sz w:val="20"/>
          <w:szCs w:val="20"/>
        </w:rPr>
        <w:t>6</w:t>
      </w:r>
      <w:r>
        <w:rPr>
          <w:rFonts w:ascii="Arial" w:hAnsi="Arial" w:cs="Arial"/>
          <w:sz w:val="20"/>
          <w:szCs w:val="20"/>
        </w:rPr>
        <w:t xml:space="preserve">%. During the three months ended March 31, 2022, the Company recorded a discrete benefit of </w:t>
      </w:r>
      <w:r>
        <w:rPr>
          <w:rFonts w:ascii="Arial" w:hAnsi="Arial" w:cs="Arial"/>
          <w:sz w:val="20"/>
          <w:szCs w:val="20"/>
        </w:rPr>
        <w:t>$</w:t>
      </w:r>
      <w:r>
        <w:rPr>
          <w:rFonts w:ascii="Arial" w:hAnsi="Arial" w:cs="Arial"/>
          <w:sz w:val="20"/>
          <w:szCs w:val="20"/>
        </w:rPr>
        <w:t>2.</w:t>
      </w:r>
      <w:r>
        <w:rPr>
          <w:rFonts w:ascii="Arial" w:hAnsi="Arial" w:cs="Arial"/>
          <w:sz w:val="20"/>
          <w:szCs w:val="20"/>
        </w:rPr>
        <w:t>6</w:t>
      </w:r>
      <w:r>
        <w:rPr>
          <w:rFonts w:ascii="Arial" w:hAnsi="Arial" w:cs="Arial"/>
          <w:sz w:val="20"/>
          <w:szCs w:val="20"/>
        </w:rPr>
        <w:t xml:space="preserve"> million related to excess tax benefits on stock-based compensation, resultin</w:t>
      </w:r>
      <w:r>
        <w:rPr>
          <w:rFonts w:ascii="Arial" w:hAnsi="Arial" w:cs="Arial"/>
          <w:sz w:val="20"/>
          <w:szCs w:val="20"/>
        </w:rPr>
        <w:t>g in an increase to the effective tax rate of</w:t>
      </w:r>
      <w:r>
        <w:rPr>
          <w:rFonts w:ascii="Arial" w:hAnsi="Arial" w:cs="Arial"/>
          <w:sz w:val="20"/>
          <w:szCs w:val="20"/>
        </w:rPr>
        <w:t xml:space="preserve"> </w:t>
      </w:r>
      <w:r>
        <w:rPr>
          <w:rFonts w:ascii="Arial" w:hAnsi="Arial" w:cs="Arial"/>
          <w:sz w:val="20"/>
          <w:szCs w:val="20"/>
        </w:rPr>
        <w:t>195.</w:t>
      </w:r>
      <w:r>
        <w:rPr>
          <w:rFonts w:ascii="Arial" w:hAnsi="Arial" w:cs="Arial"/>
          <w:sz w:val="20"/>
          <w:szCs w:val="20"/>
        </w:rPr>
        <w:t>8</w:t>
      </w:r>
      <w:r>
        <w:rPr>
          <w:rFonts w:ascii="Arial" w:hAnsi="Arial" w:cs="Arial"/>
          <w:sz w:val="20"/>
          <w:szCs w:val="20"/>
        </w:rPr>
        <w:t>% for the three months ended March 31, 2022. For the three months ended March 31, 2021, the effective tax rate was</w:t>
      </w:r>
      <w:r>
        <w:rPr>
          <w:rFonts w:ascii="Arial" w:hAnsi="Arial" w:cs="Arial"/>
          <w:sz w:val="20"/>
          <w:szCs w:val="20"/>
        </w:rPr>
        <w:t xml:space="preserve"> </w:t>
      </w:r>
      <w:r>
        <w:rPr>
          <w:rFonts w:ascii="Arial" w:hAnsi="Arial" w:cs="Arial"/>
          <w:sz w:val="20"/>
          <w:szCs w:val="20"/>
        </w:rPr>
        <w:t>25.</w:t>
      </w:r>
      <w:r>
        <w:rPr>
          <w:rFonts w:ascii="Arial" w:hAnsi="Arial" w:cs="Arial"/>
          <w:sz w:val="20"/>
          <w:szCs w:val="20"/>
        </w:rPr>
        <w:t>0</w:t>
      </w:r>
      <w:r>
        <w:rPr>
          <w:rFonts w:ascii="Arial" w:hAnsi="Arial" w:cs="Arial"/>
          <w:sz w:val="20"/>
          <w:szCs w:val="20"/>
        </w:rPr>
        <w:t>%. The difference between the Company’s effective tax rate and the U.S. federal statut</w:t>
      </w:r>
      <w:r>
        <w:rPr>
          <w:rFonts w:ascii="Arial" w:hAnsi="Arial" w:cs="Arial"/>
          <w:sz w:val="20"/>
          <w:szCs w:val="20"/>
        </w:rPr>
        <w:t>ory rate of</w:t>
      </w:r>
      <w:r>
        <w:rPr>
          <w:rFonts w:ascii="Arial" w:hAnsi="Arial" w:cs="Arial"/>
          <w:sz w:val="20"/>
          <w:szCs w:val="20"/>
        </w:rPr>
        <w:t xml:space="preserve"> </w:t>
      </w:r>
      <w:r>
        <w:rPr>
          <w:rFonts w:ascii="Arial" w:hAnsi="Arial" w:cs="Arial"/>
          <w:sz w:val="20"/>
          <w:szCs w:val="20"/>
        </w:rPr>
        <w:t>2</w:t>
      </w:r>
      <w:r>
        <w:rPr>
          <w:rFonts w:ascii="Arial" w:hAnsi="Arial" w:cs="Arial"/>
          <w:sz w:val="20"/>
          <w:szCs w:val="20"/>
        </w:rPr>
        <w:t>1</w:t>
      </w:r>
      <w:r>
        <w:rPr>
          <w:rFonts w:ascii="Arial" w:hAnsi="Arial" w:cs="Arial"/>
          <w:sz w:val="20"/>
          <w:szCs w:val="20"/>
        </w:rPr>
        <w:t>% in the above periods was primarily the result of state taxes, foreign income taxed at different rates and permanent and discrete tax adjustments related to nondeductible executive compensation</w:t>
      </w:r>
      <w:r>
        <w:rPr>
          <w:rFonts w:ascii="Arial" w:hAnsi="Arial" w:cs="Arial"/>
          <w:sz w:val="20"/>
          <w:szCs w:val="20"/>
        </w:rPr>
        <w:t>.</w:t>
      </w:r>
    </w:p>
    <w:p w:rsidR="00000000" w:rsidRDefault="00CA40A2">
      <w:pPr>
        <w:pStyle w:val="a3"/>
        <w:spacing w:before="240" w:beforeAutospacing="0" w:after="0" w:afterAutospacing="0"/>
        <w:ind w:hanging="422"/>
        <w:divId w:val="914051727"/>
        <w:rPr>
          <w:sz w:val="20"/>
          <w:szCs w:val="20"/>
        </w:rPr>
      </w:pPr>
      <w:r>
        <w:rPr>
          <w:rFonts w:ascii="Arial" w:hAnsi="Arial" w:cs="Arial"/>
          <w:b/>
          <w:bCs/>
          <w:sz w:val="20"/>
          <w:szCs w:val="20"/>
        </w:rPr>
        <w:t>14. Net Income Per Share Attributable to Commo</w:t>
      </w:r>
      <w:r>
        <w:rPr>
          <w:rFonts w:ascii="Arial" w:hAnsi="Arial" w:cs="Arial"/>
          <w:b/>
          <w:bCs/>
          <w:sz w:val="20"/>
          <w:szCs w:val="20"/>
        </w:rPr>
        <w:t>n Stoc</w:t>
      </w:r>
      <w:r>
        <w:rPr>
          <w:rFonts w:ascii="Arial" w:hAnsi="Arial" w:cs="Arial"/>
          <w:b/>
          <w:bCs/>
          <w:sz w:val="20"/>
          <w:szCs w:val="20"/>
        </w:rPr>
        <w:t>k</w:t>
      </w:r>
    </w:p>
    <w:p w:rsidR="00000000" w:rsidRDefault="00CA40A2">
      <w:pPr>
        <w:pStyle w:val="a3"/>
        <w:spacing w:before="120" w:beforeAutospacing="0" w:after="0" w:afterAutospacing="0"/>
        <w:ind w:firstLine="539"/>
        <w:divId w:val="914051727"/>
        <w:rPr>
          <w:sz w:val="20"/>
          <w:szCs w:val="20"/>
        </w:rPr>
      </w:pPr>
      <w:r>
        <w:rPr>
          <w:rFonts w:ascii="Arial" w:hAnsi="Arial" w:cs="Arial"/>
          <w:sz w:val="20"/>
          <w:szCs w:val="20"/>
        </w:rPr>
        <w:t>Basic net income per share attributable to common stockholders is computed by deducting the undeclared dividends on the Series A preferred stock from net income to arrive at net income attributable to common stock and dividing the net income attrib</w:t>
      </w:r>
      <w:r>
        <w:rPr>
          <w:rFonts w:ascii="Arial" w:hAnsi="Arial" w:cs="Arial"/>
          <w:sz w:val="20"/>
          <w:szCs w:val="20"/>
        </w:rPr>
        <w:t>utable to common stockholders by the weighted-average number of shares of common stock outstanding during the period</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divId w:val="914051727"/>
        <w:rPr>
          <w:sz w:val="20"/>
          <w:szCs w:val="20"/>
        </w:rPr>
      </w:pPr>
      <w:r>
        <w:rPr>
          <w:rFonts w:ascii="Arial" w:hAnsi="Arial" w:cs="Arial"/>
          <w:sz w:val="20"/>
          <w:szCs w:val="20"/>
        </w:rPr>
        <w:t>Diluted net income per share attributable to common stock is computed by giving effect to all potentially dilutive common stock equivalen</w:t>
      </w:r>
      <w:r>
        <w:rPr>
          <w:rFonts w:ascii="Arial" w:hAnsi="Arial" w:cs="Arial"/>
          <w:sz w:val="20"/>
          <w:szCs w:val="20"/>
        </w:rPr>
        <w:t>ts to the extent they are dilutive. The dilutive effect of outstanding options, RSUs and warrants is reflected in diluted net income per share attributable to common stock by application of the treasury stock method. The calculation of diluted net income p</w:t>
      </w:r>
      <w:r>
        <w:rPr>
          <w:rFonts w:ascii="Arial" w:hAnsi="Arial" w:cs="Arial"/>
          <w:sz w:val="20"/>
          <w:szCs w:val="20"/>
        </w:rPr>
        <w:t>er share attributable to common stock excludes all anti-dilutive common shares</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divId w:val="914051727"/>
        <w:rPr>
          <w:sz w:val="20"/>
          <w:szCs w:val="20"/>
        </w:rPr>
      </w:pPr>
      <w:r>
        <w:rPr>
          <w:rFonts w:ascii="Arial" w:hAnsi="Arial" w:cs="Arial"/>
          <w:sz w:val="20"/>
          <w:szCs w:val="20"/>
        </w:rPr>
        <w:t>The rights of the holders of Class A and Class B common stock are identical, except with respect to voting and conversion. As the liquidation and dividend rights are identical</w:t>
      </w:r>
      <w:r>
        <w:rPr>
          <w:rFonts w:ascii="Arial" w:hAnsi="Arial" w:cs="Arial"/>
          <w:sz w:val="20"/>
          <w:szCs w:val="20"/>
        </w:rPr>
        <w:t>, the undistributed earnings are allocated on a proportionate basis to each class of common stock and the resulting basic and diluted net income per share attributable to common stockholders are, therefore, the same for both Class A and Class B common stoc</w:t>
      </w:r>
      <w:r>
        <w:rPr>
          <w:rFonts w:ascii="Arial" w:hAnsi="Arial" w:cs="Arial"/>
          <w:sz w:val="20"/>
          <w:szCs w:val="20"/>
        </w:rPr>
        <w:t>k on both an individual and combined basis</w:t>
      </w:r>
      <w:r>
        <w:rPr>
          <w:rFonts w:ascii="Arial" w:hAnsi="Arial" w:cs="Arial"/>
          <w:sz w:val="20"/>
          <w:szCs w:val="20"/>
        </w:rPr>
        <w:t>.</w:t>
      </w:r>
    </w:p>
    <w:p w:rsidR="00000000" w:rsidRDefault="00CA40A2">
      <w:pPr>
        <w:pStyle w:val="a3"/>
        <w:spacing w:before="120" w:beforeAutospacing="0" w:after="0" w:afterAutospacing="0"/>
        <w:jc w:val="center"/>
        <w:divId w:val="914051727"/>
        <w:rPr>
          <w:sz w:val="20"/>
          <w:szCs w:val="20"/>
        </w:rPr>
      </w:pPr>
      <w:r>
        <w:rPr>
          <w:rFonts w:ascii="Arial" w:hAnsi="Arial" w:cs="Arial"/>
          <w:sz w:val="20"/>
          <w:szCs w:val="20"/>
        </w:rPr>
        <w:t>2</w:t>
      </w:r>
      <w:r>
        <w:rPr>
          <w:rFonts w:ascii="Arial" w:hAnsi="Arial" w:cs="Arial"/>
          <w:sz w:val="20"/>
          <w:szCs w:val="20"/>
        </w:rPr>
        <w:t>0</w:t>
      </w:r>
    </w:p>
    <w:p w:rsidR="00000000" w:rsidRDefault="00CA40A2">
      <w:pPr>
        <w:divId w:val="914051727"/>
        <w:rPr>
          <w:rFonts w:ascii="Arial" w:eastAsia="Times New Roman" w:hAnsi="Arial" w:cs="Arial"/>
          <w:sz w:val="20"/>
          <w:szCs w:val="20"/>
        </w:rPr>
      </w:pPr>
      <w:r>
        <w:rPr>
          <w:rFonts w:ascii="Arial" w:eastAsia="Times New Roman" w:hAnsi="Arial" w:cs="Arial"/>
          <w:sz w:val="20"/>
          <w:szCs w:val="20"/>
        </w:rPr>
        <w:pict>
          <v:rect id="_x0000_i1045" style="width:0;height:1.5pt" o:hralign="center" o:hrstd="t" o:hr="t" fillcolor="#a0a0a0" stroked="f"/>
        </w:pict>
      </w:r>
    </w:p>
    <w:p w:rsidR="00000000" w:rsidRDefault="00CA40A2">
      <w:pPr>
        <w:pStyle w:val="a3"/>
        <w:spacing w:before="0" w:beforeAutospacing="0" w:after="0" w:afterAutospacing="0"/>
        <w:divId w:val="914051727"/>
        <w:rPr>
          <w:sz w:val="20"/>
          <w:szCs w:val="20"/>
        </w:rPr>
      </w:pPr>
      <w:r>
        <w:rPr>
          <w:rFonts w:ascii="Arial" w:hAnsi="Arial" w:cs="Arial"/>
          <w:sz w:val="20"/>
          <w:szCs w:val="20"/>
        </w:rPr>
        <w:t> </w:t>
      </w:r>
    </w:p>
    <w:p w:rsidR="00000000" w:rsidRDefault="00CA40A2">
      <w:pPr>
        <w:pStyle w:val="a3"/>
        <w:spacing w:before="120" w:beforeAutospacing="0" w:after="120" w:afterAutospacing="0"/>
        <w:ind w:firstLine="539"/>
        <w:divId w:val="856626821"/>
        <w:rPr>
          <w:sz w:val="20"/>
          <w:szCs w:val="20"/>
        </w:rPr>
      </w:pPr>
      <w:r>
        <w:rPr>
          <w:rFonts w:ascii="Arial" w:hAnsi="Arial" w:cs="Arial"/>
          <w:sz w:val="20"/>
          <w:szCs w:val="20"/>
        </w:rPr>
        <w:t>The following table sets forth the computation of basic and diluted net income per share attributable to common stock (in thousands except share and per share data)</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2"/>
        <w:gridCol w:w="172"/>
        <w:gridCol w:w="1173"/>
        <w:gridCol w:w="116"/>
        <w:gridCol w:w="116"/>
        <w:gridCol w:w="172"/>
        <w:gridCol w:w="1173"/>
        <w:gridCol w:w="142"/>
      </w:tblGrid>
      <w:tr w:rsidR="00000000">
        <w:trPr>
          <w:divId w:val="856626821"/>
          <w:tblCellSpacing w:w="15" w:type="dxa"/>
        </w:trPr>
        <w:tc>
          <w:tcPr>
            <w:tcW w:w="3439" w:type="pct"/>
            <w:vAlign w:val="center"/>
            <w:hideMark/>
          </w:tcPr>
          <w:p w:rsidR="00000000" w:rsidRDefault="00CA40A2">
            <w:pPr>
              <w:rPr>
                <w:sz w:val="20"/>
                <w:szCs w:val="20"/>
              </w:rPr>
            </w:pPr>
          </w:p>
        </w:tc>
        <w:tc>
          <w:tcPr>
            <w:tcW w:w="67" w:type="pct"/>
            <w:vAlign w:val="center"/>
            <w:hideMark/>
          </w:tcPr>
          <w:p w:rsidR="00000000" w:rsidRDefault="00CA40A2">
            <w:pPr>
              <w:rPr>
                <w:rFonts w:eastAsia="Times New Roman"/>
                <w:sz w:val="20"/>
                <w:szCs w:val="20"/>
              </w:rPr>
            </w:pPr>
          </w:p>
        </w:tc>
        <w:tc>
          <w:tcPr>
            <w:tcW w:w="642"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74"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36"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r>
      <w:tr w:rsidR="00000000">
        <w:trPr>
          <w:divId w:val="856626821"/>
          <w:trHeight w:val="160"/>
          <w:tblCellSpacing w:w="15" w:type="dxa"/>
        </w:trPr>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856626821"/>
          <w:trHeight w:val="160"/>
          <w:tblCellSpacing w:w="15" w:type="dxa"/>
        </w:trPr>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Numerator</w:t>
            </w:r>
            <w:r>
              <w:rPr>
                <w:rFonts w:ascii="Arial" w:hAnsi="Arial" w:cs="Arial"/>
                <w:sz w:val="20"/>
                <w:szCs w:val="20"/>
              </w:rPr>
              <w:t>:</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ind w:left="28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1,71</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3,63</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ind w:left="280"/>
              <w:rPr>
                <w:sz w:val="20"/>
                <w:szCs w:val="20"/>
              </w:rPr>
            </w:pPr>
            <w:r>
              <w:rPr>
                <w:rFonts w:ascii="Arial" w:hAnsi="Arial" w:cs="Arial"/>
                <w:sz w:val="20"/>
                <w:szCs w:val="20"/>
              </w:rPr>
              <w:t>Undeclared dividends on Series A preferred stoc</w:t>
            </w:r>
            <w:r>
              <w:rPr>
                <w:rFonts w:ascii="Arial" w:hAnsi="Arial" w:cs="Arial"/>
                <w:sz w:val="20"/>
                <w:szCs w:val="20"/>
              </w:rPr>
              <w:t>k</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1,36</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ind w:left="280"/>
              <w:rPr>
                <w:sz w:val="20"/>
                <w:szCs w:val="20"/>
              </w:rPr>
            </w:pPr>
            <w:r>
              <w:rPr>
                <w:rFonts w:ascii="Arial" w:hAnsi="Arial" w:cs="Arial"/>
                <w:sz w:val="20"/>
                <w:szCs w:val="20"/>
              </w:rPr>
              <w:t>Net income attributable to common stoc</w:t>
            </w:r>
            <w:r>
              <w:rPr>
                <w:rFonts w:ascii="Arial" w:hAnsi="Arial" w:cs="Arial"/>
                <w:sz w:val="20"/>
                <w:szCs w:val="20"/>
              </w:rPr>
              <w:t>k</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1,71</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2,27</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Denominator</w:t>
            </w:r>
            <w:r>
              <w:rPr>
                <w:rFonts w:ascii="Arial" w:hAnsi="Arial" w:cs="Arial"/>
                <w:sz w:val="20"/>
                <w:szCs w:val="20"/>
              </w:rPr>
              <w:t>:</w:t>
            </w:r>
          </w:p>
        </w:tc>
        <w:tc>
          <w:tcPr>
            <w:tcW w:w="0" w:type="auto"/>
            <w:gridSpan w:val="2"/>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ind w:left="280"/>
              <w:rPr>
                <w:sz w:val="20"/>
                <w:szCs w:val="20"/>
              </w:rPr>
            </w:pPr>
            <w:r>
              <w:rPr>
                <w:rFonts w:ascii="Arial" w:hAnsi="Arial" w:cs="Arial"/>
                <w:sz w:val="20"/>
                <w:szCs w:val="20"/>
              </w:rPr>
              <w:t>Weighted-average shares of common stock - basi</w:t>
            </w:r>
            <w:r>
              <w:rPr>
                <w:rFonts w:ascii="Arial" w:hAnsi="Arial" w:cs="Arial"/>
                <w:sz w:val="20"/>
                <w:szCs w:val="20"/>
              </w:rPr>
              <w:t>c</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120,897,57</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103,479,23</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ind w:left="280"/>
              <w:rPr>
                <w:sz w:val="20"/>
                <w:szCs w:val="20"/>
              </w:rPr>
            </w:pPr>
            <w:r>
              <w:rPr>
                <w:rFonts w:ascii="Arial" w:hAnsi="Arial" w:cs="Arial"/>
                <w:sz w:val="20"/>
                <w:szCs w:val="20"/>
              </w:rPr>
              <w:t>Dilutive effect of stock options to purchase common stoc</w:t>
            </w:r>
            <w:r>
              <w:rPr>
                <w:rFonts w:ascii="Arial" w:hAnsi="Arial" w:cs="Arial"/>
                <w:sz w:val="20"/>
                <w:szCs w:val="20"/>
              </w:rPr>
              <w:t>k</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4,976,72</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2,824,65</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ind w:left="280"/>
              <w:rPr>
                <w:sz w:val="20"/>
                <w:szCs w:val="20"/>
              </w:rPr>
            </w:pPr>
            <w:r>
              <w:rPr>
                <w:rFonts w:ascii="Arial" w:hAnsi="Arial" w:cs="Arial"/>
                <w:sz w:val="20"/>
                <w:szCs w:val="20"/>
              </w:rPr>
              <w:t>Dilutive effect of RSU</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26,34</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ind w:left="280"/>
              <w:rPr>
                <w:sz w:val="20"/>
                <w:szCs w:val="20"/>
              </w:rPr>
            </w:pPr>
            <w:r>
              <w:rPr>
                <w:rFonts w:ascii="Arial" w:hAnsi="Arial" w:cs="Arial"/>
                <w:sz w:val="20"/>
                <w:szCs w:val="20"/>
              </w:rPr>
              <w:t>Dilutive effect of warrant</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85,86</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ind w:left="280"/>
              <w:rPr>
                <w:sz w:val="20"/>
                <w:szCs w:val="20"/>
              </w:rPr>
            </w:pPr>
            <w:r>
              <w:rPr>
                <w:rFonts w:ascii="Arial" w:hAnsi="Arial" w:cs="Arial"/>
                <w:sz w:val="20"/>
                <w:szCs w:val="20"/>
              </w:rPr>
              <w:t>Weighted-average shares of common stock - dilute</w:t>
            </w:r>
            <w:r>
              <w:rPr>
                <w:rFonts w:ascii="Arial" w:hAnsi="Arial" w:cs="Arial"/>
                <w:sz w:val="20"/>
                <w:szCs w:val="20"/>
              </w:rPr>
              <w:t>d</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125,986,51</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106,303,89</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Net income per share attributable to common stoc</w:t>
            </w:r>
            <w:r>
              <w:rPr>
                <w:rFonts w:ascii="Arial" w:hAnsi="Arial" w:cs="Arial"/>
                <w:sz w:val="20"/>
                <w:szCs w:val="20"/>
              </w:rPr>
              <w:t>k</w:t>
            </w:r>
          </w:p>
        </w:tc>
        <w:tc>
          <w:tcPr>
            <w:tcW w:w="0" w:type="auto"/>
            <w:gridSpan w:val="2"/>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ind w:left="280"/>
              <w:rPr>
                <w:sz w:val="20"/>
                <w:szCs w:val="20"/>
              </w:rPr>
            </w:pPr>
            <w:r>
              <w:rPr>
                <w:rFonts w:ascii="Arial" w:hAnsi="Arial" w:cs="Arial"/>
                <w:sz w:val="20"/>
                <w:szCs w:val="20"/>
              </w:rPr>
              <w:t>Basi</w:t>
            </w:r>
            <w:r>
              <w:rPr>
                <w:rFonts w:ascii="Arial" w:hAnsi="Arial" w:cs="Arial"/>
                <w:sz w:val="20"/>
                <w:szCs w:val="20"/>
              </w:rPr>
              <w:t>c</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856626821"/>
          <w:trHeight w:val="200"/>
          <w:tblCellSpacing w:w="15" w:type="dxa"/>
        </w:trPr>
        <w:tc>
          <w:tcPr>
            <w:tcW w:w="0" w:type="auto"/>
            <w:hideMark/>
          </w:tcPr>
          <w:p w:rsidR="00000000" w:rsidRDefault="00CA40A2">
            <w:pPr>
              <w:pStyle w:val="a3"/>
              <w:spacing w:before="0" w:beforeAutospacing="0" w:after="0" w:afterAutospacing="0"/>
              <w:ind w:left="280"/>
              <w:rPr>
                <w:sz w:val="20"/>
                <w:szCs w:val="20"/>
              </w:rPr>
            </w:pPr>
            <w:r>
              <w:rPr>
                <w:rFonts w:ascii="Arial" w:hAnsi="Arial" w:cs="Arial"/>
                <w:sz w:val="20"/>
                <w:szCs w:val="20"/>
              </w:rPr>
              <w:t>Dilute</w:t>
            </w:r>
            <w:r>
              <w:rPr>
                <w:rFonts w:ascii="Arial" w:hAnsi="Arial" w:cs="Arial"/>
                <w:sz w:val="20"/>
                <w:szCs w:val="20"/>
              </w:rPr>
              <w:t>d</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120" w:afterAutospacing="0"/>
        <w:ind w:firstLine="539"/>
        <w:divId w:val="422339068"/>
        <w:rPr>
          <w:sz w:val="20"/>
          <w:szCs w:val="20"/>
        </w:rPr>
      </w:pPr>
      <w:r>
        <w:rPr>
          <w:rFonts w:ascii="Arial" w:hAnsi="Arial" w:cs="Arial"/>
          <w:sz w:val="20"/>
          <w:szCs w:val="20"/>
        </w:rPr>
        <w:t>The following table summarizes the securities that were excluded from the computation of diluted net income per share attributable to common stock as their inclusion would have been antidilutive</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2"/>
        <w:gridCol w:w="116"/>
        <w:gridCol w:w="1069"/>
        <w:gridCol w:w="116"/>
        <w:gridCol w:w="116"/>
        <w:gridCol w:w="117"/>
        <w:gridCol w:w="1069"/>
        <w:gridCol w:w="131"/>
      </w:tblGrid>
      <w:tr w:rsidR="00000000">
        <w:trPr>
          <w:divId w:val="422339068"/>
          <w:tblCellSpacing w:w="15" w:type="dxa"/>
        </w:trPr>
        <w:tc>
          <w:tcPr>
            <w:tcW w:w="3457" w:type="pct"/>
            <w:vAlign w:val="center"/>
            <w:hideMark/>
          </w:tcPr>
          <w:p w:rsidR="00000000" w:rsidRDefault="00CA40A2">
            <w:pPr>
              <w:rPr>
                <w:sz w:val="20"/>
                <w:szCs w:val="20"/>
              </w:rPr>
            </w:pPr>
          </w:p>
        </w:tc>
        <w:tc>
          <w:tcPr>
            <w:tcW w:w="32" w:type="pct"/>
            <w:vAlign w:val="center"/>
            <w:hideMark/>
          </w:tcPr>
          <w:p w:rsidR="00000000" w:rsidRDefault="00CA40A2">
            <w:pPr>
              <w:rPr>
                <w:rFonts w:eastAsia="Times New Roman"/>
                <w:sz w:val="20"/>
                <w:szCs w:val="20"/>
              </w:rPr>
            </w:pPr>
          </w:p>
        </w:tc>
        <w:tc>
          <w:tcPr>
            <w:tcW w:w="667"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75"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667"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divId w:val="422339068"/>
          <w:trHeight w:val="160"/>
          <w:tblCellSpacing w:w="15" w:type="dxa"/>
        </w:trPr>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422339068"/>
          <w:trHeight w:val="160"/>
          <w:tblCellSpacing w:w="15" w:type="dxa"/>
        </w:trPr>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422339068"/>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r>
      <w:tr w:rsidR="00000000">
        <w:trPr>
          <w:divId w:val="422339068"/>
          <w:trHeight w:val="200"/>
          <w:tblCellSpacing w:w="15" w:type="dxa"/>
        </w:trPr>
        <w:tc>
          <w:tcPr>
            <w:tcW w:w="0" w:type="auto"/>
            <w:hideMark/>
          </w:tcPr>
          <w:p w:rsidR="00000000" w:rsidRDefault="00CA40A2">
            <w:pPr>
              <w:pStyle w:val="a3"/>
              <w:spacing w:before="0" w:beforeAutospacing="0" w:after="0" w:afterAutospacing="0"/>
              <w:rPr>
                <w:sz w:val="20"/>
                <w:szCs w:val="20"/>
              </w:rPr>
            </w:pPr>
            <w:r>
              <w:rPr>
                <w:rFonts w:ascii="Arial" w:hAnsi="Arial" w:cs="Arial"/>
                <w:sz w:val="20"/>
                <w:szCs w:val="20"/>
              </w:rPr>
              <w:t>RSU</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7,74</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0" w:beforeAutospacing="0" w:after="0" w:afterAutospacing="0"/>
        <w:ind w:hanging="422"/>
        <w:divId w:val="681592473"/>
        <w:rPr>
          <w:sz w:val="20"/>
          <w:szCs w:val="20"/>
        </w:rPr>
      </w:pPr>
      <w:r>
        <w:rPr>
          <w:rFonts w:ascii="Arial" w:hAnsi="Arial" w:cs="Arial"/>
          <w:b/>
          <w:bCs/>
          <w:sz w:val="20"/>
          <w:szCs w:val="20"/>
        </w:rPr>
        <w:t>15. Geographic Informatio</w:t>
      </w:r>
      <w:r>
        <w:rPr>
          <w:rFonts w:ascii="Arial" w:hAnsi="Arial" w:cs="Arial"/>
          <w:b/>
          <w:bCs/>
          <w:sz w:val="20"/>
          <w:szCs w:val="20"/>
        </w:rPr>
        <w:t>n</w:t>
      </w:r>
    </w:p>
    <w:p w:rsidR="00000000" w:rsidRDefault="00CA40A2">
      <w:pPr>
        <w:pStyle w:val="a3"/>
        <w:spacing w:before="120" w:beforeAutospacing="0" w:after="240" w:afterAutospacing="0"/>
        <w:ind w:firstLine="539"/>
        <w:divId w:val="516191538"/>
        <w:rPr>
          <w:sz w:val="20"/>
          <w:szCs w:val="20"/>
        </w:rPr>
      </w:pPr>
      <w:r>
        <w:rPr>
          <w:rFonts w:ascii="Arial" w:hAnsi="Arial" w:cs="Arial"/>
          <w:sz w:val="20"/>
          <w:szCs w:val="20"/>
        </w:rPr>
        <w:t>Revenue by geographic area, based on the location of the Company’s users, was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8"/>
        <w:gridCol w:w="124"/>
        <w:gridCol w:w="172"/>
        <w:gridCol w:w="1049"/>
        <w:gridCol w:w="116"/>
        <w:gridCol w:w="124"/>
        <w:gridCol w:w="172"/>
        <w:gridCol w:w="1050"/>
        <w:gridCol w:w="131"/>
      </w:tblGrid>
      <w:tr w:rsidR="00000000">
        <w:trPr>
          <w:divId w:val="516191538"/>
          <w:tblCellSpacing w:w="15" w:type="dxa"/>
        </w:trPr>
        <w:tc>
          <w:tcPr>
            <w:tcW w:w="3339" w:type="pct"/>
            <w:vAlign w:val="center"/>
            <w:hideMark/>
          </w:tcPr>
          <w:p w:rsidR="00000000" w:rsidRDefault="00CA40A2">
            <w:pPr>
              <w:rPr>
                <w:sz w:val="20"/>
                <w:szCs w:val="20"/>
              </w:rPr>
            </w:pPr>
          </w:p>
        </w:tc>
        <w:tc>
          <w:tcPr>
            <w:tcW w:w="76"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53"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76"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53"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divId w:val="516191538"/>
          <w:trHeight w:val="160"/>
          <w:tblCellSpacing w:w="15" w:type="dxa"/>
        </w:trPr>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516191538"/>
          <w:trHeight w:val="160"/>
          <w:tblCellSpacing w:w="15" w:type="dxa"/>
        </w:trPr>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516191538"/>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113,96</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90,30</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516191538"/>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2,74</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1,91</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516191538"/>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116,70</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92,22</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240" w:afterAutospacing="0"/>
        <w:ind w:firstLine="539"/>
        <w:divId w:val="1631742000"/>
        <w:rPr>
          <w:sz w:val="20"/>
          <w:szCs w:val="20"/>
        </w:rPr>
      </w:pPr>
      <w:r>
        <w:rPr>
          <w:rFonts w:ascii="Arial" w:hAnsi="Arial" w:cs="Arial"/>
          <w:sz w:val="20"/>
          <w:szCs w:val="20"/>
        </w:rPr>
        <w:t>Long-lived assets, comprising property and equipment assets, by geographic area were as follows (in thousands)</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9"/>
        <w:gridCol w:w="123"/>
        <w:gridCol w:w="172"/>
        <w:gridCol w:w="1049"/>
        <w:gridCol w:w="116"/>
        <w:gridCol w:w="124"/>
        <w:gridCol w:w="173"/>
        <w:gridCol w:w="1049"/>
        <w:gridCol w:w="131"/>
      </w:tblGrid>
      <w:tr w:rsidR="00000000">
        <w:trPr>
          <w:divId w:val="1631742000"/>
          <w:tblCellSpacing w:w="15" w:type="dxa"/>
        </w:trPr>
        <w:tc>
          <w:tcPr>
            <w:tcW w:w="3340" w:type="pct"/>
            <w:vAlign w:val="center"/>
            <w:hideMark/>
          </w:tcPr>
          <w:p w:rsidR="00000000" w:rsidRDefault="00CA40A2">
            <w:pPr>
              <w:rPr>
                <w:sz w:val="20"/>
                <w:szCs w:val="20"/>
              </w:rPr>
            </w:pPr>
          </w:p>
        </w:tc>
        <w:tc>
          <w:tcPr>
            <w:tcW w:w="76"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53"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76"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53"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divId w:val="1631742000"/>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631742000"/>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divId w:val="1631742000"/>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631742000"/>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1,45</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1,45</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divId w:val="1631742000"/>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2,15</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1</w:t>
      </w:r>
    </w:p>
    <w:p w:rsidR="00000000" w:rsidRDefault="00CA40A2">
      <w:pPr>
        <w:rPr>
          <w:rFonts w:eastAsia="Times New Roman"/>
        </w:rPr>
      </w:pPr>
      <w:r>
        <w:rPr>
          <w:rFonts w:eastAsia="Times New Roman"/>
        </w:rPr>
        <w:pict>
          <v:rect id="_x0000_i1046"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2. Management’s Discussion and Analysis of Financial Condition and Results of Operations</w:t>
      </w:r>
      <w:r>
        <w:rPr>
          <w:rFonts w:ascii="Arial" w:hAnsi="Arial" w:cs="Arial"/>
          <w:b/>
          <w:bCs/>
          <w:sz w:val="20"/>
          <w:szCs w:val="20"/>
        </w:rPr>
        <w:t>.</w:t>
      </w:r>
    </w:p>
    <w:p w:rsidR="00000000" w:rsidRDefault="00CA40A2">
      <w:pPr>
        <w:pStyle w:val="a3"/>
        <w:spacing w:before="240" w:beforeAutospacing="0" w:after="0" w:afterAutospacing="0"/>
        <w:jc w:val="center"/>
        <w:rPr>
          <w:sz w:val="20"/>
          <w:szCs w:val="20"/>
        </w:rPr>
      </w:pPr>
      <w:r>
        <w:rPr>
          <w:rFonts w:ascii="Arial" w:hAnsi="Arial" w:cs="Arial"/>
          <w:b/>
          <w:bCs/>
          <w:sz w:val="20"/>
          <w:szCs w:val="20"/>
        </w:rPr>
        <w:t>Overvie</w:t>
      </w:r>
      <w:r>
        <w:rPr>
          <w:rFonts w:ascii="Arial" w:hAnsi="Arial" w:cs="Arial"/>
          <w:b/>
          <w:bCs/>
          <w:sz w:val="20"/>
          <w:szCs w:val="20"/>
        </w:rPr>
        <w:t>w</w:t>
      </w:r>
    </w:p>
    <w:p w:rsidR="00000000" w:rsidRDefault="00CA40A2">
      <w:pPr>
        <w:pStyle w:val="a3"/>
        <w:spacing w:before="120" w:beforeAutospacing="0" w:after="0" w:afterAutospacing="0"/>
        <w:ind w:firstLine="539"/>
        <w:rPr>
          <w:sz w:val="20"/>
          <w:szCs w:val="20"/>
        </w:rPr>
      </w:pPr>
      <w:r>
        <w:rPr>
          <w:rFonts w:ascii="Arial" w:hAnsi="Arial" w:cs="Arial"/>
          <w:sz w:val="20"/>
          <w:szCs w:val="20"/>
        </w:rPr>
        <w:t>We are a leading provider of cloud-based bill payment technology and solutions. We deliver our next-generation product suite through a modern technology stack to more than 1,700 biller business and financial institution clients. Our platform was used by ap</w:t>
      </w:r>
      <w:r>
        <w:rPr>
          <w:rFonts w:ascii="Arial" w:hAnsi="Arial" w:cs="Arial"/>
          <w:sz w:val="20"/>
          <w:szCs w:val="20"/>
        </w:rPr>
        <w:t>proximately 21 million consumers and businesses in North America in December 2021 to pay their bills, make money movements and engage with our clients. We serve billers of all sizes that primarily provide non-discretionary services across a variety of indu</w:t>
      </w:r>
      <w:r>
        <w:rPr>
          <w:rFonts w:ascii="Arial" w:hAnsi="Arial" w:cs="Arial"/>
          <w:sz w:val="20"/>
          <w:szCs w:val="20"/>
        </w:rPr>
        <w:t>stry verticals, including utilities, financial services, insurance, government, telecommunications and healthcare. We also serve financial institutions by providing them with a modern platform that their customers use for bill payment, account-to-account t</w:t>
      </w:r>
      <w:r>
        <w:rPr>
          <w:rFonts w:ascii="Arial" w:hAnsi="Arial" w:cs="Arial"/>
          <w:sz w:val="20"/>
          <w:szCs w:val="20"/>
        </w:rPr>
        <w:t>ransfers and person-to-person transfers. By powering this comprehensive network of billers and financial institutions, each with their own set of bill payment requirements, we believe we have created an enviable feedback loop that enables us to continuousl</w:t>
      </w:r>
      <w:r>
        <w:rPr>
          <w:rFonts w:ascii="Arial" w:hAnsi="Arial" w:cs="Arial"/>
          <w:sz w:val="20"/>
          <w:szCs w:val="20"/>
        </w:rPr>
        <w:t>y drive innovation, grow our business and uniquely improve the electronic bill payment experience for participants in the bill payment ecosystem</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Our platform provides our clients with easy-to-use, flexible and secure electronic bill payment experiences powered by an omni-channel payment infrastructure that allows consumers to pay their bills using their preferred payment type and channel. Because o</w:t>
      </w:r>
      <w:r>
        <w:rPr>
          <w:rFonts w:ascii="Arial" w:hAnsi="Arial" w:cs="Arial"/>
          <w:sz w:val="20"/>
          <w:szCs w:val="20"/>
        </w:rPr>
        <w:t>ur biller platform is developed on a single code base and leverages a SaaS infrastructure, we can rapidly deploy new features and tools to our entire biller base simultaneously. Through a single point of integration to our billers’ core financial and opera</w:t>
      </w:r>
      <w:r>
        <w:rPr>
          <w:rFonts w:ascii="Arial" w:hAnsi="Arial" w:cs="Arial"/>
          <w:sz w:val="20"/>
          <w:szCs w:val="20"/>
        </w:rPr>
        <w:t>ting systems, our mission-critical solutions provide our billers with a payments operating system that helps them collect revenue faster and more profitably and empower their consumers with the information and transparency needed to control their finances</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We generate substantially all of our revenue from payment transaction fees and have achieved significant growth through our capital efficient model. We rely on a diversified go-to-market strategy to reach new billers. We acquire new billers through direct</w:t>
      </w:r>
      <w:r>
        <w:rPr>
          <w:rFonts w:ascii="Arial" w:hAnsi="Arial" w:cs="Arial"/>
          <w:sz w:val="20"/>
          <w:szCs w:val="20"/>
        </w:rPr>
        <w:t xml:space="preserve"> sales channels, software and strategic partnerships and our Instant Payment Network, or IPN, which together promote rapid adoption of our platform through partnerships with leading business networks. Through these channels, our platform reaches millions o</w:t>
      </w:r>
      <w:r>
        <w:rPr>
          <w:rFonts w:ascii="Arial" w:hAnsi="Arial" w:cs="Arial"/>
          <w:sz w:val="20"/>
          <w:szCs w:val="20"/>
        </w:rPr>
        <w:t>f consumers, driving transaction growth</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 xml:space="preserve">We believe our revenue is highly visible. We derive the majority of our revenue from a fee paid per transaction by the consumer, the biller or a combination of both. Our usage-based monetization strategy aligns our </w:t>
      </w:r>
      <w:r>
        <w:rPr>
          <w:rFonts w:ascii="Arial" w:hAnsi="Arial" w:cs="Arial"/>
          <w:sz w:val="20"/>
          <w:szCs w:val="20"/>
        </w:rPr>
        <w:t>economic success with the success of our billers and partners. Since we benefit from increased transactional volume, we do not charge separate license fees or implementation fees. In addition, our modern platform architecture allows us to provide integrati</w:t>
      </w:r>
      <w:r>
        <w:rPr>
          <w:rFonts w:ascii="Arial" w:hAnsi="Arial" w:cs="Arial"/>
          <w:sz w:val="20"/>
          <w:szCs w:val="20"/>
        </w:rPr>
        <w:t>on, implementation, maintenance and upgrades at no additional cost to billers</w:t>
      </w:r>
      <w:r>
        <w:rPr>
          <w:rFonts w:ascii="Arial" w:hAnsi="Arial" w:cs="Arial"/>
          <w:sz w:val="20"/>
          <w:szCs w:val="20"/>
        </w:rPr>
        <w:t>.</w:t>
      </w:r>
    </w:p>
    <w:p w:rsidR="00000000" w:rsidRDefault="00CA40A2">
      <w:pPr>
        <w:pStyle w:val="a3"/>
        <w:spacing w:before="240" w:beforeAutospacing="0" w:after="0" w:afterAutospacing="0"/>
        <w:jc w:val="center"/>
        <w:rPr>
          <w:sz w:val="20"/>
          <w:szCs w:val="20"/>
        </w:rPr>
      </w:pPr>
      <w:r>
        <w:rPr>
          <w:rFonts w:ascii="Arial" w:hAnsi="Arial" w:cs="Arial"/>
          <w:b/>
          <w:bCs/>
          <w:sz w:val="20"/>
          <w:szCs w:val="20"/>
        </w:rPr>
        <w:t>Impact of the COVID-19 Pandemi</w:t>
      </w:r>
      <w:r>
        <w:rPr>
          <w:rFonts w:ascii="Arial" w:hAnsi="Arial" w:cs="Arial"/>
          <w:b/>
          <w:bCs/>
          <w:sz w:val="20"/>
          <w:szCs w:val="20"/>
        </w:rPr>
        <w:t>c</w:t>
      </w:r>
    </w:p>
    <w:p w:rsidR="00000000" w:rsidRDefault="00CA40A2">
      <w:pPr>
        <w:pStyle w:val="a3"/>
        <w:spacing w:before="120" w:beforeAutospacing="0" w:after="0" w:afterAutospacing="0"/>
        <w:ind w:firstLine="539"/>
        <w:rPr>
          <w:sz w:val="20"/>
          <w:szCs w:val="20"/>
        </w:rPr>
      </w:pPr>
      <w:r>
        <w:rPr>
          <w:rFonts w:ascii="Arial" w:hAnsi="Arial" w:cs="Arial"/>
          <w:sz w:val="20"/>
          <w:szCs w:val="20"/>
        </w:rPr>
        <w:t>The COVID-19 pandemic, including its variants, and efforts to control its spread have significantly curtailed the movement of people, goods and s</w:t>
      </w:r>
      <w:r>
        <w:rPr>
          <w:rFonts w:ascii="Arial" w:hAnsi="Arial" w:cs="Arial"/>
          <w:sz w:val="20"/>
          <w:szCs w:val="20"/>
        </w:rPr>
        <w:t>ervices in the United States, where we generate substantially all of our revenue, and worldwide, where we are targeting future growth. It has also caused extreme societal, economic and financial market volatility, resulting in business shutdowns and a glob</w:t>
      </w:r>
      <w:r>
        <w:rPr>
          <w:rFonts w:ascii="Arial" w:hAnsi="Arial" w:cs="Arial"/>
          <w:sz w:val="20"/>
          <w:szCs w:val="20"/>
        </w:rPr>
        <w:t>al economic downturn. The magnitude and duration of the COVID-19 pandemic and the magnitude and duration of its effect on business activity cannot be predicted with any certainty</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In light of the uncertainty relating to the spread of COVID-19, we have take</w:t>
      </w:r>
      <w:r>
        <w:rPr>
          <w:rFonts w:ascii="Arial" w:hAnsi="Arial" w:cs="Arial"/>
          <w:sz w:val="20"/>
          <w:szCs w:val="20"/>
        </w:rPr>
        <w:t>n precautionary measures intended to reduce the risk of the virus spreading to our employees, billers and partners, and we may take further precautionary measures. In particular, governmental authorities have at times instituted, and in the future may inst</w:t>
      </w:r>
      <w:r>
        <w:rPr>
          <w:rFonts w:ascii="Arial" w:hAnsi="Arial" w:cs="Arial"/>
          <w:sz w:val="20"/>
          <w:szCs w:val="20"/>
        </w:rPr>
        <w:t>itute, shelter-in-place policies and other restrictions in many jurisdictions in which we operate, including in Redmond, Washington, where our headquarters are located, and Toronto, Canada, Charlotte, North Carolina and Delhi, India, where we maintain sign</w:t>
      </w:r>
      <w:r>
        <w:rPr>
          <w:rFonts w:ascii="Arial" w:hAnsi="Arial" w:cs="Arial"/>
          <w:sz w:val="20"/>
          <w:szCs w:val="20"/>
        </w:rPr>
        <w:t>ificant operations, which policies and restrictions have at times required our employees to work remotely. Even as shelter-in-place policies or other governmental restrictions are lifted, we are taking, and expect to continue to take, a measured and carefu</w:t>
      </w:r>
      <w:r>
        <w:rPr>
          <w:rFonts w:ascii="Arial" w:hAnsi="Arial" w:cs="Arial"/>
          <w:sz w:val="20"/>
          <w:szCs w:val="20"/>
        </w:rPr>
        <w:t>l approach to having employees return to offices and travel for business. To the extent our employees are required to work from our offices, we may experience turnover from employees unwilling to return to the office. These precautionary measures and polic</w:t>
      </w:r>
      <w:r>
        <w:rPr>
          <w:rFonts w:ascii="Arial" w:hAnsi="Arial" w:cs="Arial"/>
          <w:sz w:val="20"/>
          <w:szCs w:val="20"/>
        </w:rPr>
        <w:t>ies could negatively impact employee productivity, training and collaboration or otherwise disrupt our business operations. In addition, such restrictions impact certain of our sales efforts, marketing efforts and implementations, adversely affecting the e</w:t>
      </w:r>
      <w:r>
        <w:rPr>
          <w:rFonts w:ascii="Arial" w:hAnsi="Arial" w:cs="Arial"/>
          <w:sz w:val="20"/>
          <w:szCs w:val="20"/>
        </w:rPr>
        <w:t>ffectiveness of such efforts in some cases and potentially inhibiting future growth</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In addition, the COVID-19 pandemic has disrupted and may continue to disrupt the operations of our billers and partners for an indefinite period of time, which in turn co</w:t>
      </w:r>
      <w:r>
        <w:rPr>
          <w:rFonts w:ascii="Arial" w:hAnsi="Arial" w:cs="Arial"/>
          <w:sz w:val="20"/>
          <w:szCs w:val="20"/>
        </w:rPr>
        <w:t>uld negatively impact our business and operating results. Widespread remote work arrangements may also negatively impact our billers’ and partners’ operations, and the operations of third-party service providers who perform critical services for us, and, b</w:t>
      </w:r>
      <w:r>
        <w:rPr>
          <w:rFonts w:ascii="Arial" w:hAnsi="Arial" w:cs="Arial"/>
          <w:sz w:val="20"/>
          <w:szCs w:val="20"/>
        </w:rPr>
        <w:t>y extension, our operations</w:t>
      </w:r>
      <w:r>
        <w:rPr>
          <w:rFonts w:ascii="Arial" w:hAnsi="Arial" w:cs="Arial"/>
          <w:sz w:val="20"/>
          <w:szCs w:val="20"/>
        </w:rPr>
        <w:t>.</w:t>
      </w:r>
    </w:p>
    <w:p w:rsidR="00000000" w:rsidRDefault="00CA40A2">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2</w:t>
      </w:r>
    </w:p>
    <w:p w:rsidR="00000000" w:rsidRDefault="00CA40A2">
      <w:pPr>
        <w:rPr>
          <w:rFonts w:eastAsia="Times New Roman"/>
        </w:rPr>
      </w:pPr>
      <w:r>
        <w:rPr>
          <w:rFonts w:eastAsia="Times New Roman"/>
        </w:rPr>
        <w:pict>
          <v:rect id="_x0000_i1047"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120" w:beforeAutospacing="0" w:after="0" w:afterAutospacing="0"/>
        <w:ind w:firstLine="539"/>
        <w:rPr>
          <w:sz w:val="20"/>
          <w:szCs w:val="20"/>
        </w:rPr>
      </w:pPr>
      <w:r>
        <w:rPr>
          <w:rFonts w:ascii="Arial" w:hAnsi="Arial" w:cs="Arial"/>
          <w:sz w:val="20"/>
          <w:szCs w:val="20"/>
        </w:rPr>
        <w:t>We will continue to evaluate the nature and extent of the COVID-19 pandemic’s potential impact on our business, operating results and financial condition</w:t>
      </w:r>
      <w:r>
        <w:rPr>
          <w:rFonts w:ascii="Arial" w:hAnsi="Arial" w:cs="Arial"/>
          <w:sz w:val="20"/>
          <w:szCs w:val="20"/>
        </w:rPr>
        <w:t>.</w:t>
      </w:r>
    </w:p>
    <w:p w:rsidR="00000000" w:rsidRDefault="00CA40A2">
      <w:pPr>
        <w:pStyle w:val="a3"/>
        <w:spacing w:before="240" w:beforeAutospacing="0" w:after="0" w:afterAutospacing="0"/>
        <w:jc w:val="center"/>
        <w:rPr>
          <w:sz w:val="20"/>
          <w:szCs w:val="20"/>
        </w:rPr>
      </w:pPr>
      <w:r>
        <w:rPr>
          <w:rFonts w:ascii="Arial" w:hAnsi="Arial" w:cs="Arial"/>
          <w:b/>
          <w:bCs/>
          <w:sz w:val="20"/>
          <w:szCs w:val="20"/>
        </w:rPr>
        <w:t>Components of Results of Operat</w:t>
      </w:r>
      <w:r>
        <w:rPr>
          <w:rFonts w:ascii="Arial" w:hAnsi="Arial" w:cs="Arial"/>
          <w:b/>
          <w:bCs/>
          <w:sz w:val="20"/>
          <w:szCs w:val="20"/>
        </w:rPr>
        <w:t>ion</w:t>
      </w:r>
      <w:r>
        <w:rPr>
          <w:rFonts w:ascii="Arial" w:hAnsi="Arial" w:cs="Arial"/>
          <w:b/>
          <w:bCs/>
          <w:sz w:val="20"/>
          <w:szCs w:val="20"/>
        </w:rPr>
        <w:t>s</w:t>
      </w:r>
    </w:p>
    <w:p w:rsidR="00000000" w:rsidRDefault="00CA40A2">
      <w:pPr>
        <w:pStyle w:val="a3"/>
        <w:spacing w:before="120" w:beforeAutospacing="0" w:after="0" w:afterAutospacing="0"/>
        <w:rPr>
          <w:sz w:val="20"/>
          <w:szCs w:val="20"/>
        </w:rPr>
      </w:pPr>
      <w:r>
        <w:rPr>
          <w:rFonts w:ascii="Arial" w:hAnsi="Arial" w:cs="Arial"/>
          <w:b/>
          <w:bCs/>
          <w:i/>
          <w:iCs/>
          <w:sz w:val="20"/>
          <w:szCs w:val="20"/>
        </w:rPr>
        <w:t>Revenu</w:t>
      </w:r>
      <w:r>
        <w:rPr>
          <w:rFonts w:ascii="Arial" w:hAnsi="Arial" w:cs="Arial"/>
          <w:b/>
          <w:bCs/>
          <w:i/>
          <w:iCs/>
          <w:sz w:val="20"/>
          <w:szCs w:val="20"/>
        </w:rPr>
        <w:t>e</w:t>
      </w:r>
    </w:p>
    <w:p w:rsidR="00000000" w:rsidRDefault="00CA40A2">
      <w:pPr>
        <w:pStyle w:val="a3"/>
        <w:spacing w:before="120" w:beforeAutospacing="0" w:after="0" w:afterAutospacing="0"/>
        <w:ind w:firstLine="539"/>
        <w:rPr>
          <w:sz w:val="20"/>
          <w:szCs w:val="20"/>
        </w:rPr>
      </w:pPr>
      <w:r>
        <w:rPr>
          <w:rFonts w:ascii="Arial" w:hAnsi="Arial" w:cs="Arial"/>
          <w:sz w:val="20"/>
          <w:szCs w:val="20"/>
        </w:rPr>
        <w:t>We generate substantially all of our revenue from payment transaction fees. Transaction fees are fees collected for each transaction processed through our platform, on either a fixed basis or variable basis based on the transaction value, with</w:t>
      </w:r>
      <w:r>
        <w:rPr>
          <w:rFonts w:ascii="Arial" w:hAnsi="Arial" w:cs="Arial"/>
          <w:sz w:val="20"/>
          <w:szCs w:val="20"/>
        </w:rPr>
        <w:t xml:space="preserve"> the actual fees dependent on type of transaction, payment or transaction channel and industry vertical. However, irrespective of these factors, the transaction fees that we receive are generally consistent across transaction types, payment and transaction</w:t>
      </w:r>
      <w:r>
        <w:rPr>
          <w:rFonts w:ascii="Arial" w:hAnsi="Arial" w:cs="Arial"/>
          <w:sz w:val="20"/>
          <w:szCs w:val="20"/>
        </w:rPr>
        <w:t xml:space="preserve"> channels and industry verticals. We receive such transaction fees directly from billers, financial institutions, partners or, in some cases, from consumers as a convenience fee</w:t>
      </w:r>
      <w:r>
        <w:rPr>
          <w:rFonts w:ascii="Arial" w:hAnsi="Arial" w:cs="Arial"/>
          <w:sz w:val="20"/>
          <w:szCs w:val="20"/>
        </w:rPr>
        <w:t>.</w:t>
      </w:r>
    </w:p>
    <w:p w:rsidR="00000000" w:rsidRDefault="00CA40A2">
      <w:pPr>
        <w:pStyle w:val="a3"/>
        <w:spacing w:before="120" w:beforeAutospacing="0" w:after="0" w:afterAutospacing="0"/>
        <w:rPr>
          <w:sz w:val="20"/>
          <w:szCs w:val="20"/>
        </w:rPr>
      </w:pPr>
      <w:r>
        <w:rPr>
          <w:rFonts w:ascii="Arial" w:hAnsi="Arial" w:cs="Arial"/>
          <w:b/>
          <w:bCs/>
          <w:i/>
          <w:iCs/>
          <w:sz w:val="20"/>
          <w:szCs w:val="20"/>
        </w:rPr>
        <w:t>Cost of Revenue, Gross Profit and Gross Margi</w:t>
      </w:r>
      <w:r>
        <w:rPr>
          <w:rFonts w:ascii="Arial" w:hAnsi="Arial" w:cs="Arial"/>
          <w:b/>
          <w:bCs/>
          <w:i/>
          <w:iCs/>
          <w:sz w:val="20"/>
          <w:szCs w:val="20"/>
        </w:rPr>
        <w:t>n</w:t>
      </w:r>
    </w:p>
    <w:p w:rsidR="00000000" w:rsidRDefault="00CA40A2">
      <w:pPr>
        <w:pStyle w:val="a3"/>
        <w:spacing w:before="120" w:beforeAutospacing="0" w:after="0" w:afterAutospacing="0"/>
        <w:ind w:firstLine="539"/>
        <w:rPr>
          <w:sz w:val="20"/>
          <w:szCs w:val="20"/>
        </w:rPr>
      </w:pPr>
      <w:r>
        <w:rPr>
          <w:rFonts w:ascii="Arial" w:hAnsi="Arial" w:cs="Arial"/>
          <w:sz w:val="20"/>
          <w:szCs w:val="20"/>
        </w:rPr>
        <w:t>Cost of revenue consists of ce</w:t>
      </w:r>
      <w:r>
        <w:rPr>
          <w:rFonts w:ascii="Arial" w:hAnsi="Arial" w:cs="Arial"/>
          <w:sz w:val="20"/>
          <w:szCs w:val="20"/>
        </w:rPr>
        <w:t>rtain direct costs that are directly attributed to processing transactions on our platform. This includes interchange, assessment and network expenses incurred for processing payments as well as costs of servicing our clients through product support, imple</w:t>
      </w:r>
      <w:r>
        <w:rPr>
          <w:rFonts w:ascii="Arial" w:hAnsi="Arial" w:cs="Arial"/>
          <w:sz w:val="20"/>
          <w:szCs w:val="20"/>
        </w:rPr>
        <w:t>mentations and customer care. Cost of revenue also includes an allocation of hosting and data center costs for our infrastructure and platform environment, telecommunication expenses used by sales and customer support teams and a portion of amortization of</w:t>
      </w:r>
      <w:r>
        <w:rPr>
          <w:rFonts w:ascii="Arial" w:hAnsi="Arial" w:cs="Arial"/>
          <w:sz w:val="20"/>
          <w:szCs w:val="20"/>
        </w:rPr>
        <w:t xml:space="preserve"> capitalized internal-use software development costs and a portion of amortization of intangible assets, including amortization of intangible assets acquired as part of our acquisitions of other businesses. We expect that cost of revenue will increase in a</w:t>
      </w:r>
      <w:r>
        <w:rPr>
          <w:rFonts w:ascii="Arial" w:hAnsi="Arial" w:cs="Arial"/>
          <w:sz w:val="20"/>
          <w:szCs w:val="20"/>
        </w:rPr>
        <w:t>bsolute dollars, but it may fluctuate as a percentage of revenue from period to period, as our transaction mix changes and we continue to invest in growing our business across all geographical segments, including through the acquisition of other businesses</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There are external factors that impact interchange fees, such as the average transaction amount in a particular month or quarter. For example, hot summers and cold winters tend to increase utility bills, and property taxes result in two larger payments p</w:t>
      </w:r>
      <w:r>
        <w:rPr>
          <w:rFonts w:ascii="Arial" w:hAnsi="Arial" w:cs="Arial"/>
          <w:sz w:val="20"/>
          <w:szCs w:val="20"/>
        </w:rPr>
        <w:t>er year, each of which increases our interchange cost</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Gross profit is equal to our revenue less cost of revenue. Gross profit as a percentage of our revenue is referred to as gross margin. Our gross margin has been and will continue to be affected by a nu</w:t>
      </w:r>
      <w:r>
        <w:rPr>
          <w:rFonts w:ascii="Arial" w:hAnsi="Arial" w:cs="Arial"/>
          <w:sz w:val="20"/>
          <w:szCs w:val="20"/>
        </w:rPr>
        <w:t>mber of factors, including average transaction value, payment type and payments and transactions through our IPN</w:t>
      </w:r>
      <w:r>
        <w:rPr>
          <w:rFonts w:ascii="Arial" w:hAnsi="Arial" w:cs="Arial"/>
          <w:sz w:val="20"/>
          <w:szCs w:val="20"/>
        </w:rPr>
        <w:t>.</w:t>
      </w:r>
    </w:p>
    <w:p w:rsidR="00000000" w:rsidRDefault="00CA40A2">
      <w:pPr>
        <w:pStyle w:val="a3"/>
        <w:spacing w:before="120" w:beforeAutospacing="0" w:after="0" w:afterAutospacing="0"/>
        <w:rPr>
          <w:sz w:val="20"/>
          <w:szCs w:val="20"/>
        </w:rPr>
      </w:pPr>
      <w:r>
        <w:rPr>
          <w:rFonts w:ascii="Arial" w:hAnsi="Arial" w:cs="Arial"/>
          <w:b/>
          <w:bCs/>
          <w:i/>
          <w:iCs/>
          <w:sz w:val="20"/>
          <w:szCs w:val="20"/>
        </w:rPr>
        <w:t>Operating Expense</w:t>
      </w:r>
      <w:r>
        <w:rPr>
          <w:rFonts w:ascii="Arial" w:hAnsi="Arial" w:cs="Arial"/>
          <w:b/>
          <w:bCs/>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i/>
          <w:iCs/>
          <w:sz w:val="20"/>
          <w:szCs w:val="20"/>
        </w:rPr>
        <w:t>Research and Developmen</w:t>
      </w:r>
      <w:r>
        <w:rPr>
          <w:rFonts w:ascii="Arial" w:hAnsi="Arial" w:cs="Arial"/>
          <w:i/>
          <w:iCs/>
          <w:sz w:val="20"/>
          <w:szCs w:val="20"/>
        </w:rPr>
        <w:t>t</w:t>
      </w:r>
    </w:p>
    <w:p w:rsidR="00000000" w:rsidRDefault="00CA40A2">
      <w:pPr>
        <w:pStyle w:val="a3"/>
        <w:spacing w:before="120" w:beforeAutospacing="0" w:after="0" w:afterAutospacing="0"/>
        <w:ind w:firstLine="539"/>
        <w:rPr>
          <w:sz w:val="20"/>
          <w:szCs w:val="20"/>
        </w:rPr>
      </w:pPr>
      <w:r>
        <w:rPr>
          <w:rFonts w:ascii="Arial" w:hAnsi="Arial" w:cs="Arial"/>
          <w:sz w:val="20"/>
          <w:szCs w:val="20"/>
        </w:rPr>
        <w:t>Research and development expenses consist of personnel-related expenses, including stock-based com</w:t>
      </w:r>
      <w:r>
        <w:rPr>
          <w:rFonts w:ascii="Arial" w:hAnsi="Arial" w:cs="Arial"/>
          <w:sz w:val="20"/>
          <w:szCs w:val="20"/>
        </w:rPr>
        <w:t>pensation expenses, incurred in developing new products or enhancing existing products and are expensed as incurred, unless they qualify as internal-use software development costs, which are capitalized and amortized. We expect our research and development</w:t>
      </w:r>
      <w:r>
        <w:rPr>
          <w:rFonts w:ascii="Arial" w:hAnsi="Arial" w:cs="Arial"/>
          <w:sz w:val="20"/>
          <w:szCs w:val="20"/>
        </w:rPr>
        <w:t xml:space="preserve"> expenses to increase in absolute dollars, but they may fluctuate as a percentage of revenue from period to period as we expand our research and development team to develop new products and product enhancements. Over the longer term, we expect research and</w:t>
      </w:r>
      <w:r>
        <w:rPr>
          <w:rFonts w:ascii="Arial" w:hAnsi="Arial" w:cs="Arial"/>
          <w:sz w:val="20"/>
          <w:szCs w:val="20"/>
        </w:rPr>
        <w:t xml:space="preserve"> development expenses to decrease as a percentage of revenue as we leverage the scale of our business</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i/>
          <w:iCs/>
          <w:sz w:val="20"/>
          <w:szCs w:val="20"/>
        </w:rPr>
        <w:t>Sales and Marketin</w:t>
      </w:r>
      <w:r>
        <w:rPr>
          <w:rFonts w:ascii="Arial" w:hAnsi="Arial" w:cs="Arial"/>
          <w:i/>
          <w:iCs/>
          <w:sz w:val="20"/>
          <w:szCs w:val="20"/>
        </w:rPr>
        <w:t>g</w:t>
      </w:r>
    </w:p>
    <w:p w:rsidR="00000000" w:rsidRDefault="00CA40A2">
      <w:pPr>
        <w:pStyle w:val="a3"/>
        <w:spacing w:before="120" w:beforeAutospacing="0" w:after="0" w:afterAutospacing="0"/>
        <w:ind w:firstLine="539"/>
        <w:rPr>
          <w:sz w:val="20"/>
          <w:szCs w:val="20"/>
        </w:rPr>
      </w:pPr>
      <w:r>
        <w:rPr>
          <w:rFonts w:ascii="Arial" w:hAnsi="Arial" w:cs="Arial"/>
          <w:sz w:val="20"/>
          <w:szCs w:val="20"/>
        </w:rPr>
        <w:t>Sales and marketing expenses consist primarily of personnel-related expenses, including stock-based compensation expenses for sales a</w:t>
      </w:r>
      <w:r>
        <w:rPr>
          <w:rFonts w:ascii="Arial" w:hAnsi="Arial" w:cs="Arial"/>
          <w:sz w:val="20"/>
          <w:szCs w:val="20"/>
        </w:rPr>
        <w:t>nd marketing personnel, sales commissions, partner fees, marketing program expenses, travel-related expenses and costs to market and promote our platform through advertisements, marketing events, partnership arrangements and direct biller acquisition as we</w:t>
      </w:r>
      <w:r>
        <w:rPr>
          <w:rFonts w:ascii="Arial" w:hAnsi="Arial" w:cs="Arial"/>
          <w:sz w:val="20"/>
          <w:szCs w:val="20"/>
        </w:rPr>
        <w:t>ll as amortization of intangible assets acquired as part of our acquisitions of other businesses. We expect our sales and marketing expenses to increase in absolute dollars, but they may fluctuate as a percentage of revenue from period to period</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i/>
          <w:iCs/>
          <w:sz w:val="20"/>
          <w:szCs w:val="20"/>
        </w:rPr>
        <w:t>General and Administrativ</w:t>
      </w:r>
      <w:r>
        <w:rPr>
          <w:rFonts w:ascii="Arial" w:hAnsi="Arial" w:cs="Arial"/>
          <w:i/>
          <w:iCs/>
          <w:sz w:val="20"/>
          <w:szCs w:val="20"/>
        </w:rPr>
        <w:t>e</w:t>
      </w:r>
    </w:p>
    <w:p w:rsidR="00000000" w:rsidRDefault="00CA40A2">
      <w:pPr>
        <w:pStyle w:val="a3"/>
        <w:spacing w:before="120" w:beforeAutospacing="0" w:after="0" w:afterAutospacing="0"/>
        <w:ind w:firstLine="539"/>
        <w:rPr>
          <w:sz w:val="20"/>
          <w:szCs w:val="20"/>
        </w:rPr>
      </w:pPr>
      <w:r>
        <w:rPr>
          <w:rFonts w:ascii="Arial" w:hAnsi="Arial" w:cs="Arial"/>
          <w:sz w:val="20"/>
          <w:szCs w:val="20"/>
        </w:rPr>
        <w:t>General and administrative expenses consist primarily of personnel-related expenses, including stock-based compensation expenses for finance, risk management, legal and compliance, human resources, information technology and faci</w:t>
      </w:r>
      <w:r>
        <w:rPr>
          <w:rFonts w:ascii="Arial" w:hAnsi="Arial" w:cs="Arial"/>
          <w:sz w:val="20"/>
          <w:szCs w:val="20"/>
        </w:rPr>
        <w:t>lities personnel. General and administrative expenses also include costs incurred for external professional services and other corporate expenses. We expect to incur additional general and administrative expenses as a result of operating as a public compan</w:t>
      </w:r>
      <w:r>
        <w:rPr>
          <w:rFonts w:ascii="Arial" w:hAnsi="Arial" w:cs="Arial"/>
          <w:sz w:val="20"/>
          <w:szCs w:val="20"/>
        </w:rPr>
        <w:t>y, and to support the growth in our business. We expect that our general and administrative expenses will increase in absolute dollars, but they may fluctuate as a percentage of revenue from period to period. Over the longer term, we expect general and adm</w:t>
      </w:r>
      <w:r>
        <w:rPr>
          <w:rFonts w:ascii="Arial" w:hAnsi="Arial" w:cs="Arial"/>
          <w:sz w:val="20"/>
          <w:szCs w:val="20"/>
        </w:rPr>
        <w:t>inistrative expenses to decrease as a percentage of revenue as we leverage the scale of our business</w:t>
      </w:r>
      <w:r>
        <w:rPr>
          <w:rFonts w:ascii="Arial" w:hAnsi="Arial" w:cs="Arial"/>
          <w:sz w:val="20"/>
          <w:szCs w:val="20"/>
        </w:rPr>
        <w:t>.</w:t>
      </w:r>
    </w:p>
    <w:p w:rsidR="00000000" w:rsidRDefault="00CA40A2">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3</w:t>
      </w:r>
    </w:p>
    <w:p w:rsidR="00000000" w:rsidRDefault="00CA40A2">
      <w:pPr>
        <w:rPr>
          <w:rFonts w:eastAsia="Times New Roman"/>
        </w:rPr>
      </w:pPr>
      <w:r>
        <w:rPr>
          <w:rFonts w:eastAsia="Times New Roman"/>
        </w:rPr>
        <w:pict>
          <v:rect id="_x0000_i1048"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120" w:beforeAutospacing="0" w:after="0" w:afterAutospacing="0"/>
        <w:jc w:val="center"/>
        <w:rPr>
          <w:sz w:val="20"/>
          <w:szCs w:val="20"/>
        </w:rPr>
      </w:pPr>
      <w:r>
        <w:rPr>
          <w:rFonts w:ascii="Arial" w:hAnsi="Arial" w:cs="Arial"/>
          <w:b/>
          <w:bCs/>
          <w:sz w:val="20"/>
          <w:szCs w:val="20"/>
        </w:rPr>
        <w:t>Factors Affecting Our Performanc</w:t>
      </w:r>
      <w:r>
        <w:rPr>
          <w:rFonts w:ascii="Arial" w:hAnsi="Arial" w:cs="Arial"/>
          <w:b/>
          <w:bCs/>
          <w:sz w:val="20"/>
          <w:szCs w:val="20"/>
        </w:rPr>
        <w:t>e</w:t>
      </w:r>
    </w:p>
    <w:p w:rsidR="00000000" w:rsidRDefault="00CA40A2">
      <w:pPr>
        <w:pStyle w:val="a3"/>
        <w:spacing w:before="120" w:beforeAutospacing="0" w:after="0" w:afterAutospacing="0"/>
        <w:ind w:firstLine="539"/>
        <w:rPr>
          <w:sz w:val="20"/>
          <w:szCs w:val="20"/>
        </w:rPr>
      </w:pPr>
      <w:r>
        <w:rPr>
          <w:rFonts w:ascii="Arial" w:hAnsi="Arial" w:cs="Arial"/>
          <w:sz w:val="20"/>
          <w:szCs w:val="20"/>
        </w:rPr>
        <w:t xml:space="preserve">The discussion below includes a number of forward-looking statements regarding our future performance. For a discussion of important factors, including the continuing development of our business and other factors which could cause actual results to differ </w:t>
      </w:r>
      <w:r>
        <w:rPr>
          <w:rFonts w:ascii="Arial" w:hAnsi="Arial" w:cs="Arial"/>
          <w:sz w:val="20"/>
          <w:szCs w:val="20"/>
        </w:rPr>
        <w:t>materially from matters referred to below, see the discussions under “Risk Factors” and “Special Note Regarding Forward-Looking Statements” herein and in our Form 10-K for the year ended December 31, 2021 or the “2021 Form 10-K”</w:t>
      </w:r>
      <w:r>
        <w:rPr>
          <w:rFonts w:ascii="Arial" w:hAnsi="Arial" w:cs="Arial"/>
          <w:sz w:val="20"/>
          <w:szCs w:val="20"/>
        </w:rPr>
        <w:t>.</w:t>
      </w:r>
    </w:p>
    <w:p w:rsidR="00000000" w:rsidRDefault="00CA40A2">
      <w:pPr>
        <w:pStyle w:val="a3"/>
        <w:spacing w:before="120" w:beforeAutospacing="0" w:after="0" w:afterAutospacing="0"/>
        <w:jc w:val="both"/>
        <w:rPr>
          <w:sz w:val="20"/>
          <w:szCs w:val="20"/>
        </w:rPr>
      </w:pPr>
      <w:r>
        <w:rPr>
          <w:rFonts w:ascii="Arial" w:hAnsi="Arial" w:cs="Arial"/>
          <w:b/>
          <w:bCs/>
          <w:i/>
          <w:iCs/>
          <w:sz w:val="20"/>
          <w:szCs w:val="20"/>
        </w:rPr>
        <w:t>Increased Adoption of Elec</w:t>
      </w:r>
      <w:r>
        <w:rPr>
          <w:rFonts w:ascii="Arial" w:hAnsi="Arial" w:cs="Arial"/>
          <w:b/>
          <w:bCs/>
          <w:i/>
          <w:iCs/>
          <w:sz w:val="20"/>
          <w:szCs w:val="20"/>
        </w:rPr>
        <w:t>tronic Bill Payment Solution</w:t>
      </w:r>
      <w:r>
        <w:rPr>
          <w:rFonts w:ascii="Arial" w:hAnsi="Arial" w:cs="Arial"/>
          <w:b/>
          <w:bCs/>
          <w:i/>
          <w:iCs/>
          <w:sz w:val="20"/>
          <w:szCs w:val="20"/>
        </w:rPr>
        <w:t>s</w:t>
      </w:r>
      <w:r>
        <w:rPr>
          <w:rFonts w:ascii="Arial" w:hAnsi="Arial" w:cs="Arial"/>
          <w:b/>
          <w:bCs/>
          <w:i/>
          <w:iCs/>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As the number of financial transactions online continues to increase, electronic bill payment is becoming a greater share of the bill payment market. We have observed that consumers demand a frictionless electronic bill payme</w:t>
      </w:r>
      <w:r>
        <w:rPr>
          <w:rFonts w:ascii="Arial" w:hAnsi="Arial" w:cs="Arial"/>
          <w:sz w:val="20"/>
          <w:szCs w:val="20"/>
        </w:rPr>
        <w:t>nt experience and increasingly prefer more flexible and innovative digital payment options. We expect this trend to continue, providing us with a greater opportunity to provide next-generation bill and digital payment technology and power more transactions</w:t>
      </w:r>
      <w:r>
        <w:rPr>
          <w:rFonts w:ascii="Arial" w:hAnsi="Arial" w:cs="Arial"/>
          <w:sz w:val="20"/>
          <w:szCs w:val="20"/>
        </w:rPr>
        <w:t>, further fueling our growth</w:t>
      </w:r>
      <w:r>
        <w:rPr>
          <w:rFonts w:ascii="Arial" w:hAnsi="Arial" w:cs="Arial"/>
          <w:sz w:val="20"/>
          <w:szCs w:val="20"/>
        </w:rPr>
        <w:t>.</w:t>
      </w:r>
    </w:p>
    <w:p w:rsidR="00000000" w:rsidRDefault="00CA40A2">
      <w:pPr>
        <w:pStyle w:val="a3"/>
        <w:spacing w:before="120" w:beforeAutospacing="0" w:after="0" w:afterAutospacing="0"/>
        <w:jc w:val="both"/>
        <w:rPr>
          <w:sz w:val="20"/>
          <w:szCs w:val="20"/>
        </w:rPr>
      </w:pPr>
      <w:r>
        <w:rPr>
          <w:rFonts w:ascii="Arial" w:hAnsi="Arial" w:cs="Arial"/>
          <w:b/>
          <w:bCs/>
          <w:i/>
          <w:iCs/>
          <w:sz w:val="20"/>
          <w:szCs w:val="20"/>
        </w:rPr>
        <w:t>Acquiring New Billers and Financial Institution</w:t>
      </w:r>
      <w:r>
        <w:rPr>
          <w:rFonts w:ascii="Arial" w:hAnsi="Arial" w:cs="Arial"/>
          <w:b/>
          <w:bCs/>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Our future growth depends on the continued adoption of our platform by new billers and financial institutions. We intend to continue investing in our efficient go-to-market stra</w:t>
      </w:r>
      <w:r>
        <w:rPr>
          <w:rFonts w:ascii="Arial" w:hAnsi="Arial" w:cs="Arial"/>
          <w:sz w:val="20"/>
          <w:szCs w:val="20"/>
        </w:rPr>
        <w:t>tegies, increasing brand awareness and driving adoption of our platform and products. We had more than 1,700 billers and financial institution clients as of December 31, 2021, including billers of all sizes and across numerous vertical markets and financia</w:t>
      </w:r>
      <w:r>
        <w:rPr>
          <w:rFonts w:ascii="Arial" w:hAnsi="Arial" w:cs="Arial"/>
          <w:sz w:val="20"/>
          <w:szCs w:val="20"/>
        </w:rPr>
        <w:t xml:space="preserve">l institutions of all sizes. Our ability to attract new billers and financial institutions and drive adoption of our platform will depend on a number of factors, including the effectiveness and pricing of our products, offerings of our competitors and the </w:t>
      </w:r>
      <w:r>
        <w:rPr>
          <w:rFonts w:ascii="Arial" w:hAnsi="Arial" w:cs="Arial"/>
          <w:sz w:val="20"/>
          <w:szCs w:val="20"/>
        </w:rPr>
        <w:t>effectiveness of our marketing efforts</w:t>
      </w:r>
      <w:r>
        <w:rPr>
          <w:rFonts w:ascii="Arial" w:hAnsi="Arial" w:cs="Arial"/>
          <w:sz w:val="20"/>
          <w:szCs w:val="20"/>
        </w:rPr>
        <w:t>.</w:t>
      </w:r>
    </w:p>
    <w:p w:rsidR="00000000" w:rsidRDefault="00CA40A2">
      <w:pPr>
        <w:pStyle w:val="a3"/>
        <w:spacing w:before="120" w:beforeAutospacing="0" w:after="0" w:afterAutospacing="0"/>
        <w:jc w:val="both"/>
        <w:rPr>
          <w:sz w:val="20"/>
          <w:szCs w:val="20"/>
        </w:rPr>
      </w:pPr>
      <w:r>
        <w:rPr>
          <w:rFonts w:ascii="Arial" w:hAnsi="Arial" w:cs="Arial"/>
          <w:b/>
          <w:bCs/>
          <w:i/>
          <w:iCs/>
          <w:sz w:val="20"/>
          <w:szCs w:val="20"/>
        </w:rPr>
        <w:t>Expanding Usage of Our Platform with Existing Billers and Financial Institution</w:t>
      </w:r>
      <w:r>
        <w:rPr>
          <w:rFonts w:ascii="Arial" w:hAnsi="Arial" w:cs="Arial"/>
          <w:b/>
          <w:bCs/>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We believe our large base of existing billers and financial institutions represents a significant opportunity for further consumption o</w:t>
      </w:r>
      <w:r>
        <w:rPr>
          <w:rFonts w:ascii="Arial" w:hAnsi="Arial" w:cs="Arial"/>
          <w:sz w:val="20"/>
          <w:szCs w:val="20"/>
        </w:rPr>
        <w:t>f our platform. We believe our solutions create a superior experience for consumers and accelerate revenue realization for billers, which drives increased usage of our platform. We intend to continue investing in this value proposition. Leveraging our plat</w:t>
      </w:r>
      <w:r>
        <w:rPr>
          <w:rFonts w:ascii="Arial" w:hAnsi="Arial" w:cs="Arial"/>
          <w:sz w:val="20"/>
          <w:szCs w:val="20"/>
        </w:rPr>
        <w:t>form to capture more transactions from our existing biller and financial institution base is expected to organically drive transaction growth at lower cost</w:t>
      </w:r>
      <w:r>
        <w:rPr>
          <w:rFonts w:ascii="Arial" w:hAnsi="Arial" w:cs="Arial"/>
          <w:sz w:val="20"/>
          <w:szCs w:val="20"/>
        </w:rPr>
        <w:t>.</w:t>
      </w:r>
    </w:p>
    <w:p w:rsidR="00000000" w:rsidRDefault="00CA40A2">
      <w:pPr>
        <w:pStyle w:val="a3"/>
        <w:spacing w:before="120" w:beforeAutospacing="0" w:after="0" w:afterAutospacing="0"/>
        <w:jc w:val="both"/>
        <w:rPr>
          <w:sz w:val="20"/>
          <w:szCs w:val="20"/>
        </w:rPr>
      </w:pPr>
      <w:r>
        <w:rPr>
          <w:rFonts w:ascii="Arial" w:hAnsi="Arial" w:cs="Arial"/>
          <w:b/>
          <w:bCs/>
          <w:i/>
          <w:iCs/>
          <w:sz w:val="20"/>
          <w:szCs w:val="20"/>
        </w:rPr>
        <w:t>Growing Our Partner Bas</w:t>
      </w:r>
      <w:r>
        <w:rPr>
          <w:rFonts w:ascii="Arial" w:hAnsi="Arial" w:cs="Arial"/>
          <w:b/>
          <w:bCs/>
          <w:i/>
          <w:iCs/>
          <w:sz w:val="20"/>
          <w:szCs w:val="20"/>
        </w:rPr>
        <w:t>e</w:t>
      </w:r>
    </w:p>
    <w:p w:rsidR="00000000" w:rsidRDefault="00CA40A2">
      <w:pPr>
        <w:pStyle w:val="a3"/>
        <w:spacing w:before="120" w:beforeAutospacing="0" w:after="0" w:afterAutospacing="0"/>
        <w:ind w:firstLine="539"/>
        <w:rPr>
          <w:sz w:val="20"/>
          <w:szCs w:val="20"/>
        </w:rPr>
      </w:pPr>
      <w:r>
        <w:rPr>
          <w:rFonts w:ascii="Arial" w:hAnsi="Arial" w:cs="Arial"/>
          <w:sz w:val="20"/>
          <w:szCs w:val="20"/>
        </w:rPr>
        <w:t>We believe there is a significant opportunity to increase the transactions</w:t>
      </w:r>
      <w:r>
        <w:rPr>
          <w:rFonts w:ascii="Arial" w:hAnsi="Arial" w:cs="Arial"/>
          <w:sz w:val="20"/>
          <w:szCs w:val="20"/>
        </w:rPr>
        <w:t xml:space="preserve"> on our platform through expanding our base of software, strategic and IPN partners. While revenue derived from or through our IPN partnerships has not been significant historically, we expect that the revenue contribution from our IPN will grow over time.</w:t>
      </w:r>
      <w:r>
        <w:rPr>
          <w:rFonts w:ascii="Arial" w:hAnsi="Arial" w:cs="Arial"/>
          <w:sz w:val="20"/>
          <w:szCs w:val="20"/>
        </w:rPr>
        <w:t xml:space="preserve"> As our IPN partner base expands, and new partners use our platform to power bill payment experiences within their ecosystems, we expect to organically expand the reach of our platform to millions of new consumers and thereby drive new, revenue-generating </w:t>
      </w:r>
      <w:r>
        <w:rPr>
          <w:rFonts w:ascii="Arial" w:hAnsi="Arial" w:cs="Arial"/>
          <w:sz w:val="20"/>
          <w:szCs w:val="20"/>
        </w:rPr>
        <w:t>transactions to our platform. We intend to invest in the expansion of our partner base, including the addition of new IPN partners, because our ability to secure new partners will have a direct impact on our transaction growth</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jc w:val="both"/>
        <w:rPr>
          <w:sz w:val="20"/>
          <w:szCs w:val="20"/>
        </w:rPr>
      </w:pPr>
      <w:r>
        <w:rPr>
          <w:rFonts w:ascii="Arial" w:hAnsi="Arial" w:cs="Arial"/>
          <w:b/>
          <w:bCs/>
          <w:i/>
          <w:iCs/>
          <w:sz w:val="20"/>
          <w:szCs w:val="20"/>
        </w:rPr>
        <w:t>Investing in Sales and Mark</w:t>
      </w:r>
      <w:r>
        <w:rPr>
          <w:rFonts w:ascii="Arial" w:hAnsi="Arial" w:cs="Arial"/>
          <w:b/>
          <w:bCs/>
          <w:i/>
          <w:iCs/>
          <w:sz w:val="20"/>
          <w:szCs w:val="20"/>
        </w:rPr>
        <w:t>etin</w:t>
      </w:r>
      <w:r>
        <w:rPr>
          <w:rFonts w:ascii="Arial" w:hAnsi="Arial" w:cs="Arial"/>
          <w:b/>
          <w:bCs/>
          <w:i/>
          <w:iCs/>
          <w:sz w:val="20"/>
          <w:szCs w:val="20"/>
        </w:rPr>
        <w:t>g</w:t>
      </w:r>
    </w:p>
    <w:p w:rsidR="00000000" w:rsidRDefault="00CA40A2">
      <w:pPr>
        <w:pStyle w:val="a3"/>
        <w:spacing w:before="120" w:beforeAutospacing="0" w:after="0" w:afterAutospacing="0"/>
        <w:ind w:firstLine="539"/>
        <w:rPr>
          <w:sz w:val="20"/>
          <w:szCs w:val="20"/>
        </w:rPr>
      </w:pPr>
      <w:r>
        <w:rPr>
          <w:rFonts w:ascii="Arial" w:hAnsi="Arial" w:cs="Arial"/>
          <w:sz w:val="20"/>
          <w:szCs w:val="20"/>
        </w:rPr>
        <w:t>We will continue to expand efforts to market our platform through our diversified sales and marketing strategy. We intend to invest in sales and marketing strategies that we believe will drive further brand awareness and preference among our billers,</w:t>
      </w:r>
      <w:r>
        <w:rPr>
          <w:rFonts w:ascii="Arial" w:hAnsi="Arial" w:cs="Arial"/>
          <w:sz w:val="20"/>
          <w:szCs w:val="20"/>
        </w:rPr>
        <w:t xml:space="preserve"> financial institutions, partners and consumers. Given the nature of our biller, financial institution and partner base, our investment in sales and marketing in a given period may not impact results until subsequent periods. We approach sales and marketin</w:t>
      </w:r>
      <w:r>
        <w:rPr>
          <w:rFonts w:ascii="Arial" w:hAnsi="Arial" w:cs="Arial"/>
          <w:sz w:val="20"/>
          <w:szCs w:val="20"/>
        </w:rPr>
        <w:t>g spend strategically to maintain efficient biller and partner acquisition</w:t>
      </w:r>
      <w:r>
        <w:rPr>
          <w:rFonts w:ascii="Arial" w:hAnsi="Arial" w:cs="Arial"/>
          <w:sz w:val="20"/>
          <w:szCs w:val="20"/>
        </w:rPr>
        <w:t>.</w:t>
      </w:r>
    </w:p>
    <w:p w:rsidR="00000000" w:rsidRDefault="00CA40A2">
      <w:pPr>
        <w:pStyle w:val="a3"/>
        <w:spacing w:before="120" w:beforeAutospacing="0" w:after="0" w:afterAutospacing="0"/>
        <w:jc w:val="both"/>
        <w:rPr>
          <w:sz w:val="20"/>
          <w:szCs w:val="20"/>
        </w:rPr>
      </w:pPr>
      <w:r>
        <w:rPr>
          <w:rFonts w:ascii="Arial" w:hAnsi="Arial" w:cs="Arial"/>
          <w:b/>
          <w:bCs/>
          <w:i/>
          <w:iCs/>
          <w:sz w:val="20"/>
          <w:szCs w:val="20"/>
        </w:rPr>
        <w:t>Innovation and Enhancement of Our Platfor</w:t>
      </w:r>
      <w:r>
        <w:rPr>
          <w:rFonts w:ascii="Arial" w:hAnsi="Arial" w:cs="Arial"/>
          <w:b/>
          <w:bCs/>
          <w:i/>
          <w:iCs/>
          <w:sz w:val="20"/>
          <w:szCs w:val="20"/>
        </w:rPr>
        <w:t>m</w:t>
      </w:r>
      <w:r>
        <w:rPr>
          <w:rFonts w:ascii="Arial" w:hAnsi="Arial" w:cs="Arial"/>
          <w:b/>
          <w:bCs/>
          <w:i/>
          <w:iCs/>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 xml:space="preserve">We will continue to invest in our platform and IPN to maintain our position as a leading provider of biller communication and payments. </w:t>
      </w:r>
      <w:r>
        <w:rPr>
          <w:rFonts w:ascii="Arial" w:hAnsi="Arial" w:cs="Arial"/>
          <w:sz w:val="20"/>
          <w:szCs w:val="20"/>
        </w:rPr>
        <w:t>To drive adoption and increase penetration of our platform, we will continue to introduce new products and features. We believe that investment in research and development will contribute to our long-term growth, but may also negatively impact our short-te</w:t>
      </w:r>
      <w:r>
        <w:rPr>
          <w:rFonts w:ascii="Arial" w:hAnsi="Arial" w:cs="Arial"/>
          <w:sz w:val="20"/>
          <w:szCs w:val="20"/>
        </w:rPr>
        <w:t>rm profitability. We will continue to leverage emerging technologies and invest in the development of more features and better functionality for consumers</w:t>
      </w:r>
      <w:r>
        <w:rPr>
          <w:rFonts w:ascii="Arial" w:hAnsi="Arial" w:cs="Arial"/>
          <w:sz w:val="20"/>
          <w:szCs w:val="20"/>
        </w:rPr>
        <w:t>.</w:t>
      </w:r>
    </w:p>
    <w:p w:rsidR="00000000" w:rsidRDefault="00CA40A2">
      <w:pPr>
        <w:pStyle w:val="a3"/>
        <w:spacing w:before="240" w:beforeAutospacing="0" w:after="0" w:afterAutospacing="0"/>
        <w:jc w:val="center"/>
        <w:rPr>
          <w:sz w:val="20"/>
          <w:szCs w:val="20"/>
        </w:rPr>
      </w:pPr>
      <w:r>
        <w:rPr>
          <w:rFonts w:ascii="Arial" w:hAnsi="Arial" w:cs="Arial"/>
          <w:b/>
          <w:bCs/>
          <w:sz w:val="20"/>
          <w:szCs w:val="20"/>
        </w:rPr>
        <w:t>Key Performance and Non-GAAP Measure</w:t>
      </w:r>
      <w:r>
        <w:rPr>
          <w:rFonts w:ascii="Arial" w:hAnsi="Arial" w:cs="Arial"/>
          <w:b/>
          <w:b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We use the following metrics to measure our performance, ident</w:t>
      </w:r>
      <w:r>
        <w:rPr>
          <w:rFonts w:ascii="Arial" w:hAnsi="Arial" w:cs="Arial"/>
          <w:sz w:val="20"/>
          <w:szCs w:val="20"/>
        </w:rPr>
        <w:t xml:space="preserve">ify trends affecting our business, prepare financial projections and make strategic decisions. We believe that these key performance and non-GAAP measures provide meaningful supplemental information for management and investors in assessing our historical </w:t>
      </w:r>
      <w:r>
        <w:rPr>
          <w:rFonts w:ascii="Arial" w:hAnsi="Arial" w:cs="Arial"/>
          <w:sz w:val="20"/>
          <w:szCs w:val="20"/>
        </w:rPr>
        <w:t>and future operating performance. The calculation of the key performance and non-GAAP measures discussed below may differ from other similarly titled metrics used by other companies, securities analysts or investors</w:t>
      </w:r>
      <w:r>
        <w:rPr>
          <w:rFonts w:ascii="Arial" w:hAnsi="Arial" w:cs="Arial"/>
          <w:sz w:val="20"/>
          <w:szCs w:val="20"/>
        </w:rPr>
        <w:t>.</w:t>
      </w:r>
    </w:p>
    <w:p w:rsidR="00000000" w:rsidRDefault="00CA40A2">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4</w:t>
      </w:r>
    </w:p>
    <w:p w:rsidR="00000000" w:rsidRDefault="00CA40A2">
      <w:pPr>
        <w:rPr>
          <w:rFonts w:eastAsia="Times New Roman"/>
        </w:rPr>
      </w:pPr>
      <w:r>
        <w:rPr>
          <w:rFonts w:eastAsia="Times New Roman"/>
        </w:rPr>
        <w:pict>
          <v:rect id="_x0000_i1049"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120" w:beforeAutospacing="0" w:after="0" w:afterAutospacing="0"/>
        <w:rPr>
          <w:sz w:val="20"/>
          <w:szCs w:val="20"/>
        </w:rPr>
      </w:pPr>
      <w:r>
        <w:rPr>
          <w:rFonts w:ascii="Arial" w:hAnsi="Arial" w:cs="Arial"/>
          <w:b/>
          <w:bCs/>
          <w:i/>
          <w:iCs/>
          <w:sz w:val="20"/>
          <w:szCs w:val="20"/>
        </w:rPr>
        <w:t>Transactions Processe</w:t>
      </w:r>
      <w:r>
        <w:rPr>
          <w:rFonts w:ascii="Arial" w:hAnsi="Arial" w:cs="Arial"/>
          <w:b/>
          <w:bCs/>
          <w:i/>
          <w:iCs/>
          <w:sz w:val="20"/>
          <w:szCs w:val="20"/>
        </w:rPr>
        <w:t>d</w:t>
      </w:r>
      <w:r>
        <w:rPr>
          <w:rFonts w:ascii="Arial" w:hAnsi="Arial" w:cs="Arial"/>
          <w:b/>
          <w:bCs/>
          <w:i/>
          <w:iCs/>
          <w:sz w:val="20"/>
          <w:szCs w:val="20"/>
        </w:rPr>
        <w:t xml:space="preserve"> </w:t>
      </w:r>
    </w:p>
    <w:p w:rsidR="00000000" w:rsidRDefault="00CA40A2">
      <w:pPr>
        <w:pStyle w:val="a3"/>
        <w:spacing w:before="24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1"/>
        <w:gridCol w:w="116"/>
        <w:gridCol w:w="923"/>
        <w:gridCol w:w="116"/>
        <w:gridCol w:w="116"/>
        <w:gridCol w:w="116"/>
        <w:gridCol w:w="914"/>
        <w:gridCol w:w="116"/>
        <w:gridCol w:w="116"/>
        <w:gridCol w:w="117"/>
        <w:gridCol w:w="914"/>
        <w:gridCol w:w="131"/>
      </w:tblGrid>
      <w:tr w:rsidR="00000000">
        <w:trPr>
          <w:tblCellSpacing w:w="15" w:type="dxa"/>
        </w:trPr>
        <w:tc>
          <w:tcPr>
            <w:tcW w:w="2902" w:type="pct"/>
            <w:vAlign w:val="center"/>
            <w:hideMark/>
          </w:tcPr>
          <w:p w:rsidR="00000000" w:rsidRDefault="00CA40A2">
            <w:pPr>
              <w:rPr>
                <w:sz w:val="20"/>
                <w:szCs w:val="20"/>
              </w:rPr>
            </w:pPr>
          </w:p>
        </w:tc>
        <w:tc>
          <w:tcPr>
            <w:tcW w:w="32" w:type="pct"/>
            <w:vAlign w:val="center"/>
            <w:hideMark/>
          </w:tcPr>
          <w:p w:rsidR="00000000" w:rsidRDefault="00CA40A2">
            <w:pPr>
              <w:rPr>
                <w:rFonts w:eastAsia="Times New Roman"/>
                <w:sz w:val="20"/>
                <w:szCs w:val="20"/>
              </w:rPr>
            </w:pPr>
          </w:p>
        </w:tc>
        <w:tc>
          <w:tcPr>
            <w:tcW w:w="585"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71"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585"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71"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585"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 Growt</w:t>
            </w:r>
            <w:r>
              <w:rPr>
                <w:rFonts w:ascii="Arial" w:hAnsi="Arial" w:cs="Arial"/>
                <w:b/>
                <w:bCs/>
                <w:sz w:val="16"/>
                <w:szCs w:val="16"/>
              </w:rPr>
              <w:t>h</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(in millions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Transactions processe</w:t>
            </w:r>
            <w:r>
              <w:rPr>
                <w:rFonts w:ascii="Arial" w:hAnsi="Arial" w:cs="Arial"/>
                <w:sz w:val="20"/>
                <w:szCs w:val="20"/>
              </w:rPr>
              <w:t>d</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87.</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62.</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40.</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120" w:beforeAutospacing="0" w:after="0" w:afterAutospacing="0"/>
        <w:ind w:firstLine="539"/>
        <w:rPr>
          <w:sz w:val="20"/>
          <w:szCs w:val="20"/>
        </w:rPr>
      </w:pPr>
      <w:r>
        <w:rPr>
          <w:rFonts w:ascii="Arial" w:hAnsi="Arial" w:cs="Arial"/>
          <w:sz w:val="20"/>
          <w:szCs w:val="20"/>
        </w:rPr>
        <w:t>We define transactions processed as the number of revenue generating payment transactions, such as checks, credit card and debit card transactions, automated clearing house, or ACH, items and emerging payment types, which are initiated and generally proces</w:t>
      </w:r>
      <w:r>
        <w:rPr>
          <w:rFonts w:ascii="Arial" w:hAnsi="Arial" w:cs="Arial"/>
          <w:sz w:val="20"/>
          <w:szCs w:val="20"/>
        </w:rPr>
        <w:t>sed through our platform during a period. The number of transactions also includes account-to-account and person-to-person transfers. The number of transactions processed during the three months ended March 31, 2022 increased approximately 40.9% as compare</w:t>
      </w:r>
      <w:r>
        <w:rPr>
          <w:rFonts w:ascii="Arial" w:hAnsi="Arial" w:cs="Arial"/>
          <w:sz w:val="20"/>
          <w:szCs w:val="20"/>
        </w:rPr>
        <w:t>d to the same period in 2021. The increase was primarily driven by the addition of new billers and financial institutions and increased transactions from our existing billers and financial institutions</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rPr>
          <w:sz w:val="20"/>
          <w:szCs w:val="20"/>
        </w:rPr>
      </w:pPr>
      <w:r>
        <w:rPr>
          <w:rFonts w:ascii="Arial" w:hAnsi="Arial" w:cs="Arial"/>
          <w:b/>
          <w:bCs/>
          <w:i/>
          <w:iCs/>
          <w:sz w:val="20"/>
          <w:szCs w:val="20"/>
        </w:rPr>
        <w:t>Non-GAAP Measure</w:t>
      </w:r>
      <w:r>
        <w:rPr>
          <w:rFonts w:ascii="Arial" w:hAnsi="Arial" w:cs="Arial"/>
          <w:b/>
          <w:bCs/>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We use supplemental measures of ou</w:t>
      </w:r>
      <w:r>
        <w:rPr>
          <w:rFonts w:ascii="Arial" w:hAnsi="Arial" w:cs="Arial"/>
          <w:sz w:val="20"/>
          <w:szCs w:val="20"/>
        </w:rPr>
        <w:t xml:space="preserve">r performance that are derived from our consolidated financial information but which are not presented in our consolidated financial statements prepared in accordance with U.S. generally accepted accounting principles, or GAAP. These supplemental non-GAAP </w:t>
      </w:r>
      <w:r>
        <w:rPr>
          <w:rFonts w:ascii="Arial" w:hAnsi="Arial" w:cs="Arial"/>
          <w:sz w:val="20"/>
          <w:szCs w:val="20"/>
        </w:rPr>
        <w:t>measures include contribution profit, adjusted gross profit, adjusted EBITDA and free cash flow</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i/>
          <w:iCs/>
          <w:sz w:val="20"/>
          <w:szCs w:val="20"/>
        </w:rPr>
        <w:t>Contribution Profi</w:t>
      </w:r>
      <w:r>
        <w:rPr>
          <w:rFonts w:ascii="Arial" w:hAnsi="Arial" w:cs="Arial"/>
          <w:i/>
          <w:iCs/>
          <w:sz w:val="20"/>
          <w:szCs w:val="20"/>
        </w:rPr>
        <w:t>t</w:t>
      </w:r>
    </w:p>
    <w:p w:rsidR="00000000" w:rsidRDefault="00CA40A2">
      <w:pPr>
        <w:pStyle w:val="a3"/>
        <w:spacing w:before="120" w:beforeAutospacing="0" w:after="0" w:afterAutospacing="0"/>
        <w:ind w:firstLine="539"/>
        <w:rPr>
          <w:sz w:val="20"/>
          <w:szCs w:val="20"/>
        </w:rPr>
      </w:pPr>
      <w:r>
        <w:rPr>
          <w:rFonts w:ascii="Arial" w:hAnsi="Arial" w:cs="Arial"/>
          <w:sz w:val="20"/>
          <w:szCs w:val="20"/>
        </w:rPr>
        <w:t>We calculate contribution profit as gross profit plus other cost of revenue. Other cost of revenue equals cost of revenue less interchange</w:t>
      </w:r>
      <w:r>
        <w:rPr>
          <w:rFonts w:ascii="Arial" w:hAnsi="Arial" w:cs="Arial"/>
          <w:sz w:val="20"/>
          <w:szCs w:val="20"/>
        </w:rPr>
        <w:t xml:space="preserve"> and assessment fees paid by us to our payment processors</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i/>
          <w:iCs/>
          <w:sz w:val="20"/>
          <w:szCs w:val="20"/>
        </w:rPr>
        <w:t>Adjusted Gross Profi</w:t>
      </w:r>
      <w:r>
        <w:rPr>
          <w:rFonts w:ascii="Arial" w:hAnsi="Arial" w:cs="Arial"/>
          <w:i/>
          <w:iCs/>
          <w:sz w:val="20"/>
          <w:szCs w:val="20"/>
        </w:rPr>
        <w:t>t</w:t>
      </w:r>
      <w:r>
        <w:rPr>
          <w:rFonts w:ascii="Arial" w:hAnsi="Arial" w:cs="Arial"/>
          <w:b/>
          <w:bCs/>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We calculate adjusted gross profit as gross profit adjusted for non-cash items, primarily stock-based compensation and amortization</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i/>
          <w:iCs/>
          <w:sz w:val="20"/>
          <w:szCs w:val="20"/>
        </w:rPr>
        <w:t>Adjusted EBITD</w:t>
      </w:r>
      <w:r>
        <w:rPr>
          <w:rFonts w:ascii="Arial" w:hAnsi="Arial" w:cs="Arial"/>
          <w:i/>
          <w:iCs/>
          <w:sz w:val="20"/>
          <w:szCs w:val="20"/>
        </w:rPr>
        <w:t>A</w:t>
      </w:r>
      <w:r>
        <w:rPr>
          <w:rFonts w:ascii="Arial" w:hAnsi="Arial" w:cs="Arial"/>
          <w:b/>
          <w:bCs/>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We calculate adjusted EBITDA as net income before other income (expense) (which consists of interest inco</w:t>
      </w:r>
      <w:r>
        <w:rPr>
          <w:rFonts w:ascii="Arial" w:hAnsi="Arial" w:cs="Arial"/>
          <w:sz w:val="20"/>
          <w:szCs w:val="20"/>
        </w:rPr>
        <w:t>me (expense), net and foreign exchange gain (loss)), depreciation and amortization, income taxes, adjusted to exclude the effects of stock-based compensation expense and certain nonrecurring expenses that management believes are not indicative of ongoing o</w:t>
      </w:r>
      <w:r>
        <w:rPr>
          <w:rFonts w:ascii="Arial" w:hAnsi="Arial" w:cs="Arial"/>
          <w:sz w:val="20"/>
          <w:szCs w:val="20"/>
        </w:rPr>
        <w:t>perations, consisting primarily of professional fees and other indirect charges associated with our IPO</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i/>
          <w:iCs/>
          <w:sz w:val="20"/>
          <w:szCs w:val="20"/>
        </w:rPr>
        <w:t>Free Cash Flo</w:t>
      </w:r>
      <w:r>
        <w:rPr>
          <w:rFonts w:ascii="Arial" w:hAnsi="Arial" w:cs="Arial"/>
          <w:i/>
          <w:iCs/>
          <w:sz w:val="20"/>
          <w:szCs w:val="20"/>
        </w:rPr>
        <w:t>w</w:t>
      </w:r>
    </w:p>
    <w:p w:rsidR="00000000" w:rsidRDefault="00CA40A2">
      <w:pPr>
        <w:pStyle w:val="a3"/>
        <w:spacing w:before="120" w:beforeAutospacing="0" w:after="0" w:afterAutospacing="0"/>
        <w:ind w:firstLine="539"/>
        <w:rPr>
          <w:sz w:val="20"/>
          <w:szCs w:val="20"/>
        </w:rPr>
      </w:pPr>
      <w:r>
        <w:rPr>
          <w:rFonts w:ascii="Arial" w:hAnsi="Arial" w:cs="Arial"/>
          <w:sz w:val="20"/>
          <w:szCs w:val="20"/>
        </w:rPr>
        <w:t>We calculate free cash flow as net cash provided by (used in) operating activities less capital expenditures and capitalized internal-u</w:t>
      </w:r>
      <w:r>
        <w:rPr>
          <w:rFonts w:ascii="Arial" w:hAnsi="Arial" w:cs="Arial"/>
          <w:sz w:val="20"/>
          <w:szCs w:val="20"/>
        </w:rPr>
        <w:t>se software development costs</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i/>
          <w:iCs/>
          <w:sz w:val="20"/>
          <w:szCs w:val="20"/>
        </w:rPr>
        <w:t>How we use Non-GAAP Measure</w:t>
      </w:r>
      <w:r>
        <w:rPr>
          <w:rFonts w:ascii="Arial" w:hAnsi="Arial" w:cs="Arial"/>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 xml:space="preserve">We use non-GAAP measures to supplement financial information presented on a GAAP basis. We believe that excluding certain items from our GAAP results allows management and our board of directors </w:t>
      </w:r>
      <w:r>
        <w:rPr>
          <w:rFonts w:ascii="Arial" w:hAnsi="Arial" w:cs="Arial"/>
          <w:sz w:val="20"/>
          <w:szCs w:val="20"/>
        </w:rPr>
        <w:t xml:space="preserve">to more fully understand our consolidated financial performance from period to period and helps management project our future consolidated financial performance as forecasts are developed at a level of detail different from that used to prepare GAAP-based </w:t>
      </w:r>
      <w:r>
        <w:rPr>
          <w:rFonts w:ascii="Arial" w:hAnsi="Arial" w:cs="Arial"/>
          <w:sz w:val="20"/>
          <w:szCs w:val="20"/>
        </w:rPr>
        <w:t>financial measures. Moreover, we believe these non-GAAP measures provide our investors with useful information to help them evaluate our operating results by facilitating an enhanced understanding of our operating performance and enabling them to make more</w:t>
      </w:r>
      <w:r>
        <w:rPr>
          <w:rFonts w:ascii="Arial" w:hAnsi="Arial" w:cs="Arial"/>
          <w:sz w:val="20"/>
          <w:szCs w:val="20"/>
        </w:rPr>
        <w:t xml:space="preserve"> meaningful period-to-period comparisons. In particular, we exclude interchange and assessment fees in the presentation of contribution profit because we believe inclusion is less directly reflective of our operating performance as we do not control the pa</w:t>
      </w:r>
      <w:r>
        <w:rPr>
          <w:rFonts w:ascii="Arial" w:hAnsi="Arial" w:cs="Arial"/>
          <w:sz w:val="20"/>
          <w:szCs w:val="20"/>
        </w:rPr>
        <w:t xml:space="preserve">yment channel used by consumers, which is the primary determinant of the amount of interchange and assessment fees. We use contribution profit to measure the amount available to fund our operations after interchange and assessment fees, which are directly </w:t>
      </w:r>
      <w:r>
        <w:rPr>
          <w:rFonts w:ascii="Arial" w:hAnsi="Arial" w:cs="Arial"/>
          <w:sz w:val="20"/>
          <w:szCs w:val="20"/>
        </w:rPr>
        <w:t>linked to the number of transactions we process and thus our revenue and gross profit. There are limitations to the use of the non-GAAP measures presented in this report. Our non-GAAP measures may not be comparable to similarly titled measures of other com</w:t>
      </w:r>
      <w:r>
        <w:rPr>
          <w:rFonts w:ascii="Arial" w:hAnsi="Arial" w:cs="Arial"/>
          <w:sz w:val="20"/>
          <w:szCs w:val="20"/>
        </w:rPr>
        <w:t xml:space="preserve">panies; other companies, including companies in our industry, may calculate non-GAAP measures differently than we do, limiting the usefulness of those measures for comparative purposes. These non-GAAP measures should not be considered in isolation from or </w:t>
      </w:r>
      <w:r>
        <w:rPr>
          <w:rFonts w:ascii="Arial" w:hAnsi="Arial" w:cs="Arial"/>
          <w:sz w:val="20"/>
          <w:szCs w:val="20"/>
        </w:rPr>
        <w:t>as a substitute for financial measures prepared in accordance with GAAP</w:t>
      </w:r>
      <w:r>
        <w:rPr>
          <w:rFonts w:ascii="Arial" w:hAnsi="Arial" w:cs="Arial"/>
          <w:sz w:val="20"/>
          <w:szCs w:val="20"/>
        </w:rPr>
        <w:t>.</w:t>
      </w:r>
    </w:p>
    <w:p w:rsidR="00000000" w:rsidRDefault="00CA40A2">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5</w:t>
      </w:r>
    </w:p>
    <w:p w:rsidR="00000000" w:rsidRDefault="00CA40A2">
      <w:pPr>
        <w:rPr>
          <w:rFonts w:eastAsia="Times New Roman"/>
        </w:rPr>
      </w:pPr>
      <w:r>
        <w:rPr>
          <w:rFonts w:eastAsia="Times New Roman"/>
        </w:rPr>
        <w:pict>
          <v:rect id="_x0000_i1050"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120" w:beforeAutospacing="0" w:after="0" w:afterAutospacing="0"/>
        <w:ind w:firstLine="539"/>
        <w:rPr>
          <w:sz w:val="20"/>
          <w:szCs w:val="20"/>
        </w:rPr>
      </w:pPr>
      <w:r>
        <w:rPr>
          <w:rFonts w:ascii="Arial" w:hAnsi="Arial" w:cs="Arial"/>
          <w:sz w:val="20"/>
          <w:szCs w:val="20"/>
        </w:rPr>
        <w:t>We also urge you to review the reconciliation of these non-GAAP financial measures included below. To properly and prudently evaluate our busi</w:t>
      </w:r>
      <w:r>
        <w:rPr>
          <w:rFonts w:ascii="Arial" w:hAnsi="Arial" w:cs="Arial"/>
          <w:sz w:val="20"/>
          <w:szCs w:val="20"/>
        </w:rPr>
        <w:t>ness, we encourage you to review the consolidated financial statements and related notes included elsewhere in this report and to not rely on any single financial measure to evaluate our business</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ind w:firstLine="543"/>
        <w:rPr>
          <w:sz w:val="20"/>
          <w:szCs w:val="20"/>
        </w:rPr>
      </w:pPr>
      <w:r>
        <w:rPr>
          <w:rFonts w:ascii="Arial" w:hAnsi="Arial" w:cs="Arial"/>
          <w:i/>
          <w:iCs/>
          <w:sz w:val="20"/>
          <w:szCs w:val="20"/>
        </w:rPr>
        <w:t>Contribution Profi</w:t>
      </w:r>
      <w:r>
        <w:rPr>
          <w:rFonts w:ascii="Arial" w:hAnsi="Arial" w:cs="Arial"/>
          <w:i/>
          <w:iCs/>
          <w:sz w:val="20"/>
          <w:szCs w:val="20"/>
        </w:rPr>
        <w:t>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7"/>
        <w:gridCol w:w="172"/>
        <w:gridCol w:w="1064"/>
        <w:gridCol w:w="116"/>
        <w:gridCol w:w="130"/>
        <w:gridCol w:w="172"/>
        <w:gridCol w:w="1064"/>
        <w:gridCol w:w="131"/>
      </w:tblGrid>
      <w:tr w:rsidR="00000000">
        <w:trPr>
          <w:tblCellSpacing w:w="15" w:type="dxa"/>
        </w:trPr>
        <w:tc>
          <w:tcPr>
            <w:tcW w:w="3386" w:type="pct"/>
            <w:vAlign w:val="center"/>
            <w:hideMark/>
          </w:tcPr>
          <w:p w:rsidR="00000000" w:rsidRDefault="00CA40A2">
            <w:pPr>
              <w:rPr>
                <w:sz w:val="20"/>
                <w:szCs w:val="20"/>
              </w:rPr>
            </w:pPr>
          </w:p>
        </w:tc>
        <w:tc>
          <w:tcPr>
            <w:tcW w:w="67" w:type="pct"/>
            <w:vAlign w:val="center"/>
            <w:hideMark/>
          </w:tcPr>
          <w:p w:rsidR="00000000" w:rsidRDefault="00CA40A2">
            <w:pPr>
              <w:rPr>
                <w:rFonts w:eastAsia="Times New Roman"/>
                <w:sz w:val="20"/>
                <w:szCs w:val="20"/>
              </w:rPr>
            </w:pPr>
          </w:p>
        </w:tc>
        <w:tc>
          <w:tcPr>
            <w:tcW w:w="664"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84"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64"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34,85</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27,54</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Plus: other cost of revenu</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12,53</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7,56</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Contribution profi</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47,38</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35,10</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120" w:beforeAutospacing="0" w:after="0" w:afterAutospacing="0"/>
        <w:ind w:firstLine="539"/>
        <w:rPr>
          <w:sz w:val="20"/>
          <w:szCs w:val="20"/>
        </w:rPr>
      </w:pPr>
      <w:r>
        <w:rPr>
          <w:rFonts w:ascii="Arial" w:hAnsi="Arial" w:cs="Arial"/>
          <w:sz w:val="20"/>
          <w:szCs w:val="20"/>
        </w:rPr>
        <w:t>In general, contribution profit is driven by the number of transactions we process offset by network fees associated with processing those transactions. The amount of contribution profit per transaction may vary due to a variety of factors including client</w:t>
      </w:r>
      <w:r>
        <w:rPr>
          <w:rFonts w:ascii="Arial" w:hAnsi="Arial" w:cs="Arial"/>
          <w:sz w:val="20"/>
          <w:szCs w:val="20"/>
        </w:rPr>
        <w:t xml:space="preserve"> size, type and industry as well as whether the client is a biller, financial institution or other partner. Contribution profit for the three months ended March 31, 2022 increased approximately 35.0% as compared to the same period in 2021. The increase was</w:t>
      </w:r>
      <w:r>
        <w:rPr>
          <w:rFonts w:ascii="Arial" w:hAnsi="Arial" w:cs="Arial"/>
          <w:sz w:val="20"/>
          <w:szCs w:val="20"/>
        </w:rPr>
        <w:t xml:space="preserve"> primarily driven by the addition of new billers and financial institutions and increased transactions from our existing billers and financial institutions. For the three months ended March 31, 2022, contribution profit increased at a slower rate than tran</w:t>
      </w:r>
      <w:r>
        <w:rPr>
          <w:rFonts w:ascii="Arial" w:hAnsi="Arial" w:cs="Arial"/>
          <w:sz w:val="20"/>
          <w:szCs w:val="20"/>
        </w:rPr>
        <w:t>sactions due to continued onboarding of larger clients</w:t>
      </w:r>
      <w:r>
        <w:rPr>
          <w:rFonts w:ascii="Arial" w:hAnsi="Arial" w:cs="Arial"/>
          <w:sz w:val="20"/>
          <w:szCs w:val="20"/>
        </w:rPr>
        <w:t>.</w:t>
      </w:r>
    </w:p>
    <w:p w:rsidR="00000000" w:rsidRDefault="00CA40A2">
      <w:pPr>
        <w:pStyle w:val="a3"/>
        <w:spacing w:before="240" w:beforeAutospacing="0" w:after="0" w:afterAutospacing="0"/>
        <w:ind w:firstLine="543"/>
        <w:rPr>
          <w:sz w:val="20"/>
          <w:szCs w:val="20"/>
        </w:rPr>
      </w:pPr>
      <w:r>
        <w:rPr>
          <w:rFonts w:ascii="Arial" w:hAnsi="Arial" w:cs="Arial"/>
          <w:i/>
          <w:iCs/>
          <w:sz w:val="20"/>
          <w:szCs w:val="20"/>
        </w:rPr>
        <w:t>Adjusted Gross Profi</w:t>
      </w:r>
      <w:r>
        <w:rPr>
          <w:rFonts w:ascii="Arial" w:hAnsi="Arial" w:cs="Arial"/>
          <w:i/>
          <w:iCs/>
          <w:sz w:val="20"/>
          <w:szCs w:val="20"/>
        </w:rPr>
        <w:t>t</w:t>
      </w:r>
      <w:r>
        <w:rPr>
          <w:rFonts w:ascii="Arial" w:hAnsi="Arial" w:cs="Arial"/>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7"/>
        <w:gridCol w:w="172"/>
        <w:gridCol w:w="1064"/>
        <w:gridCol w:w="116"/>
        <w:gridCol w:w="130"/>
        <w:gridCol w:w="172"/>
        <w:gridCol w:w="1064"/>
        <w:gridCol w:w="131"/>
      </w:tblGrid>
      <w:tr w:rsidR="00000000">
        <w:trPr>
          <w:tblCellSpacing w:w="15" w:type="dxa"/>
        </w:trPr>
        <w:tc>
          <w:tcPr>
            <w:tcW w:w="3386" w:type="pct"/>
            <w:vAlign w:val="center"/>
            <w:hideMark/>
          </w:tcPr>
          <w:p w:rsidR="00000000" w:rsidRDefault="00CA40A2">
            <w:pPr>
              <w:rPr>
                <w:sz w:val="20"/>
                <w:szCs w:val="20"/>
              </w:rPr>
            </w:pPr>
          </w:p>
        </w:tc>
        <w:tc>
          <w:tcPr>
            <w:tcW w:w="67" w:type="pct"/>
            <w:vAlign w:val="center"/>
            <w:hideMark/>
          </w:tcPr>
          <w:p w:rsidR="00000000" w:rsidRDefault="00CA40A2">
            <w:pPr>
              <w:rPr>
                <w:rFonts w:eastAsia="Times New Roman"/>
                <w:sz w:val="20"/>
                <w:szCs w:val="20"/>
              </w:rPr>
            </w:pPr>
          </w:p>
        </w:tc>
        <w:tc>
          <w:tcPr>
            <w:tcW w:w="664"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84"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64"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34,85</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27,54</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Stock-based compensatio</w:t>
            </w:r>
            <w:r>
              <w:rPr>
                <w:rFonts w:ascii="Arial" w:hAnsi="Arial" w:cs="Arial"/>
                <w:sz w:val="20"/>
                <w:szCs w:val="20"/>
              </w:rPr>
              <w:t>n</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Amortizatio</w:t>
            </w:r>
            <w:r>
              <w:rPr>
                <w:rFonts w:ascii="Arial" w:hAnsi="Arial" w:cs="Arial"/>
                <w:sz w:val="20"/>
                <w:szCs w:val="20"/>
              </w:rPr>
              <w:t>n</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2,51</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1,04</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Adjusted gross profi</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37,36</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28,59</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120" w:beforeAutospacing="0" w:after="0" w:afterAutospacing="0"/>
        <w:ind w:firstLine="539"/>
        <w:rPr>
          <w:sz w:val="20"/>
          <w:szCs w:val="20"/>
        </w:rPr>
      </w:pPr>
      <w:r>
        <w:rPr>
          <w:rFonts w:ascii="Arial" w:hAnsi="Arial" w:cs="Arial"/>
          <w:sz w:val="20"/>
          <w:szCs w:val="20"/>
        </w:rPr>
        <w:t>Adjusted gross profit for the three months ended March 31, 2022 increased approximately 30.7% as compared to the same period in 2021. Adjusted gross profit is driven primarily by the same factors that impact gross profit with the exception of excluding the</w:t>
      </w:r>
      <w:r>
        <w:rPr>
          <w:rFonts w:ascii="Arial" w:hAnsi="Arial" w:cs="Arial"/>
          <w:sz w:val="20"/>
          <w:szCs w:val="20"/>
        </w:rPr>
        <w:t xml:space="preserve"> amortization in cost of revenue. The percentage increase in adjusted gross profit is lower than the percentage increase in contribution profit due to additional other cost of revenue recorded related to the Payveris and Finovera acquisitions. The increase</w:t>
      </w:r>
      <w:r>
        <w:rPr>
          <w:rFonts w:ascii="Arial" w:hAnsi="Arial" w:cs="Arial"/>
          <w:sz w:val="20"/>
          <w:szCs w:val="20"/>
        </w:rPr>
        <w:t xml:space="preserve"> in amortization was driven by additional capitalization of software costs as well as amortization of acquired intangibles associated with our acquisitions of Payveris and Finovera</w:t>
      </w:r>
      <w:r>
        <w:rPr>
          <w:rFonts w:ascii="Arial" w:hAnsi="Arial" w:cs="Arial"/>
          <w:sz w:val="20"/>
          <w:szCs w:val="20"/>
        </w:rPr>
        <w:t>.</w:t>
      </w:r>
    </w:p>
    <w:p w:rsidR="00000000" w:rsidRDefault="00CA40A2">
      <w:pPr>
        <w:pStyle w:val="a3"/>
        <w:spacing w:before="240" w:beforeAutospacing="0" w:after="0" w:afterAutospacing="0"/>
        <w:ind w:firstLine="543"/>
        <w:rPr>
          <w:sz w:val="20"/>
          <w:szCs w:val="20"/>
        </w:rPr>
      </w:pPr>
      <w:r>
        <w:rPr>
          <w:rFonts w:ascii="Arial" w:hAnsi="Arial" w:cs="Arial"/>
          <w:i/>
          <w:iCs/>
          <w:sz w:val="20"/>
          <w:szCs w:val="20"/>
        </w:rPr>
        <w:t>Adjusted EBITD</w:t>
      </w:r>
      <w:r>
        <w:rPr>
          <w:rFonts w:ascii="Arial" w:hAnsi="Arial" w:cs="Arial"/>
          <w:i/>
          <w:iCs/>
          <w:sz w:val="20"/>
          <w:szCs w:val="20"/>
        </w:rPr>
        <w: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5"/>
        <w:gridCol w:w="172"/>
        <w:gridCol w:w="1059"/>
        <w:gridCol w:w="127"/>
        <w:gridCol w:w="129"/>
        <w:gridCol w:w="172"/>
        <w:gridCol w:w="1050"/>
        <w:gridCol w:w="142"/>
      </w:tblGrid>
      <w:tr w:rsidR="00000000">
        <w:trPr>
          <w:tblCellSpacing w:w="15" w:type="dxa"/>
        </w:trPr>
        <w:tc>
          <w:tcPr>
            <w:tcW w:w="3385" w:type="pct"/>
            <w:vAlign w:val="center"/>
            <w:hideMark/>
          </w:tcPr>
          <w:p w:rsidR="00000000" w:rsidRDefault="00CA40A2">
            <w:pPr>
              <w:rPr>
                <w:sz w:val="20"/>
                <w:szCs w:val="20"/>
              </w:rPr>
            </w:pPr>
          </w:p>
        </w:tc>
        <w:tc>
          <w:tcPr>
            <w:tcW w:w="67" w:type="pct"/>
            <w:vAlign w:val="center"/>
            <w:hideMark/>
          </w:tcPr>
          <w:p w:rsidR="00000000" w:rsidRDefault="00CA40A2">
            <w:pPr>
              <w:rPr>
                <w:rFonts w:eastAsia="Times New Roman"/>
                <w:sz w:val="20"/>
                <w:szCs w:val="20"/>
              </w:rPr>
            </w:pPr>
          </w:p>
        </w:tc>
        <w:tc>
          <w:tcPr>
            <w:tcW w:w="661"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c>
          <w:tcPr>
            <w:tcW w:w="83"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55"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1,71</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3,63</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Excludin</w:t>
            </w:r>
            <w:r>
              <w:rPr>
                <w:rFonts w:ascii="Arial" w:hAnsi="Arial" w:cs="Arial"/>
                <w:sz w:val="20"/>
                <w:szCs w:val="20"/>
              </w:rPr>
              <w:t>g</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Interest expense, ne</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(Benefit from) Provision for income taxe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(3,07</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1,22</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Depreciation and amortizatio</w:t>
            </w:r>
            <w:r>
              <w:rPr>
                <w:rFonts w:ascii="Arial" w:hAnsi="Arial" w:cs="Arial"/>
                <w:sz w:val="20"/>
                <w:szCs w:val="20"/>
              </w:rPr>
              <w:t>n</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5,47</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2,39</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Foreign exchange gai</w:t>
            </w:r>
            <w:r>
              <w:rPr>
                <w:rFonts w:ascii="Arial" w:hAnsi="Arial" w:cs="Arial"/>
                <w:sz w:val="20"/>
                <w:szCs w:val="20"/>
              </w:rPr>
              <w:t>n</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Stock-based compensatio</w:t>
            </w:r>
            <w:r>
              <w:rPr>
                <w:rFonts w:ascii="Arial" w:hAnsi="Arial" w:cs="Arial"/>
                <w:sz w:val="20"/>
                <w:szCs w:val="20"/>
              </w:rPr>
              <w:t>n</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1,27</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56</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Other nonrecurring expense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1,59</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Adjusted EBITD</w:t>
            </w:r>
            <w:r>
              <w:rPr>
                <w:rFonts w:ascii="Arial" w:hAnsi="Arial" w:cs="Arial"/>
                <w:sz w:val="20"/>
                <w:szCs w:val="20"/>
              </w:rPr>
              <w:t>A</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5,37</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9,40</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divId w:val="981691170"/>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CA40A2">
      <w:pPr>
        <w:divId w:val="1307976304"/>
        <w:rPr>
          <w:rFonts w:eastAsia="Times New Roman"/>
        </w:rPr>
      </w:pPr>
      <w:r>
        <w:rPr>
          <w:rFonts w:ascii="Arial" w:eastAsia="Times New Roman" w:hAnsi="Arial" w:cs="Arial"/>
          <w:sz w:val="18"/>
          <w:szCs w:val="18"/>
        </w:rPr>
        <w:t>Other nonrecurring expenses consist of indirect costs incurred associated with our IPO</w:t>
      </w:r>
      <w:r>
        <w:rPr>
          <w:rFonts w:ascii="Arial" w:eastAsia="Times New Roman" w:hAnsi="Arial" w:cs="Arial"/>
          <w:sz w:val="18"/>
          <w:szCs w:val="18"/>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As adjusted EBITDA is a measure of profitability, it would generally be expected to move in line with revenue, contribution profit, gross profit and adjusted gross prof</w:t>
      </w:r>
      <w:r>
        <w:rPr>
          <w:rFonts w:ascii="Arial" w:hAnsi="Arial" w:cs="Arial"/>
          <w:sz w:val="20"/>
          <w:szCs w:val="20"/>
        </w:rPr>
        <w:t>it. Adjusted EBITDA decreased as compared to the same period in 2021 due to our investment in sales and marketing and research and development in order to drive future growth of the business as well as the increased costs associated with being a public com</w:t>
      </w:r>
      <w:r>
        <w:rPr>
          <w:rFonts w:ascii="Arial" w:hAnsi="Arial" w:cs="Arial"/>
          <w:sz w:val="20"/>
          <w:szCs w:val="20"/>
        </w:rPr>
        <w:t>pany and the impact of the Payveris and Finovera acquisitions</w:t>
      </w:r>
      <w:r>
        <w:rPr>
          <w:rFonts w:ascii="Arial" w:hAnsi="Arial" w:cs="Arial"/>
          <w:sz w:val="20"/>
          <w:szCs w:val="20"/>
        </w:rPr>
        <w:t>.</w:t>
      </w:r>
    </w:p>
    <w:p w:rsidR="00000000" w:rsidRDefault="00CA40A2">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6</w:t>
      </w:r>
    </w:p>
    <w:p w:rsidR="00000000" w:rsidRDefault="00CA40A2">
      <w:pPr>
        <w:rPr>
          <w:rFonts w:eastAsia="Times New Roman"/>
        </w:rPr>
      </w:pPr>
      <w:r>
        <w:rPr>
          <w:rFonts w:eastAsia="Times New Roman"/>
        </w:rPr>
        <w:pict>
          <v:rect id="_x0000_i1051"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240" w:beforeAutospacing="0" w:after="0" w:afterAutospacing="0"/>
        <w:ind w:firstLine="539"/>
        <w:rPr>
          <w:sz w:val="20"/>
          <w:szCs w:val="20"/>
        </w:rPr>
      </w:pPr>
      <w:r>
        <w:rPr>
          <w:rFonts w:ascii="Arial" w:hAnsi="Arial" w:cs="Arial"/>
          <w:i/>
          <w:iCs/>
          <w:sz w:val="20"/>
          <w:szCs w:val="20"/>
        </w:rPr>
        <w:t>Free Cash Flo</w:t>
      </w:r>
      <w:r>
        <w:rPr>
          <w:rFonts w:ascii="Arial" w:hAnsi="Arial" w:cs="Arial"/>
          <w:i/>
          <w:iCs/>
          <w:sz w:val="20"/>
          <w:szCs w:val="20"/>
        </w:rPr>
        <w:t>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48"/>
        <w:gridCol w:w="172"/>
        <w:gridCol w:w="1062"/>
        <w:gridCol w:w="127"/>
        <w:gridCol w:w="131"/>
        <w:gridCol w:w="172"/>
        <w:gridCol w:w="1052"/>
        <w:gridCol w:w="142"/>
      </w:tblGrid>
      <w:tr w:rsidR="00000000">
        <w:trPr>
          <w:tblCellSpacing w:w="15" w:type="dxa"/>
        </w:trPr>
        <w:tc>
          <w:tcPr>
            <w:tcW w:w="3381" w:type="pct"/>
            <w:vAlign w:val="center"/>
            <w:hideMark/>
          </w:tcPr>
          <w:p w:rsidR="00000000" w:rsidRDefault="00CA40A2">
            <w:pPr>
              <w:rPr>
                <w:sz w:val="20"/>
                <w:szCs w:val="20"/>
              </w:rPr>
            </w:pPr>
          </w:p>
        </w:tc>
        <w:tc>
          <w:tcPr>
            <w:tcW w:w="67" w:type="pct"/>
            <w:vAlign w:val="center"/>
            <w:hideMark/>
          </w:tcPr>
          <w:p w:rsidR="00000000" w:rsidRDefault="00CA40A2">
            <w:pPr>
              <w:rPr>
                <w:rFonts w:eastAsia="Times New Roman"/>
                <w:sz w:val="20"/>
                <w:szCs w:val="20"/>
              </w:rPr>
            </w:pPr>
          </w:p>
        </w:tc>
        <w:tc>
          <w:tcPr>
            <w:tcW w:w="663"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c>
          <w:tcPr>
            <w:tcW w:w="84"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57"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Net cash provided by operating activitie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3,24</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7,17</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Purchases of property and equipmen</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(15</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Capitalized internal-use software development cost</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(6,73</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(4,25</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Free cash flo</w:t>
            </w:r>
            <w:r>
              <w:rPr>
                <w:rFonts w:ascii="Arial" w:hAnsi="Arial" w:cs="Arial"/>
                <w:sz w:val="20"/>
                <w:szCs w:val="20"/>
              </w:rPr>
              <w:t>w</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(4,01</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2,76</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Net cash used in investing activitie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(7,28</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(4,41</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Net cash provided by (used in) financing activitie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2,36</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bl>
    <w:p w:rsidR="00000000" w:rsidRDefault="00CA40A2">
      <w:pPr>
        <w:divId w:val="1779134884"/>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CA40A2">
      <w:pPr>
        <w:divId w:val="1571503988"/>
        <w:rPr>
          <w:rFonts w:eastAsia="Times New Roman"/>
        </w:rPr>
      </w:pPr>
      <w:r>
        <w:rPr>
          <w:rFonts w:ascii="Arial" w:eastAsia="Times New Roman" w:hAnsi="Arial" w:cs="Arial"/>
          <w:sz w:val="18"/>
          <w:szCs w:val="18"/>
        </w:rPr>
        <w:t>Net cash used in investing activities includes payments for purchases of property and equipment and costs related to capitalized internal-use software development, which is also included in our calculation of free cash flow</w:t>
      </w:r>
      <w:r>
        <w:rPr>
          <w:rFonts w:ascii="Arial" w:eastAsia="Times New Roman" w:hAnsi="Arial" w:cs="Arial"/>
          <w:sz w:val="18"/>
          <w:szCs w:val="18"/>
        </w:rPr>
        <w:t>.</w:t>
      </w:r>
    </w:p>
    <w:p w:rsidR="00000000" w:rsidRDefault="00CA40A2">
      <w:pPr>
        <w:pStyle w:val="a3"/>
        <w:spacing w:before="240" w:beforeAutospacing="0" w:after="0" w:afterAutospacing="0"/>
        <w:jc w:val="center"/>
        <w:rPr>
          <w:sz w:val="20"/>
          <w:szCs w:val="20"/>
        </w:rPr>
      </w:pPr>
      <w:r>
        <w:rPr>
          <w:rFonts w:ascii="Arial" w:hAnsi="Arial" w:cs="Arial"/>
          <w:b/>
          <w:bCs/>
          <w:sz w:val="20"/>
          <w:szCs w:val="20"/>
        </w:rPr>
        <w:t>Results of Operation</w:t>
      </w:r>
      <w:r>
        <w:rPr>
          <w:rFonts w:ascii="Arial" w:hAnsi="Arial" w:cs="Arial"/>
          <w:b/>
          <w:bCs/>
          <w:sz w:val="20"/>
          <w:szCs w:val="20"/>
        </w:rPr>
        <w:t>s</w:t>
      </w:r>
    </w:p>
    <w:p w:rsidR="00000000" w:rsidRDefault="00CA40A2">
      <w:pPr>
        <w:pStyle w:val="a3"/>
        <w:spacing w:before="240" w:beforeAutospacing="0" w:after="0" w:afterAutospacing="0"/>
        <w:ind w:firstLine="543"/>
        <w:rPr>
          <w:sz w:val="20"/>
          <w:szCs w:val="20"/>
        </w:rPr>
      </w:pPr>
      <w:r>
        <w:rPr>
          <w:rFonts w:ascii="Arial" w:hAnsi="Arial" w:cs="Arial"/>
          <w:sz w:val="20"/>
          <w:szCs w:val="20"/>
        </w:rPr>
        <w:t>The follo</w:t>
      </w:r>
      <w:r>
        <w:rPr>
          <w:rFonts w:ascii="Arial" w:hAnsi="Arial" w:cs="Arial"/>
          <w:sz w:val="20"/>
          <w:szCs w:val="20"/>
        </w:rPr>
        <w:t>wing table sets forth our results of operations for the periods presented:</w:t>
      </w:r>
      <w:r>
        <w:rPr>
          <w:rFonts w:ascii="Arial" w:hAnsi="Arial" w:cs="Arial"/>
          <w:sz w:val="20"/>
          <w:szCs w:val="20"/>
        </w:rPr>
        <w:br/>
      </w: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49"/>
        <w:gridCol w:w="135"/>
        <w:gridCol w:w="172"/>
        <w:gridCol w:w="1142"/>
        <w:gridCol w:w="127"/>
        <w:gridCol w:w="135"/>
        <w:gridCol w:w="172"/>
        <w:gridCol w:w="1132"/>
        <w:gridCol w:w="142"/>
      </w:tblGrid>
      <w:tr w:rsidR="00000000">
        <w:trPr>
          <w:tblCellSpacing w:w="15" w:type="dxa"/>
        </w:trPr>
        <w:tc>
          <w:tcPr>
            <w:tcW w:w="3202" w:type="pct"/>
            <w:vAlign w:val="center"/>
            <w:hideMark/>
          </w:tcPr>
          <w:p w:rsidR="00000000" w:rsidRDefault="00CA40A2">
            <w:pPr>
              <w:rPr>
                <w:sz w:val="20"/>
                <w:szCs w:val="20"/>
              </w:rPr>
            </w:pPr>
          </w:p>
        </w:tc>
        <w:tc>
          <w:tcPr>
            <w:tcW w:w="83"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711"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c>
          <w:tcPr>
            <w:tcW w:w="83"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705"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116,70</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92,22</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81,85</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64,67</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34,85</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27,54</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10,39</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7,73</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16,19</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8,22</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9,64</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6,74</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36,22</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22,69</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(Loss) income from operation</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(1,37</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4,85</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Interest expense, ne</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Foreign exchange gai</w:t>
            </w:r>
            <w:r>
              <w:rPr>
                <w:rFonts w:ascii="Arial" w:hAnsi="Arial" w:cs="Arial"/>
                <w:sz w:val="20"/>
                <w:szCs w:val="20"/>
              </w:rPr>
              <w:t>n</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(Loss) income before income taxe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(1,35</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4,85</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3,07</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(1,22</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1,71</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3,63</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divId w:val="25179409"/>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CA40A2">
      <w:pPr>
        <w:divId w:val="1438866221"/>
        <w:rPr>
          <w:rFonts w:eastAsia="Times New Roman"/>
        </w:rPr>
      </w:pPr>
      <w:r>
        <w:rPr>
          <w:rFonts w:ascii="Arial" w:eastAsia="Times New Roman" w:hAnsi="Arial" w:cs="Arial"/>
          <w:sz w:val="18"/>
          <w:szCs w:val="18"/>
        </w:rPr>
        <w:t>Stock-based compensation expense was allocated in cost of revenue and operating expenses as follows</w:t>
      </w:r>
      <w:r>
        <w:rPr>
          <w:rFonts w:ascii="Arial" w:eastAsia="Times New Roman" w:hAnsi="Arial" w:cs="Arial"/>
          <w:sz w:val="18"/>
          <w:szCs w:val="18"/>
        </w:rPr>
        <w:t>:</w:t>
      </w:r>
    </w:p>
    <w:p w:rsidR="00000000" w:rsidRDefault="00CA40A2">
      <w:pPr>
        <w:pStyle w:val="a3"/>
        <w:spacing w:before="0" w:beforeAutospacing="0" w:after="0" w:afterAutospacing="0"/>
        <w:rPr>
          <w:sz w:val="20"/>
          <w:szCs w:val="20"/>
        </w:rPr>
      </w:pPr>
      <w:r>
        <w:rPr>
          <w:rFonts w:ascii="Arial" w:hAnsi="Arial" w:cs="Arial"/>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59"/>
        <w:gridCol w:w="135"/>
        <w:gridCol w:w="172"/>
        <w:gridCol w:w="1144"/>
        <w:gridCol w:w="116"/>
        <w:gridCol w:w="135"/>
        <w:gridCol w:w="172"/>
        <w:gridCol w:w="1142"/>
        <w:gridCol w:w="131"/>
      </w:tblGrid>
      <w:tr w:rsidR="00000000">
        <w:trPr>
          <w:tblCellSpacing w:w="15" w:type="dxa"/>
        </w:trPr>
        <w:tc>
          <w:tcPr>
            <w:tcW w:w="3209" w:type="pct"/>
            <w:vAlign w:val="center"/>
            <w:hideMark/>
          </w:tcPr>
          <w:p w:rsidR="00000000" w:rsidRDefault="00CA40A2">
            <w:pPr>
              <w:rPr>
                <w:sz w:val="20"/>
                <w:szCs w:val="20"/>
              </w:rPr>
            </w:pPr>
          </w:p>
        </w:tc>
        <w:tc>
          <w:tcPr>
            <w:tcW w:w="83"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712"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83"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711"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22</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76</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Total stock-based compensatio</w:t>
            </w:r>
            <w:r>
              <w:rPr>
                <w:rFonts w:ascii="Arial" w:hAnsi="Arial" w:cs="Arial"/>
                <w:sz w:val="20"/>
                <w:szCs w:val="20"/>
              </w:rPr>
              <w:t>n</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1,27</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56</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7</w:t>
      </w:r>
    </w:p>
    <w:p w:rsidR="00000000" w:rsidRDefault="00CA40A2">
      <w:pPr>
        <w:rPr>
          <w:rFonts w:eastAsia="Times New Roman"/>
        </w:rPr>
      </w:pPr>
      <w:r>
        <w:rPr>
          <w:rFonts w:eastAsia="Times New Roman"/>
        </w:rPr>
        <w:pict>
          <v:rect id="_x0000_i1052"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120" w:beforeAutospacing="0" w:after="0" w:afterAutospacing="0"/>
        <w:ind w:firstLine="539"/>
        <w:rPr>
          <w:sz w:val="20"/>
          <w:szCs w:val="20"/>
        </w:rPr>
      </w:pPr>
      <w:r>
        <w:rPr>
          <w:rFonts w:ascii="Arial" w:hAnsi="Arial" w:cs="Arial"/>
          <w:sz w:val="20"/>
          <w:szCs w:val="20"/>
        </w:rPr>
        <w:t>The following table presents the components of our consolidated statements of operations for the periods presented as a percentage of revenue</w:t>
      </w:r>
      <w:r>
        <w:rPr>
          <w:rFonts w:ascii="Arial" w:hAnsi="Arial" w:cs="Arial"/>
          <w:sz w:val="20"/>
          <w:szCs w:val="20"/>
        </w:rPr>
        <w:t>:</w:t>
      </w:r>
    </w:p>
    <w:p w:rsidR="00000000" w:rsidRDefault="00CA40A2">
      <w:pPr>
        <w:pStyle w:val="a3"/>
        <w:spacing w:before="0" w:beforeAutospacing="0" w:after="0" w:afterAutospacing="0"/>
        <w:jc w:val="both"/>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50"/>
        <w:gridCol w:w="133"/>
        <w:gridCol w:w="116"/>
        <w:gridCol w:w="1083"/>
        <w:gridCol w:w="238"/>
        <w:gridCol w:w="134"/>
        <w:gridCol w:w="116"/>
        <w:gridCol w:w="1083"/>
        <w:gridCol w:w="253"/>
      </w:tblGrid>
      <w:tr w:rsidR="00000000">
        <w:trPr>
          <w:tblCellSpacing w:w="15" w:type="dxa"/>
        </w:trPr>
        <w:tc>
          <w:tcPr>
            <w:tcW w:w="3204" w:type="pct"/>
            <w:vAlign w:val="center"/>
            <w:hideMark/>
          </w:tcPr>
          <w:p w:rsidR="00000000" w:rsidRDefault="00CA40A2">
            <w:pPr>
              <w:rPr>
                <w:sz w:val="20"/>
                <w:szCs w:val="20"/>
              </w:rPr>
            </w:pPr>
          </w:p>
        </w:tc>
        <w:tc>
          <w:tcPr>
            <w:tcW w:w="83"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675" w:type="pct"/>
            <w:vAlign w:val="center"/>
            <w:hideMark/>
          </w:tcPr>
          <w:p w:rsidR="00000000" w:rsidRDefault="00CA40A2">
            <w:pPr>
              <w:rPr>
                <w:rFonts w:eastAsia="Times New Roman"/>
                <w:sz w:val="20"/>
                <w:szCs w:val="20"/>
              </w:rPr>
            </w:pPr>
          </w:p>
        </w:tc>
        <w:tc>
          <w:tcPr>
            <w:tcW w:w="106" w:type="pct"/>
            <w:vAlign w:val="center"/>
            <w:hideMark/>
          </w:tcPr>
          <w:p w:rsidR="00000000" w:rsidRDefault="00CA40A2">
            <w:pPr>
              <w:rPr>
                <w:rFonts w:eastAsia="Times New Roman"/>
                <w:sz w:val="20"/>
                <w:szCs w:val="20"/>
              </w:rPr>
            </w:pPr>
          </w:p>
        </w:tc>
        <w:tc>
          <w:tcPr>
            <w:tcW w:w="83" w:type="pct"/>
            <w:vAlign w:val="center"/>
            <w:hideMark/>
          </w:tcPr>
          <w:p w:rsidR="00000000" w:rsidRDefault="00CA40A2">
            <w:pPr>
              <w:rPr>
                <w:rFonts w:eastAsia="Times New Roman"/>
                <w:sz w:val="20"/>
                <w:szCs w:val="20"/>
              </w:rPr>
            </w:pPr>
          </w:p>
        </w:tc>
        <w:tc>
          <w:tcPr>
            <w:tcW w:w="32" w:type="pct"/>
            <w:vAlign w:val="center"/>
            <w:hideMark/>
          </w:tcPr>
          <w:p w:rsidR="00000000" w:rsidRDefault="00CA40A2">
            <w:pPr>
              <w:rPr>
                <w:rFonts w:eastAsia="Times New Roman"/>
                <w:sz w:val="20"/>
                <w:szCs w:val="20"/>
              </w:rPr>
            </w:pPr>
          </w:p>
        </w:tc>
        <w:tc>
          <w:tcPr>
            <w:tcW w:w="675" w:type="pct"/>
            <w:vAlign w:val="center"/>
            <w:hideMark/>
          </w:tcPr>
          <w:p w:rsidR="00000000" w:rsidRDefault="00CA40A2">
            <w:pPr>
              <w:rPr>
                <w:rFonts w:eastAsia="Times New Roman"/>
                <w:sz w:val="20"/>
                <w:szCs w:val="20"/>
              </w:rPr>
            </w:pPr>
          </w:p>
        </w:tc>
        <w:tc>
          <w:tcPr>
            <w:tcW w:w="106"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24.</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(Loss) income from operation</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Interest expense, ne</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Foreign exchange gai</w:t>
            </w:r>
            <w:r>
              <w:rPr>
                <w:rFonts w:ascii="Arial" w:hAnsi="Arial" w:cs="Arial"/>
                <w:sz w:val="20"/>
                <w:szCs w:val="20"/>
              </w:rPr>
              <w:t>n</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(Loss) income before income taxe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bl>
    <w:p w:rsidR="00000000" w:rsidRDefault="00CA40A2">
      <w:pPr>
        <w:pStyle w:val="a3"/>
        <w:spacing w:before="240" w:beforeAutospacing="0" w:after="0" w:afterAutospacing="0"/>
        <w:rPr>
          <w:sz w:val="20"/>
          <w:szCs w:val="20"/>
        </w:rPr>
      </w:pPr>
      <w:r>
        <w:rPr>
          <w:rFonts w:ascii="Arial" w:hAnsi="Arial" w:cs="Arial"/>
          <w:b/>
          <w:bCs/>
          <w:i/>
          <w:iCs/>
          <w:sz w:val="20"/>
          <w:szCs w:val="20"/>
        </w:rPr>
        <w:t>Comparison of the Three Months Ended March 31, 2022 and 202</w:t>
      </w:r>
      <w:r>
        <w:rPr>
          <w:rFonts w:ascii="Arial" w:hAnsi="Arial" w:cs="Arial"/>
          <w:b/>
          <w:bCs/>
          <w:i/>
          <w:iCs/>
          <w:sz w:val="20"/>
          <w:szCs w:val="20"/>
        </w:rPr>
        <w:t>1</w:t>
      </w:r>
      <w:r>
        <w:rPr>
          <w:rFonts w:ascii="Arial" w:hAnsi="Arial" w:cs="Arial"/>
          <w:b/>
          <w:bCs/>
          <w:i/>
          <w:iCs/>
          <w:sz w:val="20"/>
          <w:szCs w:val="20"/>
        </w:rPr>
        <w:t xml:space="preserve"> </w:t>
      </w:r>
    </w:p>
    <w:p w:rsidR="00000000" w:rsidRDefault="00CA40A2">
      <w:pPr>
        <w:pStyle w:val="a3"/>
        <w:spacing w:before="240" w:beforeAutospacing="0" w:after="0" w:afterAutospacing="0"/>
        <w:ind w:firstLine="543"/>
        <w:rPr>
          <w:sz w:val="20"/>
          <w:szCs w:val="20"/>
        </w:rPr>
      </w:pPr>
      <w:r>
        <w:rPr>
          <w:rFonts w:ascii="Arial" w:hAnsi="Arial" w:cs="Arial"/>
          <w:i/>
          <w:iCs/>
          <w:sz w:val="20"/>
          <w:szCs w:val="20"/>
        </w:rPr>
        <w:t>Revenu</w:t>
      </w:r>
      <w:r>
        <w:rPr>
          <w:rFonts w:ascii="Arial" w:hAnsi="Arial" w:cs="Arial"/>
          <w:i/>
          <w:iCs/>
          <w:sz w:val="20"/>
          <w:szCs w:val="20"/>
        </w:rPr>
        <w: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76"/>
        <w:gridCol w:w="164"/>
        <w:gridCol w:w="172"/>
        <w:gridCol w:w="1017"/>
        <w:gridCol w:w="116"/>
        <w:gridCol w:w="164"/>
        <w:gridCol w:w="172"/>
        <w:gridCol w:w="1015"/>
        <w:gridCol w:w="116"/>
        <w:gridCol w:w="164"/>
        <w:gridCol w:w="172"/>
        <w:gridCol w:w="1015"/>
        <w:gridCol w:w="116"/>
        <w:gridCol w:w="164"/>
        <w:gridCol w:w="116"/>
        <w:gridCol w:w="1016"/>
        <w:gridCol w:w="131"/>
      </w:tblGrid>
      <w:tr w:rsidR="00000000">
        <w:trPr>
          <w:tblCellSpacing w:w="15" w:type="dxa"/>
        </w:trPr>
        <w:tc>
          <w:tcPr>
            <w:tcW w:w="1574" w:type="pct"/>
            <w:vAlign w:val="center"/>
            <w:hideMark/>
          </w:tcPr>
          <w:p w:rsidR="00000000" w:rsidRDefault="00CA40A2">
            <w:pPr>
              <w:rPr>
                <w:sz w:val="20"/>
                <w:szCs w:val="20"/>
              </w:rPr>
            </w:pPr>
          </w:p>
        </w:tc>
        <w:tc>
          <w:tcPr>
            <w:tcW w:w="98"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646"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645"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645"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645"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116,70</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92,22</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24,48</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0" w:afterAutospacing="0"/>
        <w:ind w:firstLine="543"/>
        <w:rPr>
          <w:sz w:val="20"/>
          <w:szCs w:val="20"/>
        </w:rPr>
      </w:pPr>
      <w:r>
        <w:rPr>
          <w:rFonts w:ascii="Arial" w:hAnsi="Arial" w:cs="Arial"/>
          <w:sz w:val="20"/>
          <w:szCs w:val="20"/>
        </w:rPr>
        <w:t>The increase in revenue was primarily due to an increase in the number of transactions processed, which was driven by the implementation of new billers, increased transactions from our existing billers and additional transactions as a result of the Payveri</w:t>
      </w:r>
      <w:r>
        <w:rPr>
          <w:rFonts w:ascii="Arial" w:hAnsi="Arial" w:cs="Arial"/>
          <w:sz w:val="20"/>
          <w:szCs w:val="20"/>
        </w:rPr>
        <w:t>s and Finovera acquisitions, offset by the decrease in revenue we received per transaction on a blended basis</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120" w:afterAutospacing="0"/>
        <w:ind w:firstLine="539"/>
        <w:rPr>
          <w:sz w:val="20"/>
          <w:szCs w:val="20"/>
        </w:rPr>
      </w:pPr>
      <w:r>
        <w:rPr>
          <w:rFonts w:ascii="Arial" w:hAnsi="Arial" w:cs="Arial"/>
          <w:i/>
          <w:iCs/>
          <w:sz w:val="20"/>
          <w:szCs w:val="20"/>
        </w:rPr>
        <w:t>Cost of Revenue, Gross Profit and Gross Margi</w:t>
      </w:r>
      <w:r>
        <w:rPr>
          <w:rFonts w:ascii="Arial" w:hAnsi="Arial" w:cs="Arial"/>
          <w:i/>
          <w:iCs/>
          <w:sz w:val="20"/>
          <w:szCs w:val="20"/>
        </w:rP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1"/>
        <w:gridCol w:w="156"/>
        <w:gridCol w:w="172"/>
        <w:gridCol w:w="928"/>
        <w:gridCol w:w="238"/>
        <w:gridCol w:w="156"/>
        <w:gridCol w:w="172"/>
        <w:gridCol w:w="928"/>
        <w:gridCol w:w="238"/>
        <w:gridCol w:w="156"/>
        <w:gridCol w:w="172"/>
        <w:gridCol w:w="1004"/>
        <w:gridCol w:w="116"/>
        <w:gridCol w:w="157"/>
        <w:gridCol w:w="116"/>
        <w:gridCol w:w="1005"/>
        <w:gridCol w:w="131"/>
      </w:tblGrid>
      <w:tr w:rsidR="00000000">
        <w:trPr>
          <w:tblCellSpacing w:w="15" w:type="dxa"/>
        </w:trPr>
        <w:tc>
          <w:tcPr>
            <w:tcW w:w="1569" w:type="pct"/>
            <w:vAlign w:val="center"/>
            <w:hideMark/>
          </w:tcPr>
          <w:p w:rsidR="00000000" w:rsidRDefault="00CA40A2">
            <w:pPr>
              <w:rPr>
                <w:sz w:val="20"/>
                <w:szCs w:val="20"/>
              </w:rPr>
            </w:pPr>
          </w:p>
        </w:tc>
        <w:tc>
          <w:tcPr>
            <w:tcW w:w="98"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594" w:type="pct"/>
            <w:vAlign w:val="center"/>
            <w:hideMark/>
          </w:tcPr>
          <w:p w:rsidR="00000000" w:rsidRDefault="00CA40A2">
            <w:pPr>
              <w:rPr>
                <w:rFonts w:eastAsia="Times New Roman"/>
                <w:sz w:val="20"/>
                <w:szCs w:val="20"/>
              </w:rPr>
            </w:pPr>
          </w:p>
        </w:tc>
        <w:tc>
          <w:tcPr>
            <w:tcW w:w="106"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594" w:type="pct"/>
            <w:vAlign w:val="center"/>
            <w:hideMark/>
          </w:tcPr>
          <w:p w:rsidR="00000000" w:rsidRDefault="00CA40A2">
            <w:pPr>
              <w:rPr>
                <w:rFonts w:eastAsia="Times New Roman"/>
                <w:sz w:val="20"/>
                <w:szCs w:val="20"/>
              </w:rPr>
            </w:pPr>
          </w:p>
        </w:tc>
        <w:tc>
          <w:tcPr>
            <w:tcW w:w="106"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643"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643"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81,85</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64,67</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17,17</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34,85</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27,54</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7,30</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Gross margi</w:t>
            </w:r>
            <w:r>
              <w:rPr>
                <w:rFonts w:ascii="Arial" w:hAnsi="Arial" w:cs="Arial"/>
                <w:sz w:val="20"/>
                <w:szCs w:val="20"/>
              </w:rPr>
              <w:t>n</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0" w:afterAutospacing="0"/>
        <w:ind w:firstLine="543"/>
        <w:rPr>
          <w:sz w:val="20"/>
          <w:szCs w:val="20"/>
        </w:rPr>
      </w:pPr>
      <w:r>
        <w:rPr>
          <w:rFonts w:ascii="Arial" w:hAnsi="Arial" w:cs="Arial"/>
          <w:sz w:val="20"/>
          <w:szCs w:val="20"/>
        </w:rPr>
        <w:t>The increase in cost of revenue was driven by the increase in revenue and transactions processed as it consists primarily of interchange fees and processor costs as well as other direct and indirect costs associated with making our platform available to ou</w:t>
      </w:r>
      <w:r>
        <w:rPr>
          <w:rFonts w:ascii="Arial" w:hAnsi="Arial" w:cs="Arial"/>
          <w:sz w:val="20"/>
          <w:szCs w:val="20"/>
        </w:rPr>
        <w:t>r billers</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Gross margin for the three months ended March 31, 2022 was in line with gross margin for the same period in 2021</w:t>
      </w:r>
      <w:r>
        <w:rPr>
          <w:rFonts w:ascii="Arial" w:hAnsi="Arial" w:cs="Arial"/>
          <w:sz w:val="20"/>
          <w:szCs w:val="20"/>
        </w:rPr>
        <w:t>.</w:t>
      </w:r>
    </w:p>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8</w:t>
      </w:r>
    </w:p>
    <w:p w:rsidR="00000000" w:rsidRDefault="00CA40A2">
      <w:pPr>
        <w:rPr>
          <w:rFonts w:eastAsia="Times New Roman"/>
        </w:rPr>
      </w:pPr>
      <w:r>
        <w:rPr>
          <w:rFonts w:eastAsia="Times New Roman"/>
        </w:rPr>
        <w:pict>
          <v:rect id="_x0000_i1053"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240" w:beforeAutospacing="0" w:after="0" w:afterAutospacing="0"/>
        <w:ind w:firstLine="543"/>
        <w:rPr>
          <w:sz w:val="20"/>
          <w:szCs w:val="20"/>
        </w:rPr>
      </w:pPr>
      <w:r>
        <w:rPr>
          <w:rFonts w:ascii="Arial" w:hAnsi="Arial" w:cs="Arial"/>
          <w:i/>
          <w:iCs/>
          <w:sz w:val="20"/>
          <w:szCs w:val="20"/>
        </w:rPr>
        <w:t>Operating Expense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5"/>
        <w:gridCol w:w="156"/>
        <w:gridCol w:w="172"/>
        <w:gridCol w:w="927"/>
        <w:gridCol w:w="238"/>
        <w:gridCol w:w="156"/>
        <w:gridCol w:w="172"/>
        <w:gridCol w:w="927"/>
        <w:gridCol w:w="238"/>
        <w:gridCol w:w="156"/>
        <w:gridCol w:w="172"/>
        <w:gridCol w:w="1004"/>
        <w:gridCol w:w="116"/>
        <w:gridCol w:w="156"/>
        <w:gridCol w:w="116"/>
        <w:gridCol w:w="1004"/>
        <w:gridCol w:w="131"/>
      </w:tblGrid>
      <w:tr w:rsidR="00000000">
        <w:trPr>
          <w:tblCellSpacing w:w="15" w:type="dxa"/>
        </w:trPr>
        <w:tc>
          <w:tcPr>
            <w:tcW w:w="1573" w:type="pct"/>
            <w:vAlign w:val="center"/>
            <w:hideMark/>
          </w:tcPr>
          <w:p w:rsidR="00000000" w:rsidRDefault="00CA40A2">
            <w:pPr>
              <w:rPr>
                <w:sz w:val="20"/>
                <w:szCs w:val="20"/>
              </w:rPr>
            </w:pPr>
          </w:p>
        </w:tc>
        <w:tc>
          <w:tcPr>
            <w:tcW w:w="98"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593" w:type="pct"/>
            <w:vAlign w:val="center"/>
            <w:hideMark/>
          </w:tcPr>
          <w:p w:rsidR="00000000" w:rsidRDefault="00CA40A2">
            <w:pPr>
              <w:rPr>
                <w:rFonts w:eastAsia="Times New Roman"/>
                <w:sz w:val="20"/>
                <w:szCs w:val="20"/>
              </w:rPr>
            </w:pPr>
          </w:p>
        </w:tc>
        <w:tc>
          <w:tcPr>
            <w:tcW w:w="106"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593" w:type="pct"/>
            <w:vAlign w:val="center"/>
            <w:hideMark/>
          </w:tcPr>
          <w:p w:rsidR="00000000" w:rsidRDefault="00CA40A2">
            <w:pPr>
              <w:rPr>
                <w:rFonts w:eastAsia="Times New Roman"/>
                <w:sz w:val="20"/>
                <w:szCs w:val="20"/>
              </w:rPr>
            </w:pPr>
          </w:p>
        </w:tc>
        <w:tc>
          <w:tcPr>
            <w:tcW w:w="106"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643"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642"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14"/>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10,39</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7,73</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2,66</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34.</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16,19</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8,22</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7,96</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96.</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9,64</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6,74</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2,90</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43.</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36,22</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22,69</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13,53</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Percentage of total revenu</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r>
    </w:tbl>
    <w:p w:rsidR="00000000" w:rsidRDefault="00CA40A2">
      <w:pPr>
        <w:pStyle w:val="a3"/>
        <w:spacing w:before="120" w:beforeAutospacing="0" w:after="0" w:afterAutospacing="0"/>
        <w:ind w:firstLine="539"/>
        <w:rPr>
          <w:sz w:val="20"/>
          <w:szCs w:val="20"/>
        </w:rPr>
      </w:pPr>
      <w:r>
        <w:rPr>
          <w:rFonts w:ascii="Arial" w:hAnsi="Arial" w:cs="Arial"/>
          <w:i/>
          <w:iCs/>
          <w:sz w:val="20"/>
          <w:szCs w:val="20"/>
        </w:rPr>
        <w:t>Research and Development Expense</w:t>
      </w:r>
      <w:r>
        <w:rPr>
          <w:rFonts w:ascii="Arial" w:hAnsi="Arial" w:cs="Arial"/>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The increase in research and development expenses was primarily due to an increase in employee-related costs, including benefits due to an increase in headcount as we continued to invest in building and adding additional f</w:t>
      </w:r>
      <w:r>
        <w:rPr>
          <w:rFonts w:ascii="Arial" w:hAnsi="Arial" w:cs="Arial"/>
          <w:sz w:val="20"/>
          <w:szCs w:val="20"/>
        </w:rPr>
        <w:t>eatures and functionality to our platform. Additionally, we incurred increased hosting costs as we transitioned from data center to the cloud and an increase in stock-based compensation expense associated with routine grants</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i/>
          <w:iCs/>
          <w:sz w:val="20"/>
          <w:szCs w:val="20"/>
        </w:rPr>
        <w:t>Sales and Marketing Expense</w:t>
      </w:r>
      <w:r>
        <w:rPr>
          <w:rFonts w:ascii="Arial" w:hAnsi="Arial" w:cs="Arial"/>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T</w:t>
      </w:r>
      <w:r>
        <w:rPr>
          <w:rFonts w:ascii="Arial" w:hAnsi="Arial" w:cs="Arial"/>
          <w:sz w:val="20"/>
          <w:szCs w:val="20"/>
        </w:rPr>
        <w:t>he increase in sales and marketing expenses was primarily due to an increase in employee-related costs, including benefits, as we continued to expand our sales and marketing efforts with additional headcount in order to continue to drive our growth. In add</w:t>
      </w:r>
      <w:r>
        <w:rPr>
          <w:rFonts w:ascii="Arial" w:hAnsi="Arial" w:cs="Arial"/>
          <w:sz w:val="20"/>
          <w:szCs w:val="20"/>
        </w:rPr>
        <w:t>ition, we incurred amortization expense related to the identifiable intangible assets from the Payveris and Finovera acquisitions as well as increased stock-based compensation associated with routine grants</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i/>
          <w:iCs/>
          <w:sz w:val="20"/>
          <w:szCs w:val="20"/>
        </w:rPr>
        <w:t>General and Administrative Expense</w:t>
      </w:r>
      <w:r>
        <w:rPr>
          <w:rFonts w:ascii="Arial" w:hAnsi="Arial" w:cs="Arial"/>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The increase</w:t>
      </w:r>
      <w:r>
        <w:rPr>
          <w:rFonts w:ascii="Arial" w:hAnsi="Arial" w:cs="Arial"/>
          <w:sz w:val="20"/>
          <w:szCs w:val="20"/>
        </w:rPr>
        <w:t xml:space="preserve"> in general and administrative expenses was primarily due to increased costs of operating as a public company, including significant increases in our directors and officers insurance premiums, and increases in employee-related costs, including benefits and</w:t>
      </w:r>
      <w:r>
        <w:rPr>
          <w:rFonts w:ascii="Arial" w:hAnsi="Arial" w:cs="Arial"/>
          <w:sz w:val="20"/>
          <w:szCs w:val="20"/>
        </w:rPr>
        <w:t xml:space="preserve"> stock-based compensation, due to an increase in general and administrative headcount</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The increase in general and administrative expenses as a percentage of revenue was primarily due to increased ongoing costs associated with operating as a public company</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ind w:firstLine="543"/>
        <w:rPr>
          <w:sz w:val="20"/>
          <w:szCs w:val="20"/>
        </w:rPr>
      </w:pPr>
      <w:r>
        <w:rPr>
          <w:rFonts w:ascii="Arial" w:hAnsi="Arial" w:cs="Arial"/>
          <w:i/>
          <w:iCs/>
          <w:sz w:val="20"/>
          <w:szCs w:val="20"/>
        </w:rPr>
        <w:t>Other Income (Loss</w:t>
      </w:r>
      <w:r>
        <w:rPr>
          <w:rFonts w:ascii="Arial" w:hAnsi="Arial" w:cs="Arial"/>
          <w:i/>
          <w:i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76"/>
        <w:gridCol w:w="160"/>
        <w:gridCol w:w="172"/>
        <w:gridCol w:w="1008"/>
        <w:gridCol w:w="127"/>
        <w:gridCol w:w="160"/>
        <w:gridCol w:w="173"/>
        <w:gridCol w:w="1008"/>
        <w:gridCol w:w="127"/>
        <w:gridCol w:w="161"/>
        <w:gridCol w:w="173"/>
        <w:gridCol w:w="1012"/>
        <w:gridCol w:w="127"/>
        <w:gridCol w:w="161"/>
        <w:gridCol w:w="116"/>
        <w:gridCol w:w="1014"/>
        <w:gridCol w:w="131"/>
      </w:tblGrid>
      <w:tr w:rsidR="00000000">
        <w:trPr>
          <w:tblCellSpacing w:w="15" w:type="dxa"/>
        </w:trPr>
        <w:tc>
          <w:tcPr>
            <w:tcW w:w="1576" w:type="pct"/>
            <w:vAlign w:val="center"/>
            <w:hideMark/>
          </w:tcPr>
          <w:p w:rsidR="00000000" w:rsidRDefault="00CA40A2">
            <w:pPr>
              <w:rPr>
                <w:sz w:val="20"/>
                <w:szCs w:val="20"/>
              </w:rPr>
            </w:pPr>
          </w:p>
        </w:tc>
        <w:tc>
          <w:tcPr>
            <w:tcW w:w="98"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43"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43"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67" w:type="pct"/>
            <w:vAlign w:val="center"/>
            <w:hideMark/>
          </w:tcPr>
          <w:p w:rsidR="00000000" w:rsidRDefault="00CA40A2">
            <w:pPr>
              <w:rPr>
                <w:rFonts w:eastAsia="Times New Roman"/>
                <w:sz w:val="20"/>
                <w:szCs w:val="20"/>
              </w:rPr>
            </w:pPr>
          </w:p>
        </w:tc>
        <w:tc>
          <w:tcPr>
            <w:tcW w:w="645"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646"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Interest expense, ne</w:t>
            </w:r>
            <w:r>
              <w:rPr>
                <w:rFonts w:ascii="Arial" w:hAnsi="Arial" w:cs="Arial"/>
                <w:sz w:val="20"/>
                <w:szCs w:val="20"/>
              </w:rPr>
              <w:t>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166.</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Foreign exchange gai</w:t>
            </w:r>
            <w:r>
              <w:rPr>
                <w:rFonts w:ascii="Arial" w:hAnsi="Arial" w:cs="Arial"/>
                <w:sz w:val="20"/>
                <w:szCs w:val="20"/>
              </w:rPr>
              <w:t>n</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6</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188.</w:t>
            </w:r>
            <w:r>
              <w:rPr>
                <w:rFonts w:ascii="Arial" w:hAnsi="Arial" w:cs="Arial"/>
                <w:sz w:val="20"/>
                <w:szCs w:val="20"/>
              </w:rPr>
              <w:t>9</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0" w:afterAutospacing="0"/>
        <w:ind w:firstLine="543"/>
        <w:rPr>
          <w:sz w:val="20"/>
          <w:szCs w:val="20"/>
        </w:rPr>
      </w:pPr>
      <w:r>
        <w:rPr>
          <w:rFonts w:ascii="Arial" w:hAnsi="Arial" w:cs="Arial"/>
          <w:sz w:val="20"/>
          <w:szCs w:val="20"/>
        </w:rPr>
        <w:t>The changes in interest expense, net and foreign exchange gain were immaterial</w:t>
      </w:r>
      <w:r>
        <w:rPr>
          <w:rFonts w:ascii="Arial" w:hAnsi="Arial" w:cs="Arial"/>
          <w:sz w:val="20"/>
          <w:szCs w:val="20"/>
        </w:rPr>
        <w:t>.</w:t>
      </w:r>
    </w:p>
    <w:p w:rsidR="00000000" w:rsidRDefault="00CA40A2">
      <w:pPr>
        <w:pStyle w:val="a3"/>
        <w:spacing w:before="240" w:beforeAutospacing="0" w:after="0" w:afterAutospacing="0"/>
        <w:ind w:firstLine="543"/>
        <w:rPr>
          <w:sz w:val="20"/>
          <w:szCs w:val="20"/>
        </w:rPr>
      </w:pPr>
      <w:r>
        <w:rPr>
          <w:rFonts w:ascii="Arial" w:hAnsi="Arial" w:cs="Arial"/>
          <w:i/>
          <w:iCs/>
          <w:sz w:val="20"/>
          <w:szCs w:val="20"/>
        </w:rPr>
        <w:t>Income Taxes</w:t>
      </w:r>
      <w:r>
        <w:rPr>
          <w:rFonts w:ascii="Arial" w:hAnsi="Arial" w:cs="Arial"/>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75"/>
        <w:gridCol w:w="161"/>
        <w:gridCol w:w="172"/>
        <w:gridCol w:w="1011"/>
        <w:gridCol w:w="116"/>
        <w:gridCol w:w="162"/>
        <w:gridCol w:w="172"/>
        <w:gridCol w:w="1013"/>
        <w:gridCol w:w="127"/>
        <w:gridCol w:w="162"/>
        <w:gridCol w:w="172"/>
        <w:gridCol w:w="1012"/>
        <w:gridCol w:w="116"/>
        <w:gridCol w:w="162"/>
        <w:gridCol w:w="116"/>
        <w:gridCol w:w="1015"/>
        <w:gridCol w:w="142"/>
      </w:tblGrid>
      <w:tr w:rsidR="00000000">
        <w:trPr>
          <w:tblCellSpacing w:w="15" w:type="dxa"/>
        </w:trPr>
        <w:tc>
          <w:tcPr>
            <w:tcW w:w="1575" w:type="pct"/>
            <w:vAlign w:val="center"/>
            <w:hideMark/>
          </w:tcPr>
          <w:p w:rsidR="00000000" w:rsidRDefault="00CA40A2">
            <w:pPr>
              <w:rPr>
                <w:sz w:val="20"/>
                <w:szCs w:val="20"/>
              </w:rPr>
            </w:pPr>
          </w:p>
        </w:tc>
        <w:tc>
          <w:tcPr>
            <w:tcW w:w="98"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644"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645"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644"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98"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c>
          <w:tcPr>
            <w:tcW w:w="646" w:type="pct"/>
            <w:vAlign w:val="center"/>
            <w:hideMark/>
          </w:tcPr>
          <w:p w:rsidR="00000000" w:rsidRDefault="00CA40A2">
            <w:pPr>
              <w:rPr>
                <w:rFonts w:eastAsia="Times New Roman"/>
                <w:sz w:val="20"/>
                <w:szCs w:val="20"/>
              </w:rPr>
            </w:pPr>
          </w:p>
        </w:tc>
        <w:tc>
          <w:tcPr>
            <w:tcW w:w="49"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Benefit from (provision for) income taxe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3,07</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(1,22</w:t>
            </w:r>
            <w:r>
              <w:rPr>
                <w:rFonts w:ascii="Arial" w:hAnsi="Arial" w:cs="Arial"/>
                <w:sz w:val="20"/>
                <w:szCs w:val="20"/>
              </w:rPr>
              <w:t>1</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4,29</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(351.</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bl>
    <w:p w:rsidR="00000000" w:rsidRDefault="00CA40A2">
      <w:pPr>
        <w:pStyle w:val="a3"/>
        <w:spacing w:before="240" w:beforeAutospacing="0" w:after="0" w:afterAutospacing="0"/>
        <w:ind w:firstLine="543"/>
        <w:rPr>
          <w:sz w:val="20"/>
          <w:szCs w:val="20"/>
        </w:rPr>
      </w:pPr>
      <w:r>
        <w:rPr>
          <w:rFonts w:ascii="Arial" w:hAnsi="Arial" w:cs="Arial"/>
          <w:sz w:val="20"/>
          <w:szCs w:val="20"/>
        </w:rPr>
        <w:t>The change in benefit from (provision for) income taxes for the three months ended March 31, 2022 as compared to the same period in the prior year, was primarily due to changes in pre-tax income and loss, as well as a discrete benefit of $2.6 million relat</w:t>
      </w:r>
      <w:r>
        <w:rPr>
          <w:rFonts w:ascii="Arial" w:hAnsi="Arial" w:cs="Arial"/>
          <w:sz w:val="20"/>
          <w:szCs w:val="20"/>
        </w:rPr>
        <w:t>ed to excess tax benefits on stock-based compensation</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jc w:val="center"/>
        <w:rPr>
          <w:sz w:val="20"/>
          <w:szCs w:val="20"/>
        </w:rPr>
      </w:pPr>
      <w:r>
        <w:rPr>
          <w:rFonts w:ascii="Arial" w:hAnsi="Arial" w:cs="Arial"/>
          <w:b/>
          <w:bCs/>
          <w:sz w:val="20"/>
          <w:szCs w:val="20"/>
        </w:rPr>
        <w:t>Liquidity and Capital Resource</w:t>
      </w:r>
      <w:r>
        <w:rPr>
          <w:rFonts w:ascii="Arial" w:hAnsi="Arial" w:cs="Arial"/>
          <w:b/>
          <w:bCs/>
          <w:sz w:val="20"/>
          <w:szCs w:val="20"/>
        </w:rPr>
        <w:t>s</w:t>
      </w:r>
    </w:p>
    <w:p w:rsidR="00000000" w:rsidRDefault="00CA40A2">
      <w:pPr>
        <w:pStyle w:val="a3"/>
        <w:spacing w:before="240" w:beforeAutospacing="0" w:after="0" w:afterAutospacing="0"/>
        <w:rPr>
          <w:sz w:val="20"/>
          <w:szCs w:val="20"/>
        </w:rPr>
      </w:pPr>
      <w:r>
        <w:rPr>
          <w:rFonts w:ascii="Arial" w:hAnsi="Arial" w:cs="Arial"/>
          <w:b/>
          <w:bCs/>
          <w:i/>
          <w:iCs/>
          <w:sz w:val="20"/>
          <w:szCs w:val="20"/>
        </w:rPr>
        <w:t>Sources and Uses of Fund</w:t>
      </w:r>
      <w:r>
        <w:rPr>
          <w:rFonts w:ascii="Arial" w:hAnsi="Arial" w:cs="Arial"/>
          <w:b/>
          <w:bCs/>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As of March 31, 2022, we had $163.4 million of unrestricted cash and cash equivalents. We believe that existing unrestricted cash and cash equivalents will be sufficient to support our working capital and capital expenditur</w:t>
      </w:r>
      <w:r>
        <w:rPr>
          <w:rFonts w:ascii="Arial" w:hAnsi="Arial" w:cs="Arial"/>
          <w:sz w:val="20"/>
          <w:szCs w:val="20"/>
        </w:rPr>
        <w:t>e</w:t>
      </w:r>
      <w:r>
        <w:rPr>
          <w:rFonts w:ascii="Arial" w:hAnsi="Arial" w:cs="Arial"/>
          <w:sz w:val="20"/>
          <w:szCs w:val="20"/>
        </w:rPr>
        <w:t xml:space="preserve"> </w:t>
      </w:r>
    </w:p>
    <w:p w:rsidR="00000000" w:rsidRDefault="00CA40A2">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9</w:t>
      </w:r>
    </w:p>
    <w:p w:rsidR="00000000" w:rsidRDefault="00CA40A2">
      <w:pPr>
        <w:rPr>
          <w:rFonts w:eastAsia="Times New Roman"/>
        </w:rPr>
      </w:pPr>
      <w:r>
        <w:rPr>
          <w:rFonts w:eastAsia="Times New Roman"/>
        </w:rPr>
        <w:pict>
          <v:rect id="_x0000_i1054"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120" w:beforeAutospacing="0" w:after="0" w:afterAutospacing="0"/>
        <w:rPr>
          <w:sz w:val="20"/>
          <w:szCs w:val="20"/>
        </w:rPr>
      </w:pPr>
      <w:r>
        <w:rPr>
          <w:rFonts w:ascii="Arial" w:hAnsi="Arial" w:cs="Arial"/>
          <w:sz w:val="20"/>
          <w:szCs w:val="20"/>
        </w:rPr>
        <w:t>requirements for at least the next 12 months. Since inception, we have financed operations primarily through the sale of equity securities and revenue from payment transaction fees and subscriptions. Our principal uses of cash are funding opera</w:t>
      </w:r>
      <w:r>
        <w:rPr>
          <w:rFonts w:ascii="Arial" w:hAnsi="Arial" w:cs="Arial"/>
          <w:sz w:val="20"/>
          <w:szCs w:val="20"/>
        </w:rPr>
        <w:t>tions and capital expenditures</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 xml:space="preserve">From time to time, we may explore additional financing sources and means to lower our cost of capital, which could include equity, equity-linked and debt financing. We cannot assure you that any additional financing will be </w:t>
      </w:r>
      <w:r>
        <w:rPr>
          <w:rFonts w:ascii="Arial" w:hAnsi="Arial" w:cs="Arial"/>
          <w:sz w:val="20"/>
          <w:szCs w:val="20"/>
        </w:rPr>
        <w:t xml:space="preserve">available to us on acceptable terms, or at all. The inability to raise capital would adversely affect our ability to achieve our business objectives. If we raise additional funds by issuing equity or equity-linked securities, the ownership of our existing </w:t>
      </w:r>
      <w:r>
        <w:rPr>
          <w:rFonts w:ascii="Arial" w:hAnsi="Arial" w:cs="Arial"/>
          <w:sz w:val="20"/>
          <w:szCs w:val="20"/>
        </w:rPr>
        <w:t>stockholders will be diluted. If we raise additional financing by the incurrence of indebtedness, we may be subject to increased fixed payment obligations and could be subject to additional restrictive covenants, such as limitations on our ability to incur</w:t>
      </w:r>
      <w:r>
        <w:rPr>
          <w:rFonts w:ascii="Arial" w:hAnsi="Arial" w:cs="Arial"/>
          <w:sz w:val="20"/>
          <w:szCs w:val="20"/>
        </w:rPr>
        <w:t xml:space="preserve"> additional debt, and other operating restrictions that could adversely impact our ability to conduct our business or execute our growth strategy. Any future indebtedness we incur may result in terms that could be unfavorable to equity investors</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rPr>
          <w:sz w:val="20"/>
          <w:szCs w:val="20"/>
        </w:rPr>
      </w:pPr>
      <w:r>
        <w:rPr>
          <w:rFonts w:ascii="Arial" w:hAnsi="Arial" w:cs="Arial"/>
          <w:b/>
          <w:bCs/>
          <w:i/>
          <w:iCs/>
          <w:sz w:val="20"/>
          <w:szCs w:val="20"/>
        </w:rPr>
        <w:t>Historic</w:t>
      </w:r>
      <w:r>
        <w:rPr>
          <w:rFonts w:ascii="Arial" w:hAnsi="Arial" w:cs="Arial"/>
          <w:b/>
          <w:bCs/>
          <w:i/>
          <w:iCs/>
          <w:sz w:val="20"/>
          <w:szCs w:val="20"/>
        </w:rPr>
        <w:t>al Cash Flow</w:t>
      </w:r>
      <w:r>
        <w:rPr>
          <w:rFonts w:ascii="Arial" w:hAnsi="Arial" w:cs="Arial"/>
          <w:b/>
          <w:bCs/>
          <w:i/>
          <w:iCs/>
          <w:sz w:val="20"/>
          <w:szCs w:val="20"/>
        </w:rPr>
        <w:t>s</w:t>
      </w:r>
      <w:r>
        <w:rPr>
          <w:rFonts w:ascii="Arial" w:hAnsi="Arial" w:cs="Arial"/>
          <w:b/>
          <w:bCs/>
          <w:i/>
          <w:iCs/>
          <w:sz w:val="20"/>
          <w:szCs w:val="20"/>
        </w:rPr>
        <w:t xml:space="preserve"> </w:t>
      </w:r>
    </w:p>
    <w:p w:rsidR="00000000" w:rsidRDefault="00CA40A2">
      <w:pPr>
        <w:pStyle w:val="a3"/>
        <w:spacing w:before="120" w:beforeAutospacing="0" w:after="120" w:afterAutospacing="0"/>
        <w:ind w:firstLine="539"/>
        <w:rPr>
          <w:sz w:val="20"/>
          <w:szCs w:val="20"/>
        </w:rPr>
      </w:pPr>
      <w:r>
        <w:rPr>
          <w:rFonts w:ascii="Arial" w:hAnsi="Arial" w:cs="Arial"/>
          <w:sz w:val="20"/>
          <w:szCs w:val="20"/>
        </w:rPr>
        <w:t>The following table summarizes our consolidated cash flows</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77"/>
        <w:gridCol w:w="676"/>
        <w:gridCol w:w="172"/>
        <w:gridCol w:w="1043"/>
        <w:gridCol w:w="127"/>
        <w:gridCol w:w="116"/>
        <w:gridCol w:w="172"/>
        <w:gridCol w:w="981"/>
        <w:gridCol w:w="142"/>
      </w:tblGrid>
      <w:tr w:rsidR="00000000">
        <w:trPr>
          <w:tblCellSpacing w:w="15" w:type="dxa"/>
        </w:trPr>
        <w:tc>
          <w:tcPr>
            <w:tcW w:w="3074" w:type="pct"/>
            <w:vAlign w:val="center"/>
            <w:hideMark/>
          </w:tcPr>
          <w:p w:rsidR="00000000" w:rsidRDefault="00CA40A2">
            <w:pPr>
              <w:rPr>
                <w:sz w:val="20"/>
                <w:szCs w:val="20"/>
              </w:rPr>
            </w:pPr>
          </w:p>
        </w:tc>
        <w:tc>
          <w:tcPr>
            <w:tcW w:w="259"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690"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c>
          <w:tcPr>
            <w:tcW w:w="79" w:type="pct"/>
            <w:vAlign w:val="center"/>
            <w:hideMark/>
          </w:tcPr>
          <w:p w:rsidR="00000000" w:rsidRDefault="00CA40A2">
            <w:pPr>
              <w:rPr>
                <w:rFonts w:eastAsia="Times New Roman"/>
                <w:sz w:val="20"/>
                <w:szCs w:val="20"/>
              </w:rPr>
            </w:pPr>
          </w:p>
        </w:tc>
        <w:tc>
          <w:tcPr>
            <w:tcW w:w="66" w:type="pct"/>
            <w:vAlign w:val="center"/>
            <w:hideMark/>
          </w:tcPr>
          <w:p w:rsidR="00000000" w:rsidRDefault="00CA40A2">
            <w:pPr>
              <w:rPr>
                <w:rFonts w:eastAsia="Times New Roman"/>
                <w:sz w:val="20"/>
                <w:szCs w:val="20"/>
              </w:rPr>
            </w:pPr>
          </w:p>
        </w:tc>
        <w:tc>
          <w:tcPr>
            <w:tcW w:w="684" w:type="pct"/>
            <w:vAlign w:val="center"/>
            <w:hideMark/>
          </w:tcPr>
          <w:p w:rsidR="00000000" w:rsidRDefault="00CA40A2">
            <w:pPr>
              <w:rPr>
                <w:rFonts w:eastAsia="Times New Roman"/>
                <w:sz w:val="20"/>
                <w:szCs w:val="20"/>
              </w:rPr>
            </w:pPr>
          </w:p>
        </w:tc>
        <w:tc>
          <w:tcPr>
            <w:tcW w:w="39" w:type="pct"/>
            <w:vAlign w:val="center"/>
            <w:hideMark/>
          </w:tcPr>
          <w:p w:rsidR="00000000" w:rsidRDefault="00CA40A2">
            <w:pPr>
              <w:rPr>
                <w:rFonts w:eastAsia="Times New Roman"/>
                <w:sz w:val="20"/>
                <w:szCs w:val="20"/>
              </w:rPr>
            </w:pP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Three Months Ended March 31</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CA40A2">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CA40A2">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CA40A2">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Net cash provided by (used in</w:t>
            </w: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Operating activitie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ind w:left="56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3,24</w:t>
            </w:r>
            <w:r>
              <w:rPr>
                <w:rFonts w:ascii="Arial" w:hAnsi="Arial" w:cs="Arial"/>
                <w:sz w:val="20"/>
                <w:szCs w:val="20"/>
              </w:rPr>
              <w:t>8</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7,17</w:t>
            </w:r>
            <w:r>
              <w:rPr>
                <w:rFonts w:ascii="Arial" w:hAnsi="Arial" w:cs="Arial"/>
                <w:sz w:val="20"/>
                <w:szCs w:val="20"/>
              </w:rPr>
              <w:t>7</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Investing activitie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ind w:left="56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(7,28</w:t>
            </w:r>
            <w:r>
              <w:rPr>
                <w:rFonts w:ascii="Arial" w:hAnsi="Arial" w:cs="Arial"/>
                <w:sz w:val="20"/>
                <w:szCs w:val="20"/>
              </w:rPr>
              <w:t>4</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(4,41</w:t>
            </w:r>
            <w:r>
              <w:rPr>
                <w:rFonts w:ascii="Arial" w:hAnsi="Arial" w:cs="Arial"/>
                <w:sz w:val="20"/>
                <w:szCs w:val="20"/>
              </w:rPr>
              <w:t>2</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ind w:left="140"/>
              <w:rPr>
                <w:sz w:val="20"/>
                <w:szCs w:val="20"/>
              </w:rPr>
            </w:pPr>
            <w:r>
              <w:rPr>
                <w:rFonts w:ascii="Arial" w:hAnsi="Arial" w:cs="Arial"/>
                <w:sz w:val="20"/>
                <w:szCs w:val="20"/>
              </w:rPr>
              <w:t>Financing activitie</w:t>
            </w:r>
            <w:r>
              <w:rPr>
                <w:rFonts w:ascii="Arial" w:hAnsi="Arial" w:cs="Arial"/>
                <w:sz w:val="20"/>
                <w:szCs w:val="20"/>
              </w:rPr>
              <w:t>s</w:t>
            </w:r>
          </w:p>
        </w:tc>
        <w:tc>
          <w:tcPr>
            <w:tcW w:w="0" w:type="auto"/>
            <w:vAlign w:val="bottom"/>
            <w:hideMark/>
          </w:tcPr>
          <w:p w:rsidR="00000000" w:rsidRDefault="00CA40A2">
            <w:pPr>
              <w:pStyle w:val="a3"/>
              <w:spacing w:before="0" w:beforeAutospacing="0" w:after="0" w:afterAutospacing="0"/>
              <w:ind w:left="56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2,36</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5</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Effects of foreign exchange on cash, cash equivalents and restricted cas</w:t>
            </w:r>
            <w:r>
              <w:rPr>
                <w:rFonts w:ascii="Arial" w:hAnsi="Arial" w:cs="Arial"/>
                <w:sz w:val="20"/>
                <w:szCs w:val="20"/>
              </w:rPr>
              <w:t>h</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0</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Net (decrease) increase in cash, cash equivalents and restricted cas</w:t>
            </w:r>
            <w:r>
              <w:rPr>
                <w:rFonts w:ascii="Arial" w:hAnsi="Arial" w:cs="Arial"/>
                <w:sz w:val="20"/>
                <w:szCs w:val="20"/>
              </w:rPr>
              <w:t>h</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(1,66</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CA40A2">
            <w:pPr>
              <w:pStyle w:val="a3"/>
              <w:spacing w:before="0" w:beforeAutospacing="0" w:after="0" w:afterAutospacing="0"/>
              <w:jc w:val="right"/>
              <w:rPr>
                <w:sz w:val="20"/>
                <w:szCs w:val="20"/>
              </w:rPr>
            </w:pPr>
            <w:r>
              <w:rPr>
                <w:rFonts w:ascii="Arial" w:hAnsi="Arial" w:cs="Arial"/>
                <w:sz w:val="20"/>
                <w:szCs w:val="20"/>
              </w:rPr>
              <w:t>2,70</w:t>
            </w:r>
            <w:r>
              <w:rPr>
                <w:rFonts w:ascii="Arial" w:hAnsi="Arial" w:cs="Arial"/>
                <w:sz w:val="20"/>
                <w:szCs w:val="20"/>
              </w:rPr>
              <w:t>3</w:t>
            </w:r>
          </w:p>
        </w:tc>
        <w:tc>
          <w:tcPr>
            <w:tcW w:w="0" w:type="auto"/>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240" w:beforeAutospacing="0" w:after="0" w:afterAutospacing="0"/>
        <w:ind w:firstLine="543"/>
        <w:rPr>
          <w:sz w:val="20"/>
          <w:szCs w:val="20"/>
        </w:rPr>
      </w:pPr>
      <w:r>
        <w:rPr>
          <w:rFonts w:ascii="Arial" w:hAnsi="Arial" w:cs="Arial"/>
          <w:i/>
          <w:iCs/>
          <w:sz w:val="20"/>
          <w:szCs w:val="20"/>
        </w:rPr>
        <w:t>Net Cash Provided by Operating Activitie</w:t>
      </w:r>
      <w:r>
        <w:rPr>
          <w:rFonts w:ascii="Arial" w:hAnsi="Arial" w:cs="Arial"/>
          <w:i/>
          <w:iCs/>
          <w:sz w:val="20"/>
          <w:szCs w:val="20"/>
        </w:rPr>
        <w:t>s</w:t>
      </w:r>
      <w:r>
        <w:rPr>
          <w:rFonts w:ascii="Arial" w:hAnsi="Arial" w:cs="Arial"/>
          <w:i/>
          <w:iCs/>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Our primary source of operating cash is revenue from payment transaction fees. Our primary uses of operating cash are personnel-related costs, payments to third parties to fulfill our payment transactions and paym</w:t>
      </w:r>
      <w:r>
        <w:rPr>
          <w:rFonts w:ascii="Arial" w:hAnsi="Arial" w:cs="Arial"/>
          <w:sz w:val="20"/>
          <w:szCs w:val="20"/>
        </w:rPr>
        <w:t>ents to sales and marketing partners. Net cash provided by operating activities mainly consists of our net income adjusted for certain non-cash items, including, depreciation and amortization, stock-based compensation, other non-cash income and expense ite</w:t>
      </w:r>
      <w:r>
        <w:rPr>
          <w:rFonts w:ascii="Arial" w:hAnsi="Arial" w:cs="Arial"/>
          <w:sz w:val="20"/>
          <w:szCs w:val="20"/>
        </w:rPr>
        <w:t>ms, and net changes in operating assets and liabilities</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Net cash provided by operating activities for the three months ended March 31, 2022 was $3.3 million. Net income was $1.7 million, adjusted for non-cash charges of $9.6 million consisting primarily of depreciation and amortization, stock-based compensation</w:t>
      </w:r>
      <w:r>
        <w:rPr>
          <w:rFonts w:ascii="Arial" w:hAnsi="Arial" w:cs="Arial"/>
          <w:sz w:val="20"/>
          <w:szCs w:val="20"/>
        </w:rPr>
        <w:t>, and non-cash lease expense, which contributed positively to operating activities. This was offset by net cash outflows of $8.1 million provided by changes in our operating assets and liabilities</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Net cash provided by operating activities for three month</w:t>
      </w:r>
      <w:r>
        <w:rPr>
          <w:rFonts w:ascii="Arial" w:hAnsi="Arial" w:cs="Arial"/>
          <w:sz w:val="20"/>
          <w:szCs w:val="20"/>
        </w:rPr>
        <w:t>s ended March 31, 2021 was $7.2 million. Net income was $3.6 million, adjusted for non-cash charges of $4.6 million consisting primarily of depreciation and amortization, stock-based compensation, and non-cash lease expense, which contributed positively to</w:t>
      </w:r>
      <w:r>
        <w:rPr>
          <w:rFonts w:ascii="Arial" w:hAnsi="Arial" w:cs="Arial"/>
          <w:sz w:val="20"/>
          <w:szCs w:val="20"/>
        </w:rPr>
        <w:t xml:space="preserve"> operating activities. This was offset by net cash outflows of $1.0 million provided by changes in our operating assets and liabilities</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ind w:firstLine="543"/>
        <w:rPr>
          <w:sz w:val="20"/>
          <w:szCs w:val="20"/>
        </w:rPr>
      </w:pPr>
      <w:r>
        <w:rPr>
          <w:rFonts w:ascii="Arial" w:hAnsi="Arial" w:cs="Arial"/>
          <w:i/>
          <w:iCs/>
          <w:sz w:val="20"/>
          <w:szCs w:val="20"/>
        </w:rPr>
        <w:t>Net Cash Used in Investing Activitie</w:t>
      </w:r>
      <w:r>
        <w:rPr>
          <w:rFonts w:ascii="Arial" w:hAnsi="Arial" w:cs="Arial"/>
          <w:i/>
          <w:iCs/>
          <w:sz w:val="20"/>
          <w:szCs w:val="20"/>
        </w:rPr>
        <w:t>s</w:t>
      </w:r>
      <w:r>
        <w:rPr>
          <w:rFonts w:ascii="Arial" w:hAnsi="Arial" w:cs="Arial"/>
          <w:i/>
          <w:iCs/>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Cash used in our investing activities consists primarily of cash paid for acqui</w:t>
      </w:r>
      <w:r>
        <w:rPr>
          <w:rFonts w:ascii="Arial" w:hAnsi="Arial" w:cs="Arial"/>
          <w:sz w:val="20"/>
          <w:szCs w:val="20"/>
        </w:rPr>
        <w:t>sitions, capitalized internal-use software development costs, purchases of property and equipment and intangible assets</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 xml:space="preserve">Net cash used in investing activities for the three months ended March 31, 2022 consisted of $6.7 million of capitalized internal-use </w:t>
      </w:r>
      <w:r>
        <w:rPr>
          <w:rFonts w:ascii="Arial" w:hAnsi="Arial" w:cs="Arial"/>
          <w:sz w:val="20"/>
          <w:szCs w:val="20"/>
        </w:rPr>
        <w:t>software development costs and $0.6 million of purchases of property and equipment</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Net cash used in investing activities for the three months ended March 31, 2021 consisted of $4.3 million of capitalized internal-use software development costs and $0.1 mi</w:t>
      </w:r>
      <w:r>
        <w:rPr>
          <w:rFonts w:ascii="Arial" w:hAnsi="Arial" w:cs="Arial"/>
          <w:sz w:val="20"/>
          <w:szCs w:val="20"/>
        </w:rPr>
        <w:t>llion of purchases of property and equipment</w:t>
      </w:r>
      <w:r>
        <w:rPr>
          <w:rFonts w:ascii="Arial" w:hAnsi="Arial" w:cs="Arial"/>
          <w:sz w:val="20"/>
          <w:szCs w:val="20"/>
        </w:rPr>
        <w:t>.</w:t>
      </w:r>
    </w:p>
    <w:p w:rsidR="00000000" w:rsidRDefault="00CA40A2">
      <w:pPr>
        <w:pStyle w:val="a3"/>
        <w:spacing w:before="240" w:beforeAutospacing="0" w:after="0" w:afterAutospacing="0"/>
        <w:ind w:firstLine="543"/>
        <w:rPr>
          <w:sz w:val="20"/>
          <w:szCs w:val="20"/>
        </w:rPr>
      </w:pPr>
      <w:r>
        <w:rPr>
          <w:rFonts w:ascii="Arial" w:hAnsi="Arial" w:cs="Arial"/>
          <w:i/>
          <w:iCs/>
          <w:sz w:val="20"/>
          <w:szCs w:val="20"/>
        </w:rPr>
        <w:t>Net Cash Provided by (Used in) Financing Activitie</w:t>
      </w:r>
      <w:r>
        <w:rPr>
          <w:rFonts w:ascii="Arial" w:hAnsi="Arial" w:cs="Arial"/>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Cash provided by (used in) financing activities consists primarily of proceeds from the IPO and private placement offset by the redemption of the Series A pre</w:t>
      </w:r>
      <w:r>
        <w:rPr>
          <w:rFonts w:ascii="Arial" w:hAnsi="Arial" w:cs="Arial"/>
          <w:sz w:val="20"/>
          <w:szCs w:val="20"/>
        </w:rPr>
        <w:t>ferred stock, payment of deferred offering costs related to the IPO, changes in financial institution funds in-transit, and payments on capital lease and other financing arrangements and principal payments on debt</w:t>
      </w:r>
      <w:r>
        <w:rPr>
          <w:rFonts w:ascii="Arial" w:hAnsi="Arial" w:cs="Arial"/>
          <w:sz w:val="20"/>
          <w:szCs w:val="20"/>
        </w:rPr>
        <w:t>.</w:t>
      </w:r>
    </w:p>
    <w:p w:rsidR="00000000" w:rsidRDefault="00CA40A2">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0</w:t>
      </w:r>
    </w:p>
    <w:p w:rsidR="00000000" w:rsidRDefault="00CA40A2">
      <w:pPr>
        <w:rPr>
          <w:rFonts w:eastAsia="Times New Roman"/>
        </w:rPr>
      </w:pPr>
      <w:r>
        <w:rPr>
          <w:rFonts w:eastAsia="Times New Roman"/>
        </w:rPr>
        <w:pict>
          <v:rect id="_x0000_i1055"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120" w:beforeAutospacing="0" w:after="0" w:afterAutospacing="0"/>
        <w:ind w:firstLine="539"/>
        <w:rPr>
          <w:sz w:val="20"/>
          <w:szCs w:val="20"/>
        </w:rPr>
      </w:pPr>
      <w:r>
        <w:rPr>
          <w:rFonts w:ascii="Arial" w:hAnsi="Arial" w:cs="Arial"/>
          <w:sz w:val="20"/>
          <w:szCs w:val="20"/>
        </w:rPr>
        <w:t>Net cash provided by financing activities for three months ended March 31, 2022 consisted of an increase in financial institution funds in-transit of $3.3 million offset by $1.0 million of payments on finance leases and other financing obligations</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Net cas</w:t>
      </w:r>
      <w:r>
        <w:rPr>
          <w:rFonts w:ascii="Arial" w:hAnsi="Arial" w:cs="Arial"/>
          <w:sz w:val="20"/>
          <w:szCs w:val="20"/>
        </w:rPr>
        <w:t xml:space="preserve">h used in financing activities for the three months ended March 31, 2021 consisted of $0.4 million of payments on finance leases and other financing obligations and $0.5 million of payments of deferred offering costs directly related to our initial public </w:t>
      </w:r>
      <w:r>
        <w:rPr>
          <w:rFonts w:ascii="Arial" w:hAnsi="Arial" w:cs="Arial"/>
          <w:sz w:val="20"/>
          <w:szCs w:val="20"/>
        </w:rPr>
        <w:t>offering, offset by proceeds of $0.8 million from the repayment of a related party loan</w:t>
      </w:r>
      <w:r>
        <w:rPr>
          <w:rFonts w:ascii="Arial" w:hAnsi="Arial" w:cs="Arial"/>
          <w:sz w:val="20"/>
          <w:szCs w:val="20"/>
        </w:rPr>
        <w:t>.</w:t>
      </w:r>
    </w:p>
    <w:p w:rsidR="00000000" w:rsidRDefault="00CA40A2">
      <w:pPr>
        <w:pStyle w:val="a3"/>
        <w:spacing w:before="240" w:beforeAutospacing="0" w:after="0" w:afterAutospacing="0"/>
        <w:jc w:val="center"/>
        <w:rPr>
          <w:sz w:val="20"/>
          <w:szCs w:val="20"/>
        </w:rPr>
      </w:pPr>
      <w:r>
        <w:rPr>
          <w:rFonts w:ascii="Arial" w:hAnsi="Arial" w:cs="Arial"/>
          <w:b/>
          <w:bCs/>
          <w:sz w:val="20"/>
          <w:szCs w:val="20"/>
        </w:rPr>
        <w:t>Off-Balance Sheet Arrangement</w:t>
      </w:r>
      <w:r>
        <w:rPr>
          <w:rFonts w:ascii="Arial" w:hAnsi="Arial" w:cs="Arial"/>
          <w:b/>
          <w:bCs/>
          <w:sz w:val="20"/>
          <w:szCs w:val="20"/>
        </w:rPr>
        <w:t>s</w:t>
      </w:r>
    </w:p>
    <w:p w:rsidR="00000000" w:rsidRDefault="00CA40A2">
      <w:pPr>
        <w:pStyle w:val="a3"/>
        <w:spacing w:before="240" w:beforeAutospacing="0" w:after="0" w:afterAutospacing="0"/>
        <w:ind w:firstLine="543"/>
        <w:rPr>
          <w:sz w:val="20"/>
          <w:szCs w:val="20"/>
        </w:rPr>
      </w:pPr>
      <w:r>
        <w:rPr>
          <w:rFonts w:ascii="Arial" w:hAnsi="Arial" w:cs="Arial"/>
          <w:sz w:val="20"/>
          <w:szCs w:val="20"/>
        </w:rPr>
        <w:t>We have not entered into any off-balance sheet arrangements and do not have any holdings in variable interest entities</w:t>
      </w:r>
      <w:r>
        <w:rPr>
          <w:rFonts w:ascii="Arial" w:hAnsi="Arial" w:cs="Arial"/>
          <w:sz w:val="20"/>
          <w:szCs w:val="20"/>
        </w:rPr>
        <w:t>.</w:t>
      </w:r>
      <w:r>
        <w:rPr>
          <w:rFonts w:ascii="Arial" w:hAnsi="Arial" w:cs="Arial"/>
          <w:sz w:val="20"/>
          <w:szCs w:val="20"/>
        </w:rPr>
        <w:t xml:space="preserve"> </w:t>
      </w:r>
    </w:p>
    <w:p w:rsidR="00000000" w:rsidRDefault="00CA40A2">
      <w:pPr>
        <w:pStyle w:val="a3"/>
        <w:spacing w:before="120" w:beforeAutospacing="0" w:after="0" w:afterAutospacing="0"/>
        <w:jc w:val="center"/>
        <w:rPr>
          <w:sz w:val="20"/>
          <w:szCs w:val="20"/>
        </w:rPr>
      </w:pPr>
      <w:r>
        <w:rPr>
          <w:rFonts w:ascii="Arial" w:hAnsi="Arial" w:cs="Arial"/>
          <w:b/>
          <w:bCs/>
          <w:sz w:val="20"/>
          <w:szCs w:val="20"/>
        </w:rPr>
        <w:t>Critical Accoun</w:t>
      </w:r>
      <w:r>
        <w:rPr>
          <w:rFonts w:ascii="Arial" w:hAnsi="Arial" w:cs="Arial"/>
          <w:b/>
          <w:bCs/>
          <w:sz w:val="20"/>
          <w:szCs w:val="20"/>
        </w:rPr>
        <w:t>ting Policies and Estimate</w:t>
      </w:r>
      <w:r>
        <w:rPr>
          <w:rFonts w:ascii="Arial" w:hAnsi="Arial" w:cs="Arial"/>
          <w:b/>
          <w:b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Our management’s discussion and analysis of our financial condition and results of operations is based on our condensed consolidated financial statements, which have been prepared in accordance with GAAP. The preparation of thes</w:t>
      </w:r>
      <w:r>
        <w:rPr>
          <w:rFonts w:ascii="Arial" w:hAnsi="Arial" w:cs="Arial"/>
          <w:sz w:val="20"/>
          <w:szCs w:val="20"/>
        </w:rPr>
        <w:t>e condensed consolidated financial statements requires us to make estimates and assumptions that affect the reported amounts of assets, liabilities, net sales, expenses and related disclosures. We evaluate our estimates and assumptions on an ongoing basis.</w:t>
      </w:r>
      <w:r>
        <w:rPr>
          <w:rFonts w:ascii="Arial" w:hAnsi="Arial" w:cs="Arial"/>
          <w:sz w:val="20"/>
          <w:szCs w:val="20"/>
        </w:rPr>
        <w:t xml:space="preserve"> Our estimates are based on historical experience and various other assumptions that we believe to be reasonable under the circumstances. Our actual results could differ from these estimates</w:t>
      </w:r>
      <w:r>
        <w:rPr>
          <w:rFonts w:ascii="Arial" w:hAnsi="Arial" w:cs="Arial"/>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There have been no material changes to our critical accounting p</w:t>
      </w:r>
      <w:r>
        <w:rPr>
          <w:rFonts w:ascii="Arial" w:hAnsi="Arial" w:cs="Arial"/>
          <w:sz w:val="20"/>
          <w:szCs w:val="20"/>
        </w:rPr>
        <w:t>olicies as compared to the critical accounting policies and significant judgments and estimates disclosed in our 2021 Form 10-K</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jc w:val="center"/>
        <w:rPr>
          <w:sz w:val="20"/>
          <w:szCs w:val="20"/>
        </w:rPr>
      </w:pPr>
      <w:r>
        <w:rPr>
          <w:rFonts w:ascii="Arial" w:hAnsi="Arial" w:cs="Arial"/>
          <w:b/>
          <w:bCs/>
          <w:sz w:val="20"/>
          <w:szCs w:val="20"/>
        </w:rPr>
        <w:t>Emerging Growth Company Statu</w:t>
      </w:r>
      <w:r>
        <w:rPr>
          <w:rFonts w:ascii="Arial" w:hAnsi="Arial" w:cs="Arial"/>
          <w:b/>
          <w:b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 xml:space="preserve">Section 107 of the Jumpstart Our Business Startups Act of 2012, as amended, or the JOBS Act, provides that an “emerging growth company” may take advantage of the extended transition period provided in Section 7(a)(2)(B) of the Securities Act for complying </w:t>
      </w:r>
      <w:r>
        <w:rPr>
          <w:rFonts w:ascii="Arial" w:hAnsi="Arial" w:cs="Arial"/>
          <w:sz w:val="20"/>
          <w:szCs w:val="20"/>
        </w:rPr>
        <w:t>with new or revised accounting standards. In other words, an “emerging growth company” may delay the adoption of certain accounting standards until those standards would otherwise apply to private companies. Section 107 of the JOBS Act provides that any de</w:t>
      </w:r>
      <w:r>
        <w:rPr>
          <w:rFonts w:ascii="Arial" w:hAnsi="Arial" w:cs="Arial"/>
          <w:sz w:val="20"/>
          <w:szCs w:val="20"/>
        </w:rPr>
        <w:t>cision to opt out of the extended transition period for complying with new or revised accounting standards is irrevocable. We have elected to use this extended transition period under the JOBS Act</w:t>
      </w:r>
      <w:r>
        <w:rPr>
          <w:rFonts w:ascii="Arial" w:hAnsi="Arial" w:cs="Arial"/>
          <w:sz w:val="20"/>
          <w:szCs w:val="20"/>
        </w:rPr>
        <w:t>.</w:t>
      </w:r>
    </w:p>
    <w:p w:rsidR="00000000" w:rsidRDefault="00CA40A2">
      <w:pPr>
        <w:pStyle w:val="a3"/>
        <w:spacing w:before="240" w:beforeAutospacing="0" w:after="0" w:afterAutospacing="0"/>
        <w:jc w:val="center"/>
        <w:rPr>
          <w:sz w:val="20"/>
          <w:szCs w:val="20"/>
        </w:rPr>
      </w:pPr>
      <w:r>
        <w:rPr>
          <w:rFonts w:ascii="Arial" w:hAnsi="Arial" w:cs="Arial"/>
          <w:b/>
          <w:bCs/>
          <w:sz w:val="20"/>
          <w:szCs w:val="20"/>
        </w:rPr>
        <w:t>Recent Accounting Pronouncement</w:t>
      </w:r>
      <w:r>
        <w:rPr>
          <w:rFonts w:ascii="Arial" w:hAnsi="Arial" w:cs="Arial"/>
          <w:b/>
          <w:b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See Note 2 to our condens</w:t>
      </w:r>
      <w:r>
        <w:rPr>
          <w:rFonts w:ascii="Arial" w:hAnsi="Arial" w:cs="Arial"/>
          <w:sz w:val="20"/>
          <w:szCs w:val="20"/>
        </w:rPr>
        <w:t>ed consolidated financial statements included elsewhere in this report for more information regarding recently issued accounting pronouncements</w:t>
      </w:r>
      <w:r>
        <w:rPr>
          <w:rFonts w:ascii="Arial" w:hAnsi="Arial" w:cs="Arial"/>
          <w:sz w:val="20"/>
          <w:szCs w:val="20"/>
        </w:rPr>
        <w:t>.</w:t>
      </w:r>
    </w:p>
    <w:p w:rsidR="00000000" w:rsidRDefault="00CA40A2">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3. Quantitative and Qualitative Disclosures About Market Risk</w:t>
      </w:r>
      <w:r>
        <w:rPr>
          <w:rFonts w:ascii="Arial" w:hAnsi="Arial" w:cs="Arial"/>
          <w:b/>
          <w:bCs/>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We are exposed to market risk in the ordinary course of our business. Market risk represents the risk of loss that may impact our financial position due to adverse changes in financial market</w:t>
      </w:r>
      <w:r>
        <w:rPr>
          <w:rFonts w:ascii="Arial" w:hAnsi="Arial" w:cs="Arial"/>
          <w:sz w:val="20"/>
          <w:szCs w:val="20"/>
        </w:rPr>
        <w:t xml:space="preserve"> prices and rates. Our market risk exposure is primarily the result of fluctuations in interest rates and foreign currency exchange rates</w:t>
      </w:r>
      <w:r>
        <w:rPr>
          <w:rFonts w:ascii="Arial" w:hAnsi="Arial" w:cs="Arial"/>
          <w:sz w:val="20"/>
          <w:szCs w:val="20"/>
        </w:rPr>
        <w:t>.</w:t>
      </w:r>
    </w:p>
    <w:p w:rsidR="00000000" w:rsidRDefault="00CA40A2">
      <w:pPr>
        <w:pStyle w:val="a3"/>
        <w:spacing w:before="240" w:beforeAutospacing="0" w:after="0" w:afterAutospacing="0"/>
        <w:rPr>
          <w:sz w:val="20"/>
          <w:szCs w:val="20"/>
        </w:rPr>
      </w:pPr>
      <w:r>
        <w:rPr>
          <w:rFonts w:ascii="Arial" w:hAnsi="Arial" w:cs="Arial"/>
          <w:b/>
          <w:bCs/>
          <w:i/>
          <w:iCs/>
          <w:sz w:val="20"/>
          <w:szCs w:val="20"/>
        </w:rPr>
        <w:t>Interest Rate Ris</w:t>
      </w:r>
      <w:r>
        <w:rPr>
          <w:rFonts w:ascii="Arial" w:hAnsi="Arial" w:cs="Arial"/>
          <w:b/>
          <w:bCs/>
          <w:i/>
          <w:iCs/>
          <w:sz w:val="20"/>
          <w:szCs w:val="20"/>
        </w:rPr>
        <w:t>k</w:t>
      </w:r>
      <w:r>
        <w:rPr>
          <w:rFonts w:ascii="Arial" w:hAnsi="Arial" w:cs="Arial"/>
          <w:b/>
          <w:bCs/>
          <w:i/>
          <w:iCs/>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Our cash and cash equivalents consist of bank deposits and money market funds with original matur</w:t>
      </w:r>
      <w:r>
        <w:rPr>
          <w:rFonts w:ascii="Arial" w:hAnsi="Arial" w:cs="Arial"/>
          <w:sz w:val="20"/>
          <w:szCs w:val="20"/>
        </w:rPr>
        <w:t>ities of three months or less. Our cash and cash equivalents are held for working capital purposes. We do not enter into investments for trading or speculative purposes. Our cash equivalents and our investment portfolio are subject to market risk due to ch</w:t>
      </w:r>
      <w:r>
        <w:rPr>
          <w:rFonts w:ascii="Arial" w:hAnsi="Arial" w:cs="Arial"/>
          <w:sz w:val="20"/>
          <w:szCs w:val="20"/>
        </w:rPr>
        <w:t>anges in interest rates. As of March 31, 2022, a hypothetical 10% relative change in interest rates would not have had a material impact on the value of our cash equivalents or investment portfolio</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0" w:afterAutospacing="0"/>
        <w:rPr>
          <w:sz w:val="20"/>
          <w:szCs w:val="20"/>
        </w:rPr>
      </w:pPr>
      <w:r>
        <w:rPr>
          <w:rFonts w:ascii="Arial" w:hAnsi="Arial" w:cs="Arial"/>
          <w:b/>
          <w:bCs/>
          <w:i/>
          <w:iCs/>
          <w:sz w:val="20"/>
          <w:szCs w:val="20"/>
        </w:rPr>
        <w:t>Foreign Currency Exchange Ris</w:t>
      </w:r>
      <w:r>
        <w:rPr>
          <w:rFonts w:ascii="Arial" w:hAnsi="Arial" w:cs="Arial"/>
          <w:b/>
          <w:bCs/>
          <w:i/>
          <w:iCs/>
          <w:sz w:val="20"/>
          <w:szCs w:val="20"/>
        </w:rPr>
        <w:t>k</w:t>
      </w:r>
      <w:r>
        <w:rPr>
          <w:rFonts w:ascii="Arial" w:hAnsi="Arial" w:cs="Arial"/>
          <w:b/>
          <w:bCs/>
          <w:i/>
          <w:iCs/>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Certain of our operation</w:t>
      </w:r>
      <w:r>
        <w:rPr>
          <w:rFonts w:ascii="Arial" w:hAnsi="Arial" w:cs="Arial"/>
          <w:sz w:val="20"/>
          <w:szCs w:val="20"/>
        </w:rPr>
        <w:t xml:space="preserve">s are conducted in foreign currencies. While we have generated substantially all of our revenue from billers in the United States, we have foreign currency risks related to revenue denominated in other currencies, such as the Canadian dollar. In addition, </w:t>
      </w:r>
      <w:r>
        <w:rPr>
          <w:rFonts w:ascii="Arial" w:hAnsi="Arial" w:cs="Arial"/>
          <w:sz w:val="20"/>
          <w:szCs w:val="20"/>
        </w:rPr>
        <w:t>we have significant operations outside of the United States, particularly in Canada and India, where expenses are denominated in the local currency. Decreases in the relative value of the U.S. dollar to other currencies may negatively affect revenue and ot</w:t>
      </w:r>
      <w:r>
        <w:rPr>
          <w:rFonts w:ascii="Arial" w:hAnsi="Arial" w:cs="Arial"/>
          <w:sz w:val="20"/>
          <w:szCs w:val="20"/>
        </w:rPr>
        <w:t>her operating results as expressed in U.S. dollars. We have not engaged in the hedging of foreign currency transactions, although we may do so in the future. We d</w:t>
      </w:r>
      <w:r>
        <w:rPr>
          <w:rFonts w:ascii="Arial" w:hAnsi="Arial" w:cs="Arial"/>
          <w:sz w:val="20"/>
          <w:szCs w:val="20"/>
        </w:rPr>
        <w:t>o</w:t>
      </w:r>
      <w:r>
        <w:rPr>
          <w:rFonts w:ascii="Arial" w:hAnsi="Arial" w:cs="Arial"/>
          <w:sz w:val="20"/>
          <w:szCs w:val="20"/>
        </w:rPr>
        <w:t xml:space="preserve"> </w:t>
      </w:r>
    </w:p>
    <w:p w:rsidR="00000000" w:rsidRDefault="00CA40A2">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1</w:t>
      </w:r>
    </w:p>
    <w:p w:rsidR="00000000" w:rsidRDefault="00CA40A2">
      <w:pPr>
        <w:rPr>
          <w:rFonts w:eastAsia="Times New Roman"/>
        </w:rPr>
      </w:pPr>
      <w:r>
        <w:rPr>
          <w:rFonts w:eastAsia="Times New Roman"/>
        </w:rPr>
        <w:pict>
          <v:rect id="_x0000_i1056"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120" w:beforeAutospacing="0" w:after="0" w:afterAutospacing="0"/>
        <w:rPr>
          <w:sz w:val="20"/>
          <w:szCs w:val="20"/>
        </w:rPr>
      </w:pPr>
      <w:r>
        <w:rPr>
          <w:rFonts w:ascii="Arial" w:hAnsi="Arial" w:cs="Arial"/>
          <w:sz w:val="20"/>
          <w:szCs w:val="20"/>
        </w:rPr>
        <w:t>not believe that an immediate 10% increase or decr</w:t>
      </w:r>
      <w:r>
        <w:rPr>
          <w:rFonts w:ascii="Arial" w:hAnsi="Arial" w:cs="Arial"/>
          <w:sz w:val="20"/>
          <w:szCs w:val="20"/>
        </w:rPr>
        <w:t>ease in the relative value of the U.S. dollar to other currencies would have a material effect on operating results</w:t>
      </w:r>
      <w:r>
        <w:rPr>
          <w:rFonts w:ascii="Arial" w:hAnsi="Arial" w:cs="Arial"/>
          <w:sz w:val="20"/>
          <w:szCs w:val="20"/>
        </w:rPr>
        <w:t>.</w:t>
      </w:r>
      <w:r>
        <w:rPr>
          <w:rFonts w:ascii="Arial" w:hAnsi="Arial" w:cs="Arial"/>
          <w:sz w:val="20"/>
          <w:szCs w:val="20"/>
        </w:rPr>
        <w:t xml:space="preserve"> </w:t>
      </w:r>
    </w:p>
    <w:p w:rsidR="00000000" w:rsidRDefault="00CA40A2">
      <w:pPr>
        <w:pStyle w:val="a3"/>
        <w:spacing w:before="240" w:beforeAutospacing="0" w:after="12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4. Controls and Procedure</w:t>
      </w:r>
      <w:r>
        <w:rPr>
          <w:rFonts w:ascii="Arial" w:hAnsi="Arial" w:cs="Arial"/>
          <w:b/>
          <w:bCs/>
          <w:sz w:val="20"/>
          <w:szCs w:val="20"/>
        </w:rPr>
        <w:t>s</w:t>
      </w:r>
    </w:p>
    <w:p w:rsidR="00000000" w:rsidRDefault="00CA40A2">
      <w:pPr>
        <w:pStyle w:val="a3"/>
        <w:spacing w:before="120" w:beforeAutospacing="0" w:after="0" w:afterAutospacing="0"/>
        <w:rPr>
          <w:sz w:val="20"/>
          <w:szCs w:val="20"/>
        </w:rPr>
      </w:pPr>
      <w:r>
        <w:rPr>
          <w:rFonts w:ascii="Arial" w:hAnsi="Arial" w:cs="Arial"/>
          <w:b/>
          <w:bCs/>
          <w:i/>
          <w:iCs/>
          <w:sz w:val="20"/>
          <w:szCs w:val="20"/>
        </w:rPr>
        <w:t>Evaluation of Disclosure Controls and Procedure</w:t>
      </w:r>
      <w:r>
        <w:rPr>
          <w:rFonts w:ascii="Arial" w:hAnsi="Arial" w:cs="Arial"/>
          <w:b/>
          <w:bCs/>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Our management, with the participation of our Chief Execu</w:t>
      </w:r>
      <w:r>
        <w:rPr>
          <w:rFonts w:ascii="Arial" w:hAnsi="Arial" w:cs="Arial"/>
          <w:sz w:val="20"/>
          <w:szCs w:val="20"/>
        </w:rPr>
        <w:t>tive Officer and Chief Financial Officer, evaluated, as of the end of the period covered by this Quarterly Report on Form 10-Q, the effectiveness of our disclosure controls and procedures (as defined in Rules 13a-15(e) and 15d-15(e) under the Securities Ex</w:t>
      </w:r>
      <w:r>
        <w:rPr>
          <w:rFonts w:ascii="Arial" w:hAnsi="Arial" w:cs="Arial"/>
          <w:sz w:val="20"/>
          <w:szCs w:val="20"/>
        </w:rPr>
        <w:t>change Act of 1934, as amended, or the Exchange Act). Based on that evaluation, and as a result of the material weaknesses in internal control over financial reporting described below, our Chief Executive Officer and Chief Financial Officer concluded that,</w:t>
      </w:r>
      <w:r>
        <w:rPr>
          <w:rFonts w:ascii="Arial" w:hAnsi="Arial" w:cs="Arial"/>
          <w:sz w:val="20"/>
          <w:szCs w:val="20"/>
        </w:rPr>
        <w:t xml:space="preserve"> as of March 31, 2022, our disclosure controls and procedures were not effective at the reasonable assurance level. In light of this fact, our management has performed additional analyses, reconciliations, and other post-closing procedures and has conclude</w:t>
      </w:r>
      <w:r>
        <w:rPr>
          <w:rFonts w:ascii="Arial" w:hAnsi="Arial" w:cs="Arial"/>
          <w:sz w:val="20"/>
          <w:szCs w:val="20"/>
        </w:rPr>
        <w:t>d that, notwithstanding the material weaknesses in our internal control over financial reporting, the unaudited condensed consolidated financial statements for the periods covered by and included in this Quarterly Report on Form 10-Q fairly state, in all m</w:t>
      </w:r>
      <w:r>
        <w:rPr>
          <w:rFonts w:ascii="Arial" w:hAnsi="Arial" w:cs="Arial"/>
          <w:sz w:val="20"/>
          <w:szCs w:val="20"/>
        </w:rPr>
        <w:t>aterial respects, our financial position, results of operations and cash flows for the periods presented in conformity with GAAP</w:t>
      </w:r>
      <w:r>
        <w:rPr>
          <w:rFonts w:ascii="Arial" w:hAnsi="Arial" w:cs="Arial"/>
          <w:sz w:val="20"/>
          <w:szCs w:val="20"/>
        </w:rPr>
        <w:t>.</w:t>
      </w:r>
    </w:p>
    <w:p w:rsidR="00000000" w:rsidRDefault="00CA40A2">
      <w:pPr>
        <w:pStyle w:val="a3"/>
        <w:spacing w:before="120" w:beforeAutospacing="0" w:after="0" w:afterAutospacing="0"/>
        <w:rPr>
          <w:sz w:val="20"/>
          <w:szCs w:val="20"/>
        </w:rPr>
      </w:pPr>
      <w:r>
        <w:rPr>
          <w:rFonts w:ascii="Arial" w:hAnsi="Arial" w:cs="Arial"/>
          <w:b/>
          <w:bCs/>
          <w:i/>
          <w:iCs/>
          <w:sz w:val="20"/>
          <w:szCs w:val="20"/>
        </w:rPr>
        <w:t>Material Weaknesses in Internal Control over Financial Reportin</w:t>
      </w:r>
      <w:r>
        <w:rPr>
          <w:rFonts w:ascii="Arial" w:hAnsi="Arial" w:cs="Arial"/>
          <w:b/>
          <w:bCs/>
          <w:i/>
          <w:iCs/>
          <w:sz w:val="20"/>
          <w:szCs w:val="20"/>
        </w:rPr>
        <w:t>g</w:t>
      </w:r>
    </w:p>
    <w:p w:rsidR="00000000" w:rsidRDefault="00CA40A2">
      <w:pPr>
        <w:pStyle w:val="a3"/>
        <w:spacing w:before="120" w:beforeAutospacing="0" w:after="0" w:afterAutospacing="0"/>
        <w:ind w:firstLine="539"/>
        <w:rPr>
          <w:sz w:val="20"/>
          <w:szCs w:val="20"/>
        </w:rPr>
      </w:pPr>
      <w:r>
        <w:rPr>
          <w:rFonts w:ascii="Arial" w:hAnsi="Arial" w:cs="Arial"/>
          <w:sz w:val="20"/>
          <w:szCs w:val="20"/>
        </w:rPr>
        <w:t>A material weakness is a deficiency, or a combination of defi</w:t>
      </w:r>
      <w:r>
        <w:rPr>
          <w:rFonts w:ascii="Arial" w:hAnsi="Arial" w:cs="Arial"/>
          <w:sz w:val="20"/>
          <w:szCs w:val="20"/>
        </w:rPr>
        <w:t>ciencies, in internal control over financial reporting such that there is a reasonable possibility that a material misstatement of our financial statements will not be prevented or detected on a timely basis. As of the end of the period covered by this rep</w:t>
      </w:r>
      <w:r>
        <w:rPr>
          <w:rFonts w:ascii="Arial" w:hAnsi="Arial" w:cs="Arial"/>
          <w:sz w:val="20"/>
          <w:szCs w:val="20"/>
        </w:rPr>
        <w:t>ort, our material weaknesses are as follows</w:t>
      </w:r>
      <w:r>
        <w:rPr>
          <w:rFonts w:ascii="Arial" w:hAnsi="Arial" w:cs="Arial"/>
          <w:sz w:val="20"/>
          <w:szCs w:val="20"/>
        </w:rPr>
        <w:t>:</w:t>
      </w:r>
    </w:p>
    <w:p w:rsidR="00000000" w:rsidRDefault="00CA40A2">
      <w:pPr>
        <w:divId w:val="1882672838"/>
        <w:rPr>
          <w:rFonts w:eastAsia="Times New Roman"/>
        </w:rPr>
      </w:pPr>
      <w:r>
        <w:rPr>
          <w:rFonts w:eastAsia="Times New Roman"/>
          <w:sz w:val="20"/>
          <w:szCs w:val="20"/>
        </w:rPr>
        <w:t>•</w:t>
      </w:r>
    </w:p>
    <w:p w:rsidR="00000000" w:rsidRDefault="00CA40A2">
      <w:pPr>
        <w:divId w:val="158348068"/>
        <w:rPr>
          <w:rFonts w:eastAsia="Times New Roman"/>
        </w:rPr>
      </w:pPr>
      <w:r>
        <w:rPr>
          <w:rFonts w:ascii="Arial" w:eastAsia="Times New Roman" w:hAnsi="Arial" w:cs="Arial"/>
          <w:sz w:val="20"/>
          <w:szCs w:val="20"/>
        </w:rPr>
        <w:t>We lacked a sufficient number of trained professionals with an appropriate level of accounting knowledge, training and experience to appropriately analyze, record and disclose accounting matters, including acc</w:t>
      </w:r>
      <w:r>
        <w:rPr>
          <w:rFonts w:ascii="Arial" w:eastAsia="Times New Roman" w:hAnsi="Arial" w:cs="Arial"/>
          <w:sz w:val="20"/>
          <w:szCs w:val="20"/>
        </w:rPr>
        <w:t xml:space="preserve">ounting for capitalized internal-use software development costs, identification of reporting units, translation of foreign currency in consolidation, accounting for deferred compensation, calculation of earnings per share and classification of accounts in </w:t>
      </w:r>
      <w:r>
        <w:rPr>
          <w:rFonts w:ascii="Arial" w:eastAsia="Times New Roman" w:hAnsi="Arial" w:cs="Arial"/>
          <w:sz w:val="20"/>
          <w:szCs w:val="20"/>
        </w:rPr>
        <w:t>the financial statements. Additionally, we did not design and maintain effective controls over verifying the appropriate review and approval of journal entries.</w:t>
      </w:r>
      <w:r>
        <w:rPr>
          <w:rFonts w:ascii="Arial" w:eastAsia="Times New Roman" w:hAnsi="Arial" w:cs="Arial"/>
          <w:sz w:val="20"/>
          <w:szCs w:val="20"/>
        </w:rPr>
        <w:t xml:space="preserve"> </w:t>
      </w:r>
    </w:p>
    <w:p w:rsidR="00000000" w:rsidRDefault="00CA40A2">
      <w:pPr>
        <w:divId w:val="1496651044"/>
        <w:rPr>
          <w:rFonts w:eastAsia="Times New Roman"/>
        </w:rPr>
      </w:pPr>
      <w:r>
        <w:rPr>
          <w:rFonts w:eastAsia="Times New Roman"/>
          <w:sz w:val="20"/>
          <w:szCs w:val="20"/>
        </w:rPr>
        <w:t>•</w:t>
      </w:r>
    </w:p>
    <w:p w:rsidR="00000000" w:rsidRDefault="00CA40A2">
      <w:pPr>
        <w:divId w:val="671950549"/>
        <w:rPr>
          <w:rFonts w:eastAsia="Times New Roman"/>
        </w:rPr>
      </w:pPr>
      <w:r>
        <w:rPr>
          <w:rFonts w:ascii="Arial" w:eastAsia="Times New Roman" w:hAnsi="Arial" w:cs="Arial"/>
          <w:sz w:val="20"/>
          <w:szCs w:val="20"/>
        </w:rPr>
        <w:t>We did not design and maintain effective controls relevant to the preparation of our financi</w:t>
      </w:r>
      <w:r>
        <w:rPr>
          <w:rFonts w:ascii="Arial" w:eastAsia="Times New Roman" w:hAnsi="Arial" w:cs="Arial"/>
          <w:sz w:val="20"/>
          <w:szCs w:val="20"/>
        </w:rPr>
        <w:t xml:space="preserve">al statements with respect to certain information technology, or IT, general controls for information systems. Specifically, we did not design and maintain (1) program change management controls to ensure that IT program and data changes affecting certain </w:t>
      </w:r>
      <w:r>
        <w:rPr>
          <w:rFonts w:ascii="Arial" w:eastAsia="Times New Roman" w:hAnsi="Arial" w:cs="Arial"/>
          <w:sz w:val="20"/>
          <w:szCs w:val="20"/>
        </w:rPr>
        <w:t>IT applications and underlying accounting records are identified, tested, authorized and implemented appropriately; and (2) user access controls to ensure appropriate segregation of duties and that adequately restrict user and privileged access to financia</w:t>
      </w:r>
      <w:r>
        <w:rPr>
          <w:rFonts w:ascii="Arial" w:eastAsia="Times New Roman" w:hAnsi="Arial" w:cs="Arial"/>
          <w:sz w:val="20"/>
          <w:szCs w:val="20"/>
        </w:rPr>
        <w:t>l applications, programs and data to appropriate company personnel</w:t>
      </w:r>
      <w:r>
        <w:rPr>
          <w:rFonts w:ascii="Arial" w:eastAsia="Times New Roman" w:hAnsi="Arial" w:cs="Arial"/>
          <w:sz w:val="20"/>
          <w:szCs w:val="20"/>
        </w:rPr>
        <w:t>.</w:t>
      </w:r>
    </w:p>
    <w:p w:rsidR="00000000" w:rsidRDefault="00CA40A2">
      <w:pPr>
        <w:pStyle w:val="a3"/>
        <w:spacing w:before="120" w:beforeAutospacing="0" w:after="0" w:afterAutospacing="0"/>
        <w:jc w:val="both"/>
        <w:rPr>
          <w:sz w:val="20"/>
          <w:szCs w:val="20"/>
        </w:rPr>
      </w:pPr>
      <w:r>
        <w:rPr>
          <w:rFonts w:ascii="Arial" w:hAnsi="Arial" w:cs="Arial"/>
          <w:b/>
          <w:bCs/>
          <w:i/>
          <w:iCs/>
          <w:sz w:val="20"/>
          <w:szCs w:val="20"/>
        </w:rPr>
        <w:t>Remediation Pla</w:t>
      </w:r>
      <w:r>
        <w:rPr>
          <w:rFonts w:ascii="Arial" w:hAnsi="Arial" w:cs="Arial"/>
          <w:b/>
          <w:bCs/>
          <w:i/>
          <w:iCs/>
          <w:sz w:val="20"/>
          <w:szCs w:val="20"/>
        </w:rPr>
        <w:t>n</w:t>
      </w:r>
    </w:p>
    <w:p w:rsidR="00000000" w:rsidRDefault="00CA40A2">
      <w:pPr>
        <w:pStyle w:val="a3"/>
        <w:spacing w:before="120" w:beforeAutospacing="0" w:after="0" w:afterAutospacing="0"/>
        <w:ind w:firstLine="539"/>
        <w:rPr>
          <w:sz w:val="20"/>
          <w:szCs w:val="20"/>
        </w:rPr>
      </w:pPr>
      <w:r>
        <w:rPr>
          <w:rFonts w:ascii="Arial" w:hAnsi="Arial" w:cs="Arial"/>
          <w:sz w:val="20"/>
          <w:szCs w:val="20"/>
        </w:rPr>
        <w:t xml:space="preserve">We have made significant progress toward remediation of the material weaknesses described above. We have implemented a new general ledger accounting system, including the design of permissions within that system which allow for effective restricted access </w:t>
      </w:r>
      <w:r>
        <w:rPr>
          <w:rFonts w:ascii="Arial" w:hAnsi="Arial" w:cs="Arial"/>
          <w:sz w:val="20"/>
          <w:szCs w:val="20"/>
        </w:rPr>
        <w:t>and segregation of duties to govern the preparation and review of journal entries. Additional remediation measures are ongoing and include the following</w:t>
      </w:r>
      <w:r>
        <w:rPr>
          <w:rFonts w:ascii="Arial" w:hAnsi="Arial" w:cs="Arial"/>
          <w:sz w:val="20"/>
          <w:szCs w:val="20"/>
        </w:rPr>
        <w:t>:</w:t>
      </w:r>
      <w:r>
        <w:rPr>
          <w:rFonts w:ascii="Arial" w:hAnsi="Arial" w:cs="Arial"/>
          <w:sz w:val="20"/>
          <w:szCs w:val="20"/>
        </w:rPr>
        <w:t xml:space="preserve"> </w:t>
      </w:r>
    </w:p>
    <w:p w:rsidR="00000000" w:rsidRDefault="00CA40A2">
      <w:pPr>
        <w:divId w:val="2064599951"/>
        <w:rPr>
          <w:rFonts w:eastAsia="Times New Roman"/>
        </w:rPr>
      </w:pPr>
      <w:r>
        <w:rPr>
          <w:rFonts w:eastAsia="Times New Roman"/>
          <w:sz w:val="20"/>
          <w:szCs w:val="20"/>
        </w:rPr>
        <w:t>•</w:t>
      </w:r>
    </w:p>
    <w:p w:rsidR="00000000" w:rsidRDefault="00CA40A2">
      <w:pPr>
        <w:divId w:val="484012336"/>
        <w:rPr>
          <w:rFonts w:eastAsia="Times New Roman"/>
        </w:rPr>
      </w:pPr>
      <w:r>
        <w:rPr>
          <w:rFonts w:ascii="Arial" w:eastAsia="Times New Roman" w:hAnsi="Arial" w:cs="Arial"/>
          <w:sz w:val="20"/>
          <w:szCs w:val="20"/>
        </w:rPr>
        <w:t>continuing to hire additional personnel with public company experience for our accounting and finan</w:t>
      </w:r>
      <w:r>
        <w:rPr>
          <w:rFonts w:ascii="Arial" w:eastAsia="Times New Roman" w:hAnsi="Arial" w:cs="Arial"/>
          <w:sz w:val="20"/>
          <w:szCs w:val="20"/>
        </w:rPr>
        <w:t>ce function</w:t>
      </w:r>
      <w:r>
        <w:rPr>
          <w:rFonts w:ascii="Arial" w:eastAsia="Times New Roman" w:hAnsi="Arial" w:cs="Arial"/>
          <w:sz w:val="20"/>
          <w:szCs w:val="20"/>
        </w:rPr>
        <w:t>;</w:t>
      </w:r>
    </w:p>
    <w:p w:rsidR="00000000" w:rsidRDefault="00CA40A2">
      <w:pPr>
        <w:divId w:val="1580170149"/>
        <w:rPr>
          <w:rFonts w:eastAsia="Times New Roman"/>
        </w:rPr>
      </w:pPr>
      <w:r>
        <w:rPr>
          <w:rFonts w:eastAsia="Times New Roman"/>
          <w:sz w:val="20"/>
          <w:szCs w:val="20"/>
        </w:rPr>
        <w:t>•</w:t>
      </w:r>
    </w:p>
    <w:p w:rsidR="00000000" w:rsidRDefault="00CA40A2">
      <w:pPr>
        <w:divId w:val="1489397586"/>
        <w:rPr>
          <w:rFonts w:eastAsia="Times New Roman"/>
        </w:rPr>
      </w:pPr>
      <w:r>
        <w:rPr>
          <w:rFonts w:ascii="Arial" w:eastAsia="Times New Roman" w:hAnsi="Arial" w:cs="Arial"/>
          <w:sz w:val="20"/>
          <w:szCs w:val="20"/>
        </w:rPr>
        <w:t>enhancing and documenting management review controls over journal entries and the identification and review of complex transactions</w:t>
      </w:r>
      <w:r>
        <w:rPr>
          <w:rFonts w:ascii="Arial" w:eastAsia="Times New Roman" w:hAnsi="Arial" w:cs="Arial"/>
          <w:sz w:val="20"/>
          <w:szCs w:val="20"/>
        </w:rPr>
        <w:t>;</w:t>
      </w:r>
    </w:p>
    <w:p w:rsidR="00000000" w:rsidRDefault="00CA40A2">
      <w:pPr>
        <w:divId w:val="1415007908"/>
        <w:rPr>
          <w:rFonts w:eastAsia="Times New Roman"/>
        </w:rPr>
      </w:pPr>
      <w:r>
        <w:rPr>
          <w:rFonts w:eastAsia="Times New Roman"/>
          <w:sz w:val="20"/>
          <w:szCs w:val="20"/>
        </w:rPr>
        <w:t>•</w:t>
      </w:r>
    </w:p>
    <w:p w:rsidR="00000000" w:rsidRDefault="00CA40A2">
      <w:pPr>
        <w:divId w:val="305163807"/>
        <w:rPr>
          <w:rFonts w:eastAsia="Times New Roman"/>
        </w:rPr>
      </w:pPr>
      <w:r>
        <w:rPr>
          <w:rFonts w:ascii="Arial" w:eastAsia="Times New Roman" w:hAnsi="Arial" w:cs="Arial"/>
          <w:sz w:val="20"/>
          <w:szCs w:val="20"/>
        </w:rPr>
        <w:t>secured the general ledger accounting system by implementing Single Sign-On (SSO); an</w:t>
      </w:r>
      <w:r>
        <w:rPr>
          <w:rFonts w:ascii="Arial" w:eastAsia="Times New Roman" w:hAnsi="Arial" w:cs="Arial"/>
          <w:sz w:val="20"/>
          <w:szCs w:val="20"/>
        </w:rPr>
        <w:t>d</w:t>
      </w:r>
    </w:p>
    <w:p w:rsidR="00000000" w:rsidRDefault="00CA40A2">
      <w:pPr>
        <w:divId w:val="376662832"/>
        <w:rPr>
          <w:rFonts w:eastAsia="Times New Roman"/>
        </w:rPr>
      </w:pPr>
      <w:r>
        <w:rPr>
          <w:rFonts w:eastAsia="Times New Roman"/>
          <w:sz w:val="20"/>
          <w:szCs w:val="20"/>
        </w:rPr>
        <w:t>•</w:t>
      </w:r>
    </w:p>
    <w:p w:rsidR="00000000" w:rsidRDefault="00CA40A2">
      <w:pPr>
        <w:divId w:val="2098599915"/>
        <w:rPr>
          <w:rFonts w:eastAsia="Times New Roman"/>
        </w:rPr>
      </w:pPr>
      <w:r>
        <w:rPr>
          <w:rFonts w:ascii="Arial" w:eastAsia="Times New Roman" w:hAnsi="Arial" w:cs="Arial"/>
          <w:sz w:val="20"/>
          <w:szCs w:val="20"/>
        </w:rPr>
        <w:t>designing additio</w:t>
      </w:r>
      <w:r>
        <w:rPr>
          <w:rFonts w:ascii="Arial" w:eastAsia="Times New Roman" w:hAnsi="Arial" w:cs="Arial"/>
          <w:sz w:val="20"/>
          <w:szCs w:val="20"/>
        </w:rPr>
        <w:t>nal change management and access controls for our relevant IT applications to further restrict privileged access and implementing controls to review activities, which may materially affect our financial statements, for those users who have privileged acces</w:t>
      </w:r>
      <w:r>
        <w:rPr>
          <w:rFonts w:ascii="Arial" w:eastAsia="Times New Roman" w:hAnsi="Arial" w:cs="Arial"/>
          <w:sz w:val="20"/>
          <w:szCs w:val="20"/>
        </w:rPr>
        <w:t>s</w:t>
      </w:r>
      <w:r>
        <w:rPr>
          <w:rFonts w:ascii="Arial" w:eastAsia="Times New Roman" w:hAnsi="Arial" w:cs="Arial"/>
          <w:sz w:val="20"/>
          <w:szCs w:val="20"/>
        </w:rPr>
        <w:t>.</w:t>
      </w:r>
    </w:p>
    <w:p w:rsidR="00000000" w:rsidRDefault="00CA40A2">
      <w:pPr>
        <w:pStyle w:val="a3"/>
        <w:spacing w:before="120" w:beforeAutospacing="0" w:after="0" w:afterAutospacing="0"/>
        <w:ind w:firstLine="539"/>
        <w:jc w:val="both"/>
        <w:rPr>
          <w:sz w:val="20"/>
          <w:szCs w:val="20"/>
        </w:rPr>
      </w:pPr>
      <w:r>
        <w:rPr>
          <w:rFonts w:ascii="Arial" w:hAnsi="Arial" w:cs="Arial"/>
          <w:sz w:val="20"/>
          <w:szCs w:val="20"/>
        </w:rPr>
        <w:t>While we believe these efforts will remediate the material weaknesses, these material weaknesses cannot be considered fully remediated until the applicable remedial controls operate for a sufficient period of time and management has concluded, through t</w:t>
      </w:r>
      <w:r>
        <w:rPr>
          <w:rFonts w:ascii="Arial" w:hAnsi="Arial" w:cs="Arial"/>
          <w:sz w:val="20"/>
          <w:szCs w:val="20"/>
        </w:rPr>
        <w:t>esting, that these controls are operating effectively</w:t>
      </w:r>
      <w:r>
        <w:rPr>
          <w:rFonts w:ascii="Arial" w:hAnsi="Arial" w:cs="Arial"/>
          <w:sz w:val="20"/>
          <w:szCs w:val="20"/>
        </w:rPr>
        <w:t>.</w:t>
      </w:r>
    </w:p>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2</w:t>
      </w:r>
    </w:p>
    <w:p w:rsidR="00000000" w:rsidRDefault="00CA40A2">
      <w:pPr>
        <w:rPr>
          <w:rFonts w:eastAsia="Times New Roman"/>
        </w:rPr>
      </w:pPr>
      <w:r>
        <w:rPr>
          <w:rFonts w:eastAsia="Times New Roman"/>
        </w:rPr>
        <w:pict>
          <v:rect id="_x0000_i1057"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120" w:beforeAutospacing="0" w:after="0" w:afterAutospacing="0"/>
        <w:jc w:val="both"/>
        <w:rPr>
          <w:sz w:val="20"/>
          <w:szCs w:val="20"/>
        </w:rPr>
      </w:pPr>
      <w:r>
        <w:rPr>
          <w:rFonts w:ascii="Arial" w:hAnsi="Arial" w:cs="Arial"/>
          <w:b/>
          <w:bCs/>
          <w:i/>
          <w:iCs/>
          <w:sz w:val="20"/>
          <w:szCs w:val="20"/>
        </w:rPr>
        <w:t>Changes in Internal Control over Financial Reportin</w:t>
      </w:r>
      <w:r>
        <w:rPr>
          <w:rFonts w:ascii="Arial" w:hAnsi="Arial" w:cs="Arial"/>
          <w:b/>
          <w:bCs/>
          <w:i/>
          <w:iCs/>
          <w:sz w:val="20"/>
          <w:szCs w:val="20"/>
        </w:rPr>
        <w:t>g</w:t>
      </w:r>
      <w:r>
        <w:rPr>
          <w:rFonts w:ascii="Arial" w:hAnsi="Arial" w:cs="Arial"/>
          <w:b/>
          <w:bCs/>
          <w:i/>
          <w:iCs/>
          <w:sz w:val="20"/>
          <w:szCs w:val="20"/>
        </w:rPr>
        <w:t xml:space="preserve"> </w:t>
      </w:r>
    </w:p>
    <w:p w:rsidR="00000000" w:rsidRDefault="00CA40A2">
      <w:pPr>
        <w:pStyle w:val="a3"/>
        <w:spacing w:before="120" w:beforeAutospacing="0" w:after="0" w:afterAutospacing="0"/>
        <w:ind w:firstLine="539"/>
        <w:rPr>
          <w:sz w:val="20"/>
          <w:szCs w:val="20"/>
        </w:rPr>
      </w:pPr>
      <w:r>
        <w:rPr>
          <w:rFonts w:ascii="Arial" w:hAnsi="Arial" w:cs="Arial"/>
          <w:sz w:val="20"/>
          <w:szCs w:val="20"/>
        </w:rPr>
        <w:t xml:space="preserve">There were no changes in our internal control over financial reporting (as defined in Rules 13a-15(f) and 15d-15(f) under the Exchange Act) during the three months </w:t>
      </w:r>
      <w:r>
        <w:rPr>
          <w:rFonts w:ascii="Arial" w:hAnsi="Arial" w:cs="Arial"/>
          <w:sz w:val="20"/>
          <w:szCs w:val="20"/>
        </w:rPr>
        <w:t>ended March 31, 2022 that have materially affected, or are reasonably likely to materially affect, our internal control over financial reporting</w:t>
      </w:r>
      <w:r>
        <w:rPr>
          <w:rFonts w:ascii="Arial" w:hAnsi="Arial" w:cs="Arial"/>
          <w:sz w:val="20"/>
          <w:szCs w:val="20"/>
        </w:rPr>
        <w:t>.</w:t>
      </w:r>
    </w:p>
    <w:p w:rsidR="00000000" w:rsidRDefault="00CA40A2">
      <w:pPr>
        <w:pStyle w:val="a3"/>
        <w:spacing w:before="120" w:beforeAutospacing="0" w:after="0" w:afterAutospacing="0"/>
        <w:jc w:val="both"/>
        <w:rPr>
          <w:sz w:val="20"/>
          <w:szCs w:val="20"/>
        </w:rPr>
      </w:pPr>
      <w:r>
        <w:rPr>
          <w:rFonts w:ascii="Arial" w:hAnsi="Arial" w:cs="Arial"/>
          <w:b/>
          <w:bCs/>
          <w:i/>
          <w:iCs/>
          <w:sz w:val="20"/>
          <w:szCs w:val="20"/>
        </w:rPr>
        <w:t>Inherent Limitations on Effectiveness of Control</w:t>
      </w:r>
      <w:r>
        <w:rPr>
          <w:rFonts w:ascii="Arial" w:hAnsi="Arial" w:cs="Arial"/>
          <w:b/>
          <w:bCs/>
          <w:i/>
          <w:i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 xml:space="preserve">Management does not expect that our disclosure controls and </w:t>
      </w:r>
      <w:r>
        <w:rPr>
          <w:rFonts w:ascii="Arial" w:hAnsi="Arial" w:cs="Arial"/>
          <w:sz w:val="20"/>
          <w:szCs w:val="20"/>
        </w:rPr>
        <w:t>procedures or our internal control over financial reporting will prevent or detect all errors and all fraud. A control system, no matter how well conceived and operated, can provide only reasonable, not absolute, assurance that the objectives of the contro</w:t>
      </w:r>
      <w:r>
        <w:rPr>
          <w:rFonts w:ascii="Arial" w:hAnsi="Arial" w:cs="Arial"/>
          <w:sz w:val="20"/>
          <w:szCs w:val="20"/>
        </w:rPr>
        <w:t>l system are met. Because of the inherent limitations in all control systems, no evaluation of controls can provide absolute assurance that all control issues and instances of fraud, if any, within the company have been detected. The design of any system o</w:t>
      </w:r>
      <w:r>
        <w:rPr>
          <w:rFonts w:ascii="Arial" w:hAnsi="Arial" w:cs="Arial"/>
          <w:sz w:val="20"/>
          <w:szCs w:val="20"/>
        </w:rPr>
        <w:t xml:space="preserve">f controls also is based in part upon certain assumptions about the likelihood of future events, and there can be no assurance that any design will succeed in achieving its stated goals under all potential future conditions. Over time, controls may become </w:t>
      </w:r>
      <w:r>
        <w:rPr>
          <w:rFonts w:ascii="Arial" w:hAnsi="Arial" w:cs="Arial"/>
          <w:sz w:val="20"/>
          <w:szCs w:val="20"/>
        </w:rPr>
        <w:t>inadequate because of changes in conditions, or the degree of compliance with the policies or procedures may deteriorate. Because of the inherent limitations in a cost-effective control system, misstatements due to error or fraud may occur and not be detec</w:t>
      </w:r>
      <w:r>
        <w:rPr>
          <w:rFonts w:ascii="Arial" w:hAnsi="Arial" w:cs="Arial"/>
          <w:sz w:val="20"/>
          <w:szCs w:val="20"/>
        </w:rPr>
        <w:t>ted</w:t>
      </w:r>
      <w:r>
        <w:rPr>
          <w:rFonts w:ascii="Arial" w:hAnsi="Arial" w:cs="Arial"/>
          <w:sz w:val="20"/>
          <w:szCs w:val="20"/>
        </w:rPr>
        <w:t>.</w:t>
      </w:r>
    </w:p>
    <w:p w:rsidR="00000000" w:rsidRDefault="00CA40A2">
      <w:pPr>
        <w:pStyle w:val="a3"/>
        <w:spacing w:before="360" w:beforeAutospacing="0" w:after="0" w:afterAutospacing="0"/>
        <w:jc w:val="center"/>
        <w:rPr>
          <w:sz w:val="20"/>
          <w:szCs w:val="20"/>
        </w:rPr>
      </w:pPr>
      <w:r>
        <w:rPr>
          <w:rFonts w:ascii="Arial" w:hAnsi="Arial" w:cs="Arial"/>
          <w:b/>
          <w:bCs/>
          <w:sz w:val="20"/>
          <w:szCs w:val="20"/>
        </w:rPr>
        <w:t>PART II—OTHER INFORMATIO</w:t>
      </w:r>
      <w:r>
        <w:rPr>
          <w:rFonts w:ascii="Arial" w:hAnsi="Arial" w:cs="Arial"/>
          <w:b/>
          <w:bCs/>
          <w:sz w:val="20"/>
          <w:szCs w:val="20"/>
        </w:rPr>
        <w:t>N</w:t>
      </w:r>
    </w:p>
    <w:p w:rsidR="00000000" w:rsidRDefault="00CA40A2">
      <w:pPr>
        <w:pStyle w:val="a3"/>
        <w:spacing w:before="240" w:beforeAutospacing="0" w:after="12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 Legal Proceeding</w:t>
      </w:r>
      <w:r>
        <w:rPr>
          <w:rFonts w:ascii="Arial" w:hAnsi="Arial" w:cs="Arial"/>
          <w:b/>
          <w:bCs/>
          <w:sz w:val="20"/>
          <w:szCs w:val="20"/>
        </w:rPr>
        <w:t>s</w:t>
      </w:r>
    </w:p>
    <w:p w:rsidR="00000000" w:rsidRDefault="00CA40A2">
      <w:pPr>
        <w:pStyle w:val="a3"/>
        <w:spacing w:before="120" w:beforeAutospacing="0" w:after="0" w:afterAutospacing="0"/>
        <w:ind w:firstLine="539"/>
        <w:rPr>
          <w:sz w:val="20"/>
          <w:szCs w:val="20"/>
        </w:rPr>
      </w:pPr>
      <w:r>
        <w:rPr>
          <w:rFonts w:ascii="Arial" w:hAnsi="Arial" w:cs="Arial"/>
          <w:sz w:val="20"/>
          <w:szCs w:val="20"/>
        </w:rPr>
        <w:t>From time to time, we are involved in legal proceedings and subject to claims that arise in the ordinary course of our busines</w:t>
      </w:r>
      <w:r>
        <w:rPr>
          <w:rFonts w:ascii="Arial" w:hAnsi="Arial" w:cs="Arial"/>
          <w:sz w:val="20"/>
          <w:szCs w:val="20"/>
        </w:rPr>
        <w:t>s</w:t>
      </w:r>
      <w:r>
        <w:rPr>
          <w:rFonts w:ascii="Arial" w:hAnsi="Arial" w:cs="Arial"/>
          <w:sz w:val="20"/>
          <w:szCs w:val="20"/>
        </w:rPr>
        <w:t>, which may include claims relating to contractual disputes, product liability, tort or personal injury, employment, intellectual</w:t>
      </w:r>
      <w:r>
        <w:rPr>
          <w:rFonts w:ascii="Arial" w:hAnsi="Arial" w:cs="Arial"/>
          <w:sz w:val="20"/>
          <w:szCs w:val="20"/>
        </w:rPr>
        <w:t xml:space="preserve"> property or other commercial or regulatory matters. In addition, if current or future government regulations are interpreted or enforced in a manner adverse to us or our business, specifically those with security and privacy laws, we may be subject to enf</w:t>
      </w:r>
      <w:r>
        <w:rPr>
          <w:rFonts w:ascii="Arial" w:hAnsi="Arial" w:cs="Arial"/>
          <w:sz w:val="20"/>
          <w:szCs w:val="20"/>
        </w:rPr>
        <w:t>orcement actions, penalties, damages and material limitations on our business. Furthermore, as a public company, we may become subject to stockholder inspection demands under Delaware law and derivative or other similar litigatio</w:t>
      </w:r>
      <w:r>
        <w:rPr>
          <w:rFonts w:ascii="Arial" w:hAnsi="Arial" w:cs="Arial"/>
          <w:sz w:val="20"/>
          <w:szCs w:val="20"/>
        </w:rPr>
        <w:t>n</w:t>
      </w:r>
      <w:r>
        <w:rPr>
          <w:rFonts w:ascii="Arial" w:hAnsi="Arial" w:cs="Arial"/>
          <w:sz w:val="20"/>
          <w:szCs w:val="20"/>
        </w:rPr>
        <w:t xml:space="preserve">. Although the results of </w:t>
      </w:r>
      <w:r>
        <w:rPr>
          <w:rFonts w:ascii="Arial" w:hAnsi="Arial" w:cs="Arial"/>
          <w:sz w:val="20"/>
          <w:szCs w:val="20"/>
        </w:rPr>
        <w:t>legal proceedings and claims cannot be predicted with certainty, we are not currently party to any legal proceedings that we believe, if determined adversely to us, would individually or taken together have a material adverse effect on our business, operat</w:t>
      </w:r>
      <w:r>
        <w:rPr>
          <w:rFonts w:ascii="Arial" w:hAnsi="Arial" w:cs="Arial"/>
          <w:sz w:val="20"/>
          <w:szCs w:val="20"/>
        </w:rPr>
        <w:t>ing results or financial condition</w:t>
      </w:r>
      <w:r>
        <w:rPr>
          <w:rFonts w:ascii="Arial" w:hAnsi="Arial" w:cs="Arial"/>
          <w:sz w:val="20"/>
          <w:szCs w:val="20"/>
        </w:rPr>
        <w:t>.</w:t>
      </w:r>
    </w:p>
    <w:p w:rsidR="00000000" w:rsidRDefault="00CA40A2">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1A. Risk Factors</w:t>
      </w:r>
      <w:r>
        <w:rPr>
          <w:rFonts w:ascii="Arial" w:hAnsi="Arial" w:cs="Arial"/>
          <w:b/>
          <w:bCs/>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Investing in our Class A common stock involves a high degree of risk. We operate in a rapidly changing environment that involves a number of risks that could materially affect our business, financi</w:t>
      </w:r>
      <w:r>
        <w:rPr>
          <w:rFonts w:ascii="Arial" w:hAnsi="Arial" w:cs="Arial"/>
          <w:sz w:val="20"/>
          <w:szCs w:val="20"/>
        </w:rPr>
        <w:t xml:space="preserve">al condition or future results, some of which are beyond our control. You should carefully consider the risks described under the heading “Risk Factors” in Part I, Item 1A of our 2021 Form 10-K, the other information in this Quarterly Report on Form 10-Q, </w:t>
      </w:r>
      <w:r>
        <w:rPr>
          <w:rFonts w:ascii="Arial" w:hAnsi="Arial" w:cs="Arial"/>
          <w:sz w:val="20"/>
          <w:szCs w:val="20"/>
        </w:rPr>
        <w:t xml:space="preserve">including our unaudited condensed consolidated financial statements and the related notes, as well as our other public filings with the SEC, before deciding to invest in our Class A common stock. During the three months ended March 31, 2022, there were no </w:t>
      </w:r>
      <w:r>
        <w:rPr>
          <w:rFonts w:ascii="Arial" w:hAnsi="Arial" w:cs="Arial"/>
          <w:sz w:val="20"/>
          <w:szCs w:val="20"/>
        </w:rPr>
        <w:t>material changes to the risk factors as described in our 2021 Form 10-K. The occurrence of any of the events described therein could harm our business, financial condition, results of operations, liquidity or prospects. In such an event, the market price o</w:t>
      </w:r>
      <w:r>
        <w:rPr>
          <w:rFonts w:ascii="Arial" w:hAnsi="Arial" w:cs="Arial"/>
          <w:sz w:val="20"/>
          <w:szCs w:val="20"/>
        </w:rPr>
        <w:t>f our Class A common stock could decline, and you may lose all or part of your investment. Additional risks and uncertainties not presently known to us or that we currently deem immaterial may also impair our business</w:t>
      </w:r>
      <w:r>
        <w:rPr>
          <w:rFonts w:ascii="Arial" w:hAnsi="Arial" w:cs="Arial"/>
          <w:sz w:val="20"/>
          <w:szCs w:val="20"/>
        </w:rPr>
        <w:t>.</w:t>
      </w:r>
    </w:p>
    <w:p w:rsidR="00000000" w:rsidRDefault="00CA40A2">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 xml:space="preserve">m 2. Unregistered Sales of Equity </w:t>
      </w:r>
      <w:r>
        <w:rPr>
          <w:rFonts w:ascii="Arial" w:hAnsi="Arial" w:cs="Arial"/>
          <w:b/>
          <w:bCs/>
          <w:sz w:val="20"/>
          <w:szCs w:val="20"/>
        </w:rPr>
        <w:t>Securities and Use of Proceeds</w:t>
      </w:r>
      <w:r>
        <w:rPr>
          <w:rFonts w:ascii="Arial" w:hAnsi="Arial" w:cs="Arial"/>
          <w:b/>
          <w:bCs/>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None</w:t>
      </w:r>
      <w:r>
        <w:rPr>
          <w:rFonts w:ascii="Arial" w:hAnsi="Arial" w:cs="Arial"/>
          <w:sz w:val="20"/>
          <w:szCs w:val="20"/>
        </w:rPr>
        <w:t>.</w:t>
      </w:r>
    </w:p>
    <w:p w:rsidR="00000000" w:rsidRDefault="00CA40A2">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3. Defaults Upon Senior Securities</w:t>
      </w:r>
      <w:r>
        <w:rPr>
          <w:rFonts w:ascii="Arial" w:hAnsi="Arial" w:cs="Arial"/>
          <w:b/>
          <w:bCs/>
          <w:sz w:val="20"/>
          <w:szCs w:val="20"/>
        </w:rPr>
        <w:t>.</w:t>
      </w:r>
    </w:p>
    <w:p w:rsidR="00000000" w:rsidRDefault="00CA40A2">
      <w:pPr>
        <w:pStyle w:val="a3"/>
        <w:spacing w:before="120" w:beforeAutospacing="0" w:after="0" w:afterAutospacing="0"/>
        <w:ind w:firstLine="539"/>
        <w:rPr>
          <w:sz w:val="20"/>
          <w:szCs w:val="20"/>
        </w:rPr>
      </w:pPr>
      <w:r>
        <w:rPr>
          <w:rFonts w:ascii="Arial" w:hAnsi="Arial" w:cs="Arial"/>
          <w:sz w:val="20"/>
          <w:szCs w:val="20"/>
        </w:rPr>
        <w:t>None</w:t>
      </w:r>
      <w:r>
        <w:rPr>
          <w:rFonts w:ascii="Arial" w:hAnsi="Arial" w:cs="Arial"/>
          <w:sz w:val="20"/>
          <w:szCs w:val="20"/>
        </w:rPr>
        <w:t>.</w:t>
      </w:r>
    </w:p>
    <w:p w:rsidR="00000000" w:rsidRDefault="00CA40A2">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4. Mine Safety Disclosures</w:t>
      </w:r>
      <w:r>
        <w:rPr>
          <w:rFonts w:ascii="Arial" w:hAnsi="Arial" w:cs="Arial"/>
          <w:b/>
          <w:bCs/>
          <w:sz w:val="20"/>
          <w:szCs w:val="20"/>
        </w:rPr>
        <w:t>.</w:t>
      </w:r>
    </w:p>
    <w:p w:rsidR="00000000" w:rsidRDefault="00CA40A2">
      <w:pPr>
        <w:pStyle w:val="a3"/>
        <w:spacing w:before="120" w:beforeAutospacing="0" w:after="0" w:afterAutospacing="0"/>
        <w:ind w:left="476"/>
        <w:rPr>
          <w:sz w:val="20"/>
          <w:szCs w:val="20"/>
        </w:rPr>
      </w:pPr>
      <w:r>
        <w:rPr>
          <w:rFonts w:ascii="Arial" w:hAnsi="Arial" w:cs="Arial"/>
          <w:sz w:val="20"/>
          <w:szCs w:val="20"/>
        </w:rPr>
        <w:t>Not Applicable</w:t>
      </w:r>
      <w:r>
        <w:rPr>
          <w:rFonts w:ascii="Arial" w:hAnsi="Arial" w:cs="Arial"/>
          <w:sz w:val="20"/>
          <w:szCs w:val="20"/>
        </w:rPr>
        <w:t>.</w:t>
      </w:r>
    </w:p>
    <w:p w:rsidR="00000000" w:rsidRDefault="00CA40A2">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5. Other Information</w:t>
      </w:r>
      <w:r>
        <w:rPr>
          <w:rFonts w:ascii="Arial" w:hAnsi="Arial" w:cs="Arial"/>
          <w:b/>
          <w:bCs/>
          <w:sz w:val="20"/>
          <w:szCs w:val="20"/>
        </w:rPr>
        <w:t>.</w:t>
      </w:r>
    </w:p>
    <w:p w:rsidR="00000000" w:rsidRDefault="00CA40A2">
      <w:pPr>
        <w:pStyle w:val="a3"/>
        <w:spacing w:before="120" w:beforeAutospacing="0" w:after="0" w:afterAutospacing="0"/>
        <w:ind w:firstLine="555"/>
        <w:rPr>
          <w:sz w:val="20"/>
          <w:szCs w:val="20"/>
        </w:rPr>
      </w:pPr>
      <w:r>
        <w:rPr>
          <w:rFonts w:ascii="Arial" w:hAnsi="Arial" w:cs="Arial"/>
          <w:sz w:val="20"/>
          <w:szCs w:val="20"/>
        </w:rPr>
        <w:t>None</w:t>
      </w:r>
      <w:r>
        <w:rPr>
          <w:rFonts w:ascii="Arial" w:hAnsi="Arial" w:cs="Arial"/>
          <w:sz w:val="20"/>
          <w:szCs w:val="20"/>
        </w:rPr>
        <w:t>.</w:t>
      </w:r>
    </w:p>
    <w:p w:rsidR="00000000" w:rsidRDefault="00CA40A2">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3</w:t>
      </w:r>
    </w:p>
    <w:p w:rsidR="00000000" w:rsidRDefault="00CA40A2">
      <w:pPr>
        <w:rPr>
          <w:rFonts w:eastAsia="Times New Roman"/>
        </w:rPr>
      </w:pPr>
      <w:r>
        <w:rPr>
          <w:rFonts w:eastAsia="Times New Roman"/>
        </w:rPr>
        <w:pict>
          <v:rect id="_x0000_i1058"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6. Exhibits</w:t>
      </w:r>
      <w:r>
        <w:rPr>
          <w:rFonts w:ascii="Arial" w:hAnsi="Arial" w:cs="Arial"/>
          <w:b/>
          <w:bCs/>
          <w:sz w:val="20"/>
          <w:szCs w:val="20"/>
        </w:rPr>
        <w:t>.</w:t>
      </w:r>
    </w:p>
    <w:p w:rsidR="00000000" w:rsidRDefault="00CA40A2">
      <w:pPr>
        <w:pStyle w:val="a3"/>
        <w:spacing w:before="240" w:beforeAutospacing="0" w:after="120" w:afterAutospacing="0"/>
        <w:rPr>
          <w:sz w:val="20"/>
          <w:szCs w:val="20"/>
        </w:rPr>
      </w:pPr>
      <w:r>
        <w:rPr>
          <w:rFonts w:ascii="Arial" w:hAnsi="Arial" w:cs="Arial"/>
          <w:b/>
          <w:bCs/>
          <w:sz w:val="20"/>
          <w:szCs w:val="20"/>
        </w:rPr>
        <w:t>(a) Exhibit</w:t>
      </w:r>
      <w:r>
        <w:rPr>
          <w:rFonts w:ascii="Arial" w:hAnsi="Arial" w:cs="Arial"/>
          <w:b/>
          <w:bCs/>
          <w:sz w:val="20"/>
          <w:szCs w:val="20"/>
        </w:rPr>
        <w:t>s</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845"/>
        <w:gridCol w:w="115"/>
        <w:gridCol w:w="2936"/>
        <w:gridCol w:w="112"/>
        <w:gridCol w:w="564"/>
        <w:gridCol w:w="112"/>
        <w:gridCol w:w="735"/>
        <w:gridCol w:w="112"/>
        <w:gridCol w:w="660"/>
        <w:gridCol w:w="112"/>
        <w:gridCol w:w="777"/>
        <w:gridCol w:w="115"/>
        <w:gridCol w:w="945"/>
      </w:tblGrid>
      <w:tr w:rsidR="00000000">
        <w:trPr>
          <w:tblCellSpacing w:w="15" w:type="dxa"/>
        </w:trPr>
        <w:tc>
          <w:tcPr>
            <w:tcW w:w="408" w:type="pct"/>
            <w:vAlign w:val="center"/>
            <w:hideMark/>
          </w:tcPr>
          <w:p w:rsidR="00000000" w:rsidRDefault="00CA40A2">
            <w:pPr>
              <w:rPr>
                <w:sz w:val="20"/>
                <w:szCs w:val="20"/>
              </w:rPr>
            </w:pPr>
          </w:p>
        </w:tc>
        <w:tc>
          <w:tcPr>
            <w:tcW w:w="51" w:type="pct"/>
            <w:vAlign w:val="center"/>
            <w:hideMark/>
          </w:tcPr>
          <w:p w:rsidR="00000000" w:rsidRDefault="00CA40A2">
            <w:pPr>
              <w:rPr>
                <w:rFonts w:eastAsia="Times New Roman"/>
                <w:sz w:val="20"/>
                <w:szCs w:val="20"/>
              </w:rPr>
            </w:pPr>
          </w:p>
        </w:tc>
        <w:tc>
          <w:tcPr>
            <w:tcW w:w="1942" w:type="pct"/>
            <w:vAlign w:val="center"/>
            <w:hideMark/>
          </w:tcPr>
          <w:p w:rsidR="00000000" w:rsidRDefault="00CA40A2">
            <w:pPr>
              <w:rPr>
                <w:rFonts w:eastAsia="Times New Roman"/>
                <w:sz w:val="20"/>
                <w:szCs w:val="20"/>
              </w:rPr>
            </w:pPr>
          </w:p>
        </w:tc>
        <w:tc>
          <w:tcPr>
            <w:tcW w:w="51" w:type="pct"/>
            <w:vAlign w:val="center"/>
            <w:hideMark/>
          </w:tcPr>
          <w:p w:rsidR="00000000" w:rsidRDefault="00CA40A2">
            <w:pPr>
              <w:rPr>
                <w:rFonts w:eastAsia="Times New Roman"/>
                <w:sz w:val="20"/>
                <w:szCs w:val="20"/>
              </w:rPr>
            </w:pPr>
          </w:p>
        </w:tc>
        <w:tc>
          <w:tcPr>
            <w:tcW w:w="408" w:type="pct"/>
            <w:vAlign w:val="center"/>
            <w:hideMark/>
          </w:tcPr>
          <w:p w:rsidR="00000000" w:rsidRDefault="00CA40A2">
            <w:pPr>
              <w:rPr>
                <w:rFonts w:eastAsia="Times New Roman"/>
                <w:sz w:val="20"/>
                <w:szCs w:val="20"/>
              </w:rPr>
            </w:pPr>
          </w:p>
        </w:tc>
        <w:tc>
          <w:tcPr>
            <w:tcW w:w="51" w:type="pct"/>
            <w:vAlign w:val="center"/>
            <w:hideMark/>
          </w:tcPr>
          <w:p w:rsidR="00000000" w:rsidRDefault="00CA40A2">
            <w:pPr>
              <w:rPr>
                <w:rFonts w:eastAsia="Times New Roman"/>
                <w:sz w:val="20"/>
                <w:szCs w:val="20"/>
              </w:rPr>
            </w:pPr>
          </w:p>
        </w:tc>
        <w:tc>
          <w:tcPr>
            <w:tcW w:w="518" w:type="pct"/>
            <w:vAlign w:val="center"/>
            <w:hideMark/>
          </w:tcPr>
          <w:p w:rsidR="00000000" w:rsidRDefault="00CA40A2">
            <w:pPr>
              <w:rPr>
                <w:rFonts w:eastAsia="Times New Roman"/>
                <w:sz w:val="20"/>
                <w:szCs w:val="20"/>
              </w:rPr>
            </w:pPr>
          </w:p>
        </w:tc>
        <w:tc>
          <w:tcPr>
            <w:tcW w:w="51" w:type="pct"/>
            <w:vAlign w:val="center"/>
            <w:hideMark/>
          </w:tcPr>
          <w:p w:rsidR="00000000" w:rsidRDefault="00CA40A2">
            <w:pPr>
              <w:rPr>
                <w:rFonts w:eastAsia="Times New Roman"/>
                <w:sz w:val="20"/>
                <w:szCs w:val="20"/>
              </w:rPr>
            </w:pPr>
          </w:p>
        </w:tc>
        <w:tc>
          <w:tcPr>
            <w:tcW w:w="408" w:type="pct"/>
            <w:vAlign w:val="center"/>
            <w:hideMark/>
          </w:tcPr>
          <w:p w:rsidR="00000000" w:rsidRDefault="00CA40A2">
            <w:pPr>
              <w:rPr>
                <w:rFonts w:eastAsia="Times New Roman"/>
                <w:sz w:val="20"/>
                <w:szCs w:val="20"/>
              </w:rPr>
            </w:pPr>
          </w:p>
        </w:tc>
        <w:tc>
          <w:tcPr>
            <w:tcW w:w="51" w:type="pct"/>
            <w:vAlign w:val="center"/>
            <w:hideMark/>
          </w:tcPr>
          <w:p w:rsidR="00000000" w:rsidRDefault="00CA40A2">
            <w:pPr>
              <w:rPr>
                <w:rFonts w:eastAsia="Times New Roman"/>
                <w:sz w:val="20"/>
                <w:szCs w:val="20"/>
              </w:rPr>
            </w:pPr>
          </w:p>
        </w:tc>
        <w:tc>
          <w:tcPr>
            <w:tcW w:w="545" w:type="pct"/>
            <w:vAlign w:val="center"/>
            <w:hideMark/>
          </w:tcPr>
          <w:p w:rsidR="00000000" w:rsidRDefault="00CA40A2">
            <w:pPr>
              <w:rPr>
                <w:rFonts w:eastAsia="Times New Roman"/>
                <w:sz w:val="20"/>
                <w:szCs w:val="20"/>
              </w:rPr>
            </w:pPr>
          </w:p>
        </w:tc>
        <w:tc>
          <w:tcPr>
            <w:tcW w:w="51" w:type="pct"/>
            <w:vAlign w:val="center"/>
            <w:hideMark/>
          </w:tcPr>
          <w:p w:rsidR="00000000" w:rsidRDefault="00CA40A2">
            <w:pPr>
              <w:rPr>
                <w:rFonts w:eastAsia="Times New Roman"/>
                <w:sz w:val="20"/>
                <w:szCs w:val="20"/>
              </w:rPr>
            </w:pPr>
          </w:p>
        </w:tc>
        <w:tc>
          <w:tcPr>
            <w:tcW w:w="460" w:type="pct"/>
            <w:vAlign w:val="center"/>
            <w:hideMark/>
          </w:tcPr>
          <w:p w:rsidR="00000000" w:rsidRDefault="00CA40A2">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sz w:val="20"/>
                <w:szCs w:val="20"/>
              </w:rPr>
              <w:t> </w:t>
            </w:r>
          </w:p>
        </w:tc>
        <w:tc>
          <w:tcPr>
            <w:tcW w:w="0" w:type="auto"/>
            <w:gridSpan w:val="8"/>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rFonts w:ascii="Arial" w:hAnsi="Arial" w:cs="Arial"/>
                <w:b/>
                <w:bCs/>
                <w:sz w:val="18"/>
                <w:szCs w:val="18"/>
              </w:rPr>
              <w:t>Incorporated by Referenc</w:t>
            </w:r>
            <w:r>
              <w:rPr>
                <w:rFonts w:ascii="Arial" w:hAnsi="Arial" w:cs="Arial"/>
                <w:b/>
                <w:bCs/>
                <w:sz w:val="18"/>
                <w:szCs w:val="18"/>
              </w:rPr>
              <w:t>e</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p w:rsidR="00000000" w:rsidRDefault="00CA40A2">
            <w:pPr>
              <w:pStyle w:val="a3"/>
              <w:spacing w:before="0" w:beforeAutospacing="0" w:after="0" w:afterAutospacing="0"/>
              <w:jc w:val="center"/>
              <w:rPr>
                <w:sz w:val="18"/>
                <w:szCs w:val="18"/>
              </w:rPr>
            </w:pPr>
            <w:r>
              <w:rPr>
                <w:rFonts w:ascii="Arial" w:hAnsi="Arial" w:cs="Arial"/>
                <w:b/>
                <w:bCs/>
                <w:sz w:val="18"/>
                <w:szCs w:val="18"/>
              </w:rPr>
              <w:t>Numbe</w:t>
            </w:r>
            <w:r>
              <w:rPr>
                <w:rFonts w:ascii="Arial" w:hAnsi="Arial" w:cs="Arial"/>
                <w:b/>
                <w:bCs/>
                <w:sz w:val="18"/>
                <w:szCs w:val="18"/>
              </w:rPr>
              <w:t>r</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rFonts w:ascii="Arial" w:hAnsi="Arial" w:cs="Arial"/>
                <w:b/>
                <w:bCs/>
                <w:sz w:val="18"/>
                <w:szCs w:val="18"/>
              </w:rPr>
              <w:t>Descriptio</w:t>
            </w:r>
            <w:r>
              <w:rPr>
                <w:rFonts w:ascii="Arial" w:hAnsi="Arial" w:cs="Arial"/>
                <w:b/>
                <w:bCs/>
                <w:sz w:val="18"/>
                <w:szCs w:val="18"/>
              </w:rPr>
              <w:t>n</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rFonts w:ascii="Arial" w:hAnsi="Arial" w:cs="Arial"/>
                <w:b/>
                <w:bCs/>
                <w:sz w:val="18"/>
                <w:szCs w:val="18"/>
              </w:rPr>
              <w:t>For</w:t>
            </w:r>
            <w:r>
              <w:rPr>
                <w:rFonts w:ascii="Arial" w:hAnsi="Arial" w:cs="Arial"/>
                <w:b/>
                <w:bCs/>
                <w:sz w:val="18"/>
                <w:szCs w:val="18"/>
              </w:rPr>
              <w:t>m</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rFonts w:ascii="Arial" w:hAnsi="Arial" w:cs="Arial"/>
                <w:b/>
                <w:bCs/>
                <w:sz w:val="18"/>
                <w:szCs w:val="18"/>
              </w:rPr>
              <w:t>File No</w:t>
            </w:r>
            <w:r>
              <w:rPr>
                <w:rFonts w:ascii="Arial" w:hAnsi="Arial" w:cs="Arial"/>
                <w:b/>
                <w:bCs/>
                <w:sz w:val="18"/>
                <w:szCs w:val="18"/>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rFonts w:ascii="Arial" w:hAnsi="Arial" w:cs="Arial"/>
                <w:b/>
                <w:bCs/>
                <w:sz w:val="18"/>
                <w:szCs w:val="18"/>
              </w:rPr>
              <w:t>Filing Dat</w:t>
            </w:r>
            <w:r>
              <w:rPr>
                <w:rFonts w:ascii="Arial" w:hAnsi="Arial" w:cs="Arial"/>
                <w:b/>
                <w:bCs/>
                <w:sz w:val="18"/>
                <w:szCs w:val="18"/>
              </w:rPr>
              <w:t>e</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rFonts w:ascii="Arial" w:hAnsi="Arial" w:cs="Arial"/>
                <w:sz w:val="18"/>
                <w:szCs w:val="18"/>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8"/>
                <w:szCs w:val="18"/>
              </w:rPr>
            </w:pPr>
            <w:r>
              <w:rPr>
                <w:rFonts w:ascii="Arial" w:hAnsi="Arial" w:cs="Arial"/>
                <w:b/>
                <w:bCs/>
                <w:sz w:val="18"/>
                <w:szCs w:val="18"/>
              </w:rPr>
              <w:t>Filed</w:t>
            </w:r>
            <w:r>
              <w:rPr>
                <w:rFonts w:ascii="Arial" w:hAnsi="Arial" w:cs="Arial"/>
                <w:b/>
                <w:bCs/>
                <w:sz w:val="18"/>
                <w:szCs w:val="18"/>
              </w:rPr>
              <w:t>/</w:t>
            </w:r>
          </w:p>
          <w:p w:rsidR="00000000" w:rsidRDefault="00CA40A2">
            <w:pPr>
              <w:pStyle w:val="a3"/>
              <w:spacing w:before="0" w:beforeAutospacing="0" w:after="0" w:afterAutospacing="0"/>
              <w:jc w:val="center"/>
              <w:rPr>
                <w:sz w:val="18"/>
                <w:szCs w:val="18"/>
              </w:rPr>
            </w:pPr>
            <w:r>
              <w:rPr>
                <w:rFonts w:ascii="Arial" w:hAnsi="Arial" w:cs="Arial"/>
                <w:b/>
                <w:bCs/>
                <w:sz w:val="18"/>
                <w:szCs w:val="18"/>
              </w:rPr>
              <w:t>Furnished Herewit</w:t>
            </w:r>
            <w:r>
              <w:rPr>
                <w:rFonts w:ascii="Arial" w:hAnsi="Arial" w:cs="Arial"/>
                <w:b/>
                <w:bCs/>
                <w:sz w:val="18"/>
                <w:szCs w:val="18"/>
              </w:rPr>
              <w:t>h</w:t>
            </w:r>
          </w:p>
        </w:tc>
      </w:tr>
      <w:tr w:rsidR="00000000">
        <w:trPr>
          <w:trHeight w:val="18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10.1</w:t>
            </w:r>
            <w:r>
              <w:rPr>
                <w:rFonts w:ascii="Arial" w:hAnsi="Arial" w:cs="Arial"/>
                <w:sz w:val="19"/>
                <w:szCs w:val="19"/>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hyperlink r:id="rId4" w:history="1">
              <w:r>
                <w:rPr>
                  <w:rStyle w:val="a4"/>
                  <w:rFonts w:ascii="Arial" w:hAnsi="Arial" w:cs="Arial"/>
                  <w:sz w:val="19"/>
                  <w:szCs w:val="19"/>
                </w:rPr>
                <w:t>Form of Restricted Stock Unit Award Agreement for Outsider Directors under the 2021 Equity Incentive Pla</w:t>
              </w:r>
              <w:r>
                <w:rPr>
                  <w:rStyle w:val="a4"/>
                  <w:rFonts w:ascii="Arial" w:hAnsi="Arial" w:cs="Arial"/>
                  <w:sz w:val="19"/>
                  <w:szCs w:val="19"/>
                </w:rPr>
                <w:t>n</w:t>
              </w:r>
            </w:hyperlink>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jc w:val="center"/>
              <w:rPr>
                <w:sz w:val="19"/>
                <w:szCs w:val="19"/>
              </w:rPr>
            </w:pPr>
            <w:r>
              <w:rPr>
                <w:rFonts w:ascii="Arial" w:hAnsi="Arial" w:cs="Arial"/>
                <w:sz w:val="19"/>
                <w:szCs w:val="19"/>
              </w:rPr>
              <w:t>X</w:t>
            </w:r>
          </w:p>
        </w:tc>
      </w:tr>
      <w:tr w:rsidR="00000000">
        <w:trPr>
          <w:trHeight w:val="18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10.</w:t>
            </w:r>
            <w:r>
              <w:rPr>
                <w:rFonts w:ascii="Arial" w:hAnsi="Arial" w:cs="Arial"/>
                <w:sz w:val="19"/>
                <w:szCs w:val="19"/>
              </w:rPr>
              <w:t>2</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hyperlink r:id="rId5" w:history="1">
              <w:r>
                <w:rPr>
                  <w:rStyle w:val="a4"/>
                  <w:rFonts w:ascii="Arial" w:hAnsi="Arial" w:cs="Arial"/>
                  <w:sz w:val="19"/>
                  <w:szCs w:val="19"/>
                </w:rPr>
                <w:t>Warrant Agreement, dated as of May 13, 2021, by and between the registrant and JPMC Strategic Investments I Corporatio</w:t>
              </w:r>
              <w:r>
                <w:rPr>
                  <w:rStyle w:val="a4"/>
                  <w:rFonts w:ascii="Arial" w:hAnsi="Arial" w:cs="Arial"/>
                  <w:sz w:val="19"/>
                  <w:szCs w:val="19"/>
                </w:rPr>
                <w:t>n</w:t>
              </w:r>
            </w:hyperlink>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9"/>
                <w:szCs w:val="19"/>
              </w:rPr>
            </w:pPr>
            <w:r>
              <w:rPr>
                <w:rFonts w:ascii="Arial" w:hAnsi="Arial" w:cs="Arial"/>
                <w:sz w:val="19"/>
                <w:szCs w:val="19"/>
              </w:rPr>
              <w:t>S-1/</w:t>
            </w:r>
            <w:r>
              <w:rPr>
                <w:rFonts w:ascii="Arial" w:hAnsi="Arial" w:cs="Arial"/>
                <w:sz w:val="19"/>
                <w:szCs w:val="19"/>
              </w:rPr>
              <w:t>A</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9"/>
                <w:szCs w:val="19"/>
              </w:rPr>
            </w:pPr>
            <w:r>
              <w:rPr>
                <w:rFonts w:ascii="Arial" w:hAnsi="Arial" w:cs="Arial"/>
                <w:sz w:val="19"/>
                <w:szCs w:val="19"/>
              </w:rPr>
              <w:t>333-25568</w:t>
            </w:r>
            <w:r>
              <w:rPr>
                <w:rFonts w:ascii="Arial" w:hAnsi="Arial" w:cs="Arial"/>
                <w:sz w:val="19"/>
                <w:szCs w:val="19"/>
              </w:rPr>
              <w:t>3</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9"/>
                <w:szCs w:val="19"/>
              </w:rPr>
            </w:pPr>
            <w:r>
              <w:rPr>
                <w:rFonts w:ascii="Arial" w:hAnsi="Arial" w:cs="Arial"/>
                <w:sz w:val="19"/>
                <w:szCs w:val="19"/>
              </w:rPr>
              <w:t>10.1</w:t>
            </w:r>
            <w:r>
              <w:rPr>
                <w:rFonts w:ascii="Arial" w:hAnsi="Arial" w:cs="Arial"/>
                <w:sz w:val="19"/>
                <w:szCs w:val="19"/>
              </w:rPr>
              <w:t>4</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8"/>
                <w:szCs w:val="18"/>
              </w:rPr>
            </w:pPr>
            <w:r>
              <w:rPr>
                <w:rFonts w:ascii="Arial" w:hAnsi="Arial" w:cs="Arial"/>
                <w:sz w:val="18"/>
                <w:szCs w:val="18"/>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jc w:val="center"/>
              <w:rPr>
                <w:sz w:val="19"/>
                <w:szCs w:val="19"/>
              </w:rPr>
            </w:pPr>
            <w:r>
              <w:rPr>
                <w:rFonts w:ascii="Arial" w:hAnsi="Arial" w:cs="Arial"/>
                <w:sz w:val="19"/>
                <w:szCs w:val="19"/>
              </w:rPr>
              <w:t>May 17,202</w:t>
            </w:r>
            <w:r>
              <w:rPr>
                <w:rFonts w:ascii="Arial" w:hAnsi="Arial" w:cs="Arial"/>
                <w:sz w:val="19"/>
                <w:szCs w:val="19"/>
              </w:rPr>
              <w:t>1</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31.</w:t>
            </w:r>
            <w:r>
              <w:rPr>
                <w:rFonts w:ascii="Arial" w:hAnsi="Arial" w:cs="Arial"/>
                <w:sz w:val="19"/>
                <w:szCs w:val="19"/>
              </w:rPr>
              <w:t>1</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hyperlink r:id="rId6" w:history="1">
              <w:r>
                <w:rPr>
                  <w:rStyle w:val="a4"/>
                  <w:rFonts w:ascii="Arial" w:hAnsi="Arial" w:cs="Arial"/>
                  <w:sz w:val="19"/>
                  <w:szCs w:val="19"/>
                </w:rPr>
                <w:t>Certification of Principal Executive Officer Pursuant to Rules 13a-14(a) and 15d-14(a) under the Securities Exchange Act of 1934, as Adopted Pursuant to Section 302 of the Sarbanes-Oxley Act of 2002</w:t>
              </w:r>
              <w:r>
                <w:rPr>
                  <w:rStyle w:val="a4"/>
                  <w:rFonts w:ascii="Arial" w:hAnsi="Arial" w:cs="Arial"/>
                  <w:sz w:val="19"/>
                  <w:szCs w:val="19"/>
                </w:rPr>
                <w:t>.</w:t>
              </w:r>
            </w:hyperlink>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31.</w:t>
            </w:r>
            <w:r>
              <w:rPr>
                <w:rFonts w:ascii="Arial" w:hAnsi="Arial" w:cs="Arial"/>
                <w:sz w:val="19"/>
                <w:szCs w:val="19"/>
              </w:rPr>
              <w:t>2</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hyperlink r:id="rId7" w:history="1">
              <w:r>
                <w:rPr>
                  <w:rStyle w:val="a4"/>
                  <w:rFonts w:ascii="Arial" w:hAnsi="Arial" w:cs="Arial"/>
                  <w:sz w:val="19"/>
                  <w:szCs w:val="19"/>
                </w:rPr>
                <w:t>Certification of Principal Financial Officer Pursuant to Rules 13a-14(a) and 15d-14(a) under the Securities Exchange Act of 1934, as Adopted Pursuant to Section 302 of the Sarbanes-Oxley Act of 2002</w:t>
              </w:r>
              <w:r>
                <w:rPr>
                  <w:rStyle w:val="a4"/>
                  <w:rFonts w:ascii="Arial" w:hAnsi="Arial" w:cs="Arial"/>
                  <w:sz w:val="19"/>
                  <w:szCs w:val="19"/>
                </w:rPr>
                <w:t>.</w:t>
              </w:r>
            </w:hyperlink>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32.1</w:t>
            </w:r>
            <w:r>
              <w:rPr>
                <w:rFonts w:ascii="Arial" w:hAnsi="Arial" w:cs="Arial"/>
                <w:sz w:val="19"/>
                <w:szCs w:val="19"/>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hyperlink r:id="rId8" w:history="1">
              <w:r>
                <w:rPr>
                  <w:rStyle w:val="a4"/>
                  <w:rFonts w:ascii="Arial" w:hAnsi="Arial" w:cs="Arial"/>
                  <w:sz w:val="19"/>
                  <w:szCs w:val="19"/>
                </w:rPr>
                <w:t>Certification of Principal Executive Officer Pursuant to 18 U.S.C. Section 1350, as Adopted Pursuant to Section 906 of the Sarbanes-Oxley Act of 2002</w:t>
              </w:r>
              <w:r>
                <w:rPr>
                  <w:rStyle w:val="a4"/>
                  <w:rFonts w:ascii="Arial" w:hAnsi="Arial" w:cs="Arial"/>
                  <w:sz w:val="19"/>
                  <w:szCs w:val="19"/>
                </w:rPr>
                <w:t>.</w:t>
              </w:r>
            </w:hyperlink>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32.2</w:t>
            </w:r>
            <w:r>
              <w:rPr>
                <w:rFonts w:ascii="Arial" w:hAnsi="Arial" w:cs="Arial"/>
                <w:sz w:val="19"/>
                <w:szCs w:val="19"/>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hyperlink r:id="rId9" w:history="1">
              <w:r>
                <w:rPr>
                  <w:rStyle w:val="a4"/>
                  <w:rFonts w:ascii="Arial" w:hAnsi="Arial" w:cs="Arial"/>
                  <w:sz w:val="19"/>
                  <w:szCs w:val="19"/>
                </w:rPr>
                <w:t xml:space="preserve">Certification </w:t>
              </w:r>
              <w:r>
                <w:rPr>
                  <w:rStyle w:val="a4"/>
                  <w:rFonts w:ascii="Arial" w:hAnsi="Arial" w:cs="Arial"/>
                  <w:sz w:val="19"/>
                  <w:szCs w:val="19"/>
                </w:rPr>
                <w:t>of Principal Financial Officer Pursuant to 18 U.S.C. Section 1350, as Adopted Pursuant to Section 906 of the Sarbanes-Oxley Act of 2002</w:t>
              </w:r>
              <w:r>
                <w:rPr>
                  <w:rStyle w:val="a4"/>
                  <w:rFonts w:ascii="Arial" w:hAnsi="Arial" w:cs="Arial"/>
                  <w:sz w:val="19"/>
                  <w:szCs w:val="19"/>
                </w:rPr>
                <w:t>.</w:t>
              </w:r>
              <w:r>
                <w:rPr>
                  <w:rStyle w:val="a4"/>
                  <w:rFonts w:ascii="Arial" w:hAnsi="Arial" w:cs="Arial"/>
                  <w:sz w:val="19"/>
                  <w:szCs w:val="19"/>
                </w:rPr>
                <w:t xml:space="preserve"> </w:t>
              </w:r>
            </w:hyperlink>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101.IN</w:t>
            </w:r>
            <w:r>
              <w:rPr>
                <w:rFonts w:ascii="Arial" w:hAnsi="Arial" w:cs="Arial"/>
                <w:sz w:val="19"/>
                <w:szCs w:val="19"/>
              </w:rPr>
              <w:t>S</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 xml:space="preserve">Inline XBRL Instance Document – </w:t>
            </w:r>
            <w:r>
              <w:rPr>
                <w:rFonts w:ascii="Arial" w:hAnsi="Arial" w:cs="Arial"/>
                <w:sz w:val="19"/>
                <w:szCs w:val="19"/>
              </w:rPr>
              <w:t>the instance document does not appear in the Interactive Data File because XBRL tags are embedded within the Inline XBRL document</w:t>
            </w:r>
            <w:r>
              <w:rPr>
                <w:rFonts w:ascii="Arial" w:hAnsi="Arial" w:cs="Arial"/>
                <w:sz w:val="19"/>
                <w:szCs w:val="19"/>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101.SC</w:t>
            </w:r>
            <w:r>
              <w:rPr>
                <w:rFonts w:ascii="Arial" w:hAnsi="Arial" w:cs="Arial"/>
                <w:sz w:val="19"/>
                <w:szCs w:val="19"/>
              </w:rPr>
              <w:t>H</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Inline XBRL Taxonomy Extension Schema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101.CA</w:t>
            </w:r>
            <w:r>
              <w:rPr>
                <w:rFonts w:ascii="Arial" w:hAnsi="Arial" w:cs="Arial"/>
                <w:sz w:val="19"/>
                <w:szCs w:val="19"/>
              </w:rPr>
              <w:t>L</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Inline XBRL Taxonomy Extension Calculation Linkbase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101.DE</w:t>
            </w:r>
            <w:r>
              <w:rPr>
                <w:rFonts w:ascii="Arial" w:hAnsi="Arial" w:cs="Arial"/>
                <w:sz w:val="19"/>
                <w:szCs w:val="19"/>
              </w:rPr>
              <w:t>F</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Inline XBRL Taxonomy Extension Definition Linkbase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101.LA</w:t>
            </w:r>
            <w:r>
              <w:rPr>
                <w:rFonts w:ascii="Arial" w:hAnsi="Arial" w:cs="Arial"/>
                <w:sz w:val="19"/>
                <w:szCs w:val="19"/>
              </w:rPr>
              <w:t>B</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Inline XBRL Taxonomy Extension Label Linkbase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101.PR</w:t>
            </w:r>
            <w:r>
              <w:rPr>
                <w:rFonts w:ascii="Arial" w:hAnsi="Arial" w:cs="Arial"/>
                <w:sz w:val="19"/>
                <w:szCs w:val="19"/>
              </w:rPr>
              <w:t>E</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Inline XBRL Taxonomy Extension Presentation Linkbase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r w:rsidR="00000000">
        <w:trPr>
          <w:trHeight w:val="65"/>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10</w:t>
            </w:r>
            <w:r>
              <w:rPr>
                <w:rFonts w:ascii="Arial" w:hAnsi="Arial" w:cs="Arial"/>
                <w:sz w:val="19"/>
                <w:szCs w:val="19"/>
              </w:rPr>
              <w:t>4</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19"/>
                <w:szCs w:val="19"/>
              </w:rPr>
            </w:pPr>
            <w:r>
              <w:rPr>
                <w:rFonts w:ascii="Arial" w:hAnsi="Arial" w:cs="Arial"/>
                <w:sz w:val="19"/>
                <w:szCs w:val="19"/>
              </w:rPr>
              <w:t>Cover Page Interactive Data File (formatted as inline XBRL and contained in Exhibit 101</w:t>
            </w:r>
            <w:r>
              <w:rPr>
                <w:rFonts w:ascii="Arial" w:hAnsi="Arial" w:cs="Arial"/>
                <w:sz w:val="19"/>
                <w:szCs w:val="19"/>
              </w:rPr>
              <w:t>)</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r>
    </w:tbl>
    <w:p w:rsidR="00000000" w:rsidRDefault="00CA40A2">
      <w:pPr>
        <w:pStyle w:val="a3"/>
        <w:spacing w:before="120" w:beforeAutospacing="0" w:after="0" w:afterAutospacing="0"/>
        <w:rPr>
          <w:sz w:val="20"/>
          <w:szCs w:val="20"/>
        </w:rPr>
      </w:pPr>
      <w:r>
        <w:rPr>
          <w:sz w:val="16"/>
          <w:szCs w:val="16"/>
        </w:rPr>
        <w:t>+</w:t>
      </w:r>
      <w:r>
        <w:rPr>
          <w:rFonts w:ascii="Arial" w:hAnsi="Arial" w:cs="Arial"/>
          <w:sz w:val="20"/>
          <w:szCs w:val="20"/>
        </w:rPr>
        <w:t xml:space="preserve"> Indicates a management contract or compensatory plan or arrangement</w:t>
      </w:r>
      <w:r>
        <w:rPr>
          <w:rFonts w:ascii="Arial" w:hAnsi="Arial" w:cs="Arial"/>
          <w:sz w:val="20"/>
          <w:szCs w:val="20"/>
        </w:rPr>
        <w:t>.</w:t>
      </w:r>
    </w:p>
    <w:p w:rsidR="00000000" w:rsidRDefault="00CA40A2">
      <w:pPr>
        <w:pStyle w:val="a3"/>
        <w:spacing w:before="120" w:beforeAutospacing="0" w:after="0" w:afterAutospacing="0"/>
        <w:rPr>
          <w:sz w:val="20"/>
          <w:szCs w:val="20"/>
        </w:rPr>
      </w:pPr>
      <w:r>
        <w:rPr>
          <w:rFonts w:ascii="Arial" w:hAnsi="Arial" w:cs="Arial"/>
          <w:sz w:val="20"/>
          <w:szCs w:val="20"/>
        </w:rPr>
        <w:t xml:space="preserve">* </w:t>
      </w:r>
      <w:r>
        <w:rPr>
          <w:rFonts w:ascii="Arial" w:hAnsi="Arial" w:cs="Arial"/>
          <w:sz w:val="20"/>
          <w:szCs w:val="20"/>
        </w:rPr>
        <w:t>The certification attached as Exhibit 32.1 and 32.2 that accompany this report are not deemed filed with the Securities and Exchange Commission and are not to be incorporated by reference into any filing of Paymentus Holdings, Inc. under the Securities Act</w:t>
      </w:r>
      <w:r>
        <w:rPr>
          <w:rFonts w:ascii="Arial" w:hAnsi="Arial" w:cs="Arial"/>
          <w:sz w:val="20"/>
          <w:szCs w:val="20"/>
        </w:rPr>
        <w:t xml:space="preserve"> of 1933, as amended, or the Securities Exchange Act of 1934, as amended, whether made before or after the date of this report, irrespective of any general incorporation language contained in such filing</w:t>
      </w:r>
      <w:r>
        <w:rPr>
          <w:rFonts w:ascii="Arial" w:hAnsi="Arial" w:cs="Arial"/>
          <w:sz w:val="20"/>
          <w:szCs w:val="20"/>
        </w:rPr>
        <w:t>.</w:t>
      </w:r>
    </w:p>
    <w:p w:rsidR="00000000" w:rsidRDefault="00CA40A2">
      <w:pPr>
        <w:pStyle w:val="a3"/>
        <w:spacing w:before="0" w:beforeAutospacing="0" w:after="0" w:afterAutospacing="0"/>
        <w:rPr>
          <w:sz w:val="20"/>
          <w:szCs w:val="20"/>
        </w:rPr>
      </w:pPr>
      <w:r>
        <w:rPr>
          <w:sz w:val="20"/>
          <w:szCs w:val="20"/>
        </w:rPr>
        <w:t> </w:t>
      </w:r>
    </w:p>
    <w:p w:rsidR="00000000" w:rsidRDefault="00CA40A2">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4</w:t>
      </w:r>
    </w:p>
    <w:p w:rsidR="00000000" w:rsidRDefault="00CA40A2">
      <w:pPr>
        <w:rPr>
          <w:rFonts w:eastAsia="Times New Roman"/>
        </w:rPr>
      </w:pPr>
      <w:r>
        <w:rPr>
          <w:rFonts w:eastAsia="Times New Roman"/>
        </w:rPr>
        <w:pict>
          <v:rect id="_x0000_i1059" style="width:0;height:1.5pt" o:hralign="center" o:hrstd="t" o:hr="t" fillcolor="#a0a0a0" stroked="f"/>
        </w:pict>
      </w:r>
    </w:p>
    <w:p w:rsidR="00000000" w:rsidRDefault="00CA40A2">
      <w:pPr>
        <w:pStyle w:val="a3"/>
        <w:spacing w:before="0" w:beforeAutospacing="0" w:after="0" w:afterAutospacing="0"/>
        <w:rPr>
          <w:sz w:val="20"/>
          <w:szCs w:val="20"/>
        </w:rPr>
      </w:pPr>
      <w:r>
        <w:rPr>
          <w:rFonts w:ascii="Arial" w:hAnsi="Arial" w:cs="Arial"/>
          <w:sz w:val="20"/>
          <w:szCs w:val="20"/>
        </w:rPr>
        <w:t> </w:t>
      </w:r>
    </w:p>
    <w:p w:rsidR="00000000" w:rsidRDefault="00CA40A2">
      <w:pPr>
        <w:pStyle w:val="a3"/>
        <w:spacing w:before="0" w:beforeAutospacing="0" w:after="0" w:afterAutospacing="0"/>
        <w:jc w:val="center"/>
        <w:rPr>
          <w:sz w:val="20"/>
          <w:szCs w:val="20"/>
        </w:rPr>
      </w:pPr>
      <w:r>
        <w:rPr>
          <w:rFonts w:ascii="Arial" w:hAnsi="Arial" w:cs="Arial"/>
          <w:b/>
          <w:bCs/>
          <w:sz w:val="20"/>
          <w:szCs w:val="20"/>
        </w:rPr>
        <w:t>SI</w:t>
      </w:r>
      <w:r>
        <w:rPr>
          <w:rFonts w:ascii="Arial" w:hAnsi="Arial" w:cs="Arial"/>
          <w:b/>
          <w:bCs/>
          <w:sz w:val="20"/>
          <w:szCs w:val="20"/>
        </w:rPr>
        <w:t>G</w:t>
      </w:r>
      <w:r>
        <w:rPr>
          <w:rFonts w:ascii="Arial" w:hAnsi="Arial" w:cs="Arial"/>
          <w:b/>
          <w:bCs/>
          <w:sz w:val="20"/>
          <w:szCs w:val="20"/>
        </w:rPr>
        <w:t>NATURE</w:t>
      </w:r>
      <w:r>
        <w:rPr>
          <w:rFonts w:ascii="Arial" w:hAnsi="Arial" w:cs="Arial"/>
          <w:b/>
          <w:bCs/>
          <w:sz w:val="20"/>
          <w:szCs w:val="20"/>
        </w:rPr>
        <w:t>S</w:t>
      </w:r>
    </w:p>
    <w:p w:rsidR="00000000" w:rsidRDefault="00CA40A2">
      <w:pPr>
        <w:pStyle w:val="a3"/>
        <w:spacing w:before="240" w:beforeAutospacing="0" w:after="0" w:afterAutospacing="0"/>
        <w:ind w:firstLine="555"/>
        <w:rPr>
          <w:sz w:val="20"/>
          <w:szCs w:val="20"/>
        </w:rPr>
      </w:pPr>
      <w:r>
        <w:rPr>
          <w:rFonts w:ascii="Arial" w:hAnsi="Arial" w:cs="Arial"/>
          <w:sz w:val="20"/>
          <w:szCs w:val="20"/>
        </w:rPr>
        <w:t>Pursuant to the requirements of the Securities Exchange Act of 1934, the registrant has duly caused this report to be signed on its behalf by the undersigned thereunto duly authorized</w:t>
      </w:r>
      <w:r>
        <w:rPr>
          <w:rFonts w:ascii="Arial" w:hAnsi="Arial" w:cs="Arial"/>
          <w:sz w:val="20"/>
          <w:szCs w:val="20"/>
        </w:rPr>
        <w:t>.</w:t>
      </w:r>
    </w:p>
    <w:p w:rsidR="00000000" w:rsidRDefault="00CA40A2">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4"/>
        <w:gridCol w:w="440"/>
        <w:gridCol w:w="348"/>
        <w:gridCol w:w="3784"/>
      </w:tblGrid>
      <w:tr w:rsidR="00000000">
        <w:trPr>
          <w:tblCellSpacing w:w="15" w:type="dxa"/>
        </w:trPr>
        <w:tc>
          <w:tcPr>
            <w:tcW w:w="2261" w:type="pct"/>
            <w:vAlign w:val="center"/>
            <w:hideMark/>
          </w:tcPr>
          <w:p w:rsidR="00000000" w:rsidRDefault="00CA40A2">
            <w:pPr>
              <w:rPr>
                <w:sz w:val="20"/>
                <w:szCs w:val="20"/>
              </w:rPr>
            </w:pPr>
          </w:p>
        </w:tc>
        <w:tc>
          <w:tcPr>
            <w:tcW w:w="252" w:type="pct"/>
            <w:vAlign w:val="center"/>
            <w:hideMark/>
          </w:tcPr>
          <w:p w:rsidR="00000000" w:rsidRDefault="00CA40A2">
            <w:pPr>
              <w:rPr>
                <w:rFonts w:eastAsia="Times New Roman"/>
                <w:sz w:val="20"/>
                <w:szCs w:val="20"/>
              </w:rPr>
            </w:pPr>
          </w:p>
        </w:tc>
        <w:tc>
          <w:tcPr>
            <w:tcW w:w="194" w:type="pct"/>
            <w:vAlign w:val="center"/>
            <w:hideMark/>
          </w:tcPr>
          <w:p w:rsidR="00000000" w:rsidRDefault="00CA40A2">
            <w:pPr>
              <w:rPr>
                <w:rFonts w:eastAsia="Times New Roman"/>
                <w:sz w:val="20"/>
                <w:szCs w:val="20"/>
              </w:rPr>
            </w:pPr>
          </w:p>
        </w:tc>
        <w:tc>
          <w:tcPr>
            <w:tcW w:w="2291" w:type="pct"/>
            <w:vAlign w:val="center"/>
            <w:hideMark/>
          </w:tcPr>
          <w:p w:rsidR="00000000" w:rsidRDefault="00CA40A2">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b/>
                <w:bCs/>
                <w:sz w:val="20"/>
                <w:szCs w:val="20"/>
              </w:rPr>
              <w:t>PAYMENTUS HOLDINGS, INC</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Date: May 6, 202</w:t>
            </w:r>
            <w:r>
              <w:rPr>
                <w:rFonts w:ascii="Arial" w:hAnsi="Arial" w:cs="Arial"/>
                <w:sz w:val="20"/>
                <w:szCs w:val="20"/>
              </w:rPr>
              <w:t>2</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By</w:t>
            </w:r>
            <w:r>
              <w:rPr>
                <w:rFonts w:ascii="Arial" w:hAnsi="Arial" w:cs="Arial"/>
                <w:sz w:val="20"/>
                <w:szCs w:val="20"/>
              </w:rPr>
              <w:t>:</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/s/ Dushyant Sharm</w:t>
            </w:r>
            <w:r>
              <w:rPr>
                <w:rFonts w:ascii="Arial" w:hAnsi="Arial" w:cs="Arial"/>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b/>
                <w:bCs/>
                <w:sz w:val="20"/>
                <w:szCs w:val="20"/>
              </w:rPr>
              <w:t>Dushyant Sharm</w:t>
            </w:r>
            <w:r>
              <w:rPr>
                <w:rFonts w:ascii="Arial" w:hAnsi="Arial" w:cs="Arial"/>
                <w:b/>
                <w:bCs/>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b/>
                <w:bCs/>
                <w:sz w:val="20"/>
                <w:szCs w:val="20"/>
              </w:rPr>
              <w:t>Chairman, President and Chief Executive Office</w:t>
            </w:r>
            <w:r>
              <w:rPr>
                <w:rFonts w:ascii="Arial" w:hAnsi="Arial" w:cs="Arial"/>
                <w:b/>
                <w:bCs/>
                <w:sz w:val="20"/>
                <w:szCs w:val="20"/>
              </w:rPr>
              <w:t>r</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b/>
                <w:bCs/>
                <w:sz w:val="20"/>
                <w:szCs w:val="20"/>
              </w:rPr>
              <w:t>(Principal Executive Officer</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Date: May 6, 202</w:t>
            </w:r>
            <w:r>
              <w:rPr>
                <w:rFonts w:ascii="Arial" w:hAnsi="Arial" w:cs="Arial"/>
                <w:sz w:val="20"/>
                <w:szCs w:val="20"/>
              </w:rPr>
              <w:t>2</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sz w:val="20"/>
                <w:szCs w:val="20"/>
              </w:rPr>
              <w:t> </w:t>
            </w:r>
          </w:p>
        </w:tc>
        <w:tc>
          <w:tcPr>
            <w:tcW w:w="0" w:type="auto"/>
            <w:tcBorders>
              <w:bottom w:val="single" w:sz="4" w:space="0" w:color="auto"/>
            </w:tcBorders>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By</w:t>
            </w:r>
            <w:r>
              <w:rPr>
                <w:rFonts w:ascii="Arial" w:hAnsi="Arial" w:cs="Arial"/>
                <w:sz w:val="20"/>
                <w:szCs w:val="20"/>
              </w:rPr>
              <w:t>:</w:t>
            </w:r>
          </w:p>
        </w:tc>
        <w:tc>
          <w:tcPr>
            <w:tcW w:w="0" w:type="auto"/>
            <w:tcBorders>
              <w:bottom w:val="single" w:sz="4" w:space="0" w:color="auto"/>
            </w:tcBorders>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/s/ Matt Parso</w:t>
            </w:r>
            <w:r>
              <w:rPr>
                <w:rFonts w:ascii="Arial" w:hAnsi="Arial" w:cs="Arial"/>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b/>
                <w:bCs/>
                <w:sz w:val="20"/>
                <w:szCs w:val="20"/>
              </w:rPr>
              <w:t>Matt Parso</w:t>
            </w:r>
            <w:r>
              <w:rPr>
                <w:rFonts w:ascii="Arial" w:hAnsi="Arial" w:cs="Arial"/>
                <w:b/>
                <w:bCs/>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b/>
                <w:bCs/>
                <w:sz w:val="20"/>
                <w:szCs w:val="20"/>
              </w:rPr>
              <w:t>Chief Financial Office</w:t>
            </w:r>
            <w:r>
              <w:rPr>
                <w:rFonts w:ascii="Arial" w:hAnsi="Arial" w:cs="Arial"/>
                <w:b/>
                <w:bCs/>
                <w:sz w:val="20"/>
                <w:szCs w:val="20"/>
              </w:rPr>
              <w:t>r</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CA40A2">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CA40A2">
            <w:pPr>
              <w:pStyle w:val="a3"/>
              <w:spacing w:before="0" w:beforeAutospacing="0" w:after="0" w:afterAutospacing="0"/>
              <w:rPr>
                <w:sz w:val="20"/>
                <w:szCs w:val="20"/>
              </w:rPr>
            </w:pPr>
            <w:r>
              <w:rPr>
                <w:rFonts w:ascii="Arial" w:hAnsi="Arial" w:cs="Arial"/>
                <w:b/>
                <w:bCs/>
                <w:sz w:val="20"/>
                <w:szCs w:val="20"/>
              </w:rPr>
              <w:t>(Principal Financial and Accounting Officer</w:t>
            </w:r>
            <w:r>
              <w:rPr>
                <w:rFonts w:ascii="Arial" w:hAnsi="Arial" w:cs="Arial"/>
                <w:b/>
                <w:bCs/>
                <w:sz w:val="20"/>
                <w:szCs w:val="20"/>
              </w:rPr>
              <w:t>)</w:t>
            </w:r>
          </w:p>
        </w:tc>
      </w:tr>
    </w:tbl>
    <w:p w:rsidR="00000000" w:rsidRDefault="00CA40A2">
      <w:pPr>
        <w:pStyle w:val="a3"/>
        <w:spacing w:before="0" w:beforeAutospacing="0" w:after="0" w:afterAutospacing="0"/>
        <w:jc w:val="center"/>
        <w:rPr>
          <w:sz w:val="20"/>
          <w:szCs w:val="20"/>
        </w:rPr>
      </w:pPr>
      <w:r>
        <w:rPr>
          <w:sz w:val="20"/>
          <w:szCs w:val="20"/>
        </w:rPr>
        <w:t> </w:t>
      </w:r>
    </w:p>
    <w:p w:rsidR="00000000" w:rsidRDefault="00CA40A2">
      <w:pPr>
        <w:pStyle w:val="a3"/>
        <w:spacing w:before="0" w:beforeAutospacing="0" w:after="0" w:afterAutospacing="0"/>
        <w:jc w:val="center"/>
        <w:rPr>
          <w:sz w:val="20"/>
          <w:szCs w:val="20"/>
        </w:rPr>
      </w:pPr>
      <w:r>
        <w:rPr>
          <w:sz w:val="20"/>
          <w:szCs w:val="20"/>
        </w:rPr>
        <w:t> </w:t>
      </w:r>
    </w:p>
    <w:p w:rsidR="00000000" w:rsidRDefault="00CA40A2">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5</w:t>
      </w:r>
    </w:p>
    <w:p w:rsidR="00CA40A2" w:rsidRDefault="00CA40A2">
      <w:pPr>
        <w:rPr>
          <w:rFonts w:eastAsia="Times New Roman"/>
        </w:rPr>
      </w:pPr>
      <w:r>
        <w:rPr>
          <w:rFonts w:eastAsia="Times New Roman"/>
        </w:rPr>
        <w:pict>
          <v:rect id="_x0000_i1060" style="width:0;height:1.5pt" o:hralign="center" o:hrstd="t" o:hr="t" fillcolor="#a0a0a0" stroked="f"/>
        </w:pict>
      </w:r>
    </w:p>
    <w:sectPr w:rsidR="00CA40A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A40A2"/>
    <w:rsid w:val="00CA40A2"/>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paymentus.com/20220331"/>
  <w:attachedSchema w:val="http://xbrl.sec.gov/dei/2021q4"/>
  <w:attachedSchema w:val="http://fasb.org/us-gaap/2021-01-31"/>
  <w:attachedSchema w:val="http://www.xbrl.org/2003/iso4217"/>
  <w:attachedSchema w:val="http://www.xbrl.org/dtr/type/2020-01-21"/>
  <w:attachedSchema w:val="http://xbrl.sec.gov/country/2021"/>
  <w:attachedSchema w:val="http://fasb.org/srt/2021-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9409">
      <w:marLeft w:val="3"/>
      <w:marRight w:val="0"/>
      <w:marTop w:val="120"/>
      <w:marBottom w:val="0"/>
      <w:divBdr>
        <w:top w:val="none" w:sz="0" w:space="0" w:color="auto"/>
        <w:left w:val="none" w:sz="0" w:space="0" w:color="auto"/>
        <w:bottom w:val="none" w:sz="0" w:space="0" w:color="auto"/>
        <w:right w:val="none" w:sz="0" w:space="0" w:color="auto"/>
      </w:divBdr>
      <w:divsChild>
        <w:div w:id="1438866221">
          <w:marLeft w:val="0"/>
          <w:marRight w:val="0"/>
          <w:marTop w:val="0"/>
          <w:marBottom w:val="0"/>
          <w:divBdr>
            <w:top w:val="none" w:sz="0" w:space="0" w:color="auto"/>
            <w:left w:val="none" w:sz="0" w:space="0" w:color="auto"/>
            <w:bottom w:val="none" w:sz="0" w:space="0" w:color="auto"/>
            <w:right w:val="none" w:sz="0" w:space="0" w:color="auto"/>
          </w:divBdr>
        </w:div>
      </w:divsChild>
    </w:div>
    <w:div w:id="60955186">
      <w:marLeft w:val="0"/>
      <w:marRight w:val="0"/>
      <w:marTop w:val="0"/>
      <w:marBottom w:val="0"/>
      <w:divBdr>
        <w:top w:val="none" w:sz="0" w:space="0" w:color="auto"/>
        <w:left w:val="none" w:sz="0" w:space="0" w:color="auto"/>
        <w:bottom w:val="none" w:sz="0" w:space="0" w:color="auto"/>
        <w:right w:val="none" w:sz="0" w:space="0" w:color="auto"/>
      </w:divBdr>
    </w:div>
    <w:div w:id="78331882">
      <w:marLeft w:val="4"/>
      <w:marRight w:val="0"/>
      <w:marTop w:val="120"/>
      <w:marBottom w:val="0"/>
      <w:divBdr>
        <w:top w:val="none" w:sz="0" w:space="0" w:color="auto"/>
        <w:left w:val="none" w:sz="0" w:space="0" w:color="auto"/>
        <w:bottom w:val="none" w:sz="0" w:space="0" w:color="auto"/>
        <w:right w:val="none" w:sz="0" w:space="0" w:color="auto"/>
      </w:divBdr>
      <w:divsChild>
        <w:div w:id="252519870">
          <w:marLeft w:val="0"/>
          <w:marRight w:val="0"/>
          <w:marTop w:val="0"/>
          <w:marBottom w:val="0"/>
          <w:divBdr>
            <w:top w:val="none" w:sz="0" w:space="0" w:color="auto"/>
            <w:left w:val="none" w:sz="0" w:space="0" w:color="auto"/>
            <w:bottom w:val="none" w:sz="0" w:space="0" w:color="auto"/>
            <w:right w:val="none" w:sz="0" w:space="0" w:color="auto"/>
          </w:divBdr>
        </w:div>
      </w:divsChild>
    </w:div>
    <w:div w:id="175199050">
      <w:marLeft w:val="4"/>
      <w:marRight w:val="0"/>
      <w:marTop w:val="120"/>
      <w:marBottom w:val="0"/>
      <w:divBdr>
        <w:top w:val="none" w:sz="0" w:space="0" w:color="auto"/>
        <w:left w:val="none" w:sz="0" w:space="0" w:color="auto"/>
        <w:bottom w:val="none" w:sz="0" w:space="0" w:color="auto"/>
        <w:right w:val="none" w:sz="0" w:space="0" w:color="auto"/>
      </w:divBdr>
      <w:divsChild>
        <w:div w:id="1493642043">
          <w:marLeft w:val="0"/>
          <w:marRight w:val="0"/>
          <w:marTop w:val="0"/>
          <w:marBottom w:val="0"/>
          <w:divBdr>
            <w:top w:val="none" w:sz="0" w:space="0" w:color="auto"/>
            <w:left w:val="none" w:sz="0" w:space="0" w:color="auto"/>
            <w:bottom w:val="none" w:sz="0" w:space="0" w:color="auto"/>
            <w:right w:val="none" w:sz="0" w:space="0" w:color="auto"/>
          </w:divBdr>
        </w:div>
      </w:divsChild>
    </w:div>
    <w:div w:id="218131020">
      <w:marLeft w:val="4"/>
      <w:marRight w:val="0"/>
      <w:marTop w:val="120"/>
      <w:marBottom w:val="0"/>
      <w:divBdr>
        <w:top w:val="none" w:sz="0" w:space="0" w:color="auto"/>
        <w:left w:val="none" w:sz="0" w:space="0" w:color="auto"/>
        <w:bottom w:val="none" w:sz="0" w:space="0" w:color="auto"/>
        <w:right w:val="none" w:sz="0" w:space="0" w:color="auto"/>
      </w:divBdr>
      <w:divsChild>
        <w:div w:id="709260280">
          <w:marLeft w:val="0"/>
          <w:marRight w:val="0"/>
          <w:marTop w:val="0"/>
          <w:marBottom w:val="0"/>
          <w:divBdr>
            <w:top w:val="none" w:sz="0" w:space="0" w:color="auto"/>
            <w:left w:val="none" w:sz="0" w:space="0" w:color="auto"/>
            <w:bottom w:val="none" w:sz="0" w:space="0" w:color="auto"/>
            <w:right w:val="none" w:sz="0" w:space="0" w:color="auto"/>
          </w:divBdr>
        </w:div>
      </w:divsChild>
    </w:div>
    <w:div w:id="265356113">
      <w:marLeft w:val="4"/>
      <w:marRight w:val="0"/>
      <w:marTop w:val="120"/>
      <w:marBottom w:val="0"/>
      <w:divBdr>
        <w:top w:val="none" w:sz="0" w:space="0" w:color="auto"/>
        <w:left w:val="none" w:sz="0" w:space="0" w:color="auto"/>
        <w:bottom w:val="none" w:sz="0" w:space="0" w:color="auto"/>
        <w:right w:val="none" w:sz="0" w:space="0" w:color="auto"/>
      </w:divBdr>
      <w:divsChild>
        <w:div w:id="1003708536">
          <w:marLeft w:val="0"/>
          <w:marRight w:val="0"/>
          <w:marTop w:val="0"/>
          <w:marBottom w:val="0"/>
          <w:divBdr>
            <w:top w:val="none" w:sz="0" w:space="0" w:color="auto"/>
            <w:left w:val="none" w:sz="0" w:space="0" w:color="auto"/>
            <w:bottom w:val="none" w:sz="0" w:space="0" w:color="auto"/>
            <w:right w:val="none" w:sz="0" w:space="0" w:color="auto"/>
          </w:divBdr>
        </w:div>
      </w:divsChild>
    </w:div>
    <w:div w:id="289436087">
      <w:marLeft w:val="4"/>
      <w:marRight w:val="0"/>
      <w:marTop w:val="120"/>
      <w:marBottom w:val="0"/>
      <w:divBdr>
        <w:top w:val="none" w:sz="0" w:space="0" w:color="auto"/>
        <w:left w:val="none" w:sz="0" w:space="0" w:color="auto"/>
        <w:bottom w:val="none" w:sz="0" w:space="0" w:color="auto"/>
        <w:right w:val="none" w:sz="0" w:space="0" w:color="auto"/>
      </w:divBdr>
      <w:divsChild>
        <w:div w:id="188301447">
          <w:marLeft w:val="0"/>
          <w:marRight w:val="0"/>
          <w:marTop w:val="0"/>
          <w:marBottom w:val="0"/>
          <w:divBdr>
            <w:top w:val="none" w:sz="0" w:space="0" w:color="auto"/>
            <w:left w:val="none" w:sz="0" w:space="0" w:color="auto"/>
            <w:bottom w:val="none" w:sz="0" w:space="0" w:color="auto"/>
            <w:right w:val="none" w:sz="0" w:space="0" w:color="auto"/>
          </w:divBdr>
        </w:div>
      </w:divsChild>
    </w:div>
    <w:div w:id="316694993">
      <w:marLeft w:val="4"/>
      <w:marRight w:val="0"/>
      <w:marTop w:val="120"/>
      <w:marBottom w:val="0"/>
      <w:divBdr>
        <w:top w:val="none" w:sz="0" w:space="0" w:color="auto"/>
        <w:left w:val="none" w:sz="0" w:space="0" w:color="auto"/>
        <w:bottom w:val="none" w:sz="0" w:space="0" w:color="auto"/>
        <w:right w:val="none" w:sz="0" w:space="0" w:color="auto"/>
      </w:divBdr>
      <w:divsChild>
        <w:div w:id="1617061822">
          <w:marLeft w:val="0"/>
          <w:marRight w:val="0"/>
          <w:marTop w:val="0"/>
          <w:marBottom w:val="0"/>
          <w:divBdr>
            <w:top w:val="none" w:sz="0" w:space="0" w:color="auto"/>
            <w:left w:val="none" w:sz="0" w:space="0" w:color="auto"/>
            <w:bottom w:val="none" w:sz="0" w:space="0" w:color="auto"/>
            <w:right w:val="none" w:sz="0" w:space="0" w:color="auto"/>
          </w:divBdr>
        </w:div>
      </w:divsChild>
    </w:div>
    <w:div w:id="320279997">
      <w:marLeft w:val="0"/>
      <w:marRight w:val="0"/>
      <w:marTop w:val="0"/>
      <w:marBottom w:val="0"/>
      <w:divBdr>
        <w:top w:val="none" w:sz="0" w:space="0" w:color="auto"/>
        <w:left w:val="none" w:sz="0" w:space="0" w:color="auto"/>
        <w:bottom w:val="none" w:sz="0" w:space="0" w:color="auto"/>
        <w:right w:val="none" w:sz="0" w:space="0" w:color="auto"/>
      </w:divBdr>
      <w:divsChild>
        <w:div w:id="1862546139">
          <w:marLeft w:val="0"/>
          <w:marRight w:val="0"/>
          <w:marTop w:val="0"/>
          <w:marBottom w:val="0"/>
          <w:divBdr>
            <w:top w:val="none" w:sz="0" w:space="0" w:color="auto"/>
            <w:left w:val="none" w:sz="0" w:space="0" w:color="auto"/>
            <w:bottom w:val="none" w:sz="0" w:space="0" w:color="auto"/>
            <w:right w:val="none" w:sz="0" w:space="0" w:color="auto"/>
          </w:divBdr>
        </w:div>
        <w:div w:id="78605299">
          <w:marLeft w:val="0"/>
          <w:marRight w:val="0"/>
          <w:marTop w:val="0"/>
          <w:marBottom w:val="0"/>
          <w:divBdr>
            <w:top w:val="none" w:sz="0" w:space="0" w:color="auto"/>
            <w:left w:val="none" w:sz="0" w:space="0" w:color="auto"/>
            <w:bottom w:val="none" w:sz="0" w:space="0" w:color="auto"/>
            <w:right w:val="none" w:sz="0" w:space="0" w:color="auto"/>
          </w:divBdr>
        </w:div>
        <w:div w:id="1477642863">
          <w:marLeft w:val="0"/>
          <w:marRight w:val="0"/>
          <w:marTop w:val="0"/>
          <w:marBottom w:val="0"/>
          <w:divBdr>
            <w:top w:val="none" w:sz="0" w:space="0" w:color="auto"/>
            <w:left w:val="none" w:sz="0" w:space="0" w:color="auto"/>
            <w:bottom w:val="none" w:sz="0" w:space="0" w:color="auto"/>
            <w:right w:val="none" w:sz="0" w:space="0" w:color="auto"/>
          </w:divBdr>
        </w:div>
        <w:div w:id="1635600483">
          <w:marLeft w:val="0"/>
          <w:marRight w:val="0"/>
          <w:marTop w:val="0"/>
          <w:marBottom w:val="0"/>
          <w:divBdr>
            <w:top w:val="none" w:sz="0" w:space="0" w:color="auto"/>
            <w:left w:val="none" w:sz="0" w:space="0" w:color="auto"/>
            <w:bottom w:val="none" w:sz="0" w:space="0" w:color="auto"/>
            <w:right w:val="none" w:sz="0" w:space="0" w:color="auto"/>
          </w:divBdr>
        </w:div>
      </w:divsChild>
    </w:div>
    <w:div w:id="376662832">
      <w:marLeft w:val="4"/>
      <w:marRight w:val="0"/>
      <w:marTop w:val="120"/>
      <w:marBottom w:val="0"/>
      <w:divBdr>
        <w:top w:val="none" w:sz="0" w:space="0" w:color="auto"/>
        <w:left w:val="none" w:sz="0" w:space="0" w:color="auto"/>
        <w:bottom w:val="none" w:sz="0" w:space="0" w:color="auto"/>
        <w:right w:val="none" w:sz="0" w:space="0" w:color="auto"/>
      </w:divBdr>
      <w:divsChild>
        <w:div w:id="2098599915">
          <w:marLeft w:val="0"/>
          <w:marRight w:val="0"/>
          <w:marTop w:val="0"/>
          <w:marBottom w:val="0"/>
          <w:divBdr>
            <w:top w:val="none" w:sz="0" w:space="0" w:color="auto"/>
            <w:left w:val="none" w:sz="0" w:space="0" w:color="auto"/>
            <w:bottom w:val="none" w:sz="0" w:space="0" w:color="auto"/>
            <w:right w:val="none" w:sz="0" w:space="0" w:color="auto"/>
          </w:divBdr>
        </w:div>
      </w:divsChild>
    </w:div>
    <w:div w:id="551893596">
      <w:marLeft w:val="0"/>
      <w:marRight w:val="0"/>
      <w:marTop w:val="0"/>
      <w:marBottom w:val="0"/>
      <w:divBdr>
        <w:top w:val="none" w:sz="0" w:space="0" w:color="auto"/>
        <w:left w:val="none" w:sz="0" w:space="0" w:color="auto"/>
        <w:bottom w:val="none" w:sz="0" w:space="0" w:color="auto"/>
        <w:right w:val="none" w:sz="0" w:space="0" w:color="auto"/>
      </w:divBdr>
    </w:div>
    <w:div w:id="603925097">
      <w:marLeft w:val="4"/>
      <w:marRight w:val="0"/>
      <w:marTop w:val="120"/>
      <w:marBottom w:val="0"/>
      <w:divBdr>
        <w:top w:val="none" w:sz="0" w:space="0" w:color="auto"/>
        <w:left w:val="none" w:sz="0" w:space="0" w:color="auto"/>
        <w:bottom w:val="none" w:sz="0" w:space="0" w:color="auto"/>
        <w:right w:val="none" w:sz="0" w:space="0" w:color="auto"/>
      </w:divBdr>
      <w:divsChild>
        <w:div w:id="46953274">
          <w:marLeft w:val="0"/>
          <w:marRight w:val="0"/>
          <w:marTop w:val="0"/>
          <w:marBottom w:val="0"/>
          <w:divBdr>
            <w:top w:val="none" w:sz="0" w:space="0" w:color="auto"/>
            <w:left w:val="none" w:sz="0" w:space="0" w:color="auto"/>
            <w:bottom w:val="none" w:sz="0" w:space="0" w:color="auto"/>
            <w:right w:val="none" w:sz="0" w:space="0" w:color="auto"/>
          </w:divBdr>
        </w:div>
      </w:divsChild>
    </w:div>
    <w:div w:id="604772628">
      <w:marLeft w:val="0"/>
      <w:marRight w:val="0"/>
      <w:marTop w:val="0"/>
      <w:marBottom w:val="0"/>
      <w:divBdr>
        <w:top w:val="none" w:sz="0" w:space="0" w:color="auto"/>
        <w:left w:val="none" w:sz="0" w:space="0" w:color="auto"/>
        <w:bottom w:val="none" w:sz="0" w:space="0" w:color="auto"/>
        <w:right w:val="none" w:sz="0" w:space="0" w:color="auto"/>
      </w:divBdr>
    </w:div>
    <w:div w:id="674108447">
      <w:marLeft w:val="0"/>
      <w:marRight w:val="0"/>
      <w:marTop w:val="0"/>
      <w:marBottom w:val="0"/>
      <w:divBdr>
        <w:top w:val="none" w:sz="0" w:space="0" w:color="auto"/>
        <w:left w:val="none" w:sz="0" w:space="0" w:color="auto"/>
        <w:bottom w:val="none" w:sz="0" w:space="0" w:color="auto"/>
        <w:right w:val="none" w:sz="0" w:space="0" w:color="auto"/>
      </w:divBdr>
      <w:divsChild>
        <w:div w:id="2009282691">
          <w:marLeft w:val="0"/>
          <w:marRight w:val="0"/>
          <w:marTop w:val="0"/>
          <w:marBottom w:val="0"/>
          <w:divBdr>
            <w:top w:val="none" w:sz="0" w:space="0" w:color="auto"/>
            <w:left w:val="none" w:sz="0" w:space="0" w:color="auto"/>
            <w:bottom w:val="none" w:sz="0" w:space="0" w:color="auto"/>
            <w:right w:val="none" w:sz="0" w:space="0" w:color="auto"/>
          </w:divBdr>
        </w:div>
        <w:div w:id="847402467">
          <w:marLeft w:val="0"/>
          <w:marRight w:val="0"/>
          <w:marTop w:val="0"/>
          <w:marBottom w:val="0"/>
          <w:divBdr>
            <w:top w:val="none" w:sz="0" w:space="0" w:color="auto"/>
            <w:left w:val="none" w:sz="0" w:space="0" w:color="auto"/>
            <w:bottom w:val="none" w:sz="0" w:space="0" w:color="auto"/>
            <w:right w:val="none" w:sz="0" w:space="0" w:color="auto"/>
          </w:divBdr>
        </w:div>
        <w:div w:id="739331268">
          <w:marLeft w:val="0"/>
          <w:marRight w:val="0"/>
          <w:marTop w:val="0"/>
          <w:marBottom w:val="0"/>
          <w:divBdr>
            <w:top w:val="none" w:sz="0" w:space="0" w:color="auto"/>
            <w:left w:val="none" w:sz="0" w:space="0" w:color="auto"/>
            <w:bottom w:val="none" w:sz="0" w:space="0" w:color="auto"/>
            <w:right w:val="none" w:sz="0" w:space="0" w:color="auto"/>
          </w:divBdr>
        </w:div>
      </w:divsChild>
    </w:div>
    <w:div w:id="681592473">
      <w:marLeft w:val="0"/>
      <w:marRight w:val="0"/>
      <w:marTop w:val="0"/>
      <w:marBottom w:val="0"/>
      <w:divBdr>
        <w:top w:val="none" w:sz="0" w:space="0" w:color="auto"/>
        <w:left w:val="none" w:sz="0" w:space="0" w:color="auto"/>
        <w:bottom w:val="none" w:sz="0" w:space="0" w:color="auto"/>
        <w:right w:val="none" w:sz="0" w:space="0" w:color="auto"/>
      </w:divBdr>
      <w:divsChild>
        <w:div w:id="516191538">
          <w:marLeft w:val="0"/>
          <w:marRight w:val="0"/>
          <w:marTop w:val="0"/>
          <w:marBottom w:val="0"/>
          <w:divBdr>
            <w:top w:val="none" w:sz="0" w:space="0" w:color="auto"/>
            <w:left w:val="none" w:sz="0" w:space="0" w:color="auto"/>
            <w:bottom w:val="none" w:sz="0" w:space="0" w:color="auto"/>
            <w:right w:val="none" w:sz="0" w:space="0" w:color="auto"/>
          </w:divBdr>
        </w:div>
        <w:div w:id="1631742000">
          <w:marLeft w:val="0"/>
          <w:marRight w:val="0"/>
          <w:marTop w:val="0"/>
          <w:marBottom w:val="0"/>
          <w:divBdr>
            <w:top w:val="none" w:sz="0" w:space="0" w:color="auto"/>
            <w:left w:val="none" w:sz="0" w:space="0" w:color="auto"/>
            <w:bottom w:val="none" w:sz="0" w:space="0" w:color="auto"/>
            <w:right w:val="none" w:sz="0" w:space="0" w:color="auto"/>
          </w:divBdr>
        </w:div>
      </w:divsChild>
    </w:div>
    <w:div w:id="695740524">
      <w:marLeft w:val="4"/>
      <w:marRight w:val="0"/>
      <w:marTop w:val="120"/>
      <w:marBottom w:val="0"/>
      <w:divBdr>
        <w:top w:val="none" w:sz="0" w:space="0" w:color="auto"/>
        <w:left w:val="none" w:sz="0" w:space="0" w:color="auto"/>
        <w:bottom w:val="none" w:sz="0" w:space="0" w:color="auto"/>
        <w:right w:val="none" w:sz="0" w:space="0" w:color="auto"/>
      </w:divBdr>
      <w:divsChild>
        <w:div w:id="597718542">
          <w:marLeft w:val="0"/>
          <w:marRight w:val="0"/>
          <w:marTop w:val="0"/>
          <w:marBottom w:val="0"/>
          <w:divBdr>
            <w:top w:val="none" w:sz="0" w:space="0" w:color="auto"/>
            <w:left w:val="none" w:sz="0" w:space="0" w:color="auto"/>
            <w:bottom w:val="none" w:sz="0" w:space="0" w:color="auto"/>
            <w:right w:val="none" w:sz="0" w:space="0" w:color="auto"/>
          </w:divBdr>
        </w:div>
      </w:divsChild>
    </w:div>
    <w:div w:id="824205711">
      <w:marLeft w:val="4"/>
      <w:marRight w:val="0"/>
      <w:marTop w:val="120"/>
      <w:marBottom w:val="0"/>
      <w:divBdr>
        <w:top w:val="none" w:sz="0" w:space="0" w:color="auto"/>
        <w:left w:val="none" w:sz="0" w:space="0" w:color="auto"/>
        <w:bottom w:val="none" w:sz="0" w:space="0" w:color="auto"/>
        <w:right w:val="none" w:sz="0" w:space="0" w:color="auto"/>
      </w:divBdr>
      <w:divsChild>
        <w:div w:id="1286427912">
          <w:marLeft w:val="0"/>
          <w:marRight w:val="0"/>
          <w:marTop w:val="0"/>
          <w:marBottom w:val="0"/>
          <w:divBdr>
            <w:top w:val="none" w:sz="0" w:space="0" w:color="auto"/>
            <w:left w:val="none" w:sz="0" w:space="0" w:color="auto"/>
            <w:bottom w:val="none" w:sz="0" w:space="0" w:color="auto"/>
            <w:right w:val="none" w:sz="0" w:space="0" w:color="auto"/>
          </w:divBdr>
        </w:div>
      </w:divsChild>
    </w:div>
    <w:div w:id="892929377">
      <w:marLeft w:val="0"/>
      <w:marRight w:val="0"/>
      <w:marTop w:val="0"/>
      <w:marBottom w:val="0"/>
      <w:divBdr>
        <w:top w:val="none" w:sz="0" w:space="0" w:color="auto"/>
        <w:left w:val="none" w:sz="0" w:space="0" w:color="auto"/>
        <w:bottom w:val="none" w:sz="0" w:space="0" w:color="auto"/>
        <w:right w:val="none" w:sz="0" w:space="0" w:color="auto"/>
      </w:divBdr>
      <w:divsChild>
        <w:div w:id="1339500818">
          <w:marLeft w:val="0"/>
          <w:marRight w:val="0"/>
          <w:marTop w:val="0"/>
          <w:marBottom w:val="0"/>
          <w:divBdr>
            <w:top w:val="none" w:sz="0" w:space="0" w:color="auto"/>
            <w:left w:val="none" w:sz="0" w:space="0" w:color="auto"/>
            <w:bottom w:val="none" w:sz="0" w:space="0" w:color="auto"/>
            <w:right w:val="none" w:sz="0" w:space="0" w:color="auto"/>
          </w:divBdr>
        </w:div>
      </w:divsChild>
    </w:div>
    <w:div w:id="914051727">
      <w:marLeft w:val="0"/>
      <w:marRight w:val="0"/>
      <w:marTop w:val="0"/>
      <w:marBottom w:val="0"/>
      <w:divBdr>
        <w:top w:val="none" w:sz="0" w:space="0" w:color="auto"/>
        <w:left w:val="none" w:sz="0" w:space="0" w:color="auto"/>
        <w:bottom w:val="none" w:sz="0" w:space="0" w:color="auto"/>
        <w:right w:val="none" w:sz="0" w:space="0" w:color="auto"/>
      </w:divBdr>
      <w:divsChild>
        <w:div w:id="856626821">
          <w:marLeft w:val="0"/>
          <w:marRight w:val="0"/>
          <w:marTop w:val="0"/>
          <w:marBottom w:val="0"/>
          <w:divBdr>
            <w:top w:val="none" w:sz="0" w:space="0" w:color="auto"/>
            <w:left w:val="none" w:sz="0" w:space="0" w:color="auto"/>
            <w:bottom w:val="none" w:sz="0" w:space="0" w:color="auto"/>
            <w:right w:val="none" w:sz="0" w:space="0" w:color="auto"/>
          </w:divBdr>
        </w:div>
        <w:div w:id="422339068">
          <w:marLeft w:val="0"/>
          <w:marRight w:val="0"/>
          <w:marTop w:val="0"/>
          <w:marBottom w:val="0"/>
          <w:divBdr>
            <w:top w:val="none" w:sz="0" w:space="0" w:color="auto"/>
            <w:left w:val="none" w:sz="0" w:space="0" w:color="auto"/>
            <w:bottom w:val="none" w:sz="0" w:space="0" w:color="auto"/>
            <w:right w:val="none" w:sz="0" w:space="0" w:color="auto"/>
          </w:divBdr>
        </w:div>
      </w:divsChild>
    </w:div>
    <w:div w:id="940646532">
      <w:marLeft w:val="0"/>
      <w:marRight w:val="0"/>
      <w:marTop w:val="0"/>
      <w:marBottom w:val="0"/>
      <w:divBdr>
        <w:top w:val="none" w:sz="0" w:space="0" w:color="auto"/>
        <w:left w:val="none" w:sz="0" w:space="0" w:color="auto"/>
        <w:bottom w:val="none" w:sz="0" w:space="0" w:color="auto"/>
        <w:right w:val="none" w:sz="0" w:space="0" w:color="auto"/>
      </w:divBdr>
      <w:divsChild>
        <w:div w:id="1697733078">
          <w:marLeft w:val="4"/>
          <w:marRight w:val="0"/>
          <w:marTop w:val="120"/>
          <w:marBottom w:val="0"/>
          <w:divBdr>
            <w:top w:val="none" w:sz="0" w:space="0" w:color="auto"/>
            <w:left w:val="none" w:sz="0" w:space="0" w:color="auto"/>
            <w:bottom w:val="none" w:sz="0" w:space="0" w:color="auto"/>
            <w:right w:val="none" w:sz="0" w:space="0" w:color="auto"/>
          </w:divBdr>
          <w:divsChild>
            <w:div w:id="526526803">
              <w:marLeft w:val="0"/>
              <w:marRight w:val="0"/>
              <w:marTop w:val="0"/>
              <w:marBottom w:val="0"/>
              <w:divBdr>
                <w:top w:val="none" w:sz="0" w:space="0" w:color="auto"/>
                <w:left w:val="none" w:sz="0" w:space="0" w:color="auto"/>
                <w:bottom w:val="none" w:sz="0" w:space="0" w:color="auto"/>
                <w:right w:val="none" w:sz="0" w:space="0" w:color="auto"/>
              </w:divBdr>
            </w:div>
          </w:divsChild>
        </w:div>
        <w:div w:id="1852333631">
          <w:marLeft w:val="4"/>
          <w:marRight w:val="0"/>
          <w:marTop w:val="120"/>
          <w:marBottom w:val="0"/>
          <w:divBdr>
            <w:top w:val="none" w:sz="0" w:space="0" w:color="auto"/>
            <w:left w:val="none" w:sz="0" w:space="0" w:color="auto"/>
            <w:bottom w:val="none" w:sz="0" w:space="0" w:color="auto"/>
            <w:right w:val="none" w:sz="0" w:space="0" w:color="auto"/>
          </w:divBdr>
          <w:divsChild>
            <w:div w:id="4418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1170">
      <w:marLeft w:val="3"/>
      <w:marRight w:val="0"/>
      <w:marTop w:val="120"/>
      <w:marBottom w:val="0"/>
      <w:divBdr>
        <w:top w:val="none" w:sz="0" w:space="0" w:color="auto"/>
        <w:left w:val="none" w:sz="0" w:space="0" w:color="auto"/>
        <w:bottom w:val="none" w:sz="0" w:space="0" w:color="auto"/>
        <w:right w:val="none" w:sz="0" w:space="0" w:color="auto"/>
      </w:divBdr>
      <w:divsChild>
        <w:div w:id="1307976304">
          <w:marLeft w:val="0"/>
          <w:marRight w:val="0"/>
          <w:marTop w:val="0"/>
          <w:marBottom w:val="0"/>
          <w:divBdr>
            <w:top w:val="none" w:sz="0" w:space="0" w:color="auto"/>
            <w:left w:val="none" w:sz="0" w:space="0" w:color="auto"/>
            <w:bottom w:val="none" w:sz="0" w:space="0" w:color="auto"/>
            <w:right w:val="none" w:sz="0" w:space="0" w:color="auto"/>
          </w:divBdr>
        </w:div>
      </w:divsChild>
    </w:div>
    <w:div w:id="1014651961">
      <w:marLeft w:val="4"/>
      <w:marRight w:val="0"/>
      <w:marTop w:val="120"/>
      <w:marBottom w:val="0"/>
      <w:divBdr>
        <w:top w:val="none" w:sz="0" w:space="0" w:color="auto"/>
        <w:left w:val="none" w:sz="0" w:space="0" w:color="auto"/>
        <w:bottom w:val="none" w:sz="0" w:space="0" w:color="auto"/>
        <w:right w:val="none" w:sz="0" w:space="0" w:color="auto"/>
      </w:divBdr>
      <w:divsChild>
        <w:div w:id="844631186">
          <w:marLeft w:val="0"/>
          <w:marRight w:val="0"/>
          <w:marTop w:val="0"/>
          <w:marBottom w:val="0"/>
          <w:divBdr>
            <w:top w:val="none" w:sz="0" w:space="0" w:color="auto"/>
            <w:left w:val="none" w:sz="0" w:space="0" w:color="auto"/>
            <w:bottom w:val="none" w:sz="0" w:space="0" w:color="auto"/>
            <w:right w:val="none" w:sz="0" w:space="0" w:color="auto"/>
          </w:divBdr>
        </w:div>
      </w:divsChild>
    </w:div>
    <w:div w:id="1132139364">
      <w:marLeft w:val="0"/>
      <w:marRight w:val="0"/>
      <w:marTop w:val="0"/>
      <w:marBottom w:val="0"/>
      <w:divBdr>
        <w:top w:val="none" w:sz="0" w:space="0" w:color="auto"/>
        <w:left w:val="none" w:sz="0" w:space="0" w:color="auto"/>
        <w:bottom w:val="none" w:sz="0" w:space="0" w:color="auto"/>
        <w:right w:val="none" w:sz="0" w:space="0" w:color="auto"/>
      </w:divBdr>
      <w:divsChild>
        <w:div w:id="1559825788">
          <w:marLeft w:val="0"/>
          <w:marRight w:val="0"/>
          <w:marTop w:val="0"/>
          <w:marBottom w:val="0"/>
          <w:divBdr>
            <w:top w:val="none" w:sz="0" w:space="0" w:color="auto"/>
            <w:left w:val="none" w:sz="0" w:space="0" w:color="auto"/>
            <w:bottom w:val="none" w:sz="0" w:space="0" w:color="auto"/>
            <w:right w:val="none" w:sz="0" w:space="0" w:color="auto"/>
          </w:divBdr>
        </w:div>
        <w:div w:id="980697385">
          <w:marLeft w:val="0"/>
          <w:marRight w:val="0"/>
          <w:marTop w:val="0"/>
          <w:marBottom w:val="0"/>
          <w:divBdr>
            <w:top w:val="none" w:sz="0" w:space="0" w:color="auto"/>
            <w:left w:val="none" w:sz="0" w:space="0" w:color="auto"/>
            <w:bottom w:val="none" w:sz="0" w:space="0" w:color="auto"/>
            <w:right w:val="none" w:sz="0" w:space="0" w:color="auto"/>
          </w:divBdr>
        </w:div>
        <w:div w:id="809906124">
          <w:marLeft w:val="0"/>
          <w:marRight w:val="0"/>
          <w:marTop w:val="0"/>
          <w:marBottom w:val="0"/>
          <w:divBdr>
            <w:top w:val="none" w:sz="0" w:space="0" w:color="auto"/>
            <w:left w:val="none" w:sz="0" w:space="0" w:color="auto"/>
            <w:bottom w:val="none" w:sz="0" w:space="0" w:color="auto"/>
            <w:right w:val="none" w:sz="0" w:space="0" w:color="auto"/>
          </w:divBdr>
        </w:div>
      </w:divsChild>
    </w:div>
    <w:div w:id="1141000331">
      <w:marLeft w:val="4"/>
      <w:marRight w:val="0"/>
      <w:marTop w:val="120"/>
      <w:marBottom w:val="0"/>
      <w:divBdr>
        <w:top w:val="none" w:sz="0" w:space="0" w:color="auto"/>
        <w:left w:val="none" w:sz="0" w:space="0" w:color="auto"/>
        <w:bottom w:val="none" w:sz="0" w:space="0" w:color="auto"/>
        <w:right w:val="none" w:sz="0" w:space="0" w:color="auto"/>
      </w:divBdr>
      <w:divsChild>
        <w:div w:id="431098385">
          <w:marLeft w:val="0"/>
          <w:marRight w:val="0"/>
          <w:marTop w:val="0"/>
          <w:marBottom w:val="0"/>
          <w:divBdr>
            <w:top w:val="none" w:sz="0" w:space="0" w:color="auto"/>
            <w:left w:val="none" w:sz="0" w:space="0" w:color="auto"/>
            <w:bottom w:val="none" w:sz="0" w:space="0" w:color="auto"/>
            <w:right w:val="none" w:sz="0" w:space="0" w:color="auto"/>
          </w:divBdr>
        </w:div>
      </w:divsChild>
    </w:div>
    <w:div w:id="1251112202">
      <w:marLeft w:val="4"/>
      <w:marRight w:val="0"/>
      <w:marTop w:val="120"/>
      <w:marBottom w:val="0"/>
      <w:divBdr>
        <w:top w:val="none" w:sz="0" w:space="0" w:color="auto"/>
        <w:left w:val="none" w:sz="0" w:space="0" w:color="auto"/>
        <w:bottom w:val="none" w:sz="0" w:space="0" w:color="auto"/>
        <w:right w:val="none" w:sz="0" w:space="0" w:color="auto"/>
      </w:divBdr>
      <w:divsChild>
        <w:div w:id="2074422294">
          <w:marLeft w:val="0"/>
          <w:marRight w:val="0"/>
          <w:marTop w:val="0"/>
          <w:marBottom w:val="0"/>
          <w:divBdr>
            <w:top w:val="none" w:sz="0" w:space="0" w:color="auto"/>
            <w:left w:val="none" w:sz="0" w:space="0" w:color="auto"/>
            <w:bottom w:val="none" w:sz="0" w:space="0" w:color="auto"/>
            <w:right w:val="none" w:sz="0" w:space="0" w:color="auto"/>
          </w:divBdr>
        </w:div>
      </w:divsChild>
    </w:div>
    <w:div w:id="1386294964">
      <w:marLeft w:val="0"/>
      <w:marRight w:val="0"/>
      <w:marTop w:val="0"/>
      <w:marBottom w:val="0"/>
      <w:divBdr>
        <w:top w:val="none" w:sz="0" w:space="0" w:color="auto"/>
        <w:left w:val="none" w:sz="0" w:space="0" w:color="auto"/>
        <w:bottom w:val="none" w:sz="0" w:space="0" w:color="auto"/>
        <w:right w:val="none" w:sz="0" w:space="0" w:color="auto"/>
      </w:divBdr>
      <w:divsChild>
        <w:div w:id="120539150">
          <w:marLeft w:val="0"/>
          <w:marRight w:val="0"/>
          <w:marTop w:val="0"/>
          <w:marBottom w:val="0"/>
          <w:divBdr>
            <w:top w:val="none" w:sz="0" w:space="0" w:color="auto"/>
            <w:left w:val="none" w:sz="0" w:space="0" w:color="auto"/>
            <w:bottom w:val="none" w:sz="0" w:space="0" w:color="auto"/>
            <w:right w:val="none" w:sz="0" w:space="0" w:color="auto"/>
          </w:divBdr>
        </w:div>
      </w:divsChild>
    </w:div>
    <w:div w:id="1415007908">
      <w:marLeft w:val="4"/>
      <w:marRight w:val="0"/>
      <w:marTop w:val="120"/>
      <w:marBottom w:val="0"/>
      <w:divBdr>
        <w:top w:val="none" w:sz="0" w:space="0" w:color="auto"/>
        <w:left w:val="none" w:sz="0" w:space="0" w:color="auto"/>
        <w:bottom w:val="none" w:sz="0" w:space="0" w:color="auto"/>
        <w:right w:val="none" w:sz="0" w:space="0" w:color="auto"/>
      </w:divBdr>
      <w:divsChild>
        <w:div w:id="305163807">
          <w:marLeft w:val="0"/>
          <w:marRight w:val="0"/>
          <w:marTop w:val="0"/>
          <w:marBottom w:val="0"/>
          <w:divBdr>
            <w:top w:val="none" w:sz="0" w:space="0" w:color="auto"/>
            <w:left w:val="none" w:sz="0" w:space="0" w:color="auto"/>
            <w:bottom w:val="none" w:sz="0" w:space="0" w:color="auto"/>
            <w:right w:val="none" w:sz="0" w:space="0" w:color="auto"/>
          </w:divBdr>
        </w:div>
      </w:divsChild>
    </w:div>
    <w:div w:id="1439250100">
      <w:marLeft w:val="4"/>
      <w:marRight w:val="0"/>
      <w:marTop w:val="120"/>
      <w:marBottom w:val="0"/>
      <w:divBdr>
        <w:top w:val="none" w:sz="0" w:space="0" w:color="auto"/>
        <w:left w:val="none" w:sz="0" w:space="0" w:color="auto"/>
        <w:bottom w:val="none" w:sz="0" w:space="0" w:color="auto"/>
        <w:right w:val="none" w:sz="0" w:space="0" w:color="auto"/>
      </w:divBdr>
      <w:divsChild>
        <w:div w:id="278802294">
          <w:marLeft w:val="0"/>
          <w:marRight w:val="0"/>
          <w:marTop w:val="0"/>
          <w:marBottom w:val="0"/>
          <w:divBdr>
            <w:top w:val="none" w:sz="0" w:space="0" w:color="auto"/>
            <w:left w:val="none" w:sz="0" w:space="0" w:color="auto"/>
            <w:bottom w:val="none" w:sz="0" w:space="0" w:color="auto"/>
            <w:right w:val="none" w:sz="0" w:space="0" w:color="auto"/>
          </w:divBdr>
        </w:div>
      </w:divsChild>
    </w:div>
    <w:div w:id="1447963492">
      <w:marLeft w:val="0"/>
      <w:marRight w:val="0"/>
      <w:marTop w:val="0"/>
      <w:marBottom w:val="0"/>
      <w:divBdr>
        <w:top w:val="none" w:sz="0" w:space="0" w:color="auto"/>
        <w:left w:val="none" w:sz="0" w:space="0" w:color="auto"/>
        <w:bottom w:val="none" w:sz="0" w:space="0" w:color="auto"/>
        <w:right w:val="none" w:sz="0" w:space="0" w:color="auto"/>
      </w:divBdr>
      <w:divsChild>
        <w:div w:id="2035694225">
          <w:marLeft w:val="0"/>
          <w:marRight w:val="0"/>
          <w:marTop w:val="0"/>
          <w:marBottom w:val="0"/>
          <w:divBdr>
            <w:top w:val="none" w:sz="0" w:space="0" w:color="auto"/>
            <w:left w:val="none" w:sz="0" w:space="0" w:color="auto"/>
            <w:bottom w:val="none" w:sz="0" w:space="0" w:color="auto"/>
            <w:right w:val="none" w:sz="0" w:space="0" w:color="auto"/>
          </w:divBdr>
        </w:div>
      </w:divsChild>
    </w:div>
    <w:div w:id="1494031990">
      <w:marLeft w:val="0"/>
      <w:marRight w:val="0"/>
      <w:marTop w:val="0"/>
      <w:marBottom w:val="0"/>
      <w:divBdr>
        <w:top w:val="none" w:sz="0" w:space="0" w:color="auto"/>
        <w:left w:val="none" w:sz="0" w:space="0" w:color="auto"/>
        <w:bottom w:val="none" w:sz="0" w:space="0" w:color="auto"/>
        <w:right w:val="none" w:sz="0" w:space="0" w:color="auto"/>
      </w:divBdr>
      <w:divsChild>
        <w:div w:id="1938368892">
          <w:marLeft w:val="0"/>
          <w:marRight w:val="0"/>
          <w:marTop w:val="0"/>
          <w:marBottom w:val="0"/>
          <w:divBdr>
            <w:top w:val="none" w:sz="0" w:space="0" w:color="auto"/>
            <w:left w:val="none" w:sz="0" w:space="0" w:color="auto"/>
            <w:bottom w:val="none" w:sz="0" w:space="0" w:color="auto"/>
            <w:right w:val="none" w:sz="0" w:space="0" w:color="auto"/>
          </w:divBdr>
        </w:div>
        <w:div w:id="929267661">
          <w:marLeft w:val="0"/>
          <w:marRight w:val="0"/>
          <w:marTop w:val="0"/>
          <w:marBottom w:val="0"/>
          <w:divBdr>
            <w:top w:val="none" w:sz="0" w:space="0" w:color="auto"/>
            <w:left w:val="none" w:sz="0" w:space="0" w:color="auto"/>
            <w:bottom w:val="none" w:sz="0" w:space="0" w:color="auto"/>
            <w:right w:val="none" w:sz="0" w:space="0" w:color="auto"/>
          </w:divBdr>
        </w:div>
        <w:div w:id="104471070">
          <w:marLeft w:val="0"/>
          <w:marRight w:val="0"/>
          <w:marTop w:val="0"/>
          <w:marBottom w:val="0"/>
          <w:divBdr>
            <w:top w:val="none" w:sz="0" w:space="0" w:color="auto"/>
            <w:left w:val="none" w:sz="0" w:space="0" w:color="auto"/>
            <w:bottom w:val="none" w:sz="0" w:space="0" w:color="auto"/>
            <w:right w:val="none" w:sz="0" w:space="0" w:color="auto"/>
          </w:divBdr>
        </w:div>
        <w:div w:id="1973975388">
          <w:marLeft w:val="0"/>
          <w:marRight w:val="0"/>
          <w:marTop w:val="0"/>
          <w:marBottom w:val="0"/>
          <w:divBdr>
            <w:top w:val="none" w:sz="0" w:space="0" w:color="auto"/>
            <w:left w:val="none" w:sz="0" w:space="0" w:color="auto"/>
            <w:bottom w:val="none" w:sz="0" w:space="0" w:color="auto"/>
            <w:right w:val="none" w:sz="0" w:space="0" w:color="auto"/>
          </w:divBdr>
        </w:div>
      </w:divsChild>
    </w:div>
    <w:div w:id="1496651044">
      <w:marLeft w:val="4"/>
      <w:marRight w:val="0"/>
      <w:marTop w:val="120"/>
      <w:marBottom w:val="0"/>
      <w:divBdr>
        <w:top w:val="none" w:sz="0" w:space="0" w:color="auto"/>
        <w:left w:val="none" w:sz="0" w:space="0" w:color="auto"/>
        <w:bottom w:val="none" w:sz="0" w:space="0" w:color="auto"/>
        <w:right w:val="none" w:sz="0" w:space="0" w:color="auto"/>
      </w:divBdr>
      <w:divsChild>
        <w:div w:id="671950549">
          <w:marLeft w:val="0"/>
          <w:marRight w:val="0"/>
          <w:marTop w:val="0"/>
          <w:marBottom w:val="0"/>
          <w:divBdr>
            <w:top w:val="none" w:sz="0" w:space="0" w:color="auto"/>
            <w:left w:val="none" w:sz="0" w:space="0" w:color="auto"/>
            <w:bottom w:val="none" w:sz="0" w:space="0" w:color="auto"/>
            <w:right w:val="none" w:sz="0" w:space="0" w:color="auto"/>
          </w:divBdr>
        </w:div>
      </w:divsChild>
    </w:div>
    <w:div w:id="1580170149">
      <w:marLeft w:val="4"/>
      <w:marRight w:val="0"/>
      <w:marTop w:val="120"/>
      <w:marBottom w:val="0"/>
      <w:divBdr>
        <w:top w:val="none" w:sz="0" w:space="0" w:color="auto"/>
        <w:left w:val="none" w:sz="0" w:space="0" w:color="auto"/>
        <w:bottom w:val="none" w:sz="0" w:space="0" w:color="auto"/>
        <w:right w:val="none" w:sz="0" w:space="0" w:color="auto"/>
      </w:divBdr>
      <w:divsChild>
        <w:div w:id="1489397586">
          <w:marLeft w:val="0"/>
          <w:marRight w:val="0"/>
          <w:marTop w:val="0"/>
          <w:marBottom w:val="0"/>
          <w:divBdr>
            <w:top w:val="none" w:sz="0" w:space="0" w:color="auto"/>
            <w:left w:val="none" w:sz="0" w:space="0" w:color="auto"/>
            <w:bottom w:val="none" w:sz="0" w:space="0" w:color="auto"/>
            <w:right w:val="none" w:sz="0" w:space="0" w:color="auto"/>
          </w:divBdr>
        </w:div>
      </w:divsChild>
    </w:div>
    <w:div w:id="1779134884">
      <w:marLeft w:val="3"/>
      <w:marRight w:val="0"/>
      <w:marTop w:val="120"/>
      <w:marBottom w:val="0"/>
      <w:divBdr>
        <w:top w:val="none" w:sz="0" w:space="0" w:color="auto"/>
        <w:left w:val="none" w:sz="0" w:space="0" w:color="auto"/>
        <w:bottom w:val="none" w:sz="0" w:space="0" w:color="auto"/>
        <w:right w:val="none" w:sz="0" w:space="0" w:color="auto"/>
      </w:divBdr>
      <w:divsChild>
        <w:div w:id="1571503988">
          <w:marLeft w:val="0"/>
          <w:marRight w:val="0"/>
          <w:marTop w:val="0"/>
          <w:marBottom w:val="0"/>
          <w:divBdr>
            <w:top w:val="none" w:sz="0" w:space="0" w:color="auto"/>
            <w:left w:val="none" w:sz="0" w:space="0" w:color="auto"/>
            <w:bottom w:val="none" w:sz="0" w:space="0" w:color="auto"/>
            <w:right w:val="none" w:sz="0" w:space="0" w:color="auto"/>
          </w:divBdr>
        </w:div>
      </w:divsChild>
    </w:div>
    <w:div w:id="1859931105">
      <w:marLeft w:val="4"/>
      <w:marRight w:val="0"/>
      <w:marTop w:val="120"/>
      <w:marBottom w:val="0"/>
      <w:divBdr>
        <w:top w:val="none" w:sz="0" w:space="0" w:color="auto"/>
        <w:left w:val="none" w:sz="0" w:space="0" w:color="auto"/>
        <w:bottom w:val="none" w:sz="0" w:space="0" w:color="auto"/>
        <w:right w:val="none" w:sz="0" w:space="0" w:color="auto"/>
      </w:divBdr>
      <w:divsChild>
        <w:div w:id="325472738">
          <w:marLeft w:val="0"/>
          <w:marRight w:val="0"/>
          <w:marTop w:val="0"/>
          <w:marBottom w:val="0"/>
          <w:divBdr>
            <w:top w:val="none" w:sz="0" w:space="0" w:color="auto"/>
            <w:left w:val="none" w:sz="0" w:space="0" w:color="auto"/>
            <w:bottom w:val="none" w:sz="0" w:space="0" w:color="auto"/>
            <w:right w:val="none" w:sz="0" w:space="0" w:color="auto"/>
          </w:divBdr>
        </w:div>
      </w:divsChild>
    </w:div>
    <w:div w:id="1882672838">
      <w:marLeft w:val="4"/>
      <w:marRight w:val="0"/>
      <w:marTop w:val="120"/>
      <w:marBottom w:val="0"/>
      <w:divBdr>
        <w:top w:val="none" w:sz="0" w:space="0" w:color="auto"/>
        <w:left w:val="none" w:sz="0" w:space="0" w:color="auto"/>
        <w:bottom w:val="none" w:sz="0" w:space="0" w:color="auto"/>
        <w:right w:val="none" w:sz="0" w:space="0" w:color="auto"/>
      </w:divBdr>
      <w:divsChild>
        <w:div w:id="158348068">
          <w:marLeft w:val="0"/>
          <w:marRight w:val="0"/>
          <w:marTop w:val="0"/>
          <w:marBottom w:val="0"/>
          <w:divBdr>
            <w:top w:val="none" w:sz="0" w:space="0" w:color="auto"/>
            <w:left w:val="none" w:sz="0" w:space="0" w:color="auto"/>
            <w:bottom w:val="none" w:sz="0" w:space="0" w:color="auto"/>
            <w:right w:val="none" w:sz="0" w:space="0" w:color="auto"/>
          </w:divBdr>
        </w:div>
      </w:divsChild>
    </w:div>
    <w:div w:id="1931230591">
      <w:marLeft w:val="0"/>
      <w:marRight w:val="0"/>
      <w:marTop w:val="0"/>
      <w:marBottom w:val="0"/>
      <w:divBdr>
        <w:top w:val="none" w:sz="0" w:space="0" w:color="auto"/>
        <w:left w:val="none" w:sz="0" w:space="0" w:color="auto"/>
        <w:bottom w:val="none" w:sz="0" w:space="0" w:color="auto"/>
        <w:right w:val="none" w:sz="0" w:space="0" w:color="auto"/>
      </w:divBdr>
      <w:divsChild>
        <w:div w:id="68769785">
          <w:marLeft w:val="0"/>
          <w:marRight w:val="0"/>
          <w:marTop w:val="0"/>
          <w:marBottom w:val="0"/>
          <w:divBdr>
            <w:top w:val="none" w:sz="0" w:space="0" w:color="auto"/>
            <w:left w:val="none" w:sz="0" w:space="0" w:color="auto"/>
            <w:bottom w:val="none" w:sz="0" w:space="0" w:color="auto"/>
            <w:right w:val="none" w:sz="0" w:space="0" w:color="auto"/>
          </w:divBdr>
        </w:div>
        <w:div w:id="521943647">
          <w:marLeft w:val="0"/>
          <w:marRight w:val="0"/>
          <w:marTop w:val="0"/>
          <w:marBottom w:val="0"/>
          <w:divBdr>
            <w:top w:val="none" w:sz="0" w:space="0" w:color="auto"/>
            <w:left w:val="none" w:sz="0" w:space="0" w:color="auto"/>
            <w:bottom w:val="none" w:sz="0" w:space="0" w:color="auto"/>
            <w:right w:val="none" w:sz="0" w:space="0" w:color="auto"/>
          </w:divBdr>
        </w:div>
        <w:div w:id="1705403135">
          <w:marLeft w:val="0"/>
          <w:marRight w:val="0"/>
          <w:marTop w:val="0"/>
          <w:marBottom w:val="0"/>
          <w:divBdr>
            <w:top w:val="none" w:sz="0" w:space="0" w:color="auto"/>
            <w:left w:val="none" w:sz="0" w:space="0" w:color="auto"/>
            <w:bottom w:val="none" w:sz="0" w:space="0" w:color="auto"/>
            <w:right w:val="none" w:sz="0" w:space="0" w:color="auto"/>
          </w:divBdr>
        </w:div>
        <w:div w:id="1711301479">
          <w:marLeft w:val="0"/>
          <w:marRight w:val="0"/>
          <w:marTop w:val="0"/>
          <w:marBottom w:val="0"/>
          <w:divBdr>
            <w:top w:val="none" w:sz="0" w:space="0" w:color="auto"/>
            <w:left w:val="none" w:sz="0" w:space="0" w:color="auto"/>
            <w:bottom w:val="none" w:sz="0" w:space="0" w:color="auto"/>
            <w:right w:val="none" w:sz="0" w:space="0" w:color="auto"/>
          </w:divBdr>
        </w:div>
        <w:div w:id="48305824">
          <w:marLeft w:val="0"/>
          <w:marRight w:val="0"/>
          <w:marTop w:val="0"/>
          <w:marBottom w:val="0"/>
          <w:divBdr>
            <w:top w:val="none" w:sz="0" w:space="0" w:color="auto"/>
            <w:left w:val="none" w:sz="0" w:space="0" w:color="auto"/>
            <w:bottom w:val="none" w:sz="0" w:space="0" w:color="auto"/>
            <w:right w:val="none" w:sz="0" w:space="0" w:color="auto"/>
          </w:divBdr>
        </w:div>
        <w:div w:id="216204224">
          <w:marLeft w:val="0"/>
          <w:marRight w:val="0"/>
          <w:marTop w:val="0"/>
          <w:marBottom w:val="0"/>
          <w:divBdr>
            <w:top w:val="none" w:sz="0" w:space="0" w:color="auto"/>
            <w:left w:val="none" w:sz="0" w:space="0" w:color="auto"/>
            <w:bottom w:val="none" w:sz="0" w:space="0" w:color="auto"/>
            <w:right w:val="none" w:sz="0" w:space="0" w:color="auto"/>
          </w:divBdr>
        </w:div>
        <w:div w:id="1806970195">
          <w:marLeft w:val="0"/>
          <w:marRight w:val="0"/>
          <w:marTop w:val="0"/>
          <w:marBottom w:val="0"/>
          <w:divBdr>
            <w:top w:val="none" w:sz="0" w:space="0" w:color="auto"/>
            <w:left w:val="none" w:sz="0" w:space="0" w:color="auto"/>
            <w:bottom w:val="none" w:sz="0" w:space="0" w:color="auto"/>
            <w:right w:val="none" w:sz="0" w:space="0" w:color="auto"/>
          </w:divBdr>
        </w:div>
        <w:div w:id="1546680510">
          <w:marLeft w:val="0"/>
          <w:marRight w:val="0"/>
          <w:marTop w:val="0"/>
          <w:marBottom w:val="0"/>
          <w:divBdr>
            <w:top w:val="none" w:sz="0" w:space="0" w:color="auto"/>
            <w:left w:val="none" w:sz="0" w:space="0" w:color="auto"/>
            <w:bottom w:val="none" w:sz="0" w:space="0" w:color="auto"/>
            <w:right w:val="none" w:sz="0" w:space="0" w:color="auto"/>
          </w:divBdr>
        </w:div>
        <w:div w:id="1038310710">
          <w:marLeft w:val="0"/>
          <w:marRight w:val="0"/>
          <w:marTop w:val="0"/>
          <w:marBottom w:val="0"/>
          <w:divBdr>
            <w:top w:val="none" w:sz="0" w:space="0" w:color="auto"/>
            <w:left w:val="none" w:sz="0" w:space="0" w:color="auto"/>
            <w:bottom w:val="none" w:sz="0" w:space="0" w:color="auto"/>
            <w:right w:val="none" w:sz="0" w:space="0" w:color="auto"/>
          </w:divBdr>
        </w:div>
        <w:div w:id="2006130580">
          <w:marLeft w:val="0"/>
          <w:marRight w:val="0"/>
          <w:marTop w:val="0"/>
          <w:marBottom w:val="0"/>
          <w:divBdr>
            <w:top w:val="none" w:sz="0" w:space="0" w:color="auto"/>
            <w:left w:val="none" w:sz="0" w:space="0" w:color="auto"/>
            <w:bottom w:val="none" w:sz="0" w:space="0" w:color="auto"/>
            <w:right w:val="none" w:sz="0" w:space="0" w:color="auto"/>
          </w:divBdr>
        </w:div>
      </w:divsChild>
    </w:div>
    <w:div w:id="1931425975">
      <w:marLeft w:val="0"/>
      <w:marRight w:val="0"/>
      <w:marTop w:val="0"/>
      <w:marBottom w:val="0"/>
      <w:divBdr>
        <w:top w:val="none" w:sz="0" w:space="0" w:color="auto"/>
        <w:left w:val="none" w:sz="0" w:space="0" w:color="auto"/>
        <w:bottom w:val="none" w:sz="0" w:space="0" w:color="auto"/>
        <w:right w:val="none" w:sz="0" w:space="0" w:color="auto"/>
      </w:divBdr>
    </w:div>
    <w:div w:id="2013138922">
      <w:marLeft w:val="4"/>
      <w:marRight w:val="0"/>
      <w:marTop w:val="120"/>
      <w:marBottom w:val="0"/>
      <w:divBdr>
        <w:top w:val="none" w:sz="0" w:space="0" w:color="auto"/>
        <w:left w:val="none" w:sz="0" w:space="0" w:color="auto"/>
        <w:bottom w:val="none" w:sz="0" w:space="0" w:color="auto"/>
        <w:right w:val="none" w:sz="0" w:space="0" w:color="auto"/>
      </w:divBdr>
      <w:divsChild>
        <w:div w:id="426468295">
          <w:marLeft w:val="0"/>
          <w:marRight w:val="0"/>
          <w:marTop w:val="0"/>
          <w:marBottom w:val="0"/>
          <w:divBdr>
            <w:top w:val="none" w:sz="0" w:space="0" w:color="auto"/>
            <w:left w:val="none" w:sz="0" w:space="0" w:color="auto"/>
            <w:bottom w:val="none" w:sz="0" w:space="0" w:color="auto"/>
            <w:right w:val="none" w:sz="0" w:space="0" w:color="auto"/>
          </w:divBdr>
        </w:div>
      </w:divsChild>
    </w:div>
    <w:div w:id="2064599951">
      <w:marLeft w:val="4"/>
      <w:marRight w:val="0"/>
      <w:marTop w:val="120"/>
      <w:marBottom w:val="0"/>
      <w:divBdr>
        <w:top w:val="none" w:sz="0" w:space="0" w:color="auto"/>
        <w:left w:val="none" w:sz="0" w:space="0" w:color="auto"/>
        <w:bottom w:val="none" w:sz="0" w:space="0" w:color="auto"/>
        <w:right w:val="none" w:sz="0" w:space="0" w:color="auto"/>
      </w:divBdr>
      <w:divsChild>
        <w:div w:id="484012336">
          <w:marLeft w:val="0"/>
          <w:marRight w:val="0"/>
          <w:marTop w:val="0"/>
          <w:marBottom w:val="0"/>
          <w:divBdr>
            <w:top w:val="none" w:sz="0" w:space="0" w:color="auto"/>
            <w:left w:val="none" w:sz="0" w:space="0" w:color="auto"/>
            <w:bottom w:val="none" w:sz="0" w:space="0" w:color="auto"/>
            <w:right w:val="none" w:sz="0" w:space="0" w:color="auto"/>
          </w:divBdr>
        </w:div>
      </w:divsChild>
    </w:div>
    <w:div w:id="211952395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ay-ex32_1.htm" TargetMode="External"/><Relationship Id="rId3" Type="http://schemas.openxmlformats.org/officeDocument/2006/relationships/webSettings" Target="webSettings.xml"/><Relationship Id="rId7" Type="http://schemas.openxmlformats.org/officeDocument/2006/relationships/hyperlink" Target="pay-ex31_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ay-ex31_1.htm" TargetMode="External"/><Relationship Id="rId11" Type="http://schemas.openxmlformats.org/officeDocument/2006/relationships/theme" Target="theme/theme1.xml"/><Relationship Id="rId5" Type="http://schemas.openxmlformats.org/officeDocument/2006/relationships/hyperlink" Target="https://www.sec.gov/Archives/edgar/data/1841156/000156459021028164/ck7045120534-ex1014_32.htm" TargetMode="External"/><Relationship Id="rId10" Type="http://schemas.openxmlformats.org/officeDocument/2006/relationships/fontTable" Target="fontTable.xml"/><Relationship Id="rId4" Type="http://schemas.openxmlformats.org/officeDocument/2006/relationships/hyperlink" Target="pay-ex10_1.htm" TargetMode="External"/><Relationship Id="rId9" Type="http://schemas.openxmlformats.org/officeDocument/2006/relationships/hyperlink" Target="pay-ex32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18860</Words>
  <Characters>107505</Characters>
  <Application>Microsoft Office Word</Application>
  <DocSecurity>0</DocSecurity>
  <Lines>895</Lines>
  <Paragraphs>252</Paragraphs>
  <ScaleCrop>false</ScaleCrop>
  <Company/>
  <LinksUpToDate>false</LinksUpToDate>
  <CharactersWithSpaces>126113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