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65332">
      <w:pPr>
        <w:divId w:val="23023357"/>
        <w:rPr>
          <w:rFonts w:eastAsia="Times New Roman"/>
          <w:vanish/>
        </w:rPr>
      </w:pPr>
      <w:r>
        <w:rPr>
          <w:rFonts w:eastAsia="Times New Roman"/>
          <w:vanish/>
        </w:rPr>
        <w:t>falseFY0001393311YesYesNoYes00013933112017-01-012019-12-310001393311us-gaap:CommonStockMember2019-01-012019-12-310001393311us-gaap:CommonStockMember2018-01-012018-12-310001393311us-gaap:CommonStockMember2017-01-012017-12-310001393311</w:t>
      </w:r>
      <w:r>
        <w:rPr>
          <w:rFonts w:eastAsia="Times New Roman"/>
          <w:vanish/>
        </w:rPr>
        <w:t>us-gaap:PreferredStockMember2019-01-012019-12-310001393311us-gaap:PreferredStockMember2017-01-012017-12-310001393311us-gaap:RetainedEarningsMember2019-12-310001393311us-gaap:PreferredStockMember2019-12-310001393311us-gaap:ParentMember2019-12-310001393311us</w:t>
      </w:r>
      <w:r>
        <w:rPr>
          <w:rFonts w:eastAsia="Times New Roman"/>
          <w:vanish/>
        </w:rPr>
        <w:t>-gaap:CommonStockMember2019-12-310001393311us-gaap:AdditionalPaidInCapitalMember2019-12-310001393311us-gaap:AccumulatedOtherComprehensiveIncomeMember2019-12-310001393311us-gaap:RetainedEarningsMember2018-12-310001393311us-gaap:PreferredStockMember2018-12-3</w:t>
      </w:r>
      <w:r>
        <w:rPr>
          <w:rFonts w:eastAsia="Times New Roman"/>
          <w:vanish/>
        </w:rPr>
        <w:t>10001393311us-gaap:ParentMember2018-12-310001393311us-gaap:NoncontrollingInterestMember2018-12-310001393311us-gaap:CommonStockMember2018-12-310001393311us-gaap:AdditionalPaidInCapitalMember2018-12-310001393311us-gaap:AccumulatedOtherComprehensiveIncomeMemb</w:t>
      </w:r>
      <w:r>
        <w:rPr>
          <w:rFonts w:eastAsia="Times New Roman"/>
          <w:vanish/>
        </w:rPr>
        <w:t>er2018-12-310001393311us-gaap:RetainedEarningsMember2017-12-310001393311us-gaap:PreferredStockMember2017-12-310001393311us-gaap:ParentMember2017-12-310001393311us-gaap:NoncontrollingInterestMember2017-12-310001393311us-gaap:CommonStockMember2017-12-3100013</w:t>
      </w:r>
      <w:r>
        <w:rPr>
          <w:rFonts w:eastAsia="Times New Roman"/>
          <w:vanish/>
        </w:rPr>
        <w:t>93311us-gaap:AdditionalPaidInCapitalMember2017-12-310001393311us-gaap:AccumulatedOtherComprehensiveIncomeMember2017-12-310001393311us-gaap:RetainedEarningsMember2016-12-310001393311us-gaap:PreferredStockMember2016-12-310001393311us-gaap:ParentMember2016-12</w:t>
      </w:r>
      <w:r>
        <w:rPr>
          <w:rFonts w:eastAsia="Times New Roman"/>
          <w:vanish/>
        </w:rPr>
        <w:t>-310001393311us-gaap:NoncontrollingInterestMember2016-12-310001393311us-gaap:CommonStockMember2016-12-310001393311us-gaap:AdditionalPaidInCapitalMember2016-12-310001393311us-gaap:AccumulatedOtherComprehensiveIncomeMember2016-12-310001393311psa:ShurgardSelf</w:t>
      </w:r>
      <w:r>
        <w:rPr>
          <w:rFonts w:eastAsia="Times New Roman"/>
          <w:vanish/>
        </w:rPr>
        <w:t>StorageSaMember2017-12-310001393311psa:SeriesHSeriesISeriesJAndSeriesKPreferredStockMember2019-12-310001393311psa:SeriesFAndGPreferredStockMember2017-12-310001393311us-gaap:EmployeeStockOptionMemberpsa:ExercisePriceOneMember2019-01-012019-12-310001393311us</w:t>
      </w:r>
      <w:r>
        <w:rPr>
          <w:rFonts w:eastAsia="Times New Roman"/>
          <w:vanish/>
        </w:rPr>
        <w:t>-gaap:EmployeeStockOptionMemberpsa:ExercisePriceOneMember2019-12-310001393311us-gaap:EmployeeStockOptionMember2019-12-310001393311srt:MinimumMemberus-gaap:RestrictedStockUnitsRSUMember2019-01-012019-12-310001393311srt:MinimumMemberus-gaap:EmployeeStockOpti</w:t>
      </w:r>
      <w:r>
        <w:rPr>
          <w:rFonts w:eastAsia="Times New Roman"/>
          <w:vanish/>
        </w:rPr>
        <w:t>onMember2019-01-012019-12-310001393311srt:MaximumMemberus-gaap:RestrictedStockUnitsRSUMember2019-01-012019-12-310001393311srt:MaximumMemberus-gaap:EmployeeStockOptionMember2019-01-012019-12-310001393311psa:ChiefExecutiveOfficerAndChiefFinancialOfficerMembe</w:t>
      </w:r>
      <w:r>
        <w:rPr>
          <w:rFonts w:eastAsia="Times New Roman"/>
          <w:vanish/>
        </w:rPr>
        <w:t>rus-gaap:RestrictedStockUnitsRSUMember2018-01-012018-12-310001393311us-gaap:EmployeeStockOptionMember2018-01-012018-12-310001393311psa:SelfStorageOperationsMember2019-01-012019-12-310001393311psa:AncillaryOperationsMember2019-01-012019-12-310001393311psa:S</w:t>
      </w:r>
      <w:r>
        <w:rPr>
          <w:rFonts w:eastAsia="Times New Roman"/>
          <w:vanish/>
        </w:rPr>
        <w:t>elfStorageOperationsMember2018-01-012018-12-310001393311psa:AncillaryOperationsMember2018-01-012018-12-310001393311psa:SelfStorageOperationsMember2017-01-012017-12-310001393311psa:AncillaryOperationsMember2017-01-012017-12-310001393311psa:SelfStorageFacili</w:t>
      </w:r>
      <w:r>
        <w:rPr>
          <w:rFonts w:eastAsia="Times New Roman"/>
          <w:vanish/>
        </w:rPr>
        <w:t>tiesMemberstpr:NY2019-12-310001393311psa:SelfStorageFacilitiesMemberpsa:WichitaMember2019-12-310001393311psa:SelfStorageFacilitiesMemberpsa:WestPalmBeachMember2019-12-310001393311psa:SelfStorageFacilitiesMemberpsa:WashingtonDcMember2019-12-310001393311psa:</w:t>
      </w:r>
      <w:r>
        <w:rPr>
          <w:rFonts w:eastAsia="Times New Roman"/>
          <w:vanish/>
        </w:rPr>
        <w:t>SelfStorageFacilitiesMemberpsa:TucsonMember2019-12-310001393311psa:SelfStorageFacilitiesMemberpsa:TopekaMember2019-12-310001393311psa:SelfStorageFacilitiesMemberpsa:TampaMember2019-12-310001393311psa:SelfStorageFacilitiesMemberpsa:SyracuseMember2019-12-310</w:t>
      </w:r>
      <w:r>
        <w:rPr>
          <w:rFonts w:eastAsia="Times New Roman"/>
          <w:vanish/>
        </w:rPr>
        <w:t>001393311psa:SelfStorageFacilitiesMemberpsa:St.LouisMember2019-12-310001393311psa:SelfStorageFacilitiesMemberpsa:SpringfieldHolyokeMember2019-12-310001393311psa:SelfStorageFacilitiesMemberpsa:ShreveportMember2019-12-310001393311psa:SelfStorageFacilitiesMem</w:t>
      </w:r>
      <w:r>
        <w:rPr>
          <w:rFonts w:eastAsia="Times New Roman"/>
          <w:vanish/>
        </w:rPr>
        <w:t>berpsa:SeattleTacomaMember2019-12-310001393311psa:SelfStorageFacilitiesMemberpsa:SavannahMember2019-12-310001393311psa:SelfStorageFacilitiesMemberpsa:SantaBarbaraMember2019-12-310001393311psa:SelfStorageFacilitiesMemberpsa:SanFranciscoMember2019-12-3100013</w:t>
      </w:r>
      <w:r>
        <w:rPr>
          <w:rFonts w:eastAsia="Times New Roman"/>
          <w:vanish/>
        </w:rPr>
        <w:t>93311psa:SelfStorageFacilitiesMemberpsa:SanDiegoMember2019-12-310001393311psa:SelfStorageFacilitiesMemberpsa:SanAntonioMember2019-12-310001393311psa:SelfStorageFacilitiesMemberpsa:SaltLakeCityMember2019-12-310001393311psa:SelfStorageFacilitiesMemberpsa:Sac</w:t>
      </w:r>
      <w:r>
        <w:rPr>
          <w:rFonts w:eastAsia="Times New Roman"/>
          <w:vanish/>
        </w:rPr>
        <w:t>ramentoMember2019-12-310001393311psa:SelfStorageFacilitiesMemberpsa:RochesterMember2019-12-310001393311psa:SelfStorageFacilitiesMemberpsa:RoanokeMember2019-12-310001393311psa:SelfStorageFacilitiesMemberpsa:RichmondMember2019-12-310001393311psa:SelfStorageF</w:t>
      </w:r>
      <w:r>
        <w:rPr>
          <w:rFonts w:eastAsia="Times New Roman"/>
          <w:vanish/>
        </w:rPr>
        <w:t>acilitiesMemberpsa:RenoMember2019-12-310001393311psa:SelfStorageFacilitiesMemberpsa:RaleighMember2019-12-310001393311psa:SelfStorageFacilitiesMemberpsa:ProvidenceMember2019-12-310001393311psa:SelfStorageFacilitiesMemberpsa:PortlandMember2019-12-31000139331</w:t>
      </w:r>
      <w:r>
        <w:rPr>
          <w:rFonts w:eastAsia="Times New Roman"/>
          <w:vanish/>
        </w:rPr>
        <w:t>1psa:SelfStorageFacilitiesMemberpsa:PhoenixMember2019-12-310001393311psa:SelfStorageFacilitiesMemberpsa:PhiladelphiaMember2019-12-310001393311psa:SelfStorageFacilitiesMemberpsa:PalmSpringsMember2019-12-310001393311psa:SelfStorageFacilitiesMemberpsa:OmahaMe</w:t>
      </w:r>
      <w:r>
        <w:rPr>
          <w:rFonts w:eastAsia="Times New Roman"/>
          <w:vanish/>
        </w:rPr>
        <w:t>mber2019-12-310001393311psa:SelfStorageFacilitiesMemberpsa:OaklahomaCityMember2019-12-310001393311psa:SelfStorageFacilitiesMemberpsa:NorfolkMember2019-12-310001393311psa:SelfStorageFacilitiesMemberpsa:NewOrleansMember2019-12-310001393311psa:SelfStorageFaci</w:t>
      </w:r>
      <w:r>
        <w:rPr>
          <w:rFonts w:eastAsia="Times New Roman"/>
          <w:vanish/>
        </w:rPr>
        <w:t>litiesMemberpsa:NashvilleBowlingGreenMember2019-12-310001393311psa:SelfStorageFacilitiesMemberpsa:MontereySalinasMember2019-12-310001393311psa:SelfStorageFacilitiesMemberpsa:ModestoFresnoStocktonMember2019-12-310001393311psa:SelfStorageFacilitiesMemberpsa:</w:t>
      </w:r>
      <w:r>
        <w:rPr>
          <w:rFonts w:eastAsia="Times New Roman"/>
          <w:vanish/>
        </w:rPr>
        <w:t>MobileMember2019-12-310001393311psa:SelfStorageFacilitiesMemberpsa:MiamiMember2019-12-310001393311psa:SelfStorageFacilitiesMemberpsa:MemphisMember2019-12-310001393311psa:SelfStorageFacilitiesMemberpsa:LouisvilleMember2019-12-310001393311psa:SelfStorageFaci</w:t>
      </w:r>
      <w:r>
        <w:rPr>
          <w:rFonts w:eastAsia="Times New Roman"/>
          <w:vanish/>
        </w:rPr>
        <w:t>litiesMemberpsa:LasVegasMember2019-12-310001393311psa:SelfStorageFacilitiesMemberpsa:LansingMember2019-12-310001393311psa:SelfStorageFacilitiesMemberpsa:KansasCityMember2019-12-310001393311psa:SelfStorageFacilitiesMemberpsa:JoplinMember2019-12-310001393311</w:t>
      </w:r>
      <w:r>
        <w:rPr>
          <w:rFonts w:eastAsia="Times New Roman"/>
          <w:vanish/>
        </w:rPr>
        <w:t>psa:SelfStorageFacilitiesMemberpsa:JacksonvilleMember2019-12-310001393311psa:SelfStorageFacilitiesMemberpsa:IndianapolisMember2019-12-310001393311psa:SelfStorageFacilitiesMemberpsa:HuntsvilleDecaturMember2019-12-310001393311psa:SelfStorageFacilitiesMemberp</w:t>
      </w:r>
      <w:r>
        <w:rPr>
          <w:rFonts w:eastAsia="Times New Roman"/>
          <w:vanish/>
        </w:rPr>
        <w:t>sa:HoustonMember2019-12-310001393311psa:SelfStorageFacilitiesMemberpsa:HonoluluMember2019-12-310001393311psa:SelfStorageFacilitiesMemberpsa:HartfordNewHavenMember2019-12-310001393311psa:SelfStorageFacilitiesMemberpsa:GreensvilleSpartanburgAshevilleMember20</w:t>
      </w:r>
      <w:r>
        <w:rPr>
          <w:rFonts w:eastAsia="Times New Roman"/>
          <w:vanish/>
        </w:rPr>
        <w:t>19-12-310001393311psa:SelfStorageFacilitiesMemberpsa:GreensboroMember2019-12-310001393311psa:SelfStorageFacilitiesMemberpsa:FortWayneMember2019-12-310001393311psa:SelfStorageFacilitiesMemberpsa:FortMyersNaplesMember2019-12-310001393311psa:SelfStorageFacili</w:t>
      </w:r>
      <w:r>
        <w:rPr>
          <w:rFonts w:eastAsia="Times New Roman"/>
          <w:vanish/>
        </w:rPr>
        <w:t>tiesMemberpsa:FlintMember2019-12-310001393311psa:SelfStorageFacilitiesMemberpsa:EvansvilleMember2019-12-310001393311psa:SelfStorageFacilitiesMemberpsa:DetroitMember2019-12-310001393311psa:SelfStorageFacilitiesMemberpsa:DaytonMember2019-12-310001393311psa:S</w:t>
      </w:r>
      <w:r>
        <w:rPr>
          <w:rFonts w:eastAsia="Times New Roman"/>
          <w:vanish/>
        </w:rPr>
        <w:t>elfStorageFacilitiesMemberpsa:DallasFt.WorthMember2019-12-310001393311psa:SelfStorageFacilitiesMemberpsa:ColumbusMember2019-12-310001393311psa:SelfStorageFacilitiesMemberpsa:ColumbiaMember2019-12-310001393311psa:SelfStorageFacilitiesMemberpsa:ColoradoSprin</w:t>
      </w:r>
      <w:r>
        <w:rPr>
          <w:rFonts w:eastAsia="Times New Roman"/>
          <w:vanish/>
        </w:rPr>
        <w:t>gsMember2019-12-310001393311psa:SelfStorageFacilitiesMemberpsa:ClevelandAkronMember2019-12-310001393311psa:SelfStorageFacilitiesMemberpsa:CincinnatiMember2019-12-310001393311psa:SelfStorageFacilitiesMemberpsa:ChicagoMember2019-12-310001393311psa:SelfStorag</w:t>
      </w:r>
      <w:r>
        <w:rPr>
          <w:rFonts w:eastAsia="Times New Roman"/>
          <w:vanish/>
        </w:rPr>
        <w:t>eFacilitiesMemberpsa:ChattanoogaMember2019-12-310001393311psa:SelfStorageFacilitiesMemberpsa:CharlotteMember2019-12-310001393311psa:SelfStorageFacilitiesMemberpsa:CharlestonMember2019-12-310001393311psa:SelfStorageFacilitiesMemberpsa:BuffaloRochesterMember</w:t>
      </w:r>
      <w:r>
        <w:rPr>
          <w:rFonts w:eastAsia="Times New Roman"/>
          <w:vanish/>
        </w:rPr>
        <w:t>2019-12-310001393311psa:SelfStorageFacilitiesMemberpsa:BostonMember2019-12-310001393311psa:SelfStorageFacilitiesMemberpsa:BirminghamMember2019-12-310001393311psa:SelfStorageFacilitiesMemberpsa:BaltimoreMember2019-12-310001393311psa:SelfStorageFacilitiesMem</w:t>
      </w:r>
      <w:r>
        <w:rPr>
          <w:rFonts w:eastAsia="Times New Roman"/>
          <w:vanish/>
        </w:rPr>
        <w:t>berpsa:AustinMember2019-12-310001393311psa:SelfStorageFacilitiesMemberpsa:AugustaMember2019-12-310001393311psa:CommercialAndOtherRealEstateMember2019-12-310001393311srt:MinimumMember2019-01-012019-12-310001393311srt:MaximumMember2019-01-012019-12-310001393</w:t>
      </w:r>
      <w:r>
        <w:rPr>
          <w:rFonts w:eastAsia="Times New Roman"/>
          <w:vanish/>
        </w:rPr>
        <w:t>311psa:AllocatedToSegmentsMember2019-01-012019-12-310001393311psa:AllocatedToSegmentsMember2018-01-012018-12-310001393311psa:AllocatedToSegmentsMember2017-01-012017-12-310001393311psa:NotesDueApril2024Memberpsa:EuroDenominatedUnsecuredDebtMember2016-04-122</w:t>
      </w:r>
      <w:r>
        <w:rPr>
          <w:rFonts w:eastAsia="Times New Roman"/>
          <w:vanish/>
        </w:rPr>
        <w:t>016-04-120001393311psa:NotesDueNovember2025Memberpsa:EuroDenominatedUnsecuredDebtMember2015-11-032015-11-0300013933112016-01-012016-12-310001393311psa:SeriesUSeriesYSeriesZAndSeriesaPreferredStockMember2019-12-310001393311psa:SeriesSAndTPreferredStockMembe</w:t>
      </w:r>
      <w:r>
        <w:rPr>
          <w:rFonts w:eastAsia="Times New Roman"/>
          <w:vanish/>
        </w:rPr>
        <w:t>r2017-12-310001393311us-gaap:SeriesHPreferredStockMember2019-12-310001393311us-gaap:SeriesGPreferredStockMember2019-12-310001393311us-gaap:SeriesFPreferredStockMember2019-12-310001393311us-gaap:SeriesEPreferredStockMember2019-12-310001393311us-gaap:SeriesD</w:t>
      </w:r>
      <w:r>
        <w:rPr>
          <w:rFonts w:eastAsia="Times New Roman"/>
          <w:vanish/>
        </w:rPr>
        <w:t>PreferredStockMember2019-12-310001393311us-gaap:SeriesCPreferredStockMember2019-12-310001393311us-gaap:SeriesBPreferredStockMember2019-12-310001393311psa:SeriesXPreferredStockMember2019-12-310001393311psa:SeriesWPreferredStockMember2019-12-310001393311psa:</w:t>
      </w:r>
      <w:r>
        <w:rPr>
          <w:rFonts w:eastAsia="Times New Roman"/>
          <w:vanish/>
        </w:rPr>
        <w:t>SeriesVPreferredStockMember2019-12-310001393311psa:SeriesKPreferredStockMember2019-12-310001393311psa:SeriesJPreferredStockMember2019-12-310001393311psa:SeriesIPreferredStockMember2019-12-310001393311us-gaap:SeriesGPreferredStockMember2018-12-310001393311u</w:t>
      </w:r>
      <w:r>
        <w:rPr>
          <w:rFonts w:eastAsia="Times New Roman"/>
          <w:vanish/>
        </w:rPr>
        <w:t>s-gaap:SeriesFPreferredStockMember2018-12-310001393311us-gaap:SeriesEPreferredStockMember2018-12-310001393311us-gaap:SeriesDPreferredStockMember2018-12-310001393311us-gaap:SeriesCPreferredStockMember2018-12-310001393311us-gaap:SeriesBPreferredStockMember20</w:t>
      </w:r>
      <w:r>
        <w:rPr>
          <w:rFonts w:eastAsia="Times New Roman"/>
          <w:vanish/>
        </w:rPr>
        <w:t>18-12-310001393311us-gaap:SeriesAPreferredStockMember2018-12-310001393311psa:SeriesZPreferredStockMember2018-12-310001393311psa:SeriesYPreferredStockMember2018-12-310001393311psa:SeriesXPreferredStockMember2018-12-310001393311psa:SeriesWPreferredStockMembe</w:t>
      </w:r>
      <w:r>
        <w:rPr>
          <w:rFonts w:eastAsia="Times New Roman"/>
          <w:vanish/>
        </w:rPr>
        <w:t>r2018-12-310001393311psa:SeriesVPreferredStockMember2018-12-310001393311psa:SeriesUPreferredStockMember2018-12-310001393311us-gaap:SeriesAPreferredStockMember2019-01-012019-12-310001393311psa:SeriesZPreferredStockMember2019-01-012019-12-310001393311psa:Ser</w:t>
      </w:r>
      <w:r>
        <w:rPr>
          <w:rFonts w:eastAsia="Times New Roman"/>
          <w:vanish/>
        </w:rPr>
        <w:t>iesYPreferredStockMember2019-01-012019-12-310001393311psa:SeriesUPreferredStockMember2019-01-012019-12-310001393311us-gaap:AccumulatedOtherComprehensiveIncomeMember2019-01-012019-12-310001393311us-gaap:AccumulatedOtherComprehensiveIncomeMember2018-01-01201</w:t>
      </w:r>
      <w:r>
        <w:rPr>
          <w:rFonts w:eastAsia="Times New Roman"/>
          <w:vanish/>
        </w:rPr>
        <w:t>8-12-310001393311us-gaap:AccumulatedOtherComprehensiveIncomeMember2017-01-012017-12-310001393311us-gaap:AccountingStandardsUpdate201602Member2019-01-010001393311psa:AncillaryOperationsMember2019-01-012019-12-310001393311psa:AncillaryOperationsMember2018-01</w:t>
      </w:r>
      <w:r>
        <w:rPr>
          <w:rFonts w:eastAsia="Times New Roman"/>
          <w:vanish/>
        </w:rPr>
        <w:t>-012018-12-310001393311psa:AncillaryOperationsMember2017-01-012017-12-310001393311psa:PublicStorageMember2019-12-310001393311psa:HughesFamilyMembercountry:CA2019-12-310001393311psa:HughesFamilyMember2019-12-310001393311psa:RepairsCleanupAndDisposalMember20</w:t>
      </w:r>
      <w:r>
        <w:rPr>
          <w:rFonts w:eastAsia="Times New Roman"/>
          <w:vanish/>
        </w:rPr>
        <w:t>17-01-012017-12-310001393311psa:PhysicalDamageToFacilitiesMember2017-01-012017-12-310001393311psa:NotesDueSeptember2027Memberpsa:U.s.DollarDenominatedUnsecuredDebtMember2018-12-310001393311psa:NotesDueSeptember2022Memberpsa:U.s.DollarDenominatedUnsecuredDe</w:t>
      </w:r>
      <w:r>
        <w:rPr>
          <w:rFonts w:eastAsia="Times New Roman"/>
          <w:vanish/>
        </w:rPr>
        <w:t>btMember2018-12-310001393311psa:NotesDueNovember2025Memberpsa:EuroDenominatedUnsecuredDebtMember2018-12-310001393311psa:NotesDueApril2024Memberpsa:EuroDenominatedUnsecuredDebtMember2018-12-310001393311us-gaap:MortgagesMember2018-12-310001393311psa:U.s.Doll</w:t>
      </w:r>
      <w:r>
        <w:rPr>
          <w:rFonts w:eastAsia="Times New Roman"/>
          <w:vanish/>
        </w:rPr>
        <w:t>arDenominatedUnsecuredDebtMember2018-12-310001393311psa:EuroDenominatedUnsecuredDebtMember2018-12-310001393311us-gaap:RevolvingCreditFacilityMember2018-01-012018-12-310001393311us-gaap:RevolvingCreditFacilityMemberus-gaap:SubsequentEventMember2020-02-25000</w:t>
      </w:r>
      <w:r>
        <w:rPr>
          <w:rFonts w:eastAsia="Times New Roman"/>
          <w:vanish/>
        </w:rPr>
        <w:t>1393311us-gaap:RevolvingCreditFacilityMember2019-12-310001393311psa:AcquisitionOfSelfStorageFacilitiesMember2018-12-310001393311psa:AcquisitionOfSelfStorageFacilitiesFromThirdPartiesMember2017-12-310001393311psa:InvesmentInPsbMember2019-01-012019-12-310001</w:t>
      </w:r>
      <w:r>
        <w:rPr>
          <w:rFonts w:eastAsia="Times New Roman"/>
          <w:vanish/>
        </w:rPr>
        <w:t>393311psa:EquityInvestmentInShurgardMember2019-01-012019-12-310001393311psa:InvesmentInPsbMember2018-01-012018-12-310001393311us-gaap:OtherLongTermInvestmentsMember2017-01-012017-12-310001393311psa:InvesmentInPsbMember2017-01-012017-12-310001393311psa:Equi</w:t>
      </w:r>
      <w:r>
        <w:rPr>
          <w:rFonts w:eastAsia="Times New Roman"/>
          <w:vanish/>
        </w:rPr>
        <w:t>tyInvestmentInShurgardMember2017-01-012017-12-310001393311psa:DisposalOfCommercialFacilityMember2018-10-252018-10-250001393311psa:WestLondonMemberpsa:DisposalOfRealEstateMember2018-10-182018-10-180001393311psa:DisposalOfRealEstateFacilitiesMember2018-01-01</w:t>
      </w:r>
      <w:r>
        <w:rPr>
          <w:rFonts w:eastAsia="Times New Roman"/>
          <w:vanish/>
        </w:rPr>
        <w:t>2018-12-310001393311psa:EquityInvestmentInShurgardMember2018-01-012018-12-310001393311srt:WeightedAverageMember2019-12-310001393311srt:WeightedAverageMember2018-12-310001393311srt:WeightedAverageMember2017-12-310001393311psa:ShurgardSelfStorageSaMember2018</w:t>
      </w:r>
      <w:r>
        <w:rPr>
          <w:rFonts w:eastAsia="Times New Roman"/>
          <w:vanish/>
        </w:rPr>
        <w:t>-10-150001393311us-gaap:OtherLongTermInvestmentsMember2017-12-310001393311psa:AcquisitionOfSelfStorageFacilitiesMember2017-12-310001393311us-gaap:LicenseMemberpsa:ShurgardSelfStorageSaMember2019-01-012019-12-310001393311us-gaap:LicenseMemberpsa:ShurgardSel</w:t>
      </w:r>
      <w:r>
        <w:rPr>
          <w:rFonts w:eastAsia="Times New Roman"/>
          <w:vanish/>
        </w:rPr>
        <w:t>fStorageSaMember2018-01-012018-12-310001393311us-gaap:LicenseMemberpsa:ShurgardSelfStorageSaMember2017-01-012017-12-310001393311us-gaap:RetainedEarningsMember2019-01-012019-12-310001393311us-gaap:RetainedEarningsMember2018-01-012018-12-310001393311us-gaap:</w:t>
      </w:r>
      <w:r>
        <w:rPr>
          <w:rFonts w:eastAsia="Times New Roman"/>
          <w:vanish/>
        </w:rPr>
        <w:t>RetainedEarningsMember2017-01-012017-12-310001393311psa:SelfStorageOperationsMember2019-01-012019-12-310001393311psa:SelfStorageOperationsMember2018-01-012018-12-310001393311psa:SelfStorageOperationsMember2017-01-012017-12-310001393311us-gaap:SeniorNotesMe</w:t>
      </w:r>
      <w:r>
        <w:rPr>
          <w:rFonts w:eastAsia="Times New Roman"/>
          <w:vanish/>
        </w:rPr>
        <w:t>mberus-gaap:SubsequentEventMember2020-01-242020-01-240001393311srt:MinimumMemberpsa:NotePayableMember2019-01-012019-12-310001393311srt:MaximumMemberpsa:NotePayableMember2019-01-012019-12-310001393311psa:NotesDueSeptember2027Memberpsa:U.s.DollarDenominatedU</w:t>
      </w:r>
      <w:r>
        <w:rPr>
          <w:rFonts w:eastAsia="Times New Roman"/>
          <w:vanish/>
        </w:rPr>
        <w:t>nsecuredDebtMember2019-01-012019-12-310001393311psa:NotesDueSeptember2022Memberpsa:U.s.DollarDenominatedUnsecuredDebtMember2019-01-012019-12-310001393311psa:NotesDueSeptember2027Memberpsa:U.s.DollarDenominatedUnsecuredDebtMember2018-01-012018-12-3100013933</w:t>
      </w:r>
      <w:r>
        <w:rPr>
          <w:rFonts w:eastAsia="Times New Roman"/>
          <w:vanish/>
        </w:rPr>
        <w:t>11psa:NotesDueSeptember2022Memberpsa:U.s.DollarDenominatedUnsecuredDebtMember2018-01-012018-12-310001393311psa:NotesDueNovember2025Memberpsa:EuroDenominatedUnsecuredDebtMember2018-01-012018-12-310001393311psa:NotesDueMay2029Memberpsa:U.s.DollarDenominatedU</w:t>
      </w:r>
      <w:r>
        <w:rPr>
          <w:rFonts w:eastAsia="Times New Roman"/>
          <w:vanish/>
        </w:rPr>
        <w:t>nsecuredDebtMember2018-01-012018-12-310001393311psa:NotesDueApril2024Memberpsa:EuroDenominatedUnsecuredDebtMember2018-01-012018-12-310001393311psa:NotesDueNovember2025Memberpsa:EuroDenominatedUnsecuredDebtMember2019-01-012019-12-310001393311psa:NotesDueMay</w:t>
      </w:r>
      <w:r>
        <w:rPr>
          <w:rFonts w:eastAsia="Times New Roman"/>
          <w:vanish/>
        </w:rPr>
        <w:t>2029Memberpsa:U.s.DollarDenominatedUnsecuredDebtMember2019-01-012019-12-310001393311psa:NotesDueApril2024Memberpsa:EuroDenominatedUnsecuredDebtMember2019-01-012019-12-310001393311srt:MinimumMemberpsa:NotePayableMember2019-12-310001393311srt:MaximumMemberps</w:t>
      </w:r>
      <w:r>
        <w:rPr>
          <w:rFonts w:eastAsia="Times New Roman"/>
          <w:vanish/>
        </w:rPr>
        <w:t>a:NotePayableMember2019-12-310001393311us-gaap:SeniorNotesMemberus-gaap:SubsequentEventMember2020-01-240001393311psa:NotesDueMay2029Memberpsa:U.s.DollarDenominatedUnsecuredDebtMember2019-04-120001393311psa:U.s.DollarDenominatedUnsecuredDebtMember2017-09-18</w:t>
      </w:r>
      <w:r>
        <w:rPr>
          <w:rFonts w:eastAsia="Times New Roman"/>
          <w:vanish/>
        </w:rPr>
        <w:t>0001393311psa:NotesDueApril2024Memberpsa:EuroDenominatedUnsecuredDebtMember2016-04-120001393311psa:NotesDueNovember2025Memberpsa:EuroDenominatedUnsecuredDebtMember2015-11-030001393311psa:NotesDueSeptember2027Memberpsa:U.s.DollarDenominatedUnsecuredDebtMemb</w:t>
      </w:r>
      <w:r>
        <w:rPr>
          <w:rFonts w:eastAsia="Times New Roman"/>
          <w:vanish/>
        </w:rPr>
        <w:t>er2019-12-310001393311psa:NotesDueSeptember2022Memberpsa:U.s.DollarDenominatedUnsecuredDebtMember2019-12-310001393311psa:NotesDueNovember2025Memberpsa:EuroDenominatedUnsecuredDebtMember2019-12-310001393311psa:NotesDueMay2029Memberpsa:U.s.DollarDenominatedU</w:t>
      </w:r>
      <w:r>
        <w:rPr>
          <w:rFonts w:eastAsia="Times New Roman"/>
          <w:vanish/>
        </w:rPr>
        <w:t>nsecuredDebtMember2019-12-310001393311psa:NotesDueApril2024Memberpsa:EuroDenominatedUnsecuredDebtMember2019-12-310001393311psa:U.s.DollarDenominatedUnsecuredDebtMember2019-12-310001393311psa:EuroDenominatedUnsecuredDebtMember2019-12-310001393311us-gaap:Rev</w:t>
      </w:r>
      <w:r>
        <w:rPr>
          <w:rFonts w:eastAsia="Times New Roman"/>
          <w:vanish/>
        </w:rPr>
        <w:t>olvingCreditFacilityMember2019-04-192019-12-310001393311srt:MinimumMemberus-gaap:RevolvingCreditFacilityMember2019-01-012019-12-310001393311srt:MaximumMemberus-gaap:RevolvingCreditFacilityMember2019-01-012019-12-310001393311us-gaap:RevolvingCreditFacilityM</w:t>
      </w:r>
      <w:r>
        <w:rPr>
          <w:rFonts w:eastAsia="Times New Roman"/>
          <w:vanish/>
        </w:rPr>
        <w:t>ember2019-01-012019-12-310001393311us-gaap:RevolvingCreditFacilityMember2019-01-012019-04-1800013933112018-10-012018-12-3100013933112018-07-012018-09-3000013933112018-04-012018-06-3000013933112018-01-012018-03-3100013933112016-12-310001393311psa:NotePayabl</w:t>
      </w:r>
      <w:r>
        <w:rPr>
          <w:rFonts w:eastAsia="Times New Roman"/>
          <w:vanish/>
        </w:rPr>
        <w:t>eMember2019-12-310001393311psa:AcquisitionOfSelfStorageFacilitiesMember2019-12-310001393311psa:NationalStorageREITMemberus-gaap:SubsequentEventMember2020-02-140001393311psa:WestLondonMemberpsa:DisposalOfRealEstateMember2018-10-180001393311psa:SelfStorageFa</w:t>
      </w:r>
      <w:r>
        <w:rPr>
          <w:rFonts w:eastAsia="Times New Roman"/>
          <w:vanish/>
        </w:rPr>
        <w:t>cilitiesMemberpsa:OrlandoDaytonaMember2019-12-310001393311psa:SelfStorageFacilitiesMemberpsa:MinneapolisSt.PaulMember2019-12-310001393311psa:SelfStorageFacilitiesMemberpsa:MilwaukeeMember2019-12-310001393311psa:SelfStorageFacilitiesMemberpsa:LosAngelesMemb</w:t>
      </w:r>
      <w:r>
        <w:rPr>
          <w:rFonts w:eastAsia="Times New Roman"/>
          <w:vanish/>
        </w:rPr>
        <w:t>er2019-12-310001393311psa:SelfStorageFacilitiesMemberpsa:DenverMember2019-12-310001393311psa:SelfStorageFacilitiesMemberpsa:AtlantaMember2019-12-310001393311us-gaap:ParentMember2018-01-012018-12-310001393311us-gaap:AdditionalPaidInCapitalMember2018-01-0120</w:t>
      </w:r>
      <w:r>
        <w:rPr>
          <w:rFonts w:eastAsia="Times New Roman"/>
          <w:vanish/>
        </w:rPr>
        <w:t>18-12-310001393311us-gaap:RestrictedStockUnitsRSUMember2019-12-310001393311us-gaap:RestrictedStockUnitsRSUMember2018-12-310001393311us-gaap:RestrictedStockUnitsRSUMember2017-12-310001393311us-gaap:RestrictedStockUnitsRSUMember2016-12-310001393311us-gaap:Re</w:t>
      </w:r>
      <w:r>
        <w:rPr>
          <w:rFonts w:eastAsia="Times New Roman"/>
          <w:vanish/>
        </w:rPr>
        <w:t>strictedStockUnitsRSUMember2019-01-012019-12-310001393311us-gaap:RestrictedStockUnitsRSUMember2018-01-012018-12-310001393311psa:SeriesHSeriesISeriesJAndSeriesKPreferredStockMember2019-01-012019-12-310001393311psa:SeriesFAndGPreferredStockMember2017-01-0120</w:t>
      </w:r>
      <w:r>
        <w:rPr>
          <w:rFonts w:eastAsia="Times New Roman"/>
          <w:vanish/>
        </w:rPr>
        <w:t>17-12-310001393311us-gaap:NoncontrollingInterestMember2019-12-310001393311country:US2019-12-310001393311psa:EuroDenominatedUnsecuredDebtMember2019-01-012019-12-310001393311psa:U.s.DollarDenominatedUnsecuredDebtMember2017-09-182017-09-180001393311stpr:TNus-</w:t>
      </w:r>
      <w:r>
        <w:rPr>
          <w:rFonts w:eastAsia="Times New Roman"/>
          <w:vanish/>
        </w:rPr>
        <w:t>gaap:SubsequentEventMember2020-02-250001393311stpr:OHus-gaap:SubsequentEventMember2020-02-250001393311stpr:NYus-gaap:SubsequentEventMember2020-02-250001393311stpr:NEus-gaap:SubsequentEventMember2020-02-250001393311stpr:MAus-gaap:SubsequentEventMember2020-0</w:t>
      </w:r>
      <w:r>
        <w:rPr>
          <w:rFonts w:eastAsia="Times New Roman"/>
          <w:vanish/>
        </w:rPr>
        <w:t>2-250001393311stpr:INus-gaap:SubsequentEventMember2020-02-250001393311psa:CaliforniaMemberus-gaap:SubsequentEventMember2020-02-250001393311us-gaap:SubsequentEventMember2020-02-250001393311psa:SecuredByRealEstateFacilitiesMemberus-gaap:MortgagesMember2019-0</w:t>
      </w:r>
      <w:r>
        <w:rPr>
          <w:rFonts w:eastAsia="Times New Roman"/>
          <w:vanish/>
        </w:rPr>
        <w:t>1-012019-12-310001393311psa:NationalStorageREITMemberus-gaap:SubsequentEventMember2020-02-142020-02-140001393311us-gaap:OtherLongTermInvestmentsMember2017-12-312017-12-310001393311us-gaap:SubsequentEventMember2020-01-012020-02-250001393311psa:SelfStorageFa</w:t>
      </w:r>
      <w:r>
        <w:rPr>
          <w:rFonts w:eastAsia="Times New Roman"/>
          <w:vanish/>
        </w:rPr>
        <w:t>cilitiesMemberstpr:NY2019-01-012019-12-310001393311psa:SelfStorageFacilitiesMemberpsa:WichitaMember2019-01-012019-12-310001393311psa:SelfStorageFacilitiesMemberpsa:WestPalmBeachMember2019-01-012019-12-310001393311psa:SelfStorageFacilitiesMemberpsa:Washingt</w:t>
      </w:r>
      <w:r>
        <w:rPr>
          <w:rFonts w:eastAsia="Times New Roman"/>
          <w:vanish/>
        </w:rPr>
        <w:t>onDcMember2019-01-012019-12-310001393311psa:SelfStorageFacilitiesMemberpsa:TucsonMember2019-01-012019-12-310001393311psa:SelfStorageFacilitiesMemberpsa:TopekaMember2019-01-012019-12-310001393311psa:SelfStorageFacilitiesMemberpsa:TampaMember2019-01-012019-1</w:t>
      </w:r>
      <w:r>
        <w:rPr>
          <w:rFonts w:eastAsia="Times New Roman"/>
          <w:vanish/>
        </w:rPr>
        <w:t>2-310001393311psa:SelfStorageFacilitiesMemberpsa:SyracuseMember2019-01-012019-12-310001393311psa:SelfStorageFacilitiesMemberpsa:St.LouisMember2019-01-012019-12-310001393311psa:SelfStorageFacilitiesMemberpsa:SpringfieldHolyokeMember2019-01-012019-12-3100013</w:t>
      </w:r>
      <w:r>
        <w:rPr>
          <w:rFonts w:eastAsia="Times New Roman"/>
          <w:vanish/>
        </w:rPr>
        <w:t>93311psa:SelfStorageFacilitiesMemberpsa:ShreveportMember2019-01-012019-12-310001393311psa:SelfStorageFacilitiesMemberpsa:SeattleTacomaMember2019-01-012019-12-310001393311psa:SelfStorageFacilitiesMemberpsa:SavannahMember2019-01-012019-12-310001393311psa:Sel</w:t>
      </w:r>
      <w:r>
        <w:rPr>
          <w:rFonts w:eastAsia="Times New Roman"/>
          <w:vanish/>
        </w:rPr>
        <w:t>fStorageFacilitiesMemberpsa:SantaBarbaraMember2019-01-012019-12-310001393311psa:SelfStorageFacilitiesMemberpsa:SanFranciscoMember2019-01-012019-12-310001393311psa:SelfStorageFacilitiesMemberpsa:SanDiegoMember2019-01-012019-12-310001393311psa:SelfStorageFac</w:t>
      </w:r>
      <w:r>
        <w:rPr>
          <w:rFonts w:eastAsia="Times New Roman"/>
          <w:vanish/>
        </w:rPr>
        <w:t>ilitiesMemberpsa:SanAntonioMember2019-01-012019-12-310001393311psa:SelfStorageFacilitiesMemberpsa:SaltLakeCityMember2019-01-012019-12-310001393311psa:SelfStorageFacilitiesMemberpsa:SacramentoMember2019-01-012019-12-310001393311psa:SelfStorageFacilitiesMemb</w:t>
      </w:r>
      <w:r>
        <w:rPr>
          <w:rFonts w:eastAsia="Times New Roman"/>
          <w:vanish/>
        </w:rPr>
        <w:t>erpsa:RochesterMember2019-01-012019-12-310001393311psa:SelfStorageFacilitiesMemberpsa:RoanokeMember2019-01-012019-12-310001393311psa:SelfStorageFacilitiesMemberpsa:RichmondMember2019-01-012019-12-310001393311psa:SelfStorageFacilitiesMemberpsa:RenoMember201</w:t>
      </w:r>
      <w:r>
        <w:rPr>
          <w:rFonts w:eastAsia="Times New Roman"/>
          <w:vanish/>
        </w:rPr>
        <w:t>9-01-012019-12-310001393311psa:SelfStorageFacilitiesMemberpsa:RaleighMember2019-01-012019-12-310001393311psa:SelfStorageFacilitiesMemberpsa:ProvidenceMember2019-01-012019-12-310001393311psa:SelfStorageFacilitiesMemberpsa:PortlandMember2019-01-012019-12-310</w:t>
      </w:r>
      <w:r>
        <w:rPr>
          <w:rFonts w:eastAsia="Times New Roman"/>
          <w:vanish/>
        </w:rPr>
        <w:t>001393311psa:SelfStorageFacilitiesMemberpsa:PhoenixMember2019-01-012019-12-310001393311psa:SelfStorageFacilitiesMemberpsa:PhiladelphiaMember2019-01-012019-12-310001393311psa:SelfStorageFacilitiesMemberpsa:PalmSpringsMember2019-01-012019-12-310001393311psa:</w:t>
      </w:r>
      <w:r>
        <w:rPr>
          <w:rFonts w:eastAsia="Times New Roman"/>
          <w:vanish/>
        </w:rPr>
        <w:t>SelfStorageFacilitiesMemberpsa:OrlandoDaytonaMember2019-01-012019-12-310001393311psa:SelfStorageFacilitiesMemberpsa:OmahaMember2019-01-012019-12-310001393311psa:SelfStorageFacilitiesMemberpsa:OaklahomaCityMember2019-01-012019-12-310001393311psa:SelfStorage</w:t>
      </w:r>
      <w:r>
        <w:rPr>
          <w:rFonts w:eastAsia="Times New Roman"/>
          <w:vanish/>
        </w:rPr>
        <w:t>FacilitiesMemberpsa:NorfolkMember2019-01-012019-12-310001393311psa:SelfStorageFacilitiesMemberpsa:NewOrleansMember2019-01-012019-12-310001393311psa:SelfStorageFacilitiesMemberpsa:NashvilleBowlingGreenMember2019-01-012019-12-310001393311psa:SelfStorageFacil</w:t>
      </w:r>
      <w:r>
        <w:rPr>
          <w:rFonts w:eastAsia="Times New Roman"/>
          <w:vanish/>
        </w:rPr>
        <w:t>itiesMemberpsa:MontereySalinasMember2019-01-012019-12-310001393311psa:SelfStorageFacilitiesMemberpsa:ModestoFresnoStocktonMember2019-01-012019-12-310001393311psa:SelfStorageFacilitiesMemberpsa:MobileMember2019-01-012019-12-310001393311psa:SelfStorageFacili</w:t>
      </w:r>
      <w:r>
        <w:rPr>
          <w:rFonts w:eastAsia="Times New Roman"/>
          <w:vanish/>
        </w:rPr>
        <w:t>tiesMemberpsa:MinneapolisSt.PaulMember2019-01-012019-12-310001393311psa:SelfStorageFacilitiesMemberpsa:MilwaukeeMember2019-01-012019-12-310001393311psa:SelfStorageFacilitiesMemberpsa:MiamiMember2019-01-012019-12-310001393311psa:SelfStorageFacilitiesMemberp</w:t>
      </w:r>
      <w:r>
        <w:rPr>
          <w:rFonts w:eastAsia="Times New Roman"/>
          <w:vanish/>
        </w:rPr>
        <w:t>sa:MemphisMember2019-01-012019-12-310001393311psa:SelfStorageFacilitiesMemberpsa:LouisvilleMember2019-01-012019-12-310001393311psa:SelfStorageFacilitiesMemberpsa:LosAngelesMember2019-01-012019-12-310001393311psa:SelfStorageFacilitiesMemberpsa:LasVegasMembe</w:t>
      </w:r>
      <w:r>
        <w:rPr>
          <w:rFonts w:eastAsia="Times New Roman"/>
          <w:vanish/>
        </w:rPr>
        <w:t>r2019-01-012019-12-310001393311psa:SelfStorageFacilitiesMemberpsa:LansingMember2019-01-012019-12-310001393311psa:SelfStorageFacilitiesMemberpsa:KansasCityMember2019-01-012019-12-310001393311psa:SelfStorageFacilitiesMemberpsa:JoplinMember2019-01-012019-12-3</w:t>
      </w:r>
      <w:r>
        <w:rPr>
          <w:rFonts w:eastAsia="Times New Roman"/>
          <w:vanish/>
        </w:rPr>
        <w:t>10001393311psa:SelfStorageFacilitiesMemberpsa:JacksonvilleMember2019-01-012019-12-310001393311psa:SelfStorageFacilitiesMemberpsa:IndianapolisMember2019-01-012019-12-310001393311psa:SelfStorageFacilitiesMemberpsa:HuntsvilleDecaturMember2019-01-012019-12-310</w:t>
      </w:r>
      <w:r>
        <w:rPr>
          <w:rFonts w:eastAsia="Times New Roman"/>
          <w:vanish/>
        </w:rPr>
        <w:t>001393311psa:SelfStorageFacilitiesMemberpsa:HoustonMember2019-01-012019-12-310001393311psa:SelfStorageFacilitiesMemberpsa:HonoluluMember2019-01-012019-12-310001393311psa:SelfStorageFacilitiesMemberpsa:HartfordNewHavenMember2019-01-012019-12-310001393311psa</w:t>
      </w:r>
      <w:r>
        <w:rPr>
          <w:rFonts w:eastAsia="Times New Roman"/>
          <w:vanish/>
        </w:rPr>
        <w:t>:SelfStorageFacilitiesMemberpsa:GreensvilleSpartanburgAshevilleMember2019-01-012019-12-310001393311psa:SelfStorageFacilitiesMemberpsa:GreensboroMember2019-01-012019-12-310001393311psa:SelfStorageFacilitiesMemberpsa:FortWayneMember2019-01-012019-12-31000139</w:t>
      </w:r>
      <w:r>
        <w:rPr>
          <w:rFonts w:eastAsia="Times New Roman"/>
          <w:vanish/>
        </w:rPr>
        <w:t>3311psa:SelfStorageFacilitiesMemberpsa:FortMyersNaplesMember2019-01-012019-12-310001393311psa:SelfStorageFacilitiesMemberpsa:FlintMember2019-01-012019-12-310001393311psa:SelfStorageFacilitiesMemberpsa:EvansvilleMember2019-01-012019-12-310001393311psa:SelfS</w:t>
      </w:r>
      <w:r>
        <w:rPr>
          <w:rFonts w:eastAsia="Times New Roman"/>
          <w:vanish/>
        </w:rPr>
        <w:t>torageFacilitiesMemberpsa:DetroitMember2019-01-012019-12-310001393311psa:SelfStorageFacilitiesMemberpsa:DenverMember2019-01-012019-12-310001393311psa:SelfStorageFacilitiesMemberpsa:DaytonMember2019-01-012019-12-310001393311psa:SelfStorageFacilitiesMemberps</w:t>
      </w:r>
      <w:r>
        <w:rPr>
          <w:rFonts w:eastAsia="Times New Roman"/>
          <w:vanish/>
        </w:rPr>
        <w:t>a:DallasFt.WorthMember2019-01-012019-12-310001393311psa:SelfStorageFacilitiesMemberpsa:ColumbusMember2019-01-012019-12-310001393311psa:SelfStorageFacilitiesMemberpsa:ColumbiaMember2019-01-012019-12-310001393311psa:SelfStorageFacilitiesMemberpsa:ColoradoSpr</w:t>
      </w:r>
      <w:r>
        <w:rPr>
          <w:rFonts w:eastAsia="Times New Roman"/>
          <w:vanish/>
        </w:rPr>
        <w:t>ingsMember2019-01-012019-12-310001393311psa:SelfStorageFacilitiesMemberpsa:ClevelandAkronMember2019-01-012019-12-310001393311psa:SelfStorageFacilitiesMemberpsa:CincinnatiMember2019-01-012019-12-310001393311psa:SelfStorageFacilitiesMemberpsa:ChicagoMember20</w:t>
      </w:r>
      <w:r>
        <w:rPr>
          <w:rFonts w:eastAsia="Times New Roman"/>
          <w:vanish/>
        </w:rPr>
        <w:t>19-01-012019-12-310001393311psa:SelfStorageFacilitiesMemberpsa:ChattanoogaMember2019-01-012019-12-310001393311psa:SelfStorageFacilitiesMemberpsa:CharlotteMember2019-01-012019-12-310001393311psa:SelfStorageFacilitiesMemberpsa:CharlestonMember2019-01-012019-</w:t>
      </w:r>
      <w:r>
        <w:rPr>
          <w:rFonts w:eastAsia="Times New Roman"/>
          <w:vanish/>
        </w:rPr>
        <w:t>12-310001393311psa:SelfStorageFacilitiesMemberpsa:BuffaloRochesterMember2019-01-012019-12-310001393311psa:SelfStorageFacilitiesMemberpsa:BostonMember2019-01-012019-12-310001393311psa:SelfStorageFacilitiesMemberpsa:BirminghamMember2019-01-012019-12-31000139</w:t>
      </w:r>
      <w:r>
        <w:rPr>
          <w:rFonts w:eastAsia="Times New Roman"/>
          <w:vanish/>
        </w:rPr>
        <w:t>3311psa:SelfStorageFacilitiesMemberpsa:BaltimoreMember2019-01-012019-12-310001393311psa:SelfStorageFacilitiesMemberpsa:AustinMember2019-01-012019-12-310001393311psa:SelfStorageFacilitiesMemberpsa:AugustaMember2019-01-012019-12-310001393311psa:SelfStorageFa</w:t>
      </w:r>
      <w:r>
        <w:rPr>
          <w:rFonts w:eastAsia="Times New Roman"/>
          <w:vanish/>
        </w:rPr>
        <w:t>cilitiesMemberpsa:AtlantaMember2019-01-012019-12-310001393311psa:PublicStorageMemberpsa:CommercialAndRetailSpaceMember2019-01-012019-12-310001393311psa:AcquisitionOfSelfStorageFacilitiesMember2019-01-012019-12-310001393311psa:AcquisitionOfCommercialFacilit</w:t>
      </w:r>
      <w:r>
        <w:rPr>
          <w:rFonts w:eastAsia="Times New Roman"/>
          <w:vanish/>
        </w:rPr>
        <w:t>yMember2019-01-012019-12-310001393311psa:AcquisitionOfSelfStorageFacilitiesMember2018-01-012018-12-310001393311psa:AcquisitionOfSelfStorageFacilitiesMember2017-12-312017-12-310001393311psa:AcquisitionOfSelfStorageFacilitiesFromThirdPartiesMember2017-01-012</w:t>
      </w:r>
      <w:r>
        <w:rPr>
          <w:rFonts w:eastAsia="Times New Roman"/>
          <w:vanish/>
        </w:rPr>
        <w:t>017-12-310001393311psa:SecuredByRealEstateFacilitiesMemberus-gaap:MortgagesMember2019-12-310001393311us-gaap:UnsecuredDebtMember2019-12-310001393311us-gaap:NotesPayableToBanksMember2019-12-310001393311us-gaap:MortgagesMember2019-12-310001393311psa:PSBusine</w:t>
      </w:r>
      <w:r>
        <w:rPr>
          <w:rFonts w:eastAsia="Times New Roman"/>
          <w:vanish/>
        </w:rPr>
        <w:t>ssParksMember2018-12-310001393311psa:PSBusinessParksMember2017-12-310001393311psa:ShurgardSelfStorageSaMember2018-12-310001393311us-gaap:RestrictedStockUnitsRSUMember2017-01-012017-12-310001393311us-gaap:EmployeeStockOptionMember2017-01-012017-12-310001393</w:t>
      </w:r>
      <w:r>
        <w:rPr>
          <w:rFonts w:eastAsia="Times New Roman"/>
          <w:vanish/>
        </w:rPr>
        <w:t>311psa:OtherItemsNotAllocatedToSegmentsMember2019-01-012019-12-310001393311psa:OtherItemsNotAllocatedToSegmentsMember2018-01-012018-12-310001393311psa:OtherItemsNotAllocatedToSegmentsMember2017-01-012017-12-310001393311srt:MinimumMemberpsa:U.s.DollarDenomi</w:t>
      </w:r>
      <w:r>
        <w:rPr>
          <w:rFonts w:eastAsia="Times New Roman"/>
          <w:vanish/>
        </w:rPr>
        <w:t>natedUnsecuredDebtMember2019-01-012019-12-3100013933112019-10-012019-12-3100013933112019-07-012019-09-3000013933112019-04-012019-06-3000013933112019-01-012019-03-310001393311psa:PublicStorageMember2019-01-012019-12-310001393311psa:MaximumCovenantMemberpsa:</w:t>
      </w:r>
      <w:r>
        <w:rPr>
          <w:rFonts w:eastAsia="Times New Roman"/>
          <w:vanish/>
        </w:rPr>
        <w:t>U.s.DollarDenominatedUnsecuredDebtMember2019-01-012019-12-310001393311psa:U.s.DollarDenominatedUnsecuredDebtMember2019-01-012019-12-310001393311us-gaap:NoncontrollingInterestMember2018-01-012018-12-310001393311psa:ShurgardSelfStorageSaMember2019-12-3100013</w:t>
      </w:r>
      <w:r>
        <w:rPr>
          <w:rFonts w:eastAsia="Times New Roman"/>
          <w:vanish/>
        </w:rPr>
        <w:t>93311psa:PSBusinessParksMember2019-12-310001393311psa:ShurgardSelfStorageSaMember2019-01-012019-12-310001393311psa:ShurgardSelfStorageSaMember2018-01-012018-12-310001393311psa:ShurgardSelfStorageSaMember2017-01-012017-12-310001393311psa:PSBusinessParksMemb</w:t>
      </w:r>
      <w:r>
        <w:rPr>
          <w:rFonts w:eastAsia="Times New Roman"/>
          <w:vanish/>
        </w:rPr>
        <w:t>er2019-01-012019-12-310001393311psa:PSBusinessParksMember2018-01-012018-12-310001393311psa:PSBusinessParksMember2017-01-012017-12-310001393311us-gaap:EmployeeStockOptionMember2019-01-012019-12-310001393311psa:ExpansionProjectsMemberpsa:CompletedDevelopment</w:t>
      </w:r>
      <w:r>
        <w:rPr>
          <w:rFonts w:eastAsia="Times New Roman"/>
          <w:vanish/>
        </w:rPr>
        <w:t>AndExpansionProjectMember2019-01-012019-12-310001393311psa:DevelopmentAndRedevelopmentMember2018-01-012018-12-310001393311psa:DevelopmentAndRedevelopmentMember2017-01-012017-12-310001393311us-gaap:ParentMember2019-01-012019-12-310001393311us-gaap:Noncontro</w:t>
      </w:r>
      <w:r>
        <w:rPr>
          <w:rFonts w:eastAsia="Times New Roman"/>
          <w:vanish/>
        </w:rPr>
        <w:t>llingInterestMember2019-01-012019-12-310001393311us-gaap:AdditionalPaidInCapitalMember2019-01-012019-12-310001393311us-gaap:ParentMember2017-01-012017-12-310001393311us-gaap:NoncontrollingInterestMember2017-01-012017-12-310001393311us-gaap:AdditionalPaidIn</w:t>
      </w:r>
      <w:r>
        <w:rPr>
          <w:rFonts w:eastAsia="Times New Roman"/>
          <w:vanish/>
        </w:rPr>
        <w:t>CapitalMember2017-01-012017-12-3100013933112019-12-3100013933112018-12-3100013933112017-12-3100013933112018-01-012018-12-3100013933112017-01-012017-12-310001393311us-gaap:SeriesHPreferredStockMember2019-01-012019-12-310001393311us-gaap:SeriesGPreferredStoc</w:t>
      </w:r>
      <w:r>
        <w:rPr>
          <w:rFonts w:eastAsia="Times New Roman"/>
          <w:vanish/>
        </w:rPr>
        <w:t>kMember2019-01-012019-12-310001393311us-gaap:SeriesFPreferredStockMember2019-01-012019-12-310001393311us-gaap:SeriesEPreferredStockMember2019-01-012019-12-310001393311us-gaap:SeriesDPreferredStockMember2019-01-012019-12-310001393311us-gaap:SeriesCPreferred</w:t>
      </w:r>
      <w:r>
        <w:rPr>
          <w:rFonts w:eastAsia="Times New Roman"/>
          <w:vanish/>
        </w:rPr>
        <w:t>StockMember2019-01-012019-12-310001393311us-gaap:SeriesBPreferredStockMember2019-01-012019-12-310001393311us-gaap:CommonStockMember2019-01-012019-12-310001393311psa:SeriesXPreferredStockMember2019-01-012019-12-310001393311psa:SeriesWPreferredStockMember201</w:t>
      </w:r>
      <w:r>
        <w:rPr>
          <w:rFonts w:eastAsia="Times New Roman"/>
          <w:vanish/>
        </w:rPr>
        <w:t>9-01-012019-12-310001393311psa:SeriesVPreferredStockMember2019-01-012019-12-310001393311psa:SeriesKPreferredStockMember2019-01-012019-12-310001393311psa:SeriesJPreferredStockMember2019-01-012019-12-310001393311psa:SeriesIPreferredStockMember2019-01-012019-</w:t>
      </w:r>
      <w:r>
        <w:rPr>
          <w:rFonts w:eastAsia="Times New Roman"/>
          <w:vanish/>
        </w:rPr>
        <w:t>12-310001393311psa:NotesDue2032Member2019-01-012019-12-3100013933112019-06-3000013933112020-02-2100013933112019-01-012019-12-31psa:statepsa:countryiso4217:USDiso4217:EURiso4217:EURiso4217:AUDxbrli:sharespsa:itemiso4217:EURxbrli:sharesiso4217:USDxbrli:share</w:t>
      </w:r>
      <w:r>
        <w:rPr>
          <w:rFonts w:eastAsia="Times New Roman"/>
          <w:vanish/>
        </w:rPr>
        <w:t>sxbrli:pureutr:sqftiso4217:USDxbrli:shares</w:t>
      </w:r>
    </w:p>
    <w:p w:rsidR="00000000" w:rsidRDefault="00865332">
      <w:pPr>
        <w:pStyle w:val="a3"/>
        <w:spacing w:before="0" w:beforeAutospacing="0" w:after="0" w:afterAutospacing="0" w:line="259" w:lineRule="auto"/>
        <w:jc w:val="center"/>
        <w:divId w:val="462775992"/>
        <w:rPr>
          <w:sz w:val="20"/>
          <w:szCs w:val="20"/>
        </w:rPr>
      </w:pPr>
      <w:r>
        <w:rPr>
          <w:b/>
          <w:bCs/>
          <w:sz w:val="20"/>
          <w:szCs w:val="20"/>
        </w:rPr>
        <w:t>UNITED STATES SECURITIES AND EXCHANGE COMMISSIO</w:t>
      </w:r>
      <w:r>
        <w:rPr>
          <w:b/>
          <w:bCs/>
          <w:sz w:val="20"/>
          <w:szCs w:val="20"/>
        </w:rPr>
        <w:t>N</w:t>
      </w:r>
    </w:p>
    <w:p w:rsidR="00000000" w:rsidRDefault="00865332">
      <w:pPr>
        <w:pStyle w:val="a3"/>
        <w:spacing w:before="0" w:beforeAutospacing="0" w:after="0" w:afterAutospacing="0" w:line="259" w:lineRule="auto"/>
        <w:jc w:val="center"/>
        <w:divId w:val="462775992"/>
        <w:rPr>
          <w:sz w:val="20"/>
          <w:szCs w:val="20"/>
        </w:rPr>
      </w:pPr>
      <w:r>
        <w:rPr>
          <w:b/>
          <w:bCs/>
          <w:sz w:val="20"/>
          <w:szCs w:val="20"/>
        </w:rPr>
        <w:t>WASHINGTON, D.C. 2054</w:t>
      </w:r>
      <w:r>
        <w:rPr>
          <w:b/>
          <w:bCs/>
          <w:sz w:val="20"/>
          <w:szCs w:val="20"/>
        </w:rPr>
        <w:t>9</w:t>
      </w:r>
    </w:p>
    <w:p w:rsidR="00000000" w:rsidRDefault="00865332">
      <w:pPr>
        <w:pStyle w:val="a3"/>
        <w:spacing w:before="0" w:beforeAutospacing="0" w:after="0" w:afterAutospacing="0" w:line="259" w:lineRule="auto"/>
        <w:jc w:val="center"/>
        <w:divId w:val="462775992"/>
        <w:rPr>
          <w:sz w:val="28"/>
          <w:szCs w:val="28"/>
        </w:rPr>
      </w:pPr>
      <w:r>
        <w:rPr>
          <w:b/>
          <w:bCs/>
          <w:sz w:val="28"/>
          <w:szCs w:val="28"/>
        </w:rPr>
        <w:t>FORM</w:t>
      </w:r>
      <w:r>
        <w:rPr>
          <w:b/>
          <w:bCs/>
          <w:sz w:val="28"/>
          <w:szCs w:val="28"/>
        </w:rPr>
        <w:t xml:space="preserve"> </w:t>
      </w:r>
      <w:r>
        <w:rPr>
          <w:b/>
          <w:bCs/>
          <w:sz w:val="28"/>
          <w:szCs w:val="28"/>
        </w:rPr>
        <w:t>10-</w:t>
      </w:r>
      <w:r>
        <w:rPr>
          <w:b/>
          <w:bCs/>
          <w:sz w:val="28"/>
          <w:szCs w:val="28"/>
        </w:rPr>
        <w:t>K</w:t>
      </w:r>
      <w:r>
        <w:rPr>
          <w:b/>
          <w:bCs/>
          <w:sz w:val="28"/>
          <w:szCs w:val="28"/>
        </w:rPr>
        <w:t xml:space="preserve"> </w:t>
      </w:r>
    </w:p>
    <w:p w:rsidR="00000000" w:rsidRDefault="00865332">
      <w:pPr>
        <w:pStyle w:val="a3"/>
        <w:spacing w:before="0" w:beforeAutospacing="0" w:after="0" w:afterAutospacing="0" w:line="259" w:lineRule="auto"/>
        <w:ind w:left="360" w:hanging="360"/>
        <w:jc w:val="center"/>
        <w:divId w:val="462775992"/>
        <w:rPr>
          <w:sz w:val="20"/>
          <w:szCs w:val="20"/>
        </w:rPr>
      </w:pPr>
      <w:r>
        <w:rPr>
          <w:b/>
          <w:bCs/>
          <w:sz w:val="20"/>
          <w:szCs w:val="20"/>
        </w:rPr>
        <w:t>[X</w:t>
      </w:r>
      <w:r>
        <w:rPr>
          <w:b/>
          <w:bCs/>
          <w:sz w:val="20"/>
          <w:szCs w:val="20"/>
        </w:rPr>
        <w:t>]</w:t>
      </w:r>
      <w:r>
        <w:rPr>
          <w:b/>
          <w:bCs/>
          <w:sz w:val="20"/>
          <w:szCs w:val="20"/>
        </w:rPr>
        <w:t xml:space="preserve"> Annual Report Pursuant to Section 13 or 15(d) of the Securities Exchange Act of 193</w:t>
      </w:r>
      <w:r>
        <w:rPr>
          <w:b/>
          <w:bCs/>
          <w:sz w:val="20"/>
          <w:szCs w:val="20"/>
        </w:rPr>
        <w:t>4</w:t>
      </w:r>
    </w:p>
    <w:p w:rsidR="00000000" w:rsidRDefault="00865332">
      <w:pPr>
        <w:pStyle w:val="a3"/>
        <w:spacing w:before="0" w:beforeAutospacing="0" w:after="0" w:afterAutospacing="0" w:line="259" w:lineRule="auto"/>
        <w:ind w:left="360"/>
        <w:jc w:val="center"/>
        <w:divId w:val="462775992"/>
        <w:rPr>
          <w:sz w:val="20"/>
          <w:szCs w:val="20"/>
        </w:rPr>
      </w:pPr>
      <w:r>
        <w:rPr>
          <w:b/>
          <w:bCs/>
          <w:sz w:val="20"/>
          <w:szCs w:val="20"/>
        </w:rPr>
        <w:t>For the fiscal year ended</w:t>
      </w:r>
      <w:r>
        <w:rPr>
          <w:b/>
          <w:bCs/>
          <w:sz w:val="20"/>
          <w:szCs w:val="20"/>
        </w:rPr>
        <w:t xml:space="preserve"> </w:t>
      </w:r>
      <w:r>
        <w:rPr>
          <w:b/>
          <w:bCs/>
          <w:sz w:val="20"/>
          <w:szCs w:val="20"/>
        </w:rPr>
        <w:t>December 3</w:t>
      </w:r>
      <w:r>
        <w:rPr>
          <w:b/>
          <w:bCs/>
          <w:sz w:val="20"/>
          <w:szCs w:val="20"/>
        </w:rPr>
        <w:t>1</w:t>
      </w:r>
      <w:r>
        <w:rPr>
          <w:b/>
          <w:bCs/>
          <w:sz w:val="20"/>
          <w:szCs w:val="20"/>
        </w:rPr>
        <w:t>,</w:t>
      </w:r>
      <w:r>
        <w:rPr>
          <w:b/>
          <w:bCs/>
          <w:sz w:val="20"/>
          <w:szCs w:val="20"/>
        </w:rPr>
        <w:t xml:space="preserve"> </w:t>
      </w:r>
      <w:r>
        <w:rPr>
          <w:b/>
          <w:bCs/>
          <w:sz w:val="20"/>
          <w:szCs w:val="20"/>
        </w:rPr>
        <w:t>20</w:t>
      </w:r>
      <w:r>
        <w:rPr>
          <w:b/>
          <w:bCs/>
          <w:sz w:val="20"/>
          <w:szCs w:val="20"/>
        </w:rPr>
        <w:t>1</w:t>
      </w:r>
      <w:r>
        <w:rPr>
          <w:b/>
          <w:bCs/>
          <w:sz w:val="20"/>
          <w:szCs w:val="20"/>
        </w:rPr>
        <w:t>9</w:t>
      </w:r>
      <w:r>
        <w:rPr>
          <w:b/>
          <w:bCs/>
          <w:sz w:val="20"/>
          <w:szCs w:val="20"/>
        </w:rPr>
        <w:t>.</w:t>
      </w:r>
    </w:p>
    <w:p w:rsidR="00000000" w:rsidRDefault="00865332">
      <w:pPr>
        <w:pStyle w:val="a3"/>
        <w:spacing w:before="0" w:beforeAutospacing="0" w:after="0" w:afterAutospacing="0" w:line="259" w:lineRule="auto"/>
        <w:ind w:left="360" w:hanging="360"/>
        <w:jc w:val="center"/>
        <w:divId w:val="462775992"/>
        <w:rPr>
          <w:sz w:val="20"/>
          <w:szCs w:val="20"/>
        </w:rPr>
      </w:pPr>
      <w:r>
        <w:rPr>
          <w:sz w:val="20"/>
          <w:szCs w:val="20"/>
        </w:rPr>
        <w:t>o</w:t>
      </w:r>
      <w:r>
        <w:rPr>
          <w:sz w:val="20"/>
          <w:szCs w:val="20"/>
        </w:rPr>
        <w:t>r</w:t>
      </w:r>
    </w:p>
    <w:p w:rsidR="00000000" w:rsidRDefault="00865332">
      <w:pPr>
        <w:pStyle w:val="a3"/>
        <w:spacing w:before="0" w:beforeAutospacing="0" w:after="0" w:afterAutospacing="0" w:line="259" w:lineRule="auto"/>
        <w:ind w:left="360" w:hanging="360"/>
        <w:jc w:val="center"/>
        <w:divId w:val="462775992"/>
        <w:rPr>
          <w:sz w:val="20"/>
          <w:szCs w:val="20"/>
        </w:rPr>
      </w:pPr>
      <w:r>
        <w:rPr>
          <w:b/>
          <w:bCs/>
          <w:sz w:val="20"/>
          <w:szCs w:val="20"/>
        </w:rPr>
        <w:t xml:space="preserve">[ </w:t>
      </w:r>
      <w:r>
        <w:rPr>
          <w:b/>
          <w:bCs/>
          <w:sz w:val="20"/>
          <w:szCs w:val="20"/>
        </w:rPr>
        <w:t>]</w:t>
      </w:r>
      <w:r>
        <w:rPr>
          <w:b/>
          <w:bCs/>
          <w:sz w:val="20"/>
          <w:szCs w:val="20"/>
        </w:rPr>
        <w:t xml:space="preserve"> Transition Report Pursuant to Section 13 or 15(d) of the Securities Exchange Act of 193</w:t>
      </w:r>
      <w:r>
        <w:rPr>
          <w:b/>
          <w:bCs/>
          <w:sz w:val="20"/>
          <w:szCs w:val="20"/>
        </w:rPr>
        <w:t>4</w:t>
      </w:r>
    </w:p>
    <w:p w:rsidR="00000000" w:rsidRDefault="00865332">
      <w:pPr>
        <w:pStyle w:val="a3"/>
        <w:spacing w:before="0" w:beforeAutospacing="0" w:after="0" w:afterAutospacing="0" w:line="259" w:lineRule="auto"/>
        <w:ind w:left="360"/>
        <w:jc w:val="center"/>
        <w:divId w:val="462775992"/>
        <w:rPr>
          <w:sz w:val="20"/>
          <w:szCs w:val="20"/>
        </w:rPr>
      </w:pPr>
      <w:r>
        <w:rPr>
          <w:b/>
          <w:bCs/>
          <w:sz w:val="20"/>
          <w:szCs w:val="20"/>
        </w:rPr>
        <w:t>For the transition period from</w:t>
      </w:r>
      <w:r>
        <w:rPr>
          <w:b/>
          <w:bCs/>
          <w:sz w:val="20"/>
          <w:szCs w:val="20"/>
        </w:rPr>
        <w:t xml:space="preserve"> </w:t>
      </w:r>
      <w:r>
        <w:rPr>
          <w:b/>
          <w:bCs/>
          <w:sz w:val="20"/>
          <w:szCs w:val="20"/>
        </w:rPr>
        <w:t>to</w:t>
      </w:r>
      <w:r>
        <w:rPr>
          <w:b/>
          <w:bCs/>
          <w:sz w:val="20"/>
          <w:szCs w:val="20"/>
        </w:rPr>
        <w:t xml:space="preserve"> </w:t>
      </w:r>
      <w:r>
        <w:rPr>
          <w:b/>
          <w:bCs/>
          <w:sz w:val="20"/>
          <w:szCs w:val="20"/>
        </w:rPr>
        <w:t>.</w:t>
      </w:r>
    </w:p>
    <w:p w:rsidR="00000000" w:rsidRDefault="00865332">
      <w:pPr>
        <w:pStyle w:val="a3"/>
        <w:spacing w:before="0" w:beforeAutospacing="0" w:after="0" w:afterAutospacing="0" w:line="259" w:lineRule="auto"/>
        <w:ind w:left="360" w:hanging="360"/>
        <w:jc w:val="center"/>
        <w:divId w:val="462775992"/>
        <w:rPr>
          <w:sz w:val="20"/>
          <w:szCs w:val="20"/>
        </w:rPr>
      </w:pPr>
      <w:r>
        <w:rPr>
          <w:b/>
          <w:bCs/>
          <w:sz w:val="20"/>
          <w:szCs w:val="20"/>
        </w:rPr>
        <w:t>Commission File Number:</w:t>
      </w:r>
      <w:r>
        <w:rPr>
          <w:b/>
          <w:bCs/>
          <w:sz w:val="20"/>
          <w:szCs w:val="20"/>
        </w:rPr>
        <w:t xml:space="preserve"> </w:t>
      </w:r>
      <w:r>
        <w:rPr>
          <w:b/>
          <w:bCs/>
          <w:sz w:val="20"/>
          <w:szCs w:val="20"/>
        </w:rPr>
        <w:t>001-3351</w:t>
      </w:r>
      <w:r>
        <w:rPr>
          <w:b/>
          <w:bCs/>
          <w:sz w:val="20"/>
          <w:szCs w:val="20"/>
        </w:rPr>
        <w:t>9</w:t>
      </w:r>
    </w:p>
    <w:p w:rsidR="00000000" w:rsidRDefault="00865332">
      <w:pPr>
        <w:pStyle w:val="a3"/>
        <w:spacing w:before="0" w:beforeAutospacing="0" w:after="0" w:afterAutospacing="0" w:line="259" w:lineRule="auto"/>
        <w:ind w:left="360" w:hanging="360"/>
        <w:jc w:val="center"/>
        <w:divId w:val="462775992"/>
        <w:rPr>
          <w:sz w:val="28"/>
          <w:szCs w:val="28"/>
        </w:rPr>
      </w:pPr>
      <w:r>
        <w:rPr>
          <w:b/>
          <w:bCs/>
          <w:sz w:val="28"/>
          <w:szCs w:val="28"/>
        </w:rPr>
        <w:t>PUBLIC STORAG</w:t>
      </w:r>
      <w:r>
        <w:rPr>
          <w:b/>
          <w:bCs/>
          <w:sz w:val="28"/>
          <w:szCs w:val="28"/>
        </w:rPr>
        <w:t>E</w:t>
      </w:r>
    </w:p>
    <w:p w:rsidR="00000000" w:rsidRDefault="00865332">
      <w:pPr>
        <w:pStyle w:val="a3"/>
        <w:spacing w:before="0" w:beforeAutospacing="0" w:after="0" w:afterAutospacing="0" w:line="259" w:lineRule="auto"/>
        <w:ind w:left="360" w:hanging="360"/>
        <w:jc w:val="center"/>
        <w:divId w:val="462775992"/>
        <w:rPr>
          <w:sz w:val="20"/>
          <w:szCs w:val="20"/>
        </w:rPr>
      </w:pPr>
      <w:r>
        <w:rPr>
          <w:sz w:val="20"/>
          <w:szCs w:val="20"/>
        </w:rPr>
        <w:t>(</w:t>
      </w:r>
      <w:r>
        <w:rPr>
          <w:i/>
          <w:iCs/>
          <w:sz w:val="20"/>
          <w:szCs w:val="20"/>
        </w:rPr>
        <w:t>Exact name of Registrant as specified in its charter</w:t>
      </w:r>
      <w:r>
        <w:rPr>
          <w:i/>
          <w:iCs/>
          <w:sz w:val="20"/>
          <w:szCs w:val="2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4229"/>
        <w:gridCol w:w="4077"/>
      </w:tblGrid>
      <w:tr w:rsidR="00000000">
        <w:trPr>
          <w:divId w:val="462775992"/>
          <w:trHeight w:val="14"/>
          <w:jc w:val="center"/>
        </w:trPr>
        <w:tc>
          <w:tcPr>
            <w:tcW w:w="4883" w:type="dxa"/>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702"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462775992"/>
          <w:jc w:val="center"/>
        </w:trPr>
        <w:tc>
          <w:tcPr>
            <w:tcW w:w="4883"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ind w:left="360" w:hanging="360"/>
              <w:jc w:val="center"/>
              <w:divId w:val="1461071683"/>
              <w:rPr>
                <w:sz w:val="18"/>
                <w:szCs w:val="18"/>
              </w:rPr>
            </w:pPr>
            <w:r>
              <w:rPr>
                <w:b/>
                <w:bCs/>
                <w:sz w:val="18"/>
                <w:szCs w:val="18"/>
              </w:rPr>
              <w:t>Marylan</w:t>
            </w:r>
            <w:r>
              <w:rPr>
                <w:b/>
                <w:bCs/>
                <w:sz w:val="18"/>
                <w:szCs w:val="18"/>
              </w:rPr>
              <w:t>d</w:t>
            </w:r>
          </w:p>
        </w:tc>
        <w:tc>
          <w:tcPr>
            <w:tcW w:w="4702"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ind w:left="360" w:hanging="360"/>
              <w:jc w:val="center"/>
              <w:divId w:val="1065487928"/>
              <w:rPr>
                <w:sz w:val="18"/>
                <w:szCs w:val="18"/>
              </w:rPr>
            </w:pPr>
            <w:r>
              <w:rPr>
                <w:b/>
                <w:bCs/>
                <w:sz w:val="18"/>
                <w:szCs w:val="18"/>
              </w:rPr>
              <w:t>95-355112</w:t>
            </w:r>
            <w:r>
              <w:rPr>
                <w:b/>
                <w:bCs/>
                <w:sz w:val="18"/>
                <w:szCs w:val="18"/>
              </w:rPr>
              <w:t>1</w:t>
            </w:r>
          </w:p>
        </w:tc>
      </w:tr>
      <w:tr w:rsidR="00000000">
        <w:trPr>
          <w:divId w:val="462775992"/>
          <w:jc w:val="center"/>
        </w:trPr>
        <w:tc>
          <w:tcPr>
            <w:tcW w:w="4883"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ind w:left="360" w:hanging="360"/>
              <w:jc w:val="center"/>
              <w:rPr>
                <w:sz w:val="18"/>
                <w:szCs w:val="18"/>
              </w:rPr>
            </w:pPr>
            <w:r>
              <w:rPr>
                <w:sz w:val="18"/>
                <w:szCs w:val="18"/>
              </w:rPr>
              <w:t>(</w:t>
            </w:r>
            <w:r>
              <w:rPr>
                <w:i/>
                <w:iCs/>
                <w:sz w:val="18"/>
                <w:szCs w:val="18"/>
              </w:rPr>
              <w:t>State or other jurisdiction of incorporation or organizatio</w:t>
            </w:r>
            <w:r>
              <w:rPr>
                <w:i/>
                <w:iCs/>
                <w:sz w:val="18"/>
                <w:szCs w:val="18"/>
              </w:rPr>
              <w:t>n</w:t>
            </w:r>
            <w:r>
              <w:rPr>
                <w:sz w:val="18"/>
                <w:szCs w:val="18"/>
              </w:rPr>
              <w:t>)</w:t>
            </w:r>
          </w:p>
        </w:tc>
        <w:tc>
          <w:tcPr>
            <w:tcW w:w="4702"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ind w:left="360" w:hanging="360"/>
              <w:jc w:val="center"/>
              <w:rPr>
                <w:sz w:val="18"/>
                <w:szCs w:val="18"/>
              </w:rPr>
            </w:pPr>
            <w:r>
              <w:rPr>
                <w:sz w:val="18"/>
                <w:szCs w:val="18"/>
              </w:rPr>
              <w:t>(</w:t>
            </w:r>
            <w:r>
              <w:rPr>
                <w:i/>
                <w:iCs/>
                <w:sz w:val="18"/>
                <w:szCs w:val="18"/>
              </w:rPr>
              <w:t>I.R.S. Employer Identification Numbe</w:t>
            </w:r>
            <w:r>
              <w:rPr>
                <w:i/>
                <w:iCs/>
                <w:sz w:val="18"/>
                <w:szCs w:val="18"/>
              </w:rPr>
              <w:t>r</w:t>
            </w:r>
            <w:r>
              <w:rPr>
                <w:sz w:val="18"/>
                <w:szCs w:val="18"/>
              </w:rPr>
              <w:t>)</w:t>
            </w:r>
          </w:p>
        </w:tc>
      </w:tr>
      <w:tr w:rsidR="00000000">
        <w:trPr>
          <w:divId w:val="462775992"/>
          <w:trHeight w:val="432"/>
          <w:jc w:val="center"/>
        </w:trPr>
        <w:tc>
          <w:tcPr>
            <w:tcW w:w="9585" w:type="dxa"/>
            <w:gridSpan w:val="2"/>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ind w:left="360" w:hanging="360"/>
              <w:jc w:val="center"/>
              <w:divId w:val="2124884207"/>
              <w:rPr>
                <w:sz w:val="18"/>
                <w:szCs w:val="18"/>
              </w:rPr>
            </w:pPr>
            <w:r>
              <w:rPr>
                <w:sz w:val="18"/>
                <w:szCs w:val="18"/>
              </w:rPr>
              <w:br/>
            </w:r>
            <w:r>
              <w:rPr>
                <w:sz w:val="18"/>
                <w:szCs w:val="18"/>
              </w:rPr>
              <w:t>‎</w:t>
            </w:r>
            <w:r>
              <w:rPr>
                <w:b/>
                <w:bCs/>
                <w:sz w:val="18"/>
                <w:szCs w:val="18"/>
              </w:rPr>
              <w:t>701 Western Avenu</w:t>
            </w:r>
            <w:r>
              <w:rPr>
                <w:b/>
                <w:bCs/>
                <w:sz w:val="18"/>
                <w:szCs w:val="18"/>
              </w:rPr>
              <w:t>e</w:t>
            </w:r>
            <w:r>
              <w:rPr>
                <w:b/>
                <w:bCs/>
                <w:sz w:val="18"/>
                <w:szCs w:val="18"/>
              </w:rPr>
              <w:t>,</w:t>
            </w:r>
            <w:r>
              <w:rPr>
                <w:b/>
                <w:bCs/>
                <w:sz w:val="18"/>
                <w:szCs w:val="18"/>
              </w:rPr>
              <w:t xml:space="preserve"> </w:t>
            </w:r>
            <w:r>
              <w:rPr>
                <w:b/>
                <w:bCs/>
                <w:sz w:val="18"/>
                <w:szCs w:val="18"/>
              </w:rPr>
              <w:t>Glendal</w:t>
            </w:r>
            <w:r>
              <w:rPr>
                <w:b/>
                <w:bCs/>
                <w:sz w:val="18"/>
                <w:szCs w:val="18"/>
              </w:rPr>
              <w:t>e</w:t>
            </w:r>
            <w:r>
              <w:rPr>
                <w:b/>
                <w:bCs/>
                <w:sz w:val="18"/>
                <w:szCs w:val="18"/>
              </w:rPr>
              <w:t>,</w:t>
            </w:r>
            <w:r>
              <w:rPr>
                <w:b/>
                <w:bCs/>
                <w:sz w:val="18"/>
                <w:szCs w:val="18"/>
              </w:rPr>
              <w:t xml:space="preserve"> </w:t>
            </w:r>
            <w:r>
              <w:rPr>
                <w:b/>
                <w:bCs/>
                <w:sz w:val="18"/>
                <w:szCs w:val="18"/>
              </w:rPr>
              <w:t>Californi</w:t>
            </w:r>
            <w:r>
              <w:rPr>
                <w:b/>
                <w:bCs/>
                <w:sz w:val="18"/>
                <w:szCs w:val="18"/>
              </w:rPr>
              <w:t>a</w:t>
            </w:r>
            <w:r>
              <w:rPr>
                <w:b/>
                <w:bCs/>
                <w:sz w:val="18"/>
                <w:szCs w:val="18"/>
              </w:rPr>
              <w:t xml:space="preserve"> </w:t>
            </w:r>
            <w:r>
              <w:rPr>
                <w:b/>
                <w:bCs/>
                <w:sz w:val="18"/>
                <w:szCs w:val="18"/>
              </w:rPr>
              <w:t>91201-234</w:t>
            </w:r>
            <w:r>
              <w:rPr>
                <w:b/>
                <w:bCs/>
                <w:sz w:val="18"/>
                <w:szCs w:val="18"/>
              </w:rPr>
              <w:t>9</w:t>
            </w:r>
          </w:p>
          <w:p w:rsidR="00000000" w:rsidRDefault="00865332">
            <w:pPr>
              <w:pStyle w:val="a3"/>
              <w:spacing w:before="0" w:beforeAutospacing="0" w:after="0" w:afterAutospacing="0" w:line="276" w:lineRule="auto"/>
              <w:ind w:left="360" w:hanging="360"/>
              <w:jc w:val="center"/>
              <w:rPr>
                <w:sz w:val="18"/>
                <w:szCs w:val="18"/>
              </w:rPr>
            </w:pPr>
            <w:r>
              <w:rPr>
                <w:sz w:val="18"/>
                <w:szCs w:val="18"/>
              </w:rPr>
              <w:t>(</w:t>
            </w:r>
            <w:r>
              <w:rPr>
                <w:i/>
                <w:iCs/>
                <w:sz w:val="18"/>
                <w:szCs w:val="18"/>
              </w:rPr>
              <w:t>Address of principal executive office</w:t>
            </w:r>
            <w:r>
              <w:rPr>
                <w:i/>
                <w:iCs/>
                <w:sz w:val="18"/>
                <w:szCs w:val="18"/>
              </w:rPr>
              <w:t>s</w:t>
            </w:r>
            <w:r>
              <w:rPr>
                <w:sz w:val="18"/>
                <w:szCs w:val="18"/>
              </w:rPr>
              <w:t xml:space="preserve">) </w:t>
            </w:r>
            <w:r>
              <w:rPr>
                <w:sz w:val="18"/>
                <w:szCs w:val="18"/>
              </w:rPr>
              <w:t>(</w:t>
            </w:r>
            <w:r>
              <w:rPr>
                <w:i/>
                <w:iCs/>
                <w:sz w:val="18"/>
                <w:szCs w:val="18"/>
              </w:rPr>
              <w:t>Zip Cod</w:t>
            </w:r>
            <w:r>
              <w:rPr>
                <w:i/>
                <w:iCs/>
                <w:sz w:val="18"/>
                <w:szCs w:val="18"/>
              </w:rPr>
              <w:t>e</w:t>
            </w:r>
            <w:r>
              <w:rPr>
                <w:sz w:val="18"/>
                <w:szCs w:val="18"/>
              </w:rPr>
              <w:t>)</w:t>
            </w:r>
            <w:r>
              <w:rPr>
                <w:sz w:val="18"/>
                <w:szCs w:val="18"/>
              </w:rPr>
              <w:t xml:space="preserve"> </w:t>
            </w:r>
          </w:p>
        </w:tc>
      </w:tr>
    </w:tbl>
    <w:p w:rsidR="00000000" w:rsidRDefault="00865332">
      <w:pPr>
        <w:pStyle w:val="a3"/>
        <w:spacing w:before="0" w:beforeAutospacing="0" w:after="0" w:afterAutospacing="0" w:line="259" w:lineRule="auto"/>
        <w:ind w:left="360" w:hanging="360"/>
        <w:jc w:val="center"/>
        <w:divId w:val="462775992"/>
        <w:rPr>
          <w:sz w:val="20"/>
          <w:szCs w:val="20"/>
        </w:rPr>
      </w:pPr>
      <w:r>
        <w:rPr>
          <w:sz w:val="20"/>
          <w:szCs w:val="20"/>
        </w:rPr>
        <w:t>(</w:t>
      </w:r>
      <w:r>
        <w:rPr>
          <w:sz w:val="20"/>
          <w:szCs w:val="20"/>
        </w:rPr>
        <w:t>81</w:t>
      </w:r>
      <w:r>
        <w:rPr>
          <w:sz w:val="20"/>
          <w:szCs w:val="20"/>
        </w:rPr>
        <w:t>8</w:t>
      </w:r>
      <w:r>
        <w:rPr>
          <w:sz w:val="20"/>
          <w:szCs w:val="20"/>
        </w:rPr>
        <w:t>)</w:t>
      </w:r>
      <w:r>
        <w:rPr>
          <w:sz w:val="20"/>
          <w:szCs w:val="20"/>
        </w:rPr>
        <w:t xml:space="preserve"> </w:t>
      </w:r>
      <w:r>
        <w:rPr>
          <w:sz w:val="20"/>
          <w:szCs w:val="20"/>
        </w:rPr>
        <w:t>244-808</w:t>
      </w:r>
      <w:r>
        <w:rPr>
          <w:sz w:val="20"/>
          <w:szCs w:val="20"/>
        </w:rPr>
        <w:t>0</w:t>
      </w:r>
    </w:p>
    <w:p w:rsidR="00000000" w:rsidRDefault="00865332">
      <w:pPr>
        <w:pStyle w:val="a3"/>
        <w:spacing w:before="0" w:beforeAutospacing="0" w:after="0" w:afterAutospacing="0" w:line="259" w:lineRule="auto"/>
        <w:ind w:left="360" w:hanging="360"/>
        <w:jc w:val="center"/>
        <w:divId w:val="462775992"/>
        <w:rPr>
          <w:sz w:val="20"/>
          <w:szCs w:val="20"/>
        </w:rPr>
      </w:pPr>
      <w:r>
        <w:rPr>
          <w:sz w:val="20"/>
          <w:szCs w:val="20"/>
        </w:rPr>
        <w:t>(</w:t>
      </w:r>
      <w:r>
        <w:rPr>
          <w:i/>
          <w:iCs/>
          <w:sz w:val="20"/>
          <w:szCs w:val="20"/>
        </w:rPr>
        <w:t>Registrant&amp;apo</w:t>
      </w:r>
      <w:r>
        <w:rPr>
          <w:i/>
          <w:iCs/>
          <w:sz w:val="20"/>
          <w:szCs w:val="20"/>
        </w:rPr>
        <w:t>s;s telephone number, including area code</w:t>
      </w:r>
      <w:r>
        <w:rPr>
          <w:i/>
          <w:iCs/>
          <w:sz w:val="20"/>
          <w:szCs w:val="20"/>
        </w:rPr>
        <w:t>)</w:t>
      </w:r>
    </w:p>
    <w:p w:rsidR="00000000" w:rsidRDefault="00865332">
      <w:pPr>
        <w:pStyle w:val="a3"/>
        <w:spacing w:before="0" w:beforeAutospacing="0" w:after="0" w:afterAutospacing="0" w:line="259" w:lineRule="auto"/>
        <w:ind w:left="360" w:hanging="360"/>
        <w:jc w:val="center"/>
        <w:divId w:val="462775992"/>
        <w:rPr>
          <w:sz w:val="18"/>
          <w:szCs w:val="18"/>
        </w:rPr>
      </w:pPr>
      <w:r>
        <w:rPr>
          <w:b/>
          <w:bCs/>
          <w:sz w:val="18"/>
          <w:szCs w:val="18"/>
        </w:rPr>
        <w:t>Securities registered pursuant to Section 12(b) of the Act</w:t>
      </w:r>
      <w:r>
        <w:rPr>
          <w:b/>
          <w:bCs/>
          <w:sz w:val="18"/>
          <w:szCs w:val="18"/>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51"/>
        <w:gridCol w:w="248"/>
        <w:gridCol w:w="951"/>
        <w:gridCol w:w="53"/>
        <w:gridCol w:w="1803"/>
      </w:tblGrid>
      <w:tr w:rsidR="00000000">
        <w:trPr>
          <w:divId w:val="462775992"/>
          <w:trHeight w:val="14"/>
          <w:jc w:val="center"/>
        </w:trPr>
        <w:tc>
          <w:tcPr>
            <w:tcW w:w="603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rFonts w:eastAsia="Times New Roman"/>
                <w:sz w:val="20"/>
                <w:szCs w:val="20"/>
              </w:rPr>
            </w:pPr>
          </w:p>
        </w:tc>
        <w:tc>
          <w:tcPr>
            <w:tcW w:w="998"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rFonts w:eastAsia="Times New Roman"/>
                <w:sz w:val="20"/>
                <w:szCs w:val="20"/>
              </w:rPr>
            </w:pPr>
          </w:p>
        </w:tc>
        <w:tc>
          <w:tcPr>
            <w:tcW w:w="5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rFonts w:eastAsia="Times New Roman"/>
                <w:sz w:val="20"/>
                <w:szCs w:val="20"/>
              </w:rPr>
            </w:pPr>
          </w:p>
        </w:tc>
        <w:tc>
          <w:tcPr>
            <w:tcW w:w="1992"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rFonts w:eastAsia="Times New Roman"/>
                <w:sz w:val="20"/>
                <w:szCs w:val="20"/>
              </w:rPr>
            </w:pPr>
          </w:p>
        </w:tc>
      </w:tr>
      <w:tr w:rsidR="00000000">
        <w:trPr>
          <w:divId w:val="462775992"/>
          <w:trHeight w:val="72"/>
          <w:jc w:val="center"/>
        </w:trPr>
        <w:tc>
          <w:tcPr>
            <w:tcW w:w="603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rFonts w:eastAsia="Times New Roman"/>
                <w:sz w:val="20"/>
                <w:szCs w:val="20"/>
              </w:rPr>
            </w:pP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rFonts w:eastAsia="Times New Roman"/>
                <w:sz w:val="20"/>
                <w:szCs w:val="20"/>
              </w:rPr>
            </w:pPr>
          </w:p>
        </w:tc>
        <w:tc>
          <w:tcPr>
            <w:tcW w:w="998"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rFonts w:eastAsia="Times New Roman"/>
                <w:sz w:val="20"/>
                <w:szCs w:val="20"/>
              </w:rPr>
            </w:pPr>
          </w:p>
        </w:tc>
        <w:tc>
          <w:tcPr>
            <w:tcW w:w="5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rFonts w:eastAsia="Times New Roman"/>
                <w:sz w:val="20"/>
                <w:szCs w:val="20"/>
              </w:rPr>
            </w:pPr>
          </w:p>
        </w:tc>
        <w:tc>
          <w:tcPr>
            <w:tcW w:w="1992"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rFonts w:eastAsia="Times New Roman"/>
                <w:sz w:val="20"/>
                <w:szCs w:val="20"/>
              </w:rPr>
            </w:pPr>
          </w:p>
        </w:tc>
      </w:tr>
      <w:tr w:rsidR="00000000">
        <w:trPr>
          <w:divId w:val="462775992"/>
          <w:jc w:val="center"/>
        </w:trPr>
        <w:tc>
          <w:tcPr>
            <w:tcW w:w="6030" w:type="dxa"/>
            <w:tcBorders>
              <w:top w:val="nil"/>
              <w:left w:val="nil"/>
              <w:bottom w:val="single" w:sz="8" w:space="0" w:color="auto"/>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b/>
                <w:bCs/>
                <w:sz w:val="18"/>
                <w:szCs w:val="18"/>
              </w:rPr>
              <w:t>Title of Clas</w:t>
            </w:r>
            <w:r>
              <w:rPr>
                <w:b/>
                <w:bCs/>
                <w:sz w:val="18"/>
                <w:szCs w:val="18"/>
              </w:rPr>
              <w:t>s</w:t>
            </w:r>
          </w:p>
        </w:tc>
        <w:tc>
          <w:tcPr>
            <w:tcW w:w="285" w:type="dxa"/>
            <w:tcBorders>
              <w:top w:val="nil"/>
              <w:left w:val="nil"/>
              <w:bottom w:val="single" w:sz="8" w:space="0" w:color="auto"/>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76" w:lineRule="auto"/>
              <w:rPr>
                <w:sz w:val="18"/>
                <w:szCs w:val="18"/>
              </w:rPr>
            </w:pPr>
            <w:r>
              <w:rPr>
                <w:sz w:val="18"/>
                <w:szCs w:val="18"/>
              </w:rPr>
              <w:t> </w:t>
            </w:r>
          </w:p>
        </w:tc>
        <w:tc>
          <w:tcPr>
            <w:tcW w:w="998" w:type="dxa"/>
            <w:tcBorders>
              <w:top w:val="nil"/>
              <w:left w:val="nil"/>
              <w:bottom w:val="single" w:sz="8" w:space="0" w:color="auto"/>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b/>
                <w:bCs/>
                <w:sz w:val="18"/>
                <w:szCs w:val="18"/>
              </w:rPr>
              <w:t>Trading Symbo</w:t>
            </w:r>
            <w:r>
              <w:rPr>
                <w:b/>
                <w:bCs/>
                <w:sz w:val="18"/>
                <w:szCs w:val="18"/>
              </w:rPr>
              <w:t>l</w:t>
            </w:r>
          </w:p>
        </w:tc>
        <w:tc>
          <w:tcPr>
            <w:tcW w:w="55" w:type="dxa"/>
            <w:tcBorders>
              <w:top w:val="nil"/>
              <w:left w:val="nil"/>
              <w:bottom w:val="single" w:sz="8" w:space="0" w:color="auto"/>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76" w:lineRule="auto"/>
              <w:rPr>
                <w:sz w:val="18"/>
                <w:szCs w:val="18"/>
              </w:rPr>
            </w:pPr>
            <w:r>
              <w:rPr>
                <w:sz w:val="18"/>
                <w:szCs w:val="18"/>
              </w:rPr>
              <w:t> </w:t>
            </w:r>
          </w:p>
        </w:tc>
        <w:tc>
          <w:tcPr>
            <w:tcW w:w="1992" w:type="dxa"/>
            <w:tcBorders>
              <w:top w:val="nil"/>
              <w:left w:val="nil"/>
              <w:bottom w:val="single" w:sz="8" w:space="0" w:color="auto"/>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b/>
                <w:bCs/>
                <w:sz w:val="18"/>
                <w:szCs w:val="18"/>
              </w:rPr>
              <w:t>Name of exchange on which registere</w:t>
            </w:r>
            <w:r>
              <w:rPr>
                <w:b/>
                <w:bCs/>
                <w:sz w:val="18"/>
                <w:szCs w:val="18"/>
              </w:rPr>
              <w:t>d</w:t>
            </w:r>
          </w:p>
        </w:tc>
      </w:tr>
      <w:tr w:rsidR="00000000">
        <w:trPr>
          <w:divId w:val="462775992"/>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sz w:val="18"/>
                <w:szCs w:val="18"/>
              </w:rPr>
              <w:t>Common Shares, $0.10 par valu</w:t>
            </w:r>
            <w:r>
              <w:rPr>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w:t>
            </w:r>
            <w:r>
              <w:rPr>
                <w:sz w:val="18"/>
                <w:szCs w:val="18"/>
              </w:rPr>
              <w:t>A</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462775992"/>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sz w:val="18"/>
                <w:szCs w:val="18"/>
              </w:rPr>
              <w:t>Depositary Shares Each Representing 1/1,000 of a 5.375% Cum Pref Share, Series V, $0.01 par valu</w:t>
            </w:r>
            <w:r>
              <w:rPr>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V</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462775992"/>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sz w:val="18"/>
                <w:szCs w:val="18"/>
              </w:rPr>
              <w:t>Depositary Shares Each Representing 1/1,000 of a 5.200% Cum Pref Share, Series W, $0.01 par valu</w:t>
            </w:r>
            <w:r>
              <w:rPr>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W</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462775992"/>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sz w:val="18"/>
                <w:szCs w:val="18"/>
              </w:rPr>
              <w:t>Depositary Shares Each Representing 1/1,000 of a 5.200% Cum Pref Share, Series X, $0.01 par valu</w:t>
            </w:r>
            <w:r>
              <w:rPr>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X</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462775992"/>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5.400% Cum Pref Share, Series B, $0.01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B</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462775992"/>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5.125% Cum Pref Share, Series C, $0.01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C</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462775992"/>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4.950% Cum Pref Share, Series D, $0.01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D</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462775992"/>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4.900% Cum Pref Share, Series E, $0.01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E</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bl>
    <w:p w:rsidR="00000000" w:rsidRDefault="00865332">
      <w:pPr>
        <w:pStyle w:val="a3"/>
        <w:spacing w:before="0" w:beforeAutospacing="0" w:after="0" w:afterAutospacing="0" w:line="259" w:lineRule="auto"/>
        <w:jc w:val="center"/>
        <w:divId w:val="1200237212"/>
        <w:rPr>
          <w:sz w:val="20"/>
          <w:szCs w:val="20"/>
        </w:rPr>
      </w:pPr>
      <w:r>
        <w:rPr>
          <w:rStyle w:val="ctheaderfooterpage"/>
          <w:sz w:val="20"/>
          <w:szCs w:val="20"/>
        </w:rPr>
        <w:t>1</w:t>
      </w:r>
    </w:p>
    <w:p w:rsidR="00000000" w:rsidRDefault="00865332">
      <w:pPr>
        <w:spacing w:before="360" w:after="360"/>
        <w:divId w:val="657071448"/>
        <w:rPr>
          <w:rFonts w:eastAsia="Times New Roman"/>
        </w:rPr>
      </w:pPr>
      <w:r>
        <w:rPr>
          <w:rFonts w:eastAsia="Times New Roman"/>
        </w:rPr>
        <w:pict>
          <v:rect id="_x0000_i1025" style="width:0;height:1.5pt" o:hralign="center" o:hrstd="t" o:hr="t" fillcolor="#a0a0a0" stroked="f"/>
        </w:pict>
      </w:r>
    </w:p>
    <w:tbl>
      <w:tblPr>
        <w:tblW w:w="5000" w:type="pct"/>
        <w:jc w:val="center"/>
        <w:tblCellMar>
          <w:top w:w="15" w:type="dxa"/>
          <w:left w:w="15" w:type="dxa"/>
          <w:bottom w:w="15" w:type="dxa"/>
          <w:right w:w="15" w:type="dxa"/>
        </w:tblCellMar>
        <w:tblLook w:val="04A0" w:firstRow="1" w:lastRow="0" w:firstColumn="1" w:lastColumn="0" w:noHBand="0" w:noVBand="1"/>
      </w:tblPr>
      <w:tblGrid>
        <w:gridCol w:w="5261"/>
        <w:gridCol w:w="247"/>
        <w:gridCol w:w="945"/>
        <w:gridCol w:w="52"/>
        <w:gridCol w:w="1801"/>
      </w:tblGrid>
      <w:tr w:rsidR="00000000">
        <w:trPr>
          <w:divId w:val="656497655"/>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5.150% Cum Pref Share, Series F, $0.0</w:t>
            </w:r>
            <w:r>
              <w:rPr>
                <w:color w:val="000000"/>
                <w:sz w:val="18"/>
                <w:szCs w:val="18"/>
              </w:rPr>
              <w:t>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F</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656497655"/>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5.050% Cum Pref Share, Series G, $0.01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G</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656497655"/>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5.600% Cum Pref Share, Series H, $0.01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H</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656497655"/>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4.875% Cum Pref Share, Series I, $0.01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I</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656497655"/>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4.700% Cum Pref Share, Series J, $0.01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J</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656497655"/>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t>Depositary Shares Each Representing 1/1,000 of a 4.750% Cum Pref Share, Series K, $0.01 par valu</w:t>
            </w:r>
            <w:r>
              <w:rPr>
                <w:color w:val="000000"/>
                <w:sz w:val="18"/>
                <w:szCs w:val="18"/>
              </w:rPr>
              <w:t>e</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PSAPr</w:t>
            </w:r>
            <w:r>
              <w:rPr>
                <w:sz w:val="18"/>
                <w:szCs w:val="18"/>
              </w:rPr>
              <w:t>K</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656497655"/>
          <w:jc w:val="center"/>
        </w:trPr>
        <w:tc>
          <w:tcPr>
            <w:tcW w:w="6030" w:type="dxa"/>
            <w:tcBorders>
              <w:top w:val="nil"/>
              <w:left w:val="nil"/>
              <w:bottom w:val="nil"/>
              <w:right w:val="nil"/>
            </w:tcBorders>
            <w:shd w:val="clear" w:color="auto" w:fill="FFFFFF"/>
            <w:tcMar>
              <w:top w:w="0" w:type="dxa"/>
              <w:left w:w="15" w:type="dxa"/>
              <w:bottom w:w="0" w:type="dxa"/>
              <w:right w:w="15" w:type="dxa"/>
            </w:tcMar>
            <w:hideMark/>
          </w:tcPr>
          <w:p w:rsidR="00000000" w:rsidRDefault="00865332">
            <w:pPr>
              <w:pStyle w:val="a3"/>
              <w:spacing w:before="0" w:beforeAutospacing="0" w:after="0" w:afterAutospacing="0" w:line="259" w:lineRule="auto"/>
              <w:rPr>
                <w:sz w:val="18"/>
                <w:szCs w:val="18"/>
              </w:rPr>
            </w:pPr>
            <w:r>
              <w:rPr>
                <w:color w:val="000000"/>
                <w:sz w:val="18"/>
                <w:szCs w:val="18"/>
              </w:rPr>
              <w:lastRenderedPageBreak/>
              <w:t>0.875% Senior Notes due 203</w:t>
            </w:r>
            <w:r>
              <w:rPr>
                <w:color w:val="000000"/>
                <w:sz w:val="18"/>
                <w:szCs w:val="18"/>
              </w:rPr>
              <w:t>2</w:t>
            </w:r>
          </w:p>
        </w:tc>
        <w:tc>
          <w:tcPr>
            <w:tcW w:w="28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rPr>
                <w:sz w:val="18"/>
                <w:szCs w:val="18"/>
              </w:rPr>
            </w:pPr>
          </w:p>
        </w:tc>
        <w:tc>
          <w:tcPr>
            <w:tcW w:w="998"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PSA3</w:t>
            </w:r>
            <w:r>
              <w:rPr>
                <w:sz w:val="18"/>
                <w:szCs w:val="18"/>
              </w:rPr>
              <w:t>2</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rPr>
                <w:sz w:val="18"/>
                <w:szCs w:val="18"/>
              </w:rPr>
            </w:pPr>
          </w:p>
        </w:tc>
        <w:tc>
          <w:tcPr>
            <w:tcW w:w="1992"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865332">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bl>
    <w:p w:rsidR="00000000" w:rsidRDefault="00865332">
      <w:pPr>
        <w:pStyle w:val="a3"/>
        <w:spacing w:before="0" w:beforeAutospacing="0" w:after="0" w:afterAutospacing="0" w:line="259" w:lineRule="auto"/>
        <w:jc w:val="center"/>
        <w:divId w:val="656497655"/>
        <w:rPr>
          <w:sz w:val="18"/>
          <w:szCs w:val="18"/>
        </w:rPr>
      </w:pPr>
      <w:r>
        <w:rPr>
          <w:b/>
          <w:bCs/>
          <w:sz w:val="18"/>
          <w:szCs w:val="18"/>
        </w:rPr>
        <w:t>Securities registered pursuant to Section 12(g) of the Ac</w:t>
      </w:r>
      <w:r>
        <w:rPr>
          <w:b/>
          <w:bCs/>
          <w:sz w:val="18"/>
          <w:szCs w:val="18"/>
        </w:rPr>
        <w:t>t</w:t>
      </w:r>
      <w:r>
        <w:rPr>
          <w:b/>
          <w:bCs/>
          <w:sz w:val="18"/>
          <w:szCs w:val="18"/>
        </w:rPr>
        <w:t>: None</w:t>
      </w:r>
      <w:r>
        <w:rPr>
          <w:b/>
          <w:bCs/>
          <w:sz w:val="18"/>
          <w:szCs w:val="18"/>
        </w:rPr>
        <w:t xml:space="preserve"> </w:t>
      </w:r>
      <w:r>
        <w:rPr>
          <w:i/>
          <w:iCs/>
          <w:sz w:val="18"/>
          <w:szCs w:val="18"/>
        </w:rPr>
        <w:t>(Title of class</w:t>
      </w:r>
      <w:r>
        <w:rPr>
          <w:i/>
          <w:iCs/>
          <w:sz w:val="18"/>
          <w:szCs w:val="18"/>
        </w:rPr>
        <w:t>)</w:t>
      </w:r>
    </w:p>
    <w:p w:rsidR="00000000" w:rsidRDefault="00865332">
      <w:pPr>
        <w:pStyle w:val="a3"/>
        <w:spacing w:before="0" w:beforeAutospacing="0" w:after="0" w:afterAutospacing="0" w:line="259" w:lineRule="auto"/>
        <w:jc w:val="both"/>
        <w:divId w:val="656497655"/>
        <w:rPr>
          <w:sz w:val="20"/>
          <w:szCs w:val="20"/>
        </w:rPr>
      </w:pPr>
      <w:r>
        <w:rPr>
          <w:sz w:val="20"/>
          <w:szCs w:val="20"/>
        </w:rPr>
        <w:t>Indicate by check mark if the registrant is a well-known seasoned issuer, as defined in Rule 405 of the Securities Act</w:t>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656497655"/>
        <w:rPr>
          <w:sz w:val="20"/>
          <w:szCs w:val="20"/>
        </w:rPr>
      </w:pPr>
      <w:r>
        <w:rPr>
          <w:sz w:val="20"/>
          <w:szCs w:val="20"/>
        </w:rPr>
        <w:t>Yes</w:t>
      </w:r>
      <w:r>
        <w:rPr>
          <w:sz w:val="20"/>
          <w:szCs w:val="20"/>
        </w:rPr>
        <w:t xml:space="preserve"> </w:t>
      </w:r>
      <w:r>
        <w:rPr>
          <w:sz w:val="20"/>
          <w:szCs w:val="20"/>
        </w:rPr>
        <w:t>[X</w:t>
      </w:r>
      <w:r>
        <w:rPr>
          <w:sz w:val="20"/>
          <w:szCs w:val="20"/>
        </w:rPr>
        <w:t>]</w:t>
      </w:r>
      <w:r>
        <w:rPr>
          <w:sz w:val="20"/>
          <w:szCs w:val="20"/>
        </w:rPr>
        <w:t xml:space="preserve">No [ </w:t>
      </w:r>
      <w:r>
        <w:rPr>
          <w:sz w:val="20"/>
          <w:szCs w:val="20"/>
        </w:rPr>
        <w:t>]</w:t>
      </w:r>
    </w:p>
    <w:p w:rsidR="00000000" w:rsidRDefault="00865332">
      <w:pPr>
        <w:pStyle w:val="a3"/>
        <w:spacing w:before="0" w:beforeAutospacing="0" w:after="0" w:afterAutospacing="0" w:line="259" w:lineRule="auto"/>
        <w:jc w:val="both"/>
        <w:divId w:val="656497655"/>
        <w:rPr>
          <w:sz w:val="20"/>
          <w:szCs w:val="20"/>
        </w:rPr>
      </w:pPr>
      <w:r>
        <w:rPr>
          <w:sz w:val="20"/>
          <w:szCs w:val="20"/>
        </w:rPr>
        <w:t>Indicate by check mark if the registrant is not required to file reports pursuant to Section 13 or Section 15(d) of the Exchange Act</w:t>
      </w:r>
      <w:r>
        <w:rPr>
          <w:sz w:val="20"/>
          <w:szCs w:val="20"/>
        </w:rPr>
        <w:t>.</w:t>
      </w:r>
    </w:p>
    <w:p w:rsidR="00000000" w:rsidRDefault="00865332">
      <w:pPr>
        <w:pStyle w:val="a3"/>
        <w:spacing w:before="0" w:beforeAutospacing="0" w:after="0" w:afterAutospacing="0" w:line="259" w:lineRule="auto"/>
        <w:jc w:val="center"/>
        <w:divId w:val="656497655"/>
        <w:rPr>
          <w:sz w:val="20"/>
          <w:szCs w:val="20"/>
        </w:rPr>
      </w:pPr>
      <w:r>
        <w:rPr>
          <w:sz w:val="20"/>
          <w:szCs w:val="20"/>
        </w:rPr>
        <w:t xml:space="preserve">Yes [ </w:t>
      </w:r>
      <w:r>
        <w:rPr>
          <w:sz w:val="20"/>
          <w:szCs w:val="20"/>
        </w:rPr>
        <w:t>]</w:t>
      </w:r>
      <w:r>
        <w:rPr>
          <w:sz w:val="20"/>
          <w:szCs w:val="20"/>
        </w:rPr>
        <w:t>No</w:t>
      </w:r>
      <w:r>
        <w:rPr>
          <w:sz w:val="20"/>
          <w:szCs w:val="20"/>
        </w:rPr>
        <w:t xml:space="preserve"> </w:t>
      </w:r>
      <w:r>
        <w:rPr>
          <w:sz w:val="20"/>
          <w:szCs w:val="20"/>
        </w:rPr>
        <w:t>[X</w:t>
      </w:r>
      <w:r>
        <w:rPr>
          <w:sz w:val="20"/>
          <w:szCs w:val="20"/>
        </w:rPr>
        <w:t>]</w:t>
      </w:r>
    </w:p>
    <w:p w:rsidR="00000000" w:rsidRDefault="00865332">
      <w:pPr>
        <w:pStyle w:val="a3"/>
        <w:spacing w:before="0" w:beforeAutospacing="0" w:after="0" w:afterAutospacing="0" w:line="259" w:lineRule="auto"/>
        <w:jc w:val="both"/>
        <w:divId w:val="656497655"/>
        <w:rPr>
          <w:sz w:val="20"/>
          <w:szCs w:val="20"/>
        </w:rPr>
      </w:pPr>
      <w:r>
        <w:rPr>
          <w:sz w:val="20"/>
          <w:szCs w:val="20"/>
        </w:rPr>
        <w:t>Indicate by check mark whether the registrant (1) has filed all reports required to be filed by Section 13 o</w:t>
      </w:r>
      <w:r>
        <w:rPr>
          <w:sz w:val="20"/>
          <w:szCs w:val="20"/>
        </w:rPr>
        <w:t>r 15(d) of the Securities Exchange Act of 1934 during the preceding 12 months (or for such shorter period that the registrant was required to file such reports), and (2) has been subject to such filing requirements for the past 90 days.</w:t>
      </w:r>
      <w:r>
        <w:rPr>
          <w:sz w:val="20"/>
          <w:szCs w:val="20"/>
        </w:rPr>
        <w:t xml:space="preserve"> </w:t>
      </w:r>
    </w:p>
    <w:p w:rsidR="00000000" w:rsidRDefault="00865332">
      <w:pPr>
        <w:pStyle w:val="a3"/>
        <w:spacing w:before="0" w:beforeAutospacing="0" w:after="0" w:afterAutospacing="0" w:line="259" w:lineRule="auto"/>
        <w:jc w:val="center"/>
        <w:divId w:val="656497655"/>
        <w:rPr>
          <w:sz w:val="20"/>
          <w:szCs w:val="20"/>
        </w:rPr>
      </w:pPr>
      <w:r>
        <w:rPr>
          <w:sz w:val="20"/>
          <w:szCs w:val="20"/>
        </w:rPr>
        <w:t>Yes</w:t>
      </w:r>
      <w:r>
        <w:rPr>
          <w:sz w:val="20"/>
          <w:szCs w:val="20"/>
        </w:rPr>
        <w:t xml:space="preserve"> </w:t>
      </w:r>
      <w:r>
        <w:rPr>
          <w:sz w:val="20"/>
          <w:szCs w:val="20"/>
        </w:rPr>
        <w:t>[X</w:t>
      </w:r>
      <w:r>
        <w:rPr>
          <w:sz w:val="20"/>
          <w:szCs w:val="20"/>
        </w:rPr>
        <w:t>]</w:t>
      </w:r>
      <w:r>
        <w:rPr>
          <w:sz w:val="20"/>
          <w:szCs w:val="20"/>
        </w:rPr>
        <w:t xml:space="preserve">No [ </w:t>
      </w:r>
      <w:r>
        <w:rPr>
          <w:sz w:val="20"/>
          <w:szCs w:val="20"/>
        </w:rPr>
        <w:t>]</w:t>
      </w:r>
    </w:p>
    <w:p w:rsidR="00000000" w:rsidRDefault="00865332">
      <w:pPr>
        <w:pStyle w:val="a3"/>
        <w:spacing w:before="0" w:beforeAutospacing="0" w:after="0" w:afterAutospacing="0" w:line="259" w:lineRule="auto"/>
        <w:jc w:val="both"/>
        <w:divId w:val="656497655"/>
        <w:rPr>
          <w:sz w:val="20"/>
          <w:szCs w:val="20"/>
        </w:rPr>
      </w:pPr>
      <w:r>
        <w:rPr>
          <w:sz w:val="20"/>
          <w:szCs w:val="20"/>
        </w:rPr>
        <w:t>Indi</w:t>
      </w:r>
      <w:r>
        <w:rPr>
          <w:sz w:val="20"/>
          <w:szCs w:val="20"/>
        </w:rPr>
        <w:t>cate by check mark whether the registrant has submitted electronically every Interactive Data File required to be submitted pursuant to Rule 405 of Regulation S-T (§232.405 of this chapter) during the preceding 12 months (or for such shorter period that th</w:t>
      </w:r>
      <w:r>
        <w:rPr>
          <w:sz w:val="20"/>
          <w:szCs w:val="20"/>
        </w:rPr>
        <w:t>e registrant was required to submit such files)</w:t>
      </w:r>
      <w:r>
        <w:rPr>
          <w:sz w:val="20"/>
          <w:szCs w:val="20"/>
        </w:rPr>
        <w:t>.</w:t>
      </w:r>
    </w:p>
    <w:p w:rsidR="00000000" w:rsidRDefault="00865332">
      <w:pPr>
        <w:pStyle w:val="a3"/>
        <w:spacing w:before="0" w:beforeAutospacing="0" w:after="0" w:afterAutospacing="0" w:line="259" w:lineRule="auto"/>
        <w:jc w:val="center"/>
        <w:divId w:val="656497655"/>
        <w:rPr>
          <w:sz w:val="20"/>
          <w:szCs w:val="20"/>
        </w:rPr>
      </w:pPr>
      <w:r>
        <w:rPr>
          <w:sz w:val="20"/>
          <w:szCs w:val="20"/>
        </w:rPr>
        <w:t>Yes</w:t>
      </w:r>
      <w:r>
        <w:rPr>
          <w:sz w:val="20"/>
          <w:szCs w:val="20"/>
        </w:rPr>
        <w:t xml:space="preserve"> </w:t>
      </w:r>
      <w:r>
        <w:rPr>
          <w:sz w:val="20"/>
          <w:szCs w:val="20"/>
        </w:rPr>
        <w:t>[X</w:t>
      </w:r>
      <w:r>
        <w:rPr>
          <w:sz w:val="20"/>
          <w:szCs w:val="20"/>
        </w:rPr>
        <w:t>]</w:t>
      </w:r>
      <w:r>
        <w:rPr>
          <w:sz w:val="20"/>
          <w:szCs w:val="20"/>
        </w:rPr>
        <w:t xml:space="preserve">No [ </w:t>
      </w:r>
      <w:r>
        <w:rPr>
          <w:sz w:val="20"/>
          <w:szCs w:val="20"/>
        </w:rPr>
        <w:t>]</w:t>
      </w:r>
    </w:p>
    <w:p w:rsidR="00000000" w:rsidRDefault="00865332">
      <w:pPr>
        <w:pStyle w:val="a3"/>
        <w:spacing w:before="0" w:beforeAutospacing="0" w:after="0" w:afterAutospacing="0" w:line="259" w:lineRule="auto"/>
        <w:jc w:val="both"/>
        <w:divId w:val="656497655"/>
        <w:rPr>
          <w:sz w:val="20"/>
          <w:szCs w:val="20"/>
        </w:rPr>
      </w:pPr>
      <w:r>
        <w:rPr>
          <w:sz w:val="20"/>
          <w:szCs w:val="20"/>
        </w:rPr>
        <w:t>Indicate by check mark whether the registrant is a large accelerated filer, an accelerated filer, a non-accelerated filer, a smaller reporting company, or an emerging growth company. See the de</w:t>
      </w:r>
      <w:r>
        <w:rPr>
          <w:sz w:val="20"/>
          <w:szCs w:val="20"/>
        </w:rPr>
        <w:t>finitions of “large accelerated filer,” “accelerated filer,” “smaller reporting company,” and “emerging growth company” in Rule 12b-2 of the Exchange Act</w:t>
      </w:r>
      <w:r>
        <w:rPr>
          <w:sz w:val="20"/>
          <w:szCs w:val="2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788"/>
        <w:gridCol w:w="1428"/>
        <w:gridCol w:w="1713"/>
        <w:gridCol w:w="1779"/>
        <w:gridCol w:w="1598"/>
      </w:tblGrid>
      <w:tr w:rsidR="00000000">
        <w:trPr>
          <w:divId w:val="656497655"/>
          <w:trHeight w:val="14"/>
          <w:jc w:val="center"/>
        </w:trPr>
        <w:tc>
          <w:tcPr>
            <w:tcW w:w="1980" w:type="dxa"/>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1530"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1890"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2006"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1774"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656497655"/>
          <w:jc w:val="center"/>
        </w:trPr>
        <w:tc>
          <w:tcPr>
            <w:tcW w:w="1980"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Large accelerated file</w:t>
            </w:r>
            <w:r>
              <w:rPr>
                <w:sz w:val="20"/>
                <w:szCs w:val="20"/>
              </w:rPr>
              <w:t>r</w:t>
            </w:r>
          </w:p>
        </w:tc>
        <w:tc>
          <w:tcPr>
            <w:tcW w:w="1530"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Accelerated file</w:t>
            </w:r>
            <w:r>
              <w:rPr>
                <w:sz w:val="20"/>
                <w:szCs w:val="20"/>
              </w:rPr>
              <w:t>r</w:t>
            </w:r>
          </w:p>
        </w:tc>
        <w:tc>
          <w:tcPr>
            <w:tcW w:w="1890"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Non-accelerated file</w:t>
            </w:r>
            <w:r>
              <w:rPr>
                <w:sz w:val="20"/>
                <w:szCs w:val="20"/>
              </w:rPr>
              <w:t>r</w:t>
            </w:r>
          </w:p>
        </w:tc>
        <w:tc>
          <w:tcPr>
            <w:tcW w:w="2006"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Smaller reporting compan</w:t>
            </w:r>
            <w:r>
              <w:rPr>
                <w:sz w:val="20"/>
                <w:szCs w:val="20"/>
              </w:rPr>
              <w:t>y</w:t>
            </w:r>
          </w:p>
        </w:tc>
        <w:tc>
          <w:tcPr>
            <w:tcW w:w="1774"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Emerg</w:t>
            </w:r>
            <w:r>
              <w:rPr>
                <w:sz w:val="20"/>
                <w:szCs w:val="20"/>
              </w:rPr>
              <w:t>ing growth compan</w:t>
            </w:r>
            <w:r>
              <w:rPr>
                <w:sz w:val="20"/>
                <w:szCs w:val="20"/>
              </w:rPr>
              <w:t>y</w:t>
            </w:r>
          </w:p>
        </w:tc>
      </w:tr>
      <w:tr w:rsidR="00000000">
        <w:trPr>
          <w:divId w:val="656497655"/>
          <w:jc w:val="center"/>
        </w:trPr>
        <w:tc>
          <w:tcPr>
            <w:tcW w:w="1980"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[X</w:t>
            </w:r>
            <w:r>
              <w:rPr>
                <w:sz w:val="20"/>
                <w:szCs w:val="20"/>
              </w:rPr>
              <w:t>]</w:t>
            </w:r>
          </w:p>
        </w:tc>
        <w:tc>
          <w:tcPr>
            <w:tcW w:w="1530"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890"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2006"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774"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r>
    </w:tbl>
    <w:p w:rsidR="00000000" w:rsidRDefault="00865332">
      <w:pPr>
        <w:pStyle w:val="a3"/>
        <w:spacing w:before="0" w:beforeAutospacing="0" w:after="0" w:afterAutospacing="0" w:line="259" w:lineRule="auto"/>
        <w:jc w:val="both"/>
        <w:divId w:val="656497655"/>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r>
        <w:rPr>
          <w:sz w:val="20"/>
          <w:szCs w:val="20"/>
        </w:rPr>
        <w:t>]</w:t>
      </w:r>
    </w:p>
    <w:p w:rsidR="00000000" w:rsidRDefault="00865332">
      <w:pPr>
        <w:pStyle w:val="a3"/>
        <w:spacing w:before="0" w:beforeAutospacing="0" w:after="0" w:afterAutospacing="0" w:line="276" w:lineRule="auto"/>
        <w:divId w:val="656497655"/>
        <w:rPr>
          <w:sz w:val="20"/>
          <w:szCs w:val="20"/>
        </w:rPr>
      </w:pPr>
      <w:r>
        <w:rPr>
          <w:sz w:val="20"/>
          <w:szCs w:val="20"/>
        </w:rPr>
        <w:br/>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1139347955"/>
        <w:rPr>
          <w:sz w:val="20"/>
          <w:szCs w:val="20"/>
        </w:rPr>
      </w:pPr>
      <w:r>
        <w:rPr>
          <w:rStyle w:val="ctheaderfooterpage"/>
          <w:sz w:val="20"/>
          <w:szCs w:val="20"/>
        </w:rPr>
        <w:t>2</w:t>
      </w:r>
    </w:p>
    <w:p w:rsidR="00000000" w:rsidRDefault="00865332">
      <w:pPr>
        <w:spacing w:before="360" w:after="360"/>
        <w:divId w:val="733969543"/>
        <w:rPr>
          <w:rFonts w:eastAsia="Times New Roman"/>
        </w:rPr>
      </w:pPr>
      <w:r>
        <w:rPr>
          <w:rFonts w:eastAsia="Times New Roman"/>
        </w:rPr>
        <w:pict>
          <v:rect id="_x0000_i1026" style="width:0;height:1.5pt" o:hralign="center" o:hrstd="t" o:hr="t" fillcolor="#a0a0a0" stroked="f"/>
        </w:pict>
      </w:r>
    </w:p>
    <w:p w:rsidR="00000000" w:rsidRDefault="00865332">
      <w:pPr>
        <w:pStyle w:val="a3"/>
        <w:spacing w:before="0" w:beforeAutospacing="0" w:after="0" w:afterAutospacing="0" w:line="259" w:lineRule="auto"/>
        <w:jc w:val="both"/>
        <w:divId w:val="1942491743"/>
        <w:rPr>
          <w:sz w:val="20"/>
          <w:szCs w:val="20"/>
        </w:rPr>
      </w:pPr>
      <w:r>
        <w:rPr>
          <w:sz w:val="20"/>
          <w:szCs w:val="20"/>
        </w:rPr>
        <w:t>Indicate by check mark whether the registrant is a shell company (as defined in Rule 12b-2 of the Exchange Act)</w:t>
      </w:r>
      <w:r>
        <w:rPr>
          <w:sz w:val="20"/>
          <w:szCs w:val="20"/>
        </w:rPr>
        <w:t>.</w:t>
      </w:r>
    </w:p>
    <w:p w:rsidR="00000000" w:rsidRDefault="00865332">
      <w:pPr>
        <w:pStyle w:val="a3"/>
        <w:spacing w:before="0" w:beforeAutospacing="0" w:after="0" w:afterAutospacing="0" w:line="259" w:lineRule="auto"/>
        <w:jc w:val="center"/>
        <w:divId w:val="1942491743"/>
        <w:rPr>
          <w:sz w:val="20"/>
          <w:szCs w:val="20"/>
        </w:rPr>
      </w:pPr>
      <w:r>
        <w:rPr>
          <w:sz w:val="20"/>
          <w:szCs w:val="20"/>
        </w:rPr>
        <w:t xml:space="preserve">Yes [ </w:t>
      </w:r>
      <w:r>
        <w:rPr>
          <w:sz w:val="20"/>
          <w:szCs w:val="20"/>
        </w:rPr>
        <w:t>]</w:t>
      </w:r>
      <w:r>
        <w:rPr>
          <w:sz w:val="20"/>
          <w:szCs w:val="20"/>
        </w:rPr>
        <w:t>No</w:t>
      </w:r>
      <w:r>
        <w:rPr>
          <w:sz w:val="20"/>
          <w:szCs w:val="20"/>
        </w:rPr>
        <w:t xml:space="preserve"> </w:t>
      </w:r>
      <w:r>
        <w:rPr>
          <w:sz w:val="20"/>
          <w:szCs w:val="20"/>
        </w:rPr>
        <w:t>[X</w:t>
      </w:r>
      <w:r>
        <w:rPr>
          <w:sz w:val="20"/>
          <w:szCs w:val="20"/>
        </w:rPr>
        <w:t>]</w:t>
      </w:r>
    </w:p>
    <w:p w:rsidR="00000000" w:rsidRDefault="00865332">
      <w:pPr>
        <w:pStyle w:val="a3"/>
        <w:spacing w:before="0" w:beforeAutospacing="0" w:after="0" w:afterAutospacing="0" w:line="259" w:lineRule="auto"/>
        <w:jc w:val="both"/>
        <w:divId w:val="1942491743"/>
        <w:rPr>
          <w:sz w:val="20"/>
          <w:szCs w:val="20"/>
        </w:rPr>
      </w:pPr>
      <w:r>
        <w:rPr>
          <w:sz w:val="20"/>
          <w:szCs w:val="20"/>
        </w:rPr>
        <w:t>The aggregate market value of the voting and non-voting common shares held by non-affil</w:t>
      </w:r>
      <w:r>
        <w:rPr>
          <w:sz w:val="20"/>
          <w:szCs w:val="20"/>
        </w:rPr>
        <w:t>iates of the Registrant as of June 30, 2019:</w:t>
      </w:r>
      <w:r>
        <w:rPr>
          <w:sz w:val="20"/>
          <w:szCs w:val="20"/>
        </w:rPr>
        <w:t xml:space="preserve"> </w:t>
      </w:r>
    </w:p>
    <w:p w:rsidR="00000000" w:rsidRDefault="00865332">
      <w:pPr>
        <w:pStyle w:val="a3"/>
        <w:spacing w:before="0" w:beforeAutospacing="0" w:after="0" w:afterAutospacing="0" w:line="259" w:lineRule="auto"/>
        <w:jc w:val="both"/>
        <w:divId w:val="1942491743"/>
        <w:rPr>
          <w:sz w:val="20"/>
          <w:szCs w:val="20"/>
        </w:rPr>
      </w:pPr>
      <w:r>
        <w:rPr>
          <w:sz w:val="20"/>
          <w:szCs w:val="20"/>
        </w:rPr>
        <w:t xml:space="preserve">Common Shares, $0.10 Par Value Per Share – </w:t>
      </w:r>
      <w:r>
        <w:rPr>
          <w:sz w:val="20"/>
          <w:szCs w:val="20"/>
        </w:rPr>
        <w:t>$</w:t>
      </w:r>
      <w:r>
        <w:rPr>
          <w:sz w:val="20"/>
          <w:szCs w:val="20"/>
        </w:rPr>
        <w:t>35,489,494,00</w:t>
      </w:r>
      <w:r>
        <w:rPr>
          <w:sz w:val="20"/>
          <w:szCs w:val="20"/>
        </w:rPr>
        <w:t>0</w:t>
      </w:r>
      <w:r>
        <w:rPr>
          <w:sz w:val="20"/>
          <w:szCs w:val="20"/>
        </w:rPr>
        <w:t xml:space="preserve"> (computed on the basis of $238.17 per share, which was the reported closing sale price of the Company&amp;apos;s Common Shares on the New York Stock Exchan</w:t>
      </w:r>
      <w:r>
        <w:rPr>
          <w:sz w:val="20"/>
          <w:szCs w:val="20"/>
        </w:rPr>
        <w:t>ge (the “NYSE”) on June 30, 2019)</w:t>
      </w:r>
      <w:r>
        <w:rPr>
          <w:sz w:val="20"/>
          <w:szCs w:val="20"/>
        </w:rPr>
        <w:t>.</w:t>
      </w:r>
    </w:p>
    <w:p w:rsidR="00000000" w:rsidRDefault="00865332">
      <w:pPr>
        <w:pStyle w:val="a3"/>
        <w:spacing w:before="0" w:beforeAutospacing="0" w:after="0" w:afterAutospacing="0" w:line="259" w:lineRule="auto"/>
        <w:jc w:val="both"/>
        <w:divId w:val="1942491743"/>
        <w:rPr>
          <w:sz w:val="20"/>
          <w:szCs w:val="20"/>
        </w:rPr>
      </w:pPr>
      <w:r>
        <w:rPr>
          <w:sz w:val="20"/>
          <w:szCs w:val="20"/>
        </w:rPr>
        <w:t>As of February 21, 2020, there were</w:t>
      </w:r>
      <w:r>
        <w:rPr>
          <w:sz w:val="20"/>
          <w:szCs w:val="20"/>
        </w:rPr>
        <w:t xml:space="preserve"> </w:t>
      </w:r>
      <w:r>
        <w:rPr>
          <w:sz w:val="20"/>
          <w:szCs w:val="20"/>
        </w:rPr>
        <w:t>174,758,63</w:t>
      </w:r>
      <w:r>
        <w:rPr>
          <w:sz w:val="20"/>
          <w:szCs w:val="20"/>
        </w:rPr>
        <w:t>2</w:t>
      </w:r>
      <w:r>
        <w:rPr>
          <w:sz w:val="20"/>
          <w:szCs w:val="20"/>
        </w:rPr>
        <w:t xml:space="preserve"> outstanding Common Shares, $.10 par value per share</w:t>
      </w:r>
      <w:r>
        <w:rPr>
          <w:sz w:val="20"/>
          <w:szCs w:val="20"/>
        </w:rPr>
        <w:t>.</w:t>
      </w:r>
    </w:p>
    <w:p w:rsidR="00000000" w:rsidRDefault="00865332">
      <w:pPr>
        <w:pStyle w:val="a3"/>
        <w:spacing w:before="0" w:beforeAutospacing="0" w:after="0" w:afterAutospacing="0" w:line="259" w:lineRule="auto"/>
        <w:jc w:val="center"/>
        <w:divId w:val="1942491743"/>
        <w:rPr>
          <w:sz w:val="20"/>
          <w:szCs w:val="20"/>
        </w:rPr>
      </w:pPr>
      <w:r>
        <w:rPr>
          <w:sz w:val="20"/>
          <w:szCs w:val="20"/>
        </w:rPr>
        <w:br/>
      </w:r>
      <w:r>
        <w:rPr>
          <w:sz w:val="20"/>
          <w:szCs w:val="20"/>
        </w:rPr>
        <w:t>‎</w:t>
      </w:r>
      <w:r>
        <w:rPr>
          <w:b/>
          <w:bCs/>
          <w:sz w:val="20"/>
          <w:szCs w:val="20"/>
        </w:rPr>
        <w:t>DOCUMENTS INCORPORATED BY REFERENC</w:t>
      </w:r>
      <w:r>
        <w:rPr>
          <w:b/>
          <w:bCs/>
          <w:sz w:val="20"/>
          <w:szCs w:val="20"/>
        </w:rPr>
        <w:t>E</w:t>
      </w:r>
    </w:p>
    <w:p w:rsidR="00000000" w:rsidRDefault="00865332">
      <w:pPr>
        <w:pStyle w:val="a3"/>
        <w:spacing w:before="0" w:beforeAutospacing="0" w:after="0" w:afterAutospacing="0" w:line="259" w:lineRule="auto"/>
        <w:divId w:val="1942491743"/>
        <w:rPr>
          <w:sz w:val="20"/>
          <w:szCs w:val="20"/>
        </w:rPr>
      </w:pPr>
      <w:r>
        <w:rPr>
          <w:sz w:val="20"/>
          <w:szCs w:val="20"/>
        </w:rPr>
        <w:t>Portions of the definitive proxy statement to be filed in connection with the Annu</w:t>
      </w:r>
      <w:r>
        <w:rPr>
          <w:sz w:val="20"/>
          <w:szCs w:val="20"/>
        </w:rPr>
        <w:t>al Meeting of Shareholders to be held in 2020 are incorporated by reference into Part III of this Annual Report on Form 10-K to the extent described therein</w:t>
      </w:r>
      <w:r>
        <w:rPr>
          <w:sz w:val="20"/>
          <w:szCs w:val="20"/>
        </w:rPr>
        <w:t>.</w:t>
      </w:r>
    </w:p>
    <w:p w:rsidR="00000000" w:rsidRDefault="00865332">
      <w:pPr>
        <w:pStyle w:val="a3"/>
        <w:spacing w:before="0" w:beforeAutospacing="0" w:after="0" w:afterAutospacing="0" w:line="259" w:lineRule="auto"/>
        <w:jc w:val="center"/>
        <w:divId w:val="1428766016"/>
        <w:rPr>
          <w:sz w:val="20"/>
          <w:szCs w:val="20"/>
        </w:rPr>
      </w:pPr>
      <w:r>
        <w:rPr>
          <w:rStyle w:val="ctheaderfooterpage"/>
          <w:sz w:val="20"/>
          <w:szCs w:val="20"/>
        </w:rPr>
        <w:t>3</w:t>
      </w:r>
    </w:p>
    <w:p w:rsidR="00000000" w:rsidRDefault="00865332">
      <w:pPr>
        <w:spacing w:before="360" w:after="360"/>
        <w:divId w:val="1450976131"/>
        <w:rPr>
          <w:rFonts w:eastAsia="Times New Roman"/>
        </w:rPr>
      </w:pPr>
      <w:r>
        <w:rPr>
          <w:rFonts w:eastAsia="Times New Roman"/>
        </w:rPr>
        <w:pict>
          <v:rect id="_x0000_i1027" style="width:0;height:1.5pt" o:hralign="center" o:hrstd="t" o:hr="t" fillcolor="#a0a0a0" stroked="f"/>
        </w:pict>
      </w:r>
    </w:p>
    <w:p w:rsidR="00000000" w:rsidRDefault="00865332">
      <w:pPr>
        <w:pStyle w:val="a3"/>
        <w:spacing w:before="0" w:beforeAutospacing="0" w:after="0" w:afterAutospacing="0" w:line="259" w:lineRule="auto"/>
        <w:jc w:val="center"/>
        <w:divId w:val="1690402200"/>
        <w:rPr>
          <w:sz w:val="20"/>
          <w:szCs w:val="20"/>
        </w:rPr>
      </w:pPr>
      <w:r>
        <w:rPr>
          <w:b/>
          <w:bCs/>
          <w:sz w:val="20"/>
          <w:szCs w:val="20"/>
          <w:u w:val="single"/>
        </w:rPr>
        <w:t xml:space="preserve">PART </w:t>
      </w:r>
      <w:r>
        <w:rPr>
          <w:b/>
          <w:bCs/>
          <w:sz w:val="20"/>
          <w:szCs w:val="20"/>
          <w:u w:val="single"/>
        </w:rPr>
        <w:t>I</w:t>
      </w:r>
    </w:p>
    <w:p w:rsidR="00000000" w:rsidRDefault="00865332">
      <w:pPr>
        <w:pStyle w:val="a3"/>
        <w:spacing w:before="0" w:beforeAutospacing="0" w:after="0" w:afterAutospacing="0" w:line="259" w:lineRule="auto"/>
        <w:ind w:left="720" w:hanging="720"/>
        <w:jc w:val="both"/>
        <w:divId w:val="1690402200"/>
        <w:rPr>
          <w:sz w:val="20"/>
          <w:szCs w:val="20"/>
        </w:rPr>
      </w:pPr>
      <w:r>
        <w:rPr>
          <w:b/>
          <w:bCs/>
          <w:sz w:val="20"/>
          <w:szCs w:val="20"/>
        </w:rPr>
        <w:t>ITEM 1</w:t>
      </w:r>
      <w:r>
        <w:rPr>
          <w:b/>
          <w:bCs/>
          <w:sz w:val="20"/>
          <w:szCs w:val="20"/>
        </w:rPr>
        <w:t>.</w:t>
      </w:r>
      <w:r>
        <w:rPr>
          <w:b/>
          <w:bCs/>
          <w:sz w:val="20"/>
          <w:szCs w:val="20"/>
          <w:u w:val="single"/>
        </w:rPr>
        <w:t>Busines</w:t>
      </w:r>
      <w:r>
        <w:rPr>
          <w:b/>
          <w:bCs/>
          <w:sz w:val="20"/>
          <w:szCs w:val="20"/>
          <w:u w:val="single"/>
        </w:rPr>
        <w:t>s</w:t>
      </w:r>
    </w:p>
    <w:p w:rsidR="00000000" w:rsidRDefault="00865332">
      <w:pPr>
        <w:pStyle w:val="a3"/>
        <w:spacing w:before="0" w:beforeAutospacing="0" w:after="0" w:afterAutospacing="0" w:line="259" w:lineRule="auto"/>
        <w:jc w:val="both"/>
        <w:divId w:val="1690402200"/>
        <w:rPr>
          <w:sz w:val="20"/>
          <w:szCs w:val="20"/>
        </w:rPr>
      </w:pPr>
      <w:r>
        <w:rPr>
          <w:b/>
          <w:bCs/>
          <w:sz w:val="20"/>
          <w:szCs w:val="20"/>
          <w:u w:val="single"/>
        </w:rPr>
        <w:lastRenderedPageBreak/>
        <w:t>Forward Looking Statement</w:t>
      </w:r>
      <w:r>
        <w:rPr>
          <w:b/>
          <w:bCs/>
          <w:sz w:val="20"/>
          <w:szCs w:val="20"/>
          <w:u w:val="single"/>
        </w:rPr>
        <w:t>s</w:t>
      </w:r>
    </w:p>
    <w:p w:rsidR="00000000" w:rsidRDefault="00865332">
      <w:pPr>
        <w:pStyle w:val="a3"/>
        <w:spacing w:before="0" w:beforeAutospacing="0" w:after="0" w:afterAutospacing="0" w:line="259" w:lineRule="auto"/>
        <w:ind w:firstLine="720"/>
        <w:jc w:val="both"/>
        <w:divId w:val="1690402200"/>
        <w:rPr>
          <w:sz w:val="20"/>
          <w:szCs w:val="20"/>
        </w:rPr>
      </w:pPr>
      <w:r>
        <w:rPr>
          <w:sz w:val="20"/>
          <w:szCs w:val="20"/>
        </w:rPr>
        <w:t>This Annual Report on Form 10-K contains forward-looking statements within the meaning of the Private Securities Litigation Reform Act of 1995</w:t>
      </w:r>
      <w:r>
        <w:rPr>
          <w:sz w:val="20"/>
          <w:szCs w:val="20"/>
        </w:rPr>
        <w:t>.</w:t>
      </w:r>
      <w:r>
        <w:rPr>
          <w:sz w:val="20"/>
          <w:szCs w:val="20"/>
        </w:rPr>
        <w:t xml:space="preserve"> All statements in this document, other than statements of historical fact, are forwar</w:t>
      </w:r>
      <w:r>
        <w:rPr>
          <w:sz w:val="20"/>
          <w:szCs w:val="20"/>
        </w:rPr>
        <w:t>d-looking statements which may be identified by the use of the words "expects,"  "believes,"  "anticipates," "should," "estimates" and similar expressions.</w:t>
      </w:r>
      <w:r>
        <w:rPr>
          <w:sz w:val="20"/>
          <w:szCs w:val="20"/>
        </w:rPr>
        <w:t xml:space="preserve"> </w:t>
      </w:r>
    </w:p>
    <w:p w:rsidR="00000000" w:rsidRDefault="00865332">
      <w:pPr>
        <w:pStyle w:val="a3"/>
        <w:spacing w:before="0" w:beforeAutospacing="0" w:after="0" w:afterAutospacing="0" w:line="259" w:lineRule="auto"/>
        <w:ind w:firstLine="720"/>
        <w:jc w:val="both"/>
        <w:divId w:val="1690402200"/>
        <w:rPr>
          <w:sz w:val="20"/>
          <w:szCs w:val="20"/>
        </w:rPr>
      </w:pPr>
      <w:r>
        <w:rPr>
          <w:sz w:val="20"/>
          <w:szCs w:val="20"/>
        </w:rPr>
        <w:t>These forward-looking statements involve known and unknown risks and uncertainties, which may cause</w:t>
      </w:r>
      <w:r>
        <w:rPr>
          <w:sz w:val="20"/>
          <w:szCs w:val="20"/>
        </w:rPr>
        <w:t xml:space="preserve"> our actual results and performance to be materially different from those expressed or implied in the forward-looking statements.</w:t>
      </w:r>
      <w:r>
        <w:rPr>
          <w:sz w:val="20"/>
          <w:szCs w:val="20"/>
        </w:rPr>
        <w:t xml:space="preserve"> </w:t>
      </w:r>
      <w:r>
        <w:rPr>
          <w:sz w:val="20"/>
          <w:szCs w:val="20"/>
        </w:rPr>
        <w:t>Factors and risks that may impact future results and performance include, but are not limited to, those described in Part 1,</w:t>
      </w:r>
      <w:r>
        <w:rPr>
          <w:sz w:val="20"/>
          <w:szCs w:val="20"/>
        </w:rPr>
        <w:t xml:space="preserve"> </w:t>
      </w:r>
      <w:r>
        <w:rPr>
          <w:sz w:val="20"/>
          <w:szCs w:val="20"/>
        </w:rPr>
        <w:t>I</w:t>
      </w:r>
      <w:r>
        <w:rPr>
          <w:sz w:val="20"/>
          <w:szCs w:val="20"/>
        </w:rPr>
        <w:t>tem 1A, "Risk Factors"</w:t>
      </w:r>
      <w:r>
        <w:rPr>
          <w:sz w:val="20"/>
          <w:szCs w:val="20"/>
        </w:rPr>
        <w:t xml:space="preserve"> </w:t>
      </w:r>
      <w:r>
        <w:rPr>
          <w:sz w:val="20"/>
          <w:szCs w:val="20"/>
        </w:rPr>
        <w:t>and in our other filings with the Securities and Exchange Commission (the “SEC”) including</w:t>
      </w:r>
      <w:r>
        <w:rPr>
          <w:sz w:val="20"/>
          <w:szCs w:val="20"/>
        </w:rPr>
        <w:t>:</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general risks associated with the ownership and operation of real estate, including changes in demand, risk related to development, acquisit</w:t>
      </w:r>
      <w:r>
        <w:rPr>
          <w:sz w:val="20"/>
          <w:szCs w:val="20"/>
        </w:rPr>
        <w:t>ion, and expansion of self-storage facilities, potential liability for environmental contamination, natural disasters and adverse changes in laws and regulations governing property tax, real estate and zoning;</w:t>
      </w:r>
      <w:r>
        <w:rPr>
          <w:sz w:val="20"/>
          <w:szCs w:val="20"/>
        </w:rPr>
        <w:t xml:space="preserve"> </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risks associated with downturns in the natio</w:t>
      </w:r>
      <w:r>
        <w:rPr>
          <w:sz w:val="20"/>
          <w:szCs w:val="20"/>
        </w:rPr>
        <w:t>nal and local economies in the markets in which we operate, including risks related to current economic conditions and the economic health of our customers;</w:t>
      </w:r>
      <w:r>
        <w:rPr>
          <w:sz w:val="20"/>
          <w:szCs w:val="20"/>
        </w:rPr>
        <w:t xml:space="preserve"> </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 xml:space="preserve">the impact of competition from new and existing self-storage and commercial facilities and other </w:t>
      </w:r>
      <w:r>
        <w:rPr>
          <w:sz w:val="20"/>
          <w:szCs w:val="20"/>
        </w:rPr>
        <w:t>storage alternatives;</w:t>
      </w:r>
      <w:r>
        <w:rPr>
          <w:sz w:val="20"/>
          <w:szCs w:val="20"/>
        </w:rPr>
        <w:t xml:space="preserve"> </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the risk that our existing self-storage facilities may be at a disadvantage in competing with newly developed facilities with more visual and customer appeal</w:t>
      </w:r>
      <w:r>
        <w:rPr>
          <w:sz w:val="20"/>
          <w:szCs w:val="20"/>
        </w:rPr>
        <w:t>;</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difficulties in our ability to successfully evaluate, finance, integrate</w:t>
      </w:r>
      <w:r>
        <w:rPr>
          <w:sz w:val="20"/>
          <w:szCs w:val="20"/>
        </w:rPr>
        <w:t xml:space="preserve"> into our existing operations, and manage properties that we acquire directly or through the acquisition of entities that own and operate self-storage facilities</w:t>
      </w:r>
      <w:r>
        <w:rPr>
          <w:sz w:val="20"/>
          <w:szCs w:val="20"/>
        </w:rPr>
        <w:t>;</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increased reliance on Google as a customer acquisition channel</w:t>
      </w:r>
      <w:r>
        <w:rPr>
          <w:sz w:val="20"/>
          <w:szCs w:val="20"/>
        </w:rPr>
        <w:t>;</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risks associated with inter</w:t>
      </w:r>
      <w:r>
        <w:rPr>
          <w:sz w:val="20"/>
          <w:szCs w:val="20"/>
        </w:rPr>
        <w:t>national operations including, but not limited to, unfavorable foreign currency rate fluctuations, changes in tax laws, and local and global economic uncertainty that could adversely affect our earnings and cash flows;</w:t>
      </w:r>
      <w:r>
        <w:rPr>
          <w:sz w:val="20"/>
          <w:szCs w:val="20"/>
        </w:rPr>
        <w:t xml:space="preserve"> </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 xml:space="preserve">risks related to our participation </w:t>
      </w:r>
      <w:r>
        <w:rPr>
          <w:sz w:val="20"/>
          <w:szCs w:val="20"/>
        </w:rPr>
        <w:t>in joint ventures</w:t>
      </w:r>
      <w:r>
        <w:rPr>
          <w:sz w:val="20"/>
          <w:szCs w:val="20"/>
        </w:rPr>
        <w:t>;</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the impact of the legal and regulatory environment, including changes in federal, state, and local laws and regulations governing environmental issues, taxes, our tenant reinsurance business, pricing of our self-storage space, and labor</w:t>
      </w:r>
      <w:r>
        <w:rPr>
          <w:sz w:val="20"/>
          <w:szCs w:val="20"/>
        </w:rPr>
        <w:t>;</w:t>
      </w:r>
    </w:p>
    <w:p w:rsidR="00000000" w:rsidRDefault="00865332">
      <w:pPr>
        <w:pStyle w:val="a3"/>
        <w:spacing w:before="0" w:beforeAutospacing="0" w:after="0" w:afterAutospacing="0" w:line="259" w:lineRule="auto"/>
        <w:ind w:left="1440" w:hanging="360"/>
        <w:jc w:val="both"/>
        <w:divId w:val="1690402200"/>
        <w:rPr>
          <w:sz w:val="20"/>
          <w:szCs w:val="20"/>
        </w:rPr>
      </w:pPr>
      <w:r>
        <w:rPr>
          <w:rFonts w:ascii="Symbol" w:hAnsi="Symbol"/>
          <w:sz w:val="20"/>
          <w:szCs w:val="20"/>
        </w:rPr>
        <w:sym w:font="Symbol" w:char="F0B7"/>
      </w:r>
      <w:r>
        <w:rPr>
          <w:sz w:val="20"/>
          <w:szCs w:val="20"/>
        </w:rPr>
        <w:t>risks of increased tax expense associated either with a possible failure by us to qualify as a real estate investment trust (“REIT”), or with challenges to the determination of taxable income for our taxable REIT subsidiaries</w:t>
      </w:r>
      <w:r>
        <w:rPr>
          <w:sz w:val="20"/>
          <w:szCs w:val="20"/>
        </w:rPr>
        <w:t>;</w:t>
      </w:r>
    </w:p>
    <w:p w:rsidR="00000000" w:rsidRDefault="00865332">
      <w:pPr>
        <w:pStyle w:val="a3"/>
        <w:spacing w:before="0" w:beforeAutospacing="0" w:after="0" w:afterAutospacing="0" w:line="259" w:lineRule="auto"/>
        <w:jc w:val="center"/>
        <w:divId w:val="1798176896"/>
        <w:rPr>
          <w:sz w:val="20"/>
          <w:szCs w:val="20"/>
        </w:rPr>
      </w:pPr>
      <w:r>
        <w:rPr>
          <w:rStyle w:val="ctheaderfooterpage"/>
          <w:sz w:val="20"/>
          <w:szCs w:val="20"/>
        </w:rPr>
        <w:t>4</w:t>
      </w:r>
    </w:p>
    <w:p w:rsidR="00000000" w:rsidRDefault="00865332">
      <w:pPr>
        <w:spacing w:before="360" w:after="360"/>
        <w:divId w:val="712387623"/>
        <w:rPr>
          <w:rFonts w:eastAsia="Times New Roman"/>
        </w:rPr>
      </w:pPr>
      <w:r>
        <w:rPr>
          <w:rFonts w:eastAsia="Times New Roman"/>
        </w:rPr>
        <w:pict>
          <v:rect id="_x0000_i1028" style="width:0;height:1.5pt" o:hralign="center" o:hrstd="t" o:hr="t" fillcolor="#a0a0a0" stroked="f"/>
        </w:pict>
      </w:r>
    </w:p>
    <w:p w:rsidR="00000000" w:rsidRDefault="00865332">
      <w:pPr>
        <w:pStyle w:val="a3"/>
        <w:spacing w:before="0" w:beforeAutospacing="0" w:after="0" w:afterAutospacing="0" w:line="259" w:lineRule="auto"/>
        <w:ind w:left="1440" w:hanging="360"/>
        <w:jc w:val="both"/>
        <w:divId w:val="1936277991"/>
        <w:rPr>
          <w:sz w:val="20"/>
          <w:szCs w:val="20"/>
        </w:rPr>
      </w:pPr>
      <w:r>
        <w:rPr>
          <w:rFonts w:ascii="Symbol" w:hAnsi="Symbol"/>
          <w:sz w:val="20"/>
          <w:szCs w:val="20"/>
        </w:rPr>
        <w:sym w:font="Symbol" w:char="F0B7"/>
      </w:r>
      <w:r>
        <w:rPr>
          <w:sz w:val="20"/>
          <w:szCs w:val="20"/>
        </w:rPr>
        <w:t>risks due to a potential November 2020 California ballot initiative (or other equivalent actions) that could remove the property tax protections of Proposition 13 with respect to our California real estate and result in substantial increases in our Califor</w:t>
      </w:r>
      <w:r>
        <w:rPr>
          <w:sz w:val="20"/>
          <w:szCs w:val="20"/>
        </w:rPr>
        <w:t>nia property tax expense</w:t>
      </w:r>
      <w:r>
        <w:rPr>
          <w:sz w:val="20"/>
          <w:szCs w:val="20"/>
        </w:rPr>
        <w:t>;</w:t>
      </w:r>
    </w:p>
    <w:p w:rsidR="00000000" w:rsidRDefault="00865332">
      <w:pPr>
        <w:pStyle w:val="a3"/>
        <w:spacing w:before="0" w:beforeAutospacing="0" w:after="0" w:afterAutospacing="0" w:line="259" w:lineRule="auto"/>
        <w:ind w:left="1440" w:hanging="360"/>
        <w:jc w:val="both"/>
        <w:divId w:val="1936277991"/>
        <w:rPr>
          <w:sz w:val="20"/>
          <w:szCs w:val="20"/>
        </w:rPr>
      </w:pPr>
      <w:r>
        <w:rPr>
          <w:rFonts w:ascii="Symbol" w:hAnsi="Symbol"/>
          <w:sz w:val="20"/>
          <w:szCs w:val="20"/>
        </w:rPr>
        <w:sym w:font="Symbol" w:char="F0B7"/>
      </w:r>
      <w:r>
        <w:rPr>
          <w:sz w:val="20"/>
          <w:szCs w:val="20"/>
        </w:rPr>
        <w:t>changes in United States (“U.S.”) federal or state tax laws related to the taxation of REITs and other corporations</w:t>
      </w:r>
      <w:r>
        <w:rPr>
          <w:sz w:val="20"/>
          <w:szCs w:val="20"/>
        </w:rPr>
        <w:t>;</w:t>
      </w:r>
    </w:p>
    <w:p w:rsidR="00000000" w:rsidRDefault="00865332">
      <w:pPr>
        <w:pStyle w:val="a3"/>
        <w:spacing w:before="0" w:beforeAutospacing="0" w:after="0" w:afterAutospacing="0" w:line="259" w:lineRule="auto"/>
        <w:ind w:left="1440" w:hanging="360"/>
        <w:jc w:val="both"/>
        <w:divId w:val="1936277991"/>
        <w:rPr>
          <w:sz w:val="20"/>
          <w:szCs w:val="20"/>
        </w:rPr>
      </w:pPr>
      <w:r>
        <w:rPr>
          <w:rFonts w:ascii="Symbol" w:hAnsi="Symbol"/>
          <w:sz w:val="20"/>
          <w:szCs w:val="20"/>
        </w:rPr>
        <w:sym w:font="Symbol" w:char="F0B7"/>
      </w:r>
      <w:r>
        <w:rPr>
          <w:sz w:val="20"/>
          <w:szCs w:val="20"/>
        </w:rPr>
        <w:t xml:space="preserve">security breaches or a failure of our networks, systems or technology could adversely impact our operations or </w:t>
      </w:r>
      <w:r>
        <w:rPr>
          <w:sz w:val="20"/>
          <w:szCs w:val="20"/>
        </w:rPr>
        <w:t>our</w:t>
      </w:r>
      <w:r>
        <w:rPr>
          <w:sz w:val="20"/>
          <w:szCs w:val="20"/>
        </w:rPr>
        <w:t xml:space="preserve"> </w:t>
      </w:r>
      <w:r>
        <w:rPr>
          <w:sz w:val="20"/>
          <w:szCs w:val="20"/>
        </w:rPr>
        <w:t>busines</w:t>
      </w:r>
      <w:r>
        <w:rPr>
          <w:sz w:val="20"/>
          <w:szCs w:val="20"/>
        </w:rPr>
        <w:t>s</w:t>
      </w:r>
      <w:r>
        <w:rPr>
          <w:sz w:val="20"/>
          <w:szCs w:val="20"/>
        </w:rPr>
        <w:t>, customer, and employee relationships or result in fraudulent payments</w:t>
      </w:r>
      <w:r>
        <w:rPr>
          <w:sz w:val="20"/>
          <w:szCs w:val="20"/>
        </w:rPr>
        <w:t>;</w:t>
      </w:r>
    </w:p>
    <w:p w:rsidR="00000000" w:rsidRDefault="00865332">
      <w:pPr>
        <w:pStyle w:val="a3"/>
        <w:spacing w:before="0" w:beforeAutospacing="0" w:after="0" w:afterAutospacing="0" w:line="259" w:lineRule="auto"/>
        <w:ind w:left="1440" w:hanging="360"/>
        <w:jc w:val="both"/>
        <w:divId w:val="1936277991"/>
        <w:rPr>
          <w:sz w:val="20"/>
          <w:szCs w:val="20"/>
        </w:rPr>
      </w:pPr>
      <w:r>
        <w:rPr>
          <w:rFonts w:ascii="Symbol" w:hAnsi="Symbol"/>
          <w:sz w:val="20"/>
          <w:szCs w:val="20"/>
        </w:rPr>
        <w:sym w:font="Symbol" w:char="F0B7"/>
      </w:r>
      <w:r>
        <w:rPr>
          <w:sz w:val="20"/>
          <w:szCs w:val="20"/>
        </w:rPr>
        <w:t>risks</w:t>
      </w:r>
      <w:r>
        <w:rPr>
          <w:sz w:val="20"/>
          <w:szCs w:val="20"/>
        </w:rPr>
        <w:t xml:space="preserve"> </w:t>
      </w:r>
      <w:r>
        <w:rPr>
          <w:sz w:val="20"/>
          <w:szCs w:val="20"/>
        </w:rPr>
        <w:t>associate</w:t>
      </w:r>
      <w:r>
        <w:rPr>
          <w:sz w:val="20"/>
          <w:szCs w:val="20"/>
        </w:rPr>
        <w:t>d</w:t>
      </w:r>
      <w:r>
        <w:rPr>
          <w:sz w:val="20"/>
          <w:szCs w:val="20"/>
        </w:rPr>
        <w:t xml:space="preserve"> with the self-insurance of certain business risks, including property and casualty insurance, employee health insurance and workers compensation liabilit</w:t>
      </w:r>
      <w:r>
        <w:rPr>
          <w:sz w:val="20"/>
          <w:szCs w:val="20"/>
        </w:rPr>
        <w:t>ies;</w:t>
      </w:r>
      <w:r>
        <w:rPr>
          <w:sz w:val="20"/>
          <w:szCs w:val="20"/>
        </w:rPr>
        <w:t xml:space="preserve"> </w:t>
      </w:r>
    </w:p>
    <w:p w:rsidR="00000000" w:rsidRDefault="00865332">
      <w:pPr>
        <w:pStyle w:val="a3"/>
        <w:spacing w:before="0" w:beforeAutospacing="0" w:after="0" w:afterAutospacing="0" w:line="259" w:lineRule="auto"/>
        <w:ind w:left="1440" w:hanging="360"/>
        <w:jc w:val="both"/>
        <w:divId w:val="1936277991"/>
        <w:rPr>
          <w:sz w:val="20"/>
          <w:szCs w:val="20"/>
        </w:rPr>
      </w:pPr>
      <w:r>
        <w:rPr>
          <w:rFonts w:ascii="Symbol" w:hAnsi="Symbol"/>
          <w:sz w:val="20"/>
          <w:szCs w:val="20"/>
        </w:rPr>
        <w:sym w:font="Symbol" w:char="F0B7"/>
      </w:r>
      <w:r>
        <w:rPr>
          <w:sz w:val="20"/>
          <w:szCs w:val="20"/>
        </w:rPr>
        <w:t>difficulties in raising capital at a reasonable cost;</w:t>
      </w:r>
      <w:r>
        <w:rPr>
          <w:sz w:val="20"/>
          <w:szCs w:val="20"/>
        </w:rPr>
        <w:t xml:space="preserve"> </w:t>
      </w:r>
    </w:p>
    <w:p w:rsidR="00000000" w:rsidRDefault="00865332">
      <w:pPr>
        <w:pStyle w:val="a3"/>
        <w:spacing w:before="0" w:beforeAutospacing="0" w:after="0" w:afterAutospacing="0" w:line="259" w:lineRule="auto"/>
        <w:ind w:left="1440" w:hanging="360"/>
        <w:jc w:val="both"/>
        <w:divId w:val="1936277991"/>
        <w:rPr>
          <w:sz w:val="20"/>
          <w:szCs w:val="20"/>
        </w:rPr>
      </w:pPr>
      <w:r>
        <w:rPr>
          <w:rFonts w:ascii="Symbol" w:hAnsi="Symbol"/>
          <w:sz w:val="20"/>
          <w:szCs w:val="20"/>
        </w:rPr>
        <w:sym w:font="Symbol" w:char="F0B7"/>
      </w:r>
      <w:r>
        <w:rPr>
          <w:sz w:val="20"/>
          <w:szCs w:val="20"/>
        </w:rPr>
        <w:t>delays and cost overruns on our projects to develop or expand our facilities</w:t>
      </w:r>
      <w:r>
        <w:rPr>
          <w:sz w:val="20"/>
          <w:szCs w:val="20"/>
        </w:rPr>
        <w:t>;</w:t>
      </w:r>
    </w:p>
    <w:p w:rsidR="00000000" w:rsidRDefault="00865332">
      <w:pPr>
        <w:pStyle w:val="a3"/>
        <w:spacing w:before="0" w:beforeAutospacing="0" w:after="0" w:afterAutospacing="0" w:line="259" w:lineRule="auto"/>
        <w:ind w:left="1440" w:hanging="360"/>
        <w:jc w:val="both"/>
        <w:divId w:val="1936277991"/>
        <w:rPr>
          <w:sz w:val="20"/>
          <w:szCs w:val="20"/>
        </w:rPr>
      </w:pPr>
      <w:r>
        <w:rPr>
          <w:rFonts w:ascii="Symbol" w:hAnsi="Symbol"/>
          <w:sz w:val="20"/>
          <w:szCs w:val="20"/>
        </w:rPr>
        <w:lastRenderedPageBreak/>
        <w:sym w:font="Symbol" w:char="F0B7"/>
      </w:r>
      <w:r>
        <w:rPr>
          <w:sz w:val="20"/>
          <w:szCs w:val="20"/>
        </w:rPr>
        <w:t>ongoing litigation and other legal and regulatory actions that may divert management’s time and attention, require us to pay damages and expenses or restrict the operation of our business; an</w:t>
      </w:r>
      <w:r>
        <w:rPr>
          <w:sz w:val="20"/>
          <w:szCs w:val="20"/>
        </w:rPr>
        <w:t>d</w:t>
      </w:r>
    </w:p>
    <w:p w:rsidR="00000000" w:rsidRDefault="00865332">
      <w:pPr>
        <w:pStyle w:val="a3"/>
        <w:spacing w:before="0" w:beforeAutospacing="0" w:after="0" w:afterAutospacing="0" w:line="259" w:lineRule="auto"/>
        <w:ind w:left="1440" w:hanging="360"/>
        <w:jc w:val="both"/>
        <w:divId w:val="1936277991"/>
        <w:rPr>
          <w:sz w:val="20"/>
          <w:szCs w:val="20"/>
        </w:rPr>
      </w:pPr>
      <w:r>
        <w:rPr>
          <w:rFonts w:ascii="Symbol" w:hAnsi="Symbol"/>
          <w:sz w:val="20"/>
          <w:szCs w:val="20"/>
        </w:rPr>
        <w:sym w:font="Symbol" w:char="F0B7"/>
      </w:r>
      <w:r>
        <w:rPr>
          <w:sz w:val="20"/>
          <w:szCs w:val="20"/>
        </w:rPr>
        <w:t>economic uncertainty due to the impact of war or terrorism</w:t>
      </w:r>
      <w:r>
        <w:rPr>
          <w:sz w:val="20"/>
          <w:szCs w:val="20"/>
        </w:rPr>
        <w:t>.</w:t>
      </w:r>
    </w:p>
    <w:p w:rsidR="00000000" w:rsidRDefault="00865332">
      <w:pPr>
        <w:pStyle w:val="a3"/>
        <w:spacing w:before="0" w:beforeAutospacing="0" w:after="0" w:afterAutospacing="0" w:line="259" w:lineRule="auto"/>
        <w:ind w:firstLine="720"/>
        <w:jc w:val="both"/>
        <w:divId w:val="1936277991"/>
        <w:rPr>
          <w:sz w:val="20"/>
          <w:szCs w:val="20"/>
        </w:rPr>
      </w:pPr>
      <w:r>
        <w:rPr>
          <w:sz w:val="20"/>
          <w:szCs w:val="20"/>
        </w:rPr>
        <w:t>Th</w:t>
      </w:r>
      <w:r>
        <w:rPr>
          <w:sz w:val="20"/>
          <w:szCs w:val="20"/>
        </w:rPr>
        <w:t>ese forward looking statements speak only as of the date of this report or as of the dates indicated in the statements. All of our forward-looking statements, including those in this report, are qualified in their entirety by this statement. We expressly d</w:t>
      </w:r>
      <w:r>
        <w:rPr>
          <w:sz w:val="20"/>
          <w:szCs w:val="20"/>
        </w:rPr>
        <w:t>isclaim any obligation to update publicly or otherwise revise any forward-looking statements, whether as a result of new information, new estimates, or other factors, events or circumstances after the date of these forward looking statements, except when e</w:t>
      </w:r>
      <w:r>
        <w:rPr>
          <w:sz w:val="20"/>
          <w:szCs w:val="20"/>
        </w:rPr>
        <w:t>xpressly required by law. Given these risks and uncertainties, you should not rely on any forward-looking statements in this report, or which management may make orally or in writing from time to time, neither as predictions of future events nor guarantees</w:t>
      </w:r>
      <w:r>
        <w:rPr>
          <w:sz w:val="20"/>
          <w:szCs w:val="20"/>
        </w:rPr>
        <w:t xml:space="preserve"> of future performance</w:t>
      </w:r>
      <w:r>
        <w:rPr>
          <w:sz w:val="20"/>
          <w:szCs w:val="20"/>
        </w:rPr>
        <w:t>.</w:t>
      </w:r>
    </w:p>
    <w:p w:rsidR="00000000" w:rsidRDefault="00865332">
      <w:pPr>
        <w:pStyle w:val="a3"/>
        <w:spacing w:before="0" w:beforeAutospacing="0" w:after="0" w:afterAutospacing="0" w:line="259" w:lineRule="auto"/>
        <w:jc w:val="both"/>
        <w:divId w:val="1936277991"/>
        <w:rPr>
          <w:sz w:val="20"/>
          <w:szCs w:val="20"/>
        </w:rPr>
      </w:pPr>
      <w:r>
        <w:rPr>
          <w:b/>
          <w:bCs/>
          <w:sz w:val="20"/>
          <w:szCs w:val="20"/>
          <w:u w:val="single"/>
        </w:rPr>
        <w:t>Genera</w:t>
      </w:r>
      <w:r>
        <w:rPr>
          <w:b/>
          <w:bCs/>
          <w:sz w:val="20"/>
          <w:szCs w:val="20"/>
          <w:u w:val="single"/>
        </w:rPr>
        <w:t>l</w:t>
      </w:r>
    </w:p>
    <w:p w:rsidR="00000000" w:rsidRDefault="00865332">
      <w:pPr>
        <w:pStyle w:val="a3"/>
        <w:spacing w:before="0" w:beforeAutospacing="0" w:after="0" w:afterAutospacing="0" w:line="259" w:lineRule="auto"/>
        <w:ind w:firstLine="720"/>
        <w:jc w:val="both"/>
        <w:divId w:val="1936277991"/>
        <w:rPr>
          <w:sz w:val="20"/>
          <w:szCs w:val="20"/>
        </w:rPr>
      </w:pPr>
      <w:r>
        <w:rPr>
          <w:sz w:val="20"/>
          <w:szCs w:val="20"/>
        </w:rPr>
        <w:t>Public Storage (referred to herein as “the Company”, “we”, “us”, or “our”), a Maryland REIT, was organized in 1980</w:t>
      </w:r>
      <w:r>
        <w:rPr>
          <w:sz w:val="20"/>
          <w:szCs w:val="20"/>
        </w:rPr>
        <w:t>.</w:t>
      </w:r>
    </w:p>
    <w:p w:rsidR="00000000" w:rsidRDefault="00865332">
      <w:pPr>
        <w:pStyle w:val="a3"/>
        <w:spacing w:before="0" w:beforeAutospacing="0" w:after="0" w:afterAutospacing="0" w:line="259" w:lineRule="auto"/>
        <w:ind w:firstLine="720"/>
        <w:jc w:val="both"/>
        <w:divId w:val="1936277991"/>
        <w:rPr>
          <w:sz w:val="20"/>
          <w:szCs w:val="20"/>
        </w:rPr>
      </w:pPr>
      <w:r>
        <w:rPr>
          <w:sz w:val="20"/>
          <w:szCs w:val="20"/>
        </w:rPr>
        <w:t>At December 31, 2019, our principal business activities were as follows</w:t>
      </w:r>
      <w:r>
        <w:rPr>
          <w:sz w:val="20"/>
          <w:szCs w:val="20"/>
        </w:rPr>
        <w:t>:</w:t>
      </w:r>
    </w:p>
    <w:p w:rsidR="00000000" w:rsidRDefault="00865332">
      <w:pPr>
        <w:pStyle w:val="a3"/>
        <w:spacing w:before="0" w:beforeAutospacing="0" w:after="0" w:afterAutospacing="0" w:line="259" w:lineRule="auto"/>
        <w:ind w:left="1440" w:hanging="360"/>
        <w:jc w:val="both"/>
        <w:divId w:val="1936277991"/>
        <w:rPr>
          <w:sz w:val="20"/>
          <w:szCs w:val="20"/>
        </w:rPr>
      </w:pPr>
      <w:r>
        <w:rPr>
          <w:sz w:val="20"/>
          <w:szCs w:val="20"/>
        </w:rPr>
        <w:t>(i</w:t>
      </w:r>
      <w:r>
        <w:rPr>
          <w:sz w:val="20"/>
          <w:szCs w:val="20"/>
        </w:rPr>
        <w:t>)</w:t>
      </w:r>
      <w:r>
        <w:rPr>
          <w:sz w:val="20"/>
          <w:szCs w:val="20"/>
          <w:u w:val="single"/>
        </w:rPr>
        <w:t>Self-storage Operation</w:t>
      </w:r>
      <w:r>
        <w:rPr>
          <w:sz w:val="20"/>
          <w:szCs w:val="20"/>
          <w:u w:val="single"/>
        </w:rPr>
        <w:t>s</w:t>
      </w:r>
      <w:r>
        <w:rPr>
          <w:sz w:val="20"/>
          <w:szCs w:val="20"/>
        </w:rPr>
        <w:t>: We acqu</w:t>
      </w:r>
      <w:r>
        <w:rPr>
          <w:sz w:val="20"/>
          <w:szCs w:val="20"/>
        </w:rPr>
        <w:t>ire, develop, own and operate self-storage facilities, which offer storage spaces for lease on a month-to-month basis, for personal and business use. We are the largest owner and operator of self-storage facilities in the U.S. At December 31, 2019, we have</w:t>
      </w:r>
      <w:r>
        <w:rPr>
          <w:sz w:val="20"/>
          <w:szCs w:val="20"/>
        </w:rPr>
        <w:t xml:space="preserve"> direct and indirect equity interests in 2,483 self-storage facilities that we consolidate (an aggregate of 169 million net rentable square feet of space) located in 38 states within the U.S. operating under the “Public Storage” brand name.</w:t>
      </w:r>
      <w:r>
        <w:rPr>
          <w:sz w:val="20"/>
          <w:szCs w:val="20"/>
        </w:rPr>
        <w:t xml:space="preserve"> </w:t>
      </w:r>
    </w:p>
    <w:p w:rsidR="00000000" w:rsidRDefault="00865332">
      <w:pPr>
        <w:pStyle w:val="a3"/>
        <w:spacing w:before="0" w:beforeAutospacing="0" w:after="0" w:afterAutospacing="0" w:line="259" w:lineRule="auto"/>
        <w:ind w:left="1440" w:hanging="360"/>
        <w:jc w:val="both"/>
        <w:divId w:val="1936277991"/>
        <w:rPr>
          <w:sz w:val="20"/>
          <w:szCs w:val="20"/>
        </w:rPr>
      </w:pPr>
      <w:r>
        <w:rPr>
          <w:sz w:val="20"/>
          <w:szCs w:val="20"/>
        </w:rPr>
        <w:t>(ii</w:t>
      </w:r>
      <w:r>
        <w:rPr>
          <w:sz w:val="20"/>
          <w:szCs w:val="20"/>
        </w:rPr>
        <w:t>)</w:t>
      </w:r>
      <w:r>
        <w:rPr>
          <w:sz w:val="20"/>
          <w:szCs w:val="20"/>
          <w:u w:val="single"/>
        </w:rPr>
        <w:t xml:space="preserve">Ancillary </w:t>
      </w:r>
      <w:r>
        <w:rPr>
          <w:sz w:val="20"/>
          <w:szCs w:val="20"/>
          <w:u w:val="single"/>
        </w:rPr>
        <w:t>Operation</w:t>
      </w:r>
      <w:r>
        <w:rPr>
          <w:sz w:val="20"/>
          <w:szCs w:val="20"/>
          <w:u w:val="single"/>
        </w:rPr>
        <w:t>s</w:t>
      </w:r>
      <w:r>
        <w:rPr>
          <w:sz w:val="20"/>
          <w:szCs w:val="20"/>
        </w:rPr>
        <w:t>: We reinsure policies against losses to goods stored by customers in our self-storage facilities and sell merchandise, primarily locks and cardboard boxes, at our self-storage facilities</w:t>
      </w:r>
      <w:r>
        <w:rPr>
          <w:sz w:val="20"/>
          <w:szCs w:val="20"/>
        </w:rPr>
        <w:t>.</w:t>
      </w:r>
    </w:p>
    <w:p w:rsidR="00000000" w:rsidRDefault="00865332">
      <w:pPr>
        <w:pStyle w:val="a3"/>
        <w:spacing w:before="0" w:beforeAutospacing="0" w:after="0" w:afterAutospacing="0" w:line="259" w:lineRule="auto"/>
        <w:ind w:left="1440" w:hanging="360"/>
        <w:jc w:val="both"/>
        <w:divId w:val="1936277991"/>
        <w:rPr>
          <w:sz w:val="20"/>
          <w:szCs w:val="20"/>
        </w:rPr>
      </w:pPr>
      <w:r>
        <w:rPr>
          <w:sz w:val="20"/>
          <w:szCs w:val="20"/>
        </w:rPr>
        <w:t>(iii</w:t>
      </w:r>
      <w:r>
        <w:rPr>
          <w:sz w:val="20"/>
          <w:szCs w:val="20"/>
        </w:rPr>
        <w:t>)</w:t>
      </w:r>
      <w:r>
        <w:rPr>
          <w:sz w:val="20"/>
          <w:szCs w:val="20"/>
          <w:u w:val="single"/>
        </w:rPr>
        <w:t>Investment in PS Business Park</w:t>
      </w:r>
      <w:r>
        <w:rPr>
          <w:sz w:val="20"/>
          <w:szCs w:val="20"/>
          <w:u w:val="single"/>
        </w:rPr>
        <w:t>s</w:t>
      </w:r>
      <w:r>
        <w:rPr>
          <w:sz w:val="20"/>
          <w:szCs w:val="20"/>
        </w:rPr>
        <w:t>: We have a</w:t>
      </w:r>
      <w:r>
        <w:rPr>
          <w:sz w:val="20"/>
          <w:szCs w:val="20"/>
        </w:rPr>
        <w:t xml:space="preserve"> </w:t>
      </w:r>
      <w:r>
        <w:rPr>
          <w:sz w:val="20"/>
          <w:szCs w:val="20"/>
        </w:rPr>
        <w:t>42% equit</w:t>
      </w:r>
      <w:r>
        <w:rPr>
          <w:sz w:val="20"/>
          <w:szCs w:val="20"/>
        </w:rPr>
        <w:t>y</w:t>
      </w:r>
      <w:r>
        <w:rPr>
          <w:sz w:val="20"/>
          <w:szCs w:val="20"/>
        </w:rPr>
        <w:t xml:space="preserve"> </w:t>
      </w:r>
      <w:r>
        <w:rPr>
          <w:sz w:val="20"/>
          <w:szCs w:val="20"/>
        </w:rPr>
        <w:t>interest in PS Business Parks, Inc. (“PSB”), a publicly held REIT that owns, operates, acquires and develops commercial properties, primarily multi-tenant flex, office, and industrial parks. At December 31, 2019, PSB owns and operates 27.6 million rentab</w:t>
      </w:r>
      <w:r>
        <w:rPr>
          <w:sz w:val="20"/>
          <w:szCs w:val="20"/>
        </w:rPr>
        <w:t>le square feet of commercial space.</w:t>
      </w:r>
      <w:r>
        <w:rPr>
          <w:sz w:val="20"/>
          <w:szCs w:val="20"/>
        </w:rPr>
        <w:t xml:space="preserve"> </w:t>
      </w:r>
    </w:p>
    <w:p w:rsidR="00000000" w:rsidRDefault="00865332">
      <w:pPr>
        <w:pStyle w:val="a3"/>
        <w:spacing w:before="0" w:beforeAutospacing="0" w:after="0" w:afterAutospacing="0" w:line="259" w:lineRule="auto"/>
        <w:jc w:val="center"/>
        <w:divId w:val="1330250438"/>
        <w:rPr>
          <w:sz w:val="20"/>
          <w:szCs w:val="20"/>
        </w:rPr>
      </w:pPr>
      <w:r>
        <w:rPr>
          <w:rStyle w:val="ctheaderfooterpage"/>
          <w:sz w:val="20"/>
          <w:szCs w:val="20"/>
        </w:rPr>
        <w:t>5</w:t>
      </w:r>
    </w:p>
    <w:p w:rsidR="00000000" w:rsidRDefault="00865332">
      <w:pPr>
        <w:spacing w:before="360" w:after="360"/>
        <w:divId w:val="1663463924"/>
        <w:rPr>
          <w:rFonts w:eastAsia="Times New Roman"/>
        </w:rPr>
      </w:pPr>
      <w:r>
        <w:rPr>
          <w:rFonts w:eastAsia="Times New Roman"/>
        </w:rPr>
        <w:pict>
          <v:rect id="_x0000_i1029" style="width:0;height:1.5pt" o:hralign="center" o:hrstd="t" o:hr="t" fillcolor="#a0a0a0" stroked="f"/>
        </w:pict>
      </w:r>
    </w:p>
    <w:p w:rsidR="00000000" w:rsidRDefault="00865332">
      <w:pPr>
        <w:pStyle w:val="a3"/>
        <w:spacing w:before="0" w:beforeAutospacing="0" w:after="0" w:afterAutospacing="0" w:line="259" w:lineRule="auto"/>
        <w:ind w:left="1440" w:hanging="360"/>
        <w:jc w:val="both"/>
        <w:divId w:val="1089541332"/>
        <w:rPr>
          <w:sz w:val="20"/>
          <w:szCs w:val="20"/>
        </w:rPr>
      </w:pPr>
      <w:r>
        <w:rPr>
          <w:sz w:val="20"/>
          <w:szCs w:val="20"/>
        </w:rPr>
        <w:t>(iv</w:t>
      </w:r>
      <w:r>
        <w:rPr>
          <w:sz w:val="20"/>
          <w:szCs w:val="20"/>
        </w:rPr>
        <w:t>)</w:t>
      </w:r>
      <w:r>
        <w:rPr>
          <w:sz w:val="20"/>
          <w:szCs w:val="20"/>
          <w:u w:val="single"/>
        </w:rPr>
        <w:t>Investment in Shurgar</w:t>
      </w:r>
      <w:r>
        <w:rPr>
          <w:sz w:val="20"/>
          <w:szCs w:val="20"/>
          <w:u w:val="single"/>
        </w:rPr>
        <w:t>d</w:t>
      </w:r>
      <w:r>
        <w:rPr>
          <w:sz w:val="20"/>
          <w:szCs w:val="20"/>
        </w:rPr>
        <w:t>: We have a 35% equity interest in Shurgard Self Storage SA (“Shurgard”), a public company traded on Euronext Brussels under the “SHUR” symbol, which owns</w:t>
      </w:r>
      <w:r>
        <w:rPr>
          <w:sz w:val="20"/>
          <w:szCs w:val="20"/>
        </w:rPr>
        <w:t xml:space="preserve"> 234 self-storage facilities (13 million net rentable square feet) located in seven countries in Western Europe operated under the “Shurgard” brand name. We believe Shurgard is the largest owner and operator of self-storage facilities in Western Europe.</w:t>
      </w:r>
      <w:r>
        <w:rPr>
          <w:sz w:val="20"/>
          <w:szCs w:val="20"/>
        </w:rPr>
        <w:t xml:space="preserve"> </w:t>
      </w:r>
    </w:p>
    <w:p w:rsidR="00000000" w:rsidRDefault="00865332">
      <w:pPr>
        <w:pStyle w:val="a3"/>
        <w:spacing w:before="0" w:beforeAutospacing="0" w:after="0" w:afterAutospacing="0" w:line="259" w:lineRule="auto"/>
        <w:ind w:firstLine="720"/>
        <w:jc w:val="both"/>
        <w:divId w:val="1089541332"/>
        <w:rPr>
          <w:sz w:val="20"/>
          <w:szCs w:val="20"/>
        </w:rPr>
      </w:pPr>
      <w:r>
        <w:rPr>
          <w:sz w:val="20"/>
          <w:szCs w:val="20"/>
        </w:rPr>
        <w:t>W</w:t>
      </w:r>
      <w:r>
        <w:rPr>
          <w:sz w:val="20"/>
          <w:szCs w:val="20"/>
        </w:rPr>
        <w:t>e also manage 55 self-storage facilities for third parties as of December 31, 2019. In order to further increase our economies of scale and leverage our brand, in 2018 we began an effort to expand the number of facilities we manage, through a dedicated int</w:t>
      </w:r>
      <w:r>
        <w:rPr>
          <w:sz w:val="20"/>
          <w:szCs w:val="20"/>
        </w:rPr>
        <w:t>ernal sales, administration, and implementation team. During the year ended December 31, 2019, we added 22 facilities to our third party management platform. At December 31, 2019, we are under contract to manage 27 additional facilities, currently under co</w:t>
      </w:r>
      <w:r>
        <w:rPr>
          <w:sz w:val="20"/>
          <w:szCs w:val="20"/>
        </w:rPr>
        <w:t>nstruction, following their completion. It is uncertain how many third party managed facilities we will add to our platform over time. We also own 0.9 million net rentable square feet of commercial space which is managed primarily by PSB</w:t>
      </w:r>
      <w:r>
        <w:rPr>
          <w:sz w:val="20"/>
          <w:szCs w:val="20"/>
        </w:rPr>
        <w:t>.</w:t>
      </w:r>
    </w:p>
    <w:p w:rsidR="00000000" w:rsidRDefault="00865332">
      <w:pPr>
        <w:pStyle w:val="a3"/>
        <w:spacing w:before="0" w:beforeAutospacing="0" w:after="0" w:afterAutospacing="0" w:line="259" w:lineRule="auto"/>
        <w:ind w:firstLine="720"/>
        <w:jc w:val="both"/>
        <w:divId w:val="1089541332"/>
        <w:rPr>
          <w:sz w:val="20"/>
          <w:szCs w:val="20"/>
        </w:rPr>
      </w:pPr>
      <w:r>
        <w:rPr>
          <w:sz w:val="20"/>
          <w:szCs w:val="20"/>
        </w:rPr>
        <w:t>For all periods p</w:t>
      </w:r>
      <w:r>
        <w:rPr>
          <w:sz w:val="20"/>
          <w:szCs w:val="20"/>
        </w:rPr>
        <w:t xml:space="preserve">resented herein, we have elected to be treated as a REIT, as defined in the Internal Revenue Code of 1986, as amended (the “Code”). As a REIT, we do not incur U.S. federal income tax if we distribute 100% of our “REIT taxable income” (generally, net rents </w:t>
      </w:r>
      <w:r>
        <w:rPr>
          <w:sz w:val="20"/>
          <w:szCs w:val="20"/>
        </w:rPr>
        <w:t xml:space="preserve">and gains from real property, dividends, and interest) each year (for this purpose, certain distributions paid in a subsequent year may be considered), and if we meet certain organizational and operational rules. We believe we met </w:t>
      </w:r>
      <w:r>
        <w:rPr>
          <w:sz w:val="20"/>
          <w:szCs w:val="20"/>
        </w:rPr>
        <w:lastRenderedPageBreak/>
        <w:t>these requirements in all</w:t>
      </w:r>
      <w:r>
        <w:rPr>
          <w:sz w:val="20"/>
          <w:szCs w:val="20"/>
        </w:rPr>
        <w:t xml:space="preserve"> periods presented herein and we expect to continue to elect and qualify as a REIT.</w:t>
      </w:r>
      <w:r>
        <w:rPr>
          <w:sz w:val="20"/>
          <w:szCs w:val="20"/>
        </w:rPr>
        <w:t xml:space="preserve"> </w:t>
      </w:r>
    </w:p>
    <w:p w:rsidR="00000000" w:rsidRDefault="00865332">
      <w:pPr>
        <w:pStyle w:val="a3"/>
        <w:spacing w:before="0" w:beforeAutospacing="0" w:after="0" w:afterAutospacing="0" w:line="259" w:lineRule="auto"/>
        <w:ind w:firstLine="720"/>
        <w:jc w:val="both"/>
        <w:divId w:val="1089541332"/>
        <w:rPr>
          <w:sz w:val="20"/>
          <w:szCs w:val="20"/>
        </w:rPr>
      </w:pPr>
      <w:r>
        <w:rPr>
          <w:sz w:val="20"/>
          <w:szCs w:val="20"/>
        </w:rPr>
        <w:t>We report annually to the SEC on Form 10-K, which includes financial statements certified by our independent registered public accountants. We also report quarterly to the SEC on Form 10-Q, which includes unaudited financial statements. We expect to contin</w:t>
      </w:r>
      <w:r>
        <w:rPr>
          <w:sz w:val="20"/>
          <w:szCs w:val="20"/>
        </w:rPr>
        <w:t>ue such reporting.</w:t>
      </w:r>
      <w:r>
        <w:rPr>
          <w:sz w:val="20"/>
          <w:szCs w:val="20"/>
        </w:rPr>
        <w:t xml:space="preserve"> </w:t>
      </w:r>
    </w:p>
    <w:p w:rsidR="00000000" w:rsidRDefault="00865332">
      <w:pPr>
        <w:pStyle w:val="a3"/>
        <w:spacing w:before="0" w:beforeAutospacing="0" w:after="0" w:afterAutospacing="0" w:line="259" w:lineRule="auto"/>
        <w:ind w:firstLine="720"/>
        <w:jc w:val="both"/>
        <w:divId w:val="1089541332"/>
        <w:rPr>
          <w:sz w:val="20"/>
          <w:szCs w:val="20"/>
        </w:rPr>
      </w:pPr>
      <w:r>
        <w:rPr>
          <w:sz w:val="20"/>
          <w:szCs w:val="20"/>
        </w:rPr>
        <w:t>On our website, www.publicstorage.com, we make available, free of charge, our Annual Reports on Form 10- K, quarterly reports on Form 10-Q, current reports on Form 8-K, and all amendments to those reports as soon as reasonably practicab</w:t>
      </w:r>
      <w:r>
        <w:rPr>
          <w:sz w:val="20"/>
          <w:szCs w:val="20"/>
        </w:rPr>
        <w:t>le after the reports and amendments are electronically filed with or furnished to the SEC. The information contained on our website is not a part of, or incorporated by reference into, this Annual Report on Form 10-K</w:t>
      </w:r>
      <w:r>
        <w:rPr>
          <w:sz w:val="20"/>
          <w:szCs w:val="20"/>
        </w:rPr>
        <w:t>.</w:t>
      </w:r>
    </w:p>
    <w:p w:rsidR="00000000" w:rsidRDefault="00865332">
      <w:pPr>
        <w:pStyle w:val="a3"/>
        <w:spacing w:before="0" w:beforeAutospacing="0" w:after="0" w:afterAutospacing="0" w:line="259" w:lineRule="auto"/>
        <w:jc w:val="both"/>
        <w:divId w:val="1089541332"/>
        <w:rPr>
          <w:sz w:val="20"/>
          <w:szCs w:val="20"/>
        </w:rPr>
      </w:pPr>
      <w:r>
        <w:rPr>
          <w:b/>
          <w:bCs/>
          <w:sz w:val="20"/>
          <w:szCs w:val="20"/>
          <w:u w:val="single"/>
        </w:rPr>
        <w:t>Competitio</w:t>
      </w:r>
      <w:r>
        <w:rPr>
          <w:b/>
          <w:bCs/>
          <w:sz w:val="20"/>
          <w:szCs w:val="20"/>
          <w:u w:val="single"/>
        </w:rPr>
        <w:t>n</w:t>
      </w:r>
    </w:p>
    <w:p w:rsidR="00000000" w:rsidRDefault="00865332">
      <w:pPr>
        <w:pStyle w:val="a3"/>
        <w:spacing w:before="0" w:beforeAutospacing="0" w:after="0" w:afterAutospacing="0" w:line="259" w:lineRule="auto"/>
        <w:ind w:firstLine="720"/>
        <w:jc w:val="both"/>
        <w:divId w:val="1089541332"/>
        <w:rPr>
          <w:sz w:val="20"/>
          <w:szCs w:val="20"/>
        </w:rPr>
      </w:pPr>
      <w:r>
        <w:rPr>
          <w:sz w:val="20"/>
          <w:szCs w:val="20"/>
        </w:rPr>
        <w:t>We believe that our custom</w:t>
      </w:r>
      <w:r>
        <w:rPr>
          <w:sz w:val="20"/>
          <w:szCs w:val="20"/>
        </w:rPr>
        <w:t>ers generally store their goods within a three to five mile radius of their home or business. Our facilities compete with nearby self-storage facilities owned by other operators using marketing channels similar to ours, including Internet advertising, sign</w:t>
      </w:r>
      <w:r>
        <w:rPr>
          <w:sz w:val="20"/>
          <w:szCs w:val="20"/>
        </w:rPr>
        <w:t>age, and banners and offer services similar to ours. As a result, competition is significant and affects the occupancy levels, rental rates, rental income and operating expenses of our facilities.</w:t>
      </w:r>
      <w:r>
        <w:rPr>
          <w:sz w:val="20"/>
          <w:szCs w:val="20"/>
        </w:rPr>
        <w:t xml:space="preserve"> </w:t>
      </w:r>
    </w:p>
    <w:p w:rsidR="00000000" w:rsidRDefault="00865332">
      <w:pPr>
        <w:pStyle w:val="a3"/>
        <w:spacing w:before="0" w:beforeAutospacing="0" w:after="0" w:afterAutospacing="0" w:line="259" w:lineRule="auto"/>
        <w:ind w:firstLine="720"/>
        <w:jc w:val="both"/>
        <w:divId w:val="1089541332"/>
        <w:rPr>
          <w:sz w:val="20"/>
          <w:szCs w:val="20"/>
        </w:rPr>
      </w:pPr>
      <w:r>
        <w:rPr>
          <w:sz w:val="20"/>
          <w:szCs w:val="20"/>
        </w:rPr>
        <w:t xml:space="preserve">In the last three years, there has been a marked increase </w:t>
      </w:r>
      <w:r>
        <w:rPr>
          <w:sz w:val="20"/>
          <w:szCs w:val="20"/>
        </w:rPr>
        <w:t>in development of new self-storage facilities in many of the markets where we operate, due to the favorable economics of developing new properties. These newly developed facilities compete with many of the facilities we own, negatively impacting our occupa</w:t>
      </w:r>
      <w:r>
        <w:rPr>
          <w:sz w:val="20"/>
          <w:szCs w:val="20"/>
        </w:rPr>
        <w:t>ncies, rental rates, and rental growth. This increase in supply has been most notable in Atlanta, Austin, Charlotte, Chicago, Dallas, Denver, Houston, Miami, New York, and Portland.</w:t>
      </w:r>
      <w:r>
        <w:rPr>
          <w:sz w:val="20"/>
          <w:szCs w:val="20"/>
        </w:rPr>
        <w:t xml:space="preserve"> </w:t>
      </w:r>
    </w:p>
    <w:p w:rsidR="00000000" w:rsidRDefault="00865332">
      <w:pPr>
        <w:pStyle w:val="a3"/>
        <w:spacing w:before="0" w:beforeAutospacing="0" w:after="0" w:afterAutospacing="0" w:line="259" w:lineRule="auto"/>
        <w:ind w:firstLine="720"/>
        <w:jc w:val="both"/>
        <w:divId w:val="1089541332"/>
        <w:rPr>
          <w:sz w:val="20"/>
          <w:szCs w:val="20"/>
        </w:rPr>
      </w:pPr>
      <w:r>
        <w:rPr>
          <w:sz w:val="20"/>
          <w:szCs w:val="20"/>
        </w:rPr>
        <w:t xml:space="preserve">Ownership and operation of self-storage facilities is highly fragmented. </w:t>
      </w:r>
      <w:r>
        <w:rPr>
          <w:sz w:val="20"/>
          <w:szCs w:val="20"/>
        </w:rPr>
        <w:t>As the largest owner of self-storage facilities, we believe that we own approximately 7% of the self-storage square footage in the U.S. and that collectively the five largest self-storage owners in the U.S. own approximately 16%, with the remaining 84% own</w:t>
      </w:r>
      <w:r>
        <w:rPr>
          <w:sz w:val="20"/>
          <w:szCs w:val="20"/>
        </w:rPr>
        <w:t>ed by regional and local operators.</w:t>
      </w:r>
      <w:r>
        <w:rPr>
          <w:sz w:val="20"/>
          <w:szCs w:val="20"/>
        </w:rPr>
        <w:t xml:space="preserve"> </w:t>
      </w:r>
    </w:p>
    <w:p w:rsidR="00000000" w:rsidRDefault="00865332">
      <w:pPr>
        <w:pStyle w:val="a3"/>
        <w:spacing w:before="0" w:beforeAutospacing="0" w:after="0" w:afterAutospacing="0" w:line="259" w:lineRule="auto"/>
        <w:ind w:firstLine="720"/>
        <w:jc w:val="both"/>
        <w:divId w:val="1089541332"/>
        <w:rPr>
          <w:sz w:val="20"/>
          <w:szCs w:val="20"/>
        </w:rPr>
      </w:pPr>
      <w:r>
        <w:rPr>
          <w:sz w:val="20"/>
          <w:szCs w:val="20"/>
        </w:rPr>
        <w:t xml:space="preserve">The high level of ownership fragmentation in the industry is partially attributable to the relative simplicity of managing a local self-storage facility, such that small-scale owners can operate self-storage facilities </w:t>
      </w:r>
      <w:r>
        <w:rPr>
          <w:sz w:val="20"/>
          <w:szCs w:val="20"/>
        </w:rPr>
        <w:t>at a basic level of profitability without significant managerial or operational infrastructure. However, we believe that the economies of scale inherent in this business result in our being able to operate self-storage facilities at a materially higher lev</w:t>
      </w:r>
      <w:r>
        <w:rPr>
          <w:sz w:val="20"/>
          <w:szCs w:val="20"/>
        </w:rPr>
        <w:t>el</w:t>
      </w:r>
      <w:r>
        <w:rPr>
          <w:sz w:val="20"/>
          <w:szCs w:val="20"/>
        </w:rPr>
        <w:t xml:space="preserve"> </w:t>
      </w:r>
    </w:p>
    <w:p w:rsidR="00000000" w:rsidRDefault="00865332">
      <w:pPr>
        <w:pStyle w:val="a3"/>
        <w:spacing w:before="0" w:beforeAutospacing="0" w:after="0" w:afterAutospacing="0" w:line="259" w:lineRule="auto"/>
        <w:jc w:val="center"/>
        <w:divId w:val="390424042"/>
        <w:rPr>
          <w:sz w:val="20"/>
          <w:szCs w:val="20"/>
        </w:rPr>
      </w:pPr>
      <w:r>
        <w:rPr>
          <w:rStyle w:val="ctheaderfooterpage"/>
          <w:sz w:val="20"/>
          <w:szCs w:val="20"/>
        </w:rPr>
        <w:t>6</w:t>
      </w:r>
    </w:p>
    <w:p w:rsidR="00000000" w:rsidRDefault="00865332">
      <w:pPr>
        <w:spacing w:before="360" w:after="360"/>
        <w:divId w:val="1550188796"/>
        <w:rPr>
          <w:rFonts w:eastAsia="Times New Roman"/>
        </w:rPr>
      </w:pPr>
      <w:r>
        <w:rPr>
          <w:rFonts w:eastAsia="Times New Roman"/>
        </w:rPr>
        <w:pict>
          <v:rect id="_x0000_i1030" style="width:0;height:1.5pt" o:hralign="center" o:hrstd="t" o:hr="t" fillcolor="#a0a0a0" stroked="f"/>
        </w:pict>
      </w:r>
    </w:p>
    <w:p w:rsidR="00000000" w:rsidRDefault="00865332">
      <w:pPr>
        <w:pStyle w:val="a3"/>
        <w:spacing w:before="0" w:beforeAutospacing="0" w:after="0" w:afterAutospacing="0" w:line="259" w:lineRule="auto"/>
        <w:jc w:val="both"/>
        <w:divId w:val="1575432827"/>
        <w:rPr>
          <w:sz w:val="20"/>
          <w:szCs w:val="20"/>
        </w:rPr>
      </w:pPr>
      <w:r>
        <w:rPr>
          <w:sz w:val="20"/>
          <w:szCs w:val="20"/>
        </w:rPr>
        <w:t>of cash flow per square foot than other operators without our scale. See “Business Attributes” below for further discussion of these economies of scale.</w:t>
      </w:r>
      <w:r>
        <w:rPr>
          <w:sz w:val="20"/>
          <w:szCs w:val="20"/>
        </w:rPr>
        <w:t xml:space="preserve"> </w:t>
      </w:r>
    </w:p>
    <w:p w:rsidR="00000000" w:rsidRDefault="00865332">
      <w:pPr>
        <w:pStyle w:val="a3"/>
        <w:spacing w:before="0" w:beforeAutospacing="0" w:after="0" w:afterAutospacing="0" w:line="259" w:lineRule="auto"/>
        <w:ind w:firstLine="720"/>
        <w:jc w:val="both"/>
        <w:divId w:val="1575432827"/>
        <w:rPr>
          <w:sz w:val="20"/>
          <w:szCs w:val="20"/>
        </w:rPr>
      </w:pPr>
      <w:r>
        <w:rPr>
          <w:sz w:val="20"/>
          <w:szCs w:val="20"/>
        </w:rPr>
        <w:t xml:space="preserve">While this fragmentation offers us opportunities to acquire </w:t>
      </w:r>
      <w:r>
        <w:rPr>
          <w:sz w:val="20"/>
          <w:szCs w:val="20"/>
        </w:rPr>
        <w:t>additional facilities over time, and our scale allows us to extract more cash flow from the properties we acquire, we compete for facilities that are marketed for sale with a wide variety of institutions and other investors who also view self-storage facil</w:t>
      </w:r>
      <w:r>
        <w:rPr>
          <w:sz w:val="20"/>
          <w:szCs w:val="20"/>
        </w:rPr>
        <w:t>ities as attractive investments. The amount of capital available for real estate investments greatly influences the competition for ownership interests in facilities and, by extension, the yields that we can achieve on newly acquired investments.</w:t>
      </w:r>
      <w:r>
        <w:rPr>
          <w:sz w:val="20"/>
          <w:szCs w:val="20"/>
        </w:rPr>
        <w:t xml:space="preserve"> </w:t>
      </w:r>
    </w:p>
    <w:p w:rsidR="00000000" w:rsidRDefault="00865332">
      <w:pPr>
        <w:pStyle w:val="a3"/>
        <w:spacing w:before="0" w:beforeAutospacing="0" w:after="0" w:afterAutospacing="0" w:line="259" w:lineRule="auto"/>
        <w:ind w:firstLine="720"/>
        <w:jc w:val="both"/>
        <w:divId w:val="1575432827"/>
        <w:rPr>
          <w:sz w:val="20"/>
          <w:szCs w:val="20"/>
        </w:rPr>
      </w:pPr>
      <w:r>
        <w:rPr>
          <w:sz w:val="20"/>
          <w:szCs w:val="20"/>
        </w:rPr>
        <w:t>Recently</w:t>
      </w:r>
      <w:r>
        <w:rPr>
          <w:sz w:val="20"/>
          <w:szCs w:val="20"/>
        </w:rPr>
        <w:t xml:space="preserve">, larger national operators (including ourselves) are offering to manage facilities owned by third parties on their platform for a fee (“Third Party Management”), and Google is offering a more convenient platform for small operators to compete with larger </w:t>
      </w:r>
      <w:r>
        <w:rPr>
          <w:sz w:val="20"/>
          <w:szCs w:val="20"/>
        </w:rPr>
        <w:t>operators in paid search bidding campaigns to drive web traffic and increase reservations. These two developments have the potential to diminish the competitive advantage we have versus smaller owner/operators. The extent to which this trend becomes impact</w:t>
      </w:r>
      <w:r>
        <w:rPr>
          <w:sz w:val="20"/>
          <w:szCs w:val="20"/>
        </w:rPr>
        <w:t>ful is dependent on (i) how many smaller operators will choose to avail themselves of Third Party Management, (ii) the extent to which large national operators seek to increase the number of properties under Third Party Management and (iii) the extent to w</w:t>
      </w:r>
      <w:r>
        <w:rPr>
          <w:sz w:val="20"/>
          <w:szCs w:val="20"/>
        </w:rPr>
        <w:t>hich smaller operators are attracted to Google’s marketing platform and are able to improve the efficacy of their marketing</w:t>
      </w:r>
      <w:r>
        <w:rPr>
          <w:sz w:val="20"/>
          <w:szCs w:val="20"/>
        </w:rPr>
        <w:t>.</w:t>
      </w:r>
    </w:p>
    <w:p w:rsidR="00000000" w:rsidRDefault="00865332">
      <w:pPr>
        <w:pStyle w:val="a3"/>
        <w:spacing w:before="0" w:beforeAutospacing="0" w:after="0" w:afterAutospacing="0" w:line="259" w:lineRule="auto"/>
        <w:ind w:firstLine="720"/>
        <w:jc w:val="both"/>
        <w:divId w:val="1575432827"/>
        <w:rPr>
          <w:sz w:val="20"/>
          <w:szCs w:val="20"/>
        </w:rPr>
      </w:pPr>
      <w:r>
        <w:rPr>
          <w:sz w:val="20"/>
          <w:szCs w:val="20"/>
        </w:rPr>
        <w:t>We generally own facilities in major markets. We believe that we have significant market share and concentration in major metropoli</w:t>
      </w:r>
      <w:r>
        <w:rPr>
          <w:sz w:val="20"/>
          <w:szCs w:val="20"/>
        </w:rPr>
        <w:t>tan centers, with approximately 70% of our 2019 same-store revenues generated in the 20 Metropolitan Statistical Areas (each, an “MSA”, as defined by the U.S. Census Bureau) with the highest population levels. We believe this is a competitive advantage rel</w:t>
      </w:r>
      <w:r>
        <w:rPr>
          <w:sz w:val="20"/>
          <w:szCs w:val="20"/>
        </w:rPr>
        <w:t xml:space="preserve">ative </w:t>
      </w:r>
      <w:r>
        <w:rPr>
          <w:sz w:val="20"/>
          <w:szCs w:val="20"/>
        </w:rPr>
        <w:lastRenderedPageBreak/>
        <w:t>to other self-storage operators, which do not have our geographic concentration and market share in the major MSAs.</w:t>
      </w:r>
      <w:r>
        <w:rPr>
          <w:sz w:val="20"/>
          <w:szCs w:val="20"/>
        </w:rPr>
        <w:t xml:space="preserve"> </w:t>
      </w:r>
    </w:p>
    <w:p w:rsidR="00000000" w:rsidRDefault="00865332">
      <w:pPr>
        <w:pStyle w:val="a3"/>
        <w:spacing w:before="0" w:beforeAutospacing="0" w:after="0" w:afterAutospacing="0" w:line="259" w:lineRule="auto"/>
        <w:jc w:val="both"/>
        <w:divId w:val="1575432827"/>
        <w:rPr>
          <w:sz w:val="20"/>
          <w:szCs w:val="20"/>
        </w:rPr>
      </w:pPr>
      <w:r>
        <w:rPr>
          <w:b/>
          <w:bCs/>
          <w:sz w:val="20"/>
          <w:szCs w:val="20"/>
          <w:u w:val="single"/>
        </w:rPr>
        <w:t>Business Attribute</w:t>
      </w:r>
      <w:r>
        <w:rPr>
          <w:b/>
          <w:bCs/>
          <w:sz w:val="20"/>
          <w:szCs w:val="20"/>
          <w:u w:val="single"/>
        </w:rPr>
        <w:t>s</w:t>
      </w:r>
    </w:p>
    <w:p w:rsidR="00000000" w:rsidRDefault="00865332">
      <w:pPr>
        <w:pStyle w:val="a3"/>
        <w:spacing w:before="0" w:beforeAutospacing="0" w:after="0" w:afterAutospacing="0" w:line="259" w:lineRule="auto"/>
        <w:ind w:firstLine="720"/>
        <w:jc w:val="both"/>
        <w:divId w:val="1575432827"/>
        <w:rPr>
          <w:sz w:val="20"/>
          <w:szCs w:val="20"/>
        </w:rPr>
      </w:pPr>
      <w:r>
        <w:rPr>
          <w:sz w:val="20"/>
          <w:szCs w:val="20"/>
        </w:rPr>
        <w:t>We believe that we possess several primary business attributes that permit us to compete effectively</w:t>
      </w:r>
      <w:r>
        <w:rPr>
          <w:sz w:val="20"/>
          <w:szCs w:val="20"/>
        </w:rPr>
        <w:t>:</w:t>
      </w:r>
    </w:p>
    <w:p w:rsidR="00000000" w:rsidRDefault="00865332">
      <w:pPr>
        <w:pStyle w:val="a3"/>
        <w:spacing w:before="0" w:beforeAutospacing="0" w:after="0" w:afterAutospacing="0" w:line="259" w:lineRule="auto"/>
        <w:ind w:firstLine="720"/>
        <w:jc w:val="both"/>
        <w:divId w:val="1575432827"/>
        <w:rPr>
          <w:sz w:val="20"/>
          <w:szCs w:val="20"/>
        </w:rPr>
      </w:pPr>
      <w:r>
        <w:rPr>
          <w:b/>
          <w:bCs/>
          <w:i/>
          <w:iCs/>
          <w:sz w:val="20"/>
          <w:szCs w:val="20"/>
        </w:rPr>
        <w:t>Centralized</w:t>
      </w:r>
      <w:r>
        <w:rPr>
          <w:b/>
          <w:bCs/>
          <w:i/>
          <w:iCs/>
          <w:sz w:val="20"/>
          <w:szCs w:val="20"/>
        </w:rPr>
        <w:t xml:space="preserve"> information networks:</w:t>
      </w:r>
      <w:r>
        <w:rPr>
          <w:b/>
          <w:bCs/>
          <w:i/>
          <w:iCs/>
          <w:sz w:val="20"/>
          <w:szCs w:val="20"/>
        </w:rPr>
        <w:t xml:space="preserve"> </w:t>
      </w:r>
      <w:r>
        <w:rPr>
          <w:sz w:val="20"/>
          <w:szCs w:val="20"/>
        </w:rPr>
        <w:t>Our centralized reporting and information network enables us to identify changing market conditions and operating trends as well as analyze customer data and, on an automated basis, quickly change each of our individual properties’ p</w:t>
      </w:r>
      <w:r>
        <w:rPr>
          <w:sz w:val="20"/>
          <w:szCs w:val="20"/>
        </w:rPr>
        <w:t>ricing and promotions, as well as to drive marketing spending such as the relative level of bidding for various paid search terms on paid search engines.</w:t>
      </w:r>
      <w:r>
        <w:rPr>
          <w:sz w:val="20"/>
          <w:szCs w:val="20"/>
        </w:rPr>
        <w:t xml:space="preserve"> </w:t>
      </w:r>
    </w:p>
    <w:p w:rsidR="00000000" w:rsidRDefault="00865332">
      <w:pPr>
        <w:pStyle w:val="a3"/>
        <w:spacing w:before="0" w:beforeAutospacing="0" w:after="0" w:afterAutospacing="0" w:line="259" w:lineRule="auto"/>
        <w:ind w:firstLine="720"/>
        <w:jc w:val="both"/>
        <w:divId w:val="1575432827"/>
        <w:rPr>
          <w:sz w:val="20"/>
          <w:szCs w:val="20"/>
        </w:rPr>
      </w:pPr>
      <w:r>
        <w:rPr>
          <w:b/>
          <w:bCs/>
          <w:i/>
          <w:iCs/>
          <w:sz w:val="20"/>
          <w:szCs w:val="20"/>
        </w:rPr>
        <w:t>Convenient shopping experience:</w:t>
      </w:r>
      <w:r>
        <w:rPr>
          <w:b/>
          <w:bCs/>
          <w:i/>
          <w:iCs/>
          <w:sz w:val="20"/>
          <w:szCs w:val="20"/>
        </w:rPr>
        <w:t xml:space="preserve"> </w:t>
      </w:r>
      <w:r>
        <w:rPr>
          <w:sz w:val="20"/>
          <w:szCs w:val="20"/>
        </w:rPr>
        <w:t>Customers can conveniently shop for available storage space, reviewin</w:t>
      </w:r>
      <w:r>
        <w:rPr>
          <w:sz w:val="20"/>
          <w:szCs w:val="20"/>
        </w:rPr>
        <w:t>g attributes such as facility location, size, amenities such as climate-control, as well as pricing, through the following marketing channels:</w:t>
      </w:r>
      <w:r>
        <w:rPr>
          <w:sz w:val="20"/>
          <w:szCs w:val="20"/>
        </w:rPr>
        <w:t xml:space="preserve"> </w:t>
      </w:r>
    </w:p>
    <w:p w:rsidR="00000000" w:rsidRDefault="00865332">
      <w:pPr>
        <w:pStyle w:val="a3"/>
        <w:spacing w:before="0" w:beforeAutospacing="0" w:after="0" w:afterAutospacing="0" w:line="259" w:lineRule="auto"/>
        <w:ind w:left="1440" w:hanging="360"/>
        <w:jc w:val="both"/>
        <w:divId w:val="1575432827"/>
        <w:rPr>
          <w:sz w:val="20"/>
          <w:szCs w:val="20"/>
        </w:rPr>
      </w:pPr>
      <w:r>
        <w:rPr>
          <w:rFonts w:ascii="Symbol" w:hAnsi="Symbol"/>
          <w:sz w:val="20"/>
          <w:szCs w:val="20"/>
        </w:rPr>
        <w:sym w:font="Symbol" w:char="F0B7"/>
      </w:r>
      <w:r>
        <w:rPr>
          <w:b/>
          <w:bCs/>
          <w:i/>
          <w:iCs/>
          <w:sz w:val="20"/>
          <w:szCs w:val="20"/>
        </w:rPr>
        <w:t>Our Desktop and Mobile Websites</w:t>
      </w:r>
      <w:r>
        <w:rPr>
          <w:b/>
          <w:bCs/>
          <w:i/>
          <w:iCs/>
          <w:sz w:val="20"/>
          <w:szCs w:val="20"/>
        </w:rPr>
        <w:t>:</w:t>
      </w:r>
      <w:r>
        <w:rPr>
          <w:sz w:val="20"/>
          <w:szCs w:val="20"/>
        </w:rPr>
        <w:t xml:space="preserve"> The online marketing channel is a key source of customers. Approximately 75% o</w:t>
      </w:r>
      <w:r>
        <w:rPr>
          <w:sz w:val="20"/>
          <w:szCs w:val="20"/>
        </w:rPr>
        <w:t>f our move-ins in 2019 were sourced through our website and we believe that many of our other customers who reserved directly through our call center or arrived at a facility and moved in without a reservation, have reviewed our pricing and availability on</w:t>
      </w:r>
      <w:r>
        <w:rPr>
          <w:sz w:val="20"/>
          <w:szCs w:val="20"/>
        </w:rPr>
        <w:t xml:space="preserve">line through our websites. We seek to regularly update the structure, layout, and content of our website in order to enhance our placement in “unpaid” search in Google and related websites, to improve the efficiency of our bids in “paid” search campaigns, </w:t>
      </w:r>
      <w:r>
        <w:rPr>
          <w:sz w:val="20"/>
          <w:szCs w:val="20"/>
        </w:rPr>
        <w:t>and to maximize users’ likelihood of reserving space on our website.</w:t>
      </w:r>
      <w:r>
        <w:rPr>
          <w:sz w:val="20"/>
          <w:szCs w:val="20"/>
        </w:rPr>
        <w:t xml:space="preserve"> </w:t>
      </w:r>
    </w:p>
    <w:p w:rsidR="00000000" w:rsidRDefault="00865332">
      <w:pPr>
        <w:pStyle w:val="a3"/>
        <w:spacing w:before="0" w:beforeAutospacing="0" w:after="0" w:afterAutospacing="0" w:line="259" w:lineRule="auto"/>
        <w:ind w:left="1440" w:hanging="360"/>
        <w:jc w:val="both"/>
        <w:divId w:val="1575432827"/>
        <w:rPr>
          <w:sz w:val="20"/>
          <w:szCs w:val="20"/>
        </w:rPr>
      </w:pPr>
      <w:r>
        <w:rPr>
          <w:rFonts w:ascii="Symbol" w:hAnsi="Symbol"/>
          <w:sz w:val="20"/>
          <w:szCs w:val="20"/>
        </w:rPr>
        <w:sym w:font="Symbol" w:char="F0B7"/>
      </w:r>
      <w:r>
        <w:rPr>
          <w:b/>
          <w:bCs/>
          <w:i/>
          <w:iCs/>
          <w:sz w:val="20"/>
          <w:szCs w:val="20"/>
        </w:rPr>
        <w:t>Our Call Center:</w:t>
      </w:r>
      <w:r>
        <w:rPr>
          <w:b/>
          <w:bCs/>
          <w:i/>
          <w:iCs/>
          <w:sz w:val="20"/>
          <w:szCs w:val="20"/>
        </w:rPr>
        <w:t xml:space="preserve"> </w:t>
      </w:r>
      <w:r>
        <w:rPr>
          <w:sz w:val="20"/>
          <w:szCs w:val="20"/>
        </w:rPr>
        <w:t>Our call center is staffed by skilled sales specialists. Customers reach our call center by calling our advertised toll-free telephone numbers provided on search engine</w:t>
      </w:r>
      <w:r>
        <w:rPr>
          <w:sz w:val="20"/>
          <w:szCs w:val="20"/>
        </w:rPr>
        <w:t>s or our website. We believe giving customers the option to interact with a call center agent, despite the higher marginal cost relative to a reservation made on our website, enhances our ability to close sales with potential customers.</w:t>
      </w:r>
      <w:r>
        <w:rPr>
          <w:sz w:val="20"/>
          <w:szCs w:val="20"/>
        </w:rPr>
        <w:t xml:space="preserve"> </w:t>
      </w:r>
    </w:p>
    <w:p w:rsidR="00000000" w:rsidRDefault="00865332">
      <w:pPr>
        <w:pStyle w:val="a3"/>
        <w:spacing w:before="0" w:beforeAutospacing="0" w:after="0" w:afterAutospacing="0" w:line="259" w:lineRule="auto"/>
        <w:ind w:left="1440" w:hanging="360"/>
        <w:jc w:val="both"/>
        <w:divId w:val="1575432827"/>
        <w:rPr>
          <w:sz w:val="20"/>
          <w:szCs w:val="20"/>
        </w:rPr>
      </w:pPr>
      <w:r>
        <w:rPr>
          <w:rFonts w:ascii="Symbol" w:hAnsi="Symbol"/>
          <w:sz w:val="20"/>
          <w:szCs w:val="20"/>
        </w:rPr>
        <w:sym w:font="Symbol" w:char="F0B7"/>
      </w:r>
      <w:r>
        <w:rPr>
          <w:b/>
          <w:bCs/>
          <w:i/>
          <w:iCs/>
          <w:sz w:val="20"/>
          <w:szCs w:val="20"/>
        </w:rPr>
        <w:t>Our Properties</w:t>
      </w:r>
      <w:r>
        <w:rPr>
          <w:b/>
          <w:bCs/>
          <w:i/>
          <w:iCs/>
          <w:sz w:val="20"/>
          <w:szCs w:val="20"/>
        </w:rPr>
        <w:t>:</w:t>
      </w:r>
      <w:r>
        <w:rPr>
          <w:sz w:val="20"/>
          <w:szCs w:val="20"/>
        </w:rPr>
        <w:t xml:space="preserve"> C</w:t>
      </w:r>
      <w:r>
        <w:rPr>
          <w:sz w:val="20"/>
          <w:szCs w:val="20"/>
        </w:rPr>
        <w:t>ustomers can also shop at any one of our facilities. Property managers access the same information that is available on our website and to our call center agents, and can inform</w:t>
      </w:r>
      <w:r>
        <w:rPr>
          <w:sz w:val="20"/>
          <w:szCs w:val="20"/>
        </w:rPr>
        <w:t xml:space="preserve"> </w:t>
      </w:r>
    </w:p>
    <w:p w:rsidR="00000000" w:rsidRDefault="00865332">
      <w:pPr>
        <w:pStyle w:val="a3"/>
        <w:spacing w:before="0" w:beforeAutospacing="0" w:after="0" w:afterAutospacing="0" w:line="259" w:lineRule="auto"/>
        <w:jc w:val="center"/>
        <w:divId w:val="1049721297"/>
        <w:rPr>
          <w:sz w:val="20"/>
          <w:szCs w:val="20"/>
        </w:rPr>
      </w:pPr>
      <w:r>
        <w:rPr>
          <w:rStyle w:val="ctheaderfooterpage"/>
          <w:sz w:val="20"/>
          <w:szCs w:val="20"/>
        </w:rPr>
        <w:t>7</w:t>
      </w:r>
    </w:p>
    <w:p w:rsidR="00000000" w:rsidRDefault="00865332">
      <w:pPr>
        <w:spacing w:before="360" w:after="360"/>
        <w:divId w:val="1852259671"/>
        <w:rPr>
          <w:rFonts w:eastAsia="Times New Roman"/>
        </w:rPr>
      </w:pPr>
      <w:r>
        <w:rPr>
          <w:rFonts w:eastAsia="Times New Roman"/>
        </w:rPr>
        <w:pict>
          <v:rect id="_x0000_i1031" style="width:0;height:1.5pt" o:hralign="center" o:hrstd="t" o:hr="t" fillcolor="#a0a0a0" stroked="f"/>
        </w:pict>
      </w:r>
    </w:p>
    <w:p w:rsidR="00000000" w:rsidRDefault="00865332">
      <w:pPr>
        <w:pStyle w:val="a3"/>
        <w:spacing w:before="0" w:beforeAutospacing="0" w:after="0" w:afterAutospacing="0" w:line="259" w:lineRule="auto"/>
        <w:ind w:left="1440"/>
        <w:jc w:val="both"/>
        <w:divId w:val="970401689"/>
        <w:rPr>
          <w:sz w:val="20"/>
          <w:szCs w:val="20"/>
        </w:rPr>
      </w:pPr>
      <w:r>
        <w:rPr>
          <w:sz w:val="20"/>
          <w:szCs w:val="20"/>
        </w:rPr>
        <w:t>the customer of available space at that site or our other nearby storage facilities. Property managers are trained to maximize the conversion of such “walk in” shoppers into customers.</w:t>
      </w:r>
      <w:r>
        <w:rPr>
          <w:sz w:val="20"/>
          <w:szCs w:val="20"/>
        </w:rPr>
        <w:t xml:space="preserve"> </w:t>
      </w:r>
    </w:p>
    <w:p w:rsidR="00000000" w:rsidRDefault="00865332">
      <w:pPr>
        <w:pStyle w:val="a3"/>
        <w:spacing w:before="0" w:beforeAutospacing="0" w:after="0" w:afterAutospacing="0" w:line="259" w:lineRule="auto"/>
        <w:ind w:firstLine="720"/>
        <w:jc w:val="both"/>
        <w:divId w:val="970401689"/>
        <w:rPr>
          <w:sz w:val="20"/>
          <w:szCs w:val="20"/>
        </w:rPr>
      </w:pPr>
      <w:r>
        <w:rPr>
          <w:b/>
          <w:bCs/>
          <w:i/>
          <w:iCs/>
          <w:sz w:val="20"/>
          <w:szCs w:val="20"/>
        </w:rPr>
        <w:t>Managerial economies of scale:</w:t>
      </w:r>
      <w:r>
        <w:rPr>
          <w:b/>
          <w:bCs/>
          <w:i/>
          <w:iCs/>
          <w:sz w:val="20"/>
          <w:szCs w:val="20"/>
        </w:rPr>
        <w:t xml:space="preserve"> </w:t>
      </w:r>
      <w:r>
        <w:rPr>
          <w:sz w:val="20"/>
          <w:szCs w:val="20"/>
        </w:rPr>
        <w:t>The</w:t>
      </w:r>
      <w:r>
        <w:rPr>
          <w:sz w:val="20"/>
          <w:szCs w:val="20"/>
        </w:rPr>
        <w:t xml:space="preserve"> size and scope of our operations have enabled us to achieve high operating margins and a low level of administrative costs relative to revenues through the centralization of many functions, such as facility maintenance, employee compensation and benefits </w:t>
      </w:r>
      <w:r>
        <w:rPr>
          <w:sz w:val="20"/>
          <w:szCs w:val="20"/>
        </w:rPr>
        <w:t xml:space="preserve">programs, revenue management, as well as the development and documentation of standardized operating procedures. We also believe that our major market concentration provides managerial efficiencies stemming from having a large percentage of our facilities </w:t>
      </w:r>
      <w:r>
        <w:rPr>
          <w:sz w:val="20"/>
          <w:szCs w:val="20"/>
        </w:rPr>
        <w:t>in close proximity to each other.</w:t>
      </w:r>
      <w:r>
        <w:rPr>
          <w:sz w:val="20"/>
          <w:szCs w:val="20"/>
        </w:rPr>
        <w:t xml:space="preserve"> </w:t>
      </w:r>
    </w:p>
    <w:p w:rsidR="00000000" w:rsidRDefault="00865332">
      <w:pPr>
        <w:pStyle w:val="a3"/>
        <w:spacing w:before="0" w:beforeAutospacing="0" w:after="0" w:afterAutospacing="0" w:line="259" w:lineRule="auto"/>
        <w:ind w:firstLine="720"/>
        <w:jc w:val="both"/>
        <w:divId w:val="970401689"/>
        <w:rPr>
          <w:sz w:val="20"/>
          <w:szCs w:val="20"/>
        </w:rPr>
      </w:pPr>
      <w:r>
        <w:rPr>
          <w:b/>
          <w:bCs/>
          <w:i/>
          <w:iCs/>
          <w:sz w:val="20"/>
          <w:szCs w:val="20"/>
        </w:rPr>
        <w:t>Marketing economies of scal</w:t>
      </w:r>
      <w:r>
        <w:rPr>
          <w:b/>
          <w:bCs/>
          <w:i/>
          <w:iCs/>
          <w:sz w:val="20"/>
          <w:szCs w:val="20"/>
        </w:rPr>
        <w:t>e</w:t>
      </w:r>
      <w:r>
        <w:rPr>
          <w:sz w:val="20"/>
          <w:szCs w:val="20"/>
        </w:rPr>
        <w:t xml:space="preserve">: Our major-market concentration relative to the fragmented ownership and operation of the rest of the industry, combined with our well-recognized brand name, improves our prominence in unpaid </w:t>
      </w:r>
      <w:r>
        <w:rPr>
          <w:sz w:val="20"/>
          <w:szCs w:val="20"/>
        </w:rPr>
        <w:t>online search results for self-storage and reduces our average cost per “click” for multiple-keyword advertising. Such concentration and the resulting volume enables us to efficiently leverage systematic bidding strategies to maximize our return on investm</w:t>
      </w:r>
      <w:r>
        <w:rPr>
          <w:sz w:val="20"/>
          <w:szCs w:val="20"/>
        </w:rPr>
        <w:t>ent across multiple keywords.</w:t>
      </w:r>
      <w:r>
        <w:rPr>
          <w:sz w:val="20"/>
          <w:szCs w:val="20"/>
        </w:rPr>
        <w:t xml:space="preserve"> </w:t>
      </w:r>
    </w:p>
    <w:p w:rsidR="00000000" w:rsidRDefault="00865332">
      <w:pPr>
        <w:pStyle w:val="a3"/>
        <w:spacing w:before="0" w:beforeAutospacing="0" w:after="0" w:afterAutospacing="0" w:line="259" w:lineRule="auto"/>
        <w:ind w:firstLine="720"/>
        <w:jc w:val="both"/>
        <w:divId w:val="970401689"/>
        <w:rPr>
          <w:sz w:val="20"/>
          <w:szCs w:val="20"/>
        </w:rPr>
      </w:pPr>
      <w:r>
        <w:rPr>
          <w:b/>
          <w:bCs/>
          <w:i/>
          <w:iCs/>
          <w:sz w:val="20"/>
          <w:szCs w:val="20"/>
        </w:rPr>
        <w:t>Brand name recognition</w:t>
      </w:r>
      <w:r>
        <w:rPr>
          <w:b/>
          <w:bCs/>
          <w:i/>
          <w:iCs/>
          <w:sz w:val="20"/>
          <w:szCs w:val="20"/>
        </w:rPr>
        <w:t>:</w:t>
      </w:r>
      <w:r>
        <w:rPr>
          <w:sz w:val="20"/>
          <w:szCs w:val="20"/>
        </w:rPr>
        <w:t xml:space="preserve"> We believe that the “Public Storage” brand name is the most recognized and established name in the self-storage industry, due to our national reach in major markets in 38 states, our highly visible fac</w:t>
      </w:r>
      <w:r>
        <w:rPr>
          <w:sz w:val="20"/>
          <w:szCs w:val="20"/>
        </w:rPr>
        <w:t>ilities, and our facilities’ distinct orange colored doors and signage. We believe the “Public Storage” name is one of the most frequently used search terms used by customers using Internet search engines for self-storage. We believe that the “Shurgard” br</w:t>
      </w:r>
      <w:r>
        <w:rPr>
          <w:sz w:val="20"/>
          <w:szCs w:val="20"/>
        </w:rPr>
        <w:t>and, used by Shurgard, is a well-established and valuable brand in Europe. We believe that the awareness of our brand name results in a high percentage of potential storage customers considering our facilities relative to other operators.</w:t>
      </w:r>
      <w:r>
        <w:rPr>
          <w:sz w:val="20"/>
          <w:szCs w:val="20"/>
        </w:rPr>
        <w:t xml:space="preserve"> </w:t>
      </w:r>
    </w:p>
    <w:p w:rsidR="00000000" w:rsidRDefault="00865332">
      <w:pPr>
        <w:pStyle w:val="a3"/>
        <w:spacing w:before="0" w:beforeAutospacing="0" w:after="0" w:afterAutospacing="0" w:line="259" w:lineRule="auto"/>
        <w:jc w:val="both"/>
        <w:divId w:val="970401689"/>
        <w:rPr>
          <w:sz w:val="20"/>
          <w:szCs w:val="20"/>
        </w:rPr>
      </w:pPr>
      <w:r>
        <w:rPr>
          <w:b/>
          <w:bCs/>
          <w:sz w:val="20"/>
          <w:szCs w:val="20"/>
          <w:u w:val="single"/>
        </w:rPr>
        <w:t>Growth and Inves</w:t>
      </w:r>
      <w:r>
        <w:rPr>
          <w:b/>
          <w:bCs/>
          <w:sz w:val="20"/>
          <w:szCs w:val="20"/>
          <w:u w:val="single"/>
        </w:rPr>
        <w:t>tment Strategie</w:t>
      </w:r>
      <w:r>
        <w:rPr>
          <w:b/>
          <w:bCs/>
          <w:sz w:val="20"/>
          <w:szCs w:val="20"/>
          <w:u w:val="single"/>
        </w:rPr>
        <w:t>s</w:t>
      </w:r>
    </w:p>
    <w:p w:rsidR="00000000" w:rsidRDefault="00865332">
      <w:pPr>
        <w:pStyle w:val="a3"/>
        <w:spacing w:before="0" w:beforeAutospacing="0" w:after="0" w:afterAutospacing="0" w:line="259" w:lineRule="auto"/>
        <w:ind w:firstLine="720"/>
        <w:jc w:val="both"/>
        <w:divId w:val="970401689"/>
        <w:rPr>
          <w:sz w:val="20"/>
          <w:szCs w:val="20"/>
        </w:rPr>
      </w:pPr>
      <w:r>
        <w:rPr>
          <w:sz w:val="20"/>
          <w:szCs w:val="20"/>
        </w:rPr>
        <w:t>Our ongoing growth strategies consist of: (i) improving the operating performance of our existing self-storage facilities, (ii) acquiring more facilities, (iii) developing new facilities and adding more self-storage space to our existing f</w:t>
      </w:r>
      <w:r>
        <w:rPr>
          <w:sz w:val="20"/>
          <w:szCs w:val="20"/>
        </w:rPr>
        <w:t>acilities, (iv) participating in the growth of our investment in PSB, and (v) participating in the growth of our investment in Shurgard. While our long-term strategy includes each of these elements, in the short run the level of growth in our asset base in</w:t>
      </w:r>
      <w:r>
        <w:rPr>
          <w:sz w:val="20"/>
          <w:szCs w:val="20"/>
        </w:rPr>
        <w:t xml:space="preserve"> any period is dependent upon the cost and availability of capital, as well as the relative attractiveness of available investment alternatives.</w:t>
      </w:r>
      <w:r>
        <w:rPr>
          <w:sz w:val="20"/>
          <w:szCs w:val="20"/>
        </w:rPr>
        <w:t xml:space="preserve"> </w:t>
      </w:r>
    </w:p>
    <w:p w:rsidR="00000000" w:rsidRDefault="00865332">
      <w:pPr>
        <w:pStyle w:val="a3"/>
        <w:spacing w:before="0" w:beforeAutospacing="0" w:after="0" w:afterAutospacing="0" w:line="259" w:lineRule="auto"/>
        <w:ind w:firstLine="720"/>
        <w:jc w:val="both"/>
        <w:divId w:val="970401689"/>
        <w:rPr>
          <w:sz w:val="20"/>
          <w:szCs w:val="20"/>
        </w:rPr>
      </w:pPr>
      <w:r>
        <w:rPr>
          <w:sz w:val="20"/>
          <w:szCs w:val="20"/>
        </w:rPr>
        <w:t>From time to time we explore expansion of our activities to other countries. Any such strategic expansion woul</w:t>
      </w:r>
      <w:r>
        <w:rPr>
          <w:sz w:val="20"/>
          <w:szCs w:val="20"/>
        </w:rPr>
        <w:t>d most likely involve acquiring an interest in an existing operator’s platform. There can be no assurance that any such expansion will occur in the future or the timing thereof.</w:t>
      </w:r>
      <w:r>
        <w:rPr>
          <w:sz w:val="20"/>
          <w:szCs w:val="20"/>
        </w:rPr>
        <w:t xml:space="preserve"> </w:t>
      </w:r>
    </w:p>
    <w:p w:rsidR="00000000" w:rsidRDefault="00865332">
      <w:pPr>
        <w:pStyle w:val="a3"/>
        <w:spacing w:before="0" w:beforeAutospacing="0" w:after="0" w:afterAutospacing="0" w:line="259" w:lineRule="auto"/>
        <w:ind w:firstLine="720"/>
        <w:jc w:val="both"/>
        <w:divId w:val="970401689"/>
        <w:rPr>
          <w:sz w:val="20"/>
          <w:szCs w:val="20"/>
        </w:rPr>
      </w:pPr>
      <w:r>
        <w:rPr>
          <w:b/>
          <w:bCs/>
          <w:i/>
          <w:iCs/>
          <w:sz w:val="20"/>
          <w:szCs w:val="20"/>
        </w:rPr>
        <w:t>Improve the operating performance of existing facilities:</w:t>
      </w:r>
      <w:r>
        <w:rPr>
          <w:b/>
          <w:bCs/>
          <w:i/>
          <w:iCs/>
          <w:sz w:val="20"/>
          <w:szCs w:val="20"/>
        </w:rPr>
        <w:t xml:space="preserve"> </w:t>
      </w:r>
      <w:r>
        <w:rPr>
          <w:sz w:val="20"/>
          <w:szCs w:val="20"/>
        </w:rPr>
        <w:t>We seek to increase</w:t>
      </w:r>
      <w:r>
        <w:rPr>
          <w:sz w:val="20"/>
          <w:szCs w:val="20"/>
        </w:rPr>
        <w:t xml:space="preserve"> the net cash flow of our existing self-storage facilities through maximizing revenues and controlling operating costs. We seek to maximize revenues through striking the appropriate balance between occupancy and rates to new and existing tenants, by regula</w:t>
      </w:r>
      <w:r>
        <w:rPr>
          <w:sz w:val="20"/>
          <w:szCs w:val="20"/>
        </w:rPr>
        <w:t xml:space="preserve">rly adjusting (i) our promotional and other discounts, (ii) the rental rates we charge to new and existing customers, and (iii) our marketing spending and intensity. We inform these pricing and marketing decisions by observing their impact on web and call </w:t>
      </w:r>
      <w:r>
        <w:rPr>
          <w:sz w:val="20"/>
          <w:szCs w:val="20"/>
        </w:rPr>
        <w:t>center traffic, reservations, move-ins, move-outs, tenant length of stay, and other indicators of response. We also seek to control operating costs and provide a favorable experience to new, existing, and potential customers by leveraging information techn</w:t>
      </w:r>
      <w:r>
        <w:rPr>
          <w:sz w:val="20"/>
          <w:szCs w:val="20"/>
        </w:rPr>
        <w:t>ology and our economies of scale, effectively overseeing our customer-facing and back-office property management personnel, and by providing convenient shopping options for the customer.</w:t>
      </w:r>
      <w:r>
        <w:rPr>
          <w:sz w:val="20"/>
          <w:szCs w:val="20"/>
        </w:rPr>
        <w:t xml:space="preserve"> </w:t>
      </w:r>
    </w:p>
    <w:p w:rsidR="00000000" w:rsidRDefault="00865332">
      <w:pPr>
        <w:pStyle w:val="a3"/>
        <w:spacing w:before="0" w:beforeAutospacing="0" w:after="0" w:afterAutospacing="0" w:line="259" w:lineRule="auto"/>
        <w:ind w:firstLine="720"/>
        <w:jc w:val="both"/>
        <w:divId w:val="970401689"/>
        <w:rPr>
          <w:sz w:val="20"/>
          <w:szCs w:val="20"/>
        </w:rPr>
      </w:pPr>
      <w:r>
        <w:rPr>
          <w:b/>
          <w:bCs/>
          <w:i/>
          <w:iCs/>
          <w:sz w:val="20"/>
          <w:szCs w:val="20"/>
        </w:rPr>
        <w:t>Acquire properties owned by others in the U.S.:</w:t>
      </w:r>
      <w:r>
        <w:rPr>
          <w:b/>
          <w:bCs/>
          <w:i/>
          <w:iCs/>
          <w:sz w:val="20"/>
          <w:szCs w:val="20"/>
        </w:rPr>
        <w:t xml:space="preserve"> </w:t>
      </w:r>
      <w:r>
        <w:rPr>
          <w:sz w:val="20"/>
          <w:szCs w:val="20"/>
        </w:rPr>
        <w:t>We seek to capitaliz</w:t>
      </w:r>
      <w:r>
        <w:rPr>
          <w:sz w:val="20"/>
          <w:szCs w:val="20"/>
        </w:rPr>
        <w:t>e on the fragmentation of the self-storage business through acquiring attractively priced, well-located existing self-storage facilities. We believe our presence in and knowledge of substantially all of the major markets in the U.S. enhances our ability to</w:t>
      </w:r>
      <w:r>
        <w:rPr>
          <w:sz w:val="20"/>
          <w:szCs w:val="20"/>
        </w:rPr>
        <w:t xml:space="preserve"> identify attractive acquisition opportunities. Data on the rental rates and occupancy levels of our existing facilities provide us an advantage in evaluating the potential of acquisition opportunities. Our aggressiveness in bidding for particular marketed</w:t>
      </w:r>
      <w:r>
        <w:rPr>
          <w:sz w:val="20"/>
          <w:szCs w:val="20"/>
        </w:rPr>
        <w:t xml:space="preserve"> facilities depends upon many factors including the potential for future growth, the quality of construction and location, the cash flow we expect from the facility when operated on our platform, how well the facility fits into</w:t>
      </w:r>
      <w:r>
        <w:rPr>
          <w:sz w:val="20"/>
          <w:szCs w:val="20"/>
        </w:rPr>
        <w:t xml:space="preserve"> </w:t>
      </w:r>
    </w:p>
    <w:p w:rsidR="00000000" w:rsidRDefault="00865332">
      <w:pPr>
        <w:pStyle w:val="a3"/>
        <w:spacing w:before="0" w:beforeAutospacing="0" w:after="0" w:afterAutospacing="0" w:line="259" w:lineRule="auto"/>
        <w:jc w:val="center"/>
        <w:divId w:val="977228747"/>
        <w:rPr>
          <w:sz w:val="20"/>
          <w:szCs w:val="20"/>
        </w:rPr>
      </w:pPr>
      <w:r>
        <w:rPr>
          <w:rStyle w:val="ctheaderfooterpage"/>
          <w:sz w:val="20"/>
          <w:szCs w:val="20"/>
        </w:rPr>
        <w:t>8</w:t>
      </w:r>
    </w:p>
    <w:p w:rsidR="00000000" w:rsidRDefault="00865332">
      <w:pPr>
        <w:spacing w:before="360" w:after="360"/>
        <w:divId w:val="658775171"/>
        <w:rPr>
          <w:rFonts w:eastAsia="Times New Roman"/>
        </w:rPr>
      </w:pPr>
      <w:r>
        <w:rPr>
          <w:rFonts w:eastAsia="Times New Roman"/>
        </w:rPr>
        <w:pict>
          <v:rect id="_x0000_i1032" style="width:0;height:1.5pt" o:hralign="center" o:hrstd="t" o:hr="t" fillcolor="#a0a0a0" stroked="f"/>
        </w:pict>
      </w:r>
    </w:p>
    <w:p w:rsidR="00000000" w:rsidRDefault="00865332">
      <w:pPr>
        <w:pStyle w:val="a3"/>
        <w:spacing w:before="0" w:beforeAutospacing="0" w:after="0" w:afterAutospacing="0" w:line="259" w:lineRule="auto"/>
        <w:jc w:val="both"/>
        <w:divId w:val="1291059641"/>
        <w:rPr>
          <w:sz w:val="20"/>
          <w:szCs w:val="20"/>
        </w:rPr>
      </w:pPr>
      <w:r>
        <w:rPr>
          <w:sz w:val="20"/>
          <w:szCs w:val="20"/>
        </w:rPr>
        <w:t>our current geographic footprint, as well as our return on capital expectations. From January 1, 2015 through December 31, 2019, we acquired an aggregate of 163 facilities from third parties at an aggregate cost of $1.4 billion. We will continu</w:t>
      </w:r>
      <w:r>
        <w:rPr>
          <w:sz w:val="20"/>
          <w:szCs w:val="20"/>
        </w:rPr>
        <w:t>e to seek to acquire properties in 2020; however, there is significant competition to acquire existing facilities, and self-storage owners’ desire to sell is based upon many variables, including potential reinvestment returns, expectations of future growth</w:t>
      </w:r>
      <w:r>
        <w:rPr>
          <w:sz w:val="20"/>
          <w:szCs w:val="20"/>
        </w:rPr>
        <w:t>, estimated value, the cost of debt financing, as well as personal considerations. As a result, there can be no assurance as to the level of facilities we may acquire.</w:t>
      </w:r>
      <w:r>
        <w:rPr>
          <w:sz w:val="20"/>
          <w:szCs w:val="20"/>
        </w:rPr>
        <w:t xml:space="preserve"> </w:t>
      </w:r>
    </w:p>
    <w:p w:rsidR="00000000" w:rsidRDefault="00865332">
      <w:pPr>
        <w:pStyle w:val="a3"/>
        <w:spacing w:before="0" w:beforeAutospacing="0" w:after="0" w:afterAutospacing="0" w:line="259" w:lineRule="auto"/>
        <w:ind w:firstLine="720"/>
        <w:jc w:val="both"/>
        <w:divId w:val="1291059641"/>
        <w:rPr>
          <w:sz w:val="20"/>
          <w:szCs w:val="20"/>
        </w:rPr>
      </w:pPr>
      <w:r>
        <w:rPr>
          <w:b/>
          <w:bCs/>
          <w:i/>
          <w:iCs/>
          <w:sz w:val="20"/>
          <w:szCs w:val="20"/>
        </w:rPr>
        <w:t>Develop new self-storage facilities and expand existing facilities:</w:t>
      </w:r>
      <w:r>
        <w:rPr>
          <w:b/>
          <w:bCs/>
          <w:i/>
          <w:iCs/>
          <w:sz w:val="20"/>
          <w:szCs w:val="20"/>
        </w:rPr>
        <w:t xml:space="preserve"> </w:t>
      </w:r>
      <w:r>
        <w:rPr>
          <w:sz w:val="20"/>
          <w:szCs w:val="20"/>
        </w:rPr>
        <w:t xml:space="preserve">The development of </w:t>
      </w:r>
      <w:r>
        <w:rPr>
          <w:sz w:val="20"/>
          <w:szCs w:val="20"/>
        </w:rPr>
        <w:t>new self-storage locations and the expansion of existing facilities has been an important source of growth. Since the beginning of 2013, we have expanded our development efforts due in part to the significant increase in prices being paid for existing faci</w:t>
      </w:r>
      <w:r>
        <w:rPr>
          <w:sz w:val="20"/>
          <w:szCs w:val="20"/>
        </w:rPr>
        <w:t>lities, in many cases well above the cost of developing new facilities. At December 31, 2019, we had a development pipeline to develop 12 new self-storage facilities and expand 35 existing self-storage facilities, which will add approximately 4.4 million n</w:t>
      </w:r>
      <w:r>
        <w:rPr>
          <w:sz w:val="20"/>
          <w:szCs w:val="20"/>
        </w:rPr>
        <w:t xml:space="preserve">et rentable square feet, at a cost of $619.2 million. Some of these projects are subject to significant contingencies such as entitlement approval. We expect to continue to seek additional development projects; however, the level of future development may </w:t>
      </w:r>
      <w:r>
        <w:rPr>
          <w:sz w:val="20"/>
          <w:szCs w:val="20"/>
        </w:rPr>
        <w:t>be limited due to various constraints such as difficulty in finding projects that meet our risk-adjusted yield expectations, challenges in obtaining building permits for self-storage activities in certain municipalities, as well as challenges in sourcing q</w:t>
      </w:r>
      <w:r>
        <w:rPr>
          <w:sz w:val="20"/>
          <w:szCs w:val="20"/>
        </w:rPr>
        <w:t>uality construction materials, labor, and design elements.</w:t>
      </w:r>
      <w:r>
        <w:rPr>
          <w:sz w:val="20"/>
          <w:szCs w:val="20"/>
        </w:rPr>
        <w:t xml:space="preserve"> </w:t>
      </w:r>
    </w:p>
    <w:p w:rsidR="00000000" w:rsidRDefault="00865332">
      <w:pPr>
        <w:pStyle w:val="a3"/>
        <w:spacing w:before="0" w:beforeAutospacing="0" w:after="0" w:afterAutospacing="0" w:line="259" w:lineRule="auto"/>
        <w:ind w:firstLine="720"/>
        <w:jc w:val="both"/>
        <w:divId w:val="1291059641"/>
        <w:rPr>
          <w:sz w:val="20"/>
          <w:szCs w:val="20"/>
        </w:rPr>
      </w:pPr>
      <w:r>
        <w:rPr>
          <w:b/>
          <w:bCs/>
          <w:i/>
          <w:iCs/>
          <w:sz w:val="20"/>
          <w:szCs w:val="20"/>
        </w:rPr>
        <w:t>Participate in the growth of PS Business Parks, Inc.</w:t>
      </w:r>
      <w:r>
        <w:rPr>
          <w:b/>
          <w:bCs/>
          <w:i/>
          <w:iCs/>
          <w:sz w:val="20"/>
          <w:szCs w:val="20"/>
        </w:rPr>
        <w:t>:</w:t>
      </w:r>
      <w:r>
        <w:rPr>
          <w:i/>
          <w:iCs/>
          <w:sz w:val="20"/>
          <w:szCs w:val="20"/>
        </w:rPr>
        <w:t xml:space="preserve"> </w:t>
      </w:r>
      <w:r>
        <w:rPr>
          <w:sz w:val="20"/>
          <w:szCs w:val="20"/>
        </w:rPr>
        <w:t xml:space="preserve">Our investment in PSB provides diversification into another asset type. </w:t>
      </w:r>
      <w:r>
        <w:rPr>
          <w:sz w:val="20"/>
          <w:szCs w:val="20"/>
        </w:rPr>
        <w:t>PSB is a stand-alone public company traded on the NYSE. As of December 31, 2019, we have a 42% equity interest in PSB</w:t>
      </w:r>
      <w:r>
        <w:rPr>
          <w:sz w:val="20"/>
          <w:szCs w:val="20"/>
        </w:rPr>
        <w:t>.</w:t>
      </w:r>
    </w:p>
    <w:p w:rsidR="00000000" w:rsidRDefault="00865332">
      <w:pPr>
        <w:pStyle w:val="a3"/>
        <w:spacing w:before="0" w:beforeAutospacing="0" w:after="0" w:afterAutospacing="0" w:line="259" w:lineRule="auto"/>
        <w:ind w:firstLine="720"/>
        <w:jc w:val="both"/>
        <w:divId w:val="1291059641"/>
        <w:rPr>
          <w:sz w:val="20"/>
          <w:szCs w:val="20"/>
        </w:rPr>
      </w:pPr>
      <w:r>
        <w:rPr>
          <w:sz w:val="20"/>
          <w:szCs w:val="20"/>
        </w:rPr>
        <w:t xml:space="preserve">PSB seeks to grow its asset base in its existing markets as well as increase the cash flows from its owned portfolio. As of December 31, </w:t>
      </w:r>
      <w:r>
        <w:rPr>
          <w:sz w:val="20"/>
          <w:szCs w:val="20"/>
        </w:rPr>
        <w:t>2019, PSB owned and operated approximately 27.6 million rentable square feet of commercial space, and had an enterprise value of approximately $6.7 billion (based upon the trading price of PSB’s common stock combined with the liquidation value of its prefe</w:t>
      </w:r>
      <w:r>
        <w:rPr>
          <w:sz w:val="20"/>
          <w:szCs w:val="20"/>
        </w:rPr>
        <w:t>rred stock as of December 31, 2019).</w:t>
      </w:r>
      <w:r>
        <w:rPr>
          <w:sz w:val="20"/>
          <w:szCs w:val="20"/>
        </w:rPr>
        <w:t xml:space="preserve"> </w:t>
      </w:r>
    </w:p>
    <w:p w:rsidR="00000000" w:rsidRDefault="00865332">
      <w:pPr>
        <w:pStyle w:val="a3"/>
        <w:spacing w:before="0" w:beforeAutospacing="0" w:after="0" w:afterAutospacing="0" w:line="259" w:lineRule="auto"/>
        <w:ind w:firstLine="720"/>
        <w:jc w:val="both"/>
        <w:divId w:val="1291059641"/>
        <w:rPr>
          <w:sz w:val="20"/>
          <w:szCs w:val="20"/>
        </w:rPr>
      </w:pPr>
      <w:r>
        <w:rPr>
          <w:b/>
          <w:bCs/>
          <w:i/>
          <w:iCs/>
          <w:sz w:val="20"/>
          <w:szCs w:val="20"/>
        </w:rPr>
        <w:t>Participate in the growth of Shurgard</w:t>
      </w:r>
      <w:r>
        <w:rPr>
          <w:b/>
          <w:bCs/>
          <w:i/>
          <w:iCs/>
          <w:sz w:val="20"/>
          <w:szCs w:val="20"/>
        </w:rPr>
        <w:t>:</w:t>
      </w:r>
      <w:r>
        <w:rPr>
          <w:sz w:val="20"/>
          <w:szCs w:val="20"/>
        </w:rPr>
        <w:t xml:space="preserve"> We believe Shurgard is the largest self-storage company in Western Europe. It owns and operates 234 self-storage facilities with approximately 13 million net rentable square feet </w:t>
      </w:r>
      <w:r>
        <w:rPr>
          <w:sz w:val="20"/>
          <w:szCs w:val="20"/>
        </w:rPr>
        <w:t>in: France (principally Paris), Sweden (principally Stockholm), the United Kingdom (principally London), the Netherlands, Denmark (principally Copenhagen), Belgium (principally Brussels) and Germany. On October 15, 2018, Shurgard completed an initial globa</w:t>
      </w:r>
      <w:r>
        <w:rPr>
          <w:sz w:val="20"/>
          <w:szCs w:val="20"/>
        </w:rPr>
        <w:t>l offering (the “Offering”) of 25.0 million of its common shares for €575 million in gross proceeds, and its shares commenced trading on Euronext Brussels under the “SHUR” symbol. As a result of the Offering (we did not acquire any additional common shares</w:t>
      </w:r>
      <w:r>
        <w:rPr>
          <w:sz w:val="20"/>
          <w:szCs w:val="20"/>
        </w:rPr>
        <w:t xml:space="preserve"> or sell any of our existing shares in the Offering), our equity interest in Shurgard decreased from 49% to 35.2%.</w:t>
      </w:r>
      <w:r>
        <w:rPr>
          <w:sz w:val="20"/>
          <w:szCs w:val="20"/>
        </w:rPr>
        <w:t xml:space="preserve"> </w:t>
      </w:r>
    </w:p>
    <w:p w:rsidR="00000000" w:rsidRDefault="00865332">
      <w:pPr>
        <w:pStyle w:val="a3"/>
        <w:spacing w:before="0" w:beforeAutospacing="0" w:after="0" w:afterAutospacing="0" w:line="259" w:lineRule="auto"/>
        <w:ind w:firstLine="720"/>
        <w:jc w:val="both"/>
        <w:divId w:val="1291059641"/>
        <w:rPr>
          <w:sz w:val="20"/>
          <w:szCs w:val="20"/>
        </w:rPr>
      </w:pPr>
      <w:r>
        <w:rPr>
          <w:sz w:val="20"/>
          <w:szCs w:val="20"/>
        </w:rPr>
        <w:t>Customer awareness and availability of self-storage is significantly lower in Europe than in the U.S. However, with more awareness and product supply, we believe there is potential for increased demand for storage space in Europe. We believe Shurgard can c</w:t>
      </w:r>
      <w:r>
        <w:rPr>
          <w:sz w:val="20"/>
          <w:szCs w:val="20"/>
        </w:rPr>
        <w:t>apitalize on potential increased demand through the development of new facilities and acquiring existing facilities. From January 1, 2014 through December 31, 2019, Shurgard acquired 39 facilities from third parties for approximately $398.1 million, and ha</w:t>
      </w:r>
      <w:r>
        <w:rPr>
          <w:sz w:val="20"/>
          <w:szCs w:val="20"/>
        </w:rPr>
        <w:t>s opened 10 development properties at a total cost of approximately $122.9 million. At December 31, 2019, Shurgard had contracts to acquire six properties and had six properties under development</w:t>
      </w:r>
      <w:r>
        <w:rPr>
          <w:sz w:val="20"/>
          <w:szCs w:val="20"/>
        </w:rPr>
        <w:t>.</w:t>
      </w:r>
    </w:p>
    <w:p w:rsidR="00000000" w:rsidRDefault="00865332">
      <w:pPr>
        <w:pStyle w:val="a3"/>
        <w:spacing w:before="0" w:beforeAutospacing="0" w:after="0" w:afterAutospacing="0" w:line="276" w:lineRule="auto"/>
        <w:divId w:val="1291059641"/>
        <w:rPr>
          <w:sz w:val="20"/>
          <w:szCs w:val="20"/>
        </w:rPr>
      </w:pPr>
      <w:r>
        <w:rPr>
          <w:b/>
          <w:bCs/>
          <w:sz w:val="20"/>
          <w:szCs w:val="20"/>
          <w:u w:val="single"/>
        </w:rPr>
        <w:t>Financial Profile and Sources of Growth Capita</w:t>
      </w:r>
      <w:r>
        <w:rPr>
          <w:b/>
          <w:bCs/>
          <w:sz w:val="20"/>
          <w:szCs w:val="20"/>
          <w:u w:val="single"/>
        </w:rPr>
        <w:t>l</w:t>
      </w:r>
    </w:p>
    <w:p w:rsidR="00000000" w:rsidRDefault="00865332">
      <w:pPr>
        <w:pStyle w:val="a3"/>
        <w:spacing w:before="0" w:beforeAutospacing="0" w:after="0" w:afterAutospacing="0" w:line="259" w:lineRule="auto"/>
        <w:ind w:firstLine="720"/>
        <w:jc w:val="both"/>
        <w:divId w:val="1291059641"/>
        <w:rPr>
          <w:sz w:val="20"/>
          <w:szCs w:val="20"/>
        </w:rPr>
      </w:pPr>
      <w:r>
        <w:rPr>
          <w:b/>
          <w:bCs/>
          <w:i/>
          <w:iCs/>
          <w:sz w:val="20"/>
          <w:szCs w:val="20"/>
        </w:rPr>
        <w:t>Capital Con</w:t>
      </w:r>
      <w:r>
        <w:rPr>
          <w:b/>
          <w:bCs/>
          <w:i/>
          <w:iCs/>
          <w:sz w:val="20"/>
          <w:szCs w:val="20"/>
        </w:rPr>
        <w:t>straints as a REI</w:t>
      </w:r>
      <w:r>
        <w:rPr>
          <w:b/>
          <w:bCs/>
          <w:i/>
          <w:iCs/>
          <w:sz w:val="20"/>
          <w:szCs w:val="20"/>
        </w:rPr>
        <w:t>T</w:t>
      </w:r>
      <w:r>
        <w:rPr>
          <w:i/>
          <w:iCs/>
          <w:sz w:val="20"/>
          <w:szCs w:val="20"/>
        </w:rPr>
        <w:t>:</w:t>
      </w:r>
      <w:r>
        <w:rPr>
          <w:sz w:val="20"/>
          <w:szCs w:val="20"/>
        </w:rPr>
        <w:t xml:space="preserve"> While being a REIT allows us to minimize the payment of federal and state income tax expense, we are required to distribute 100% of our taxable income to our shareholders. This requirements limits cash flow from operations that can be r</w:t>
      </w:r>
      <w:r>
        <w:rPr>
          <w:sz w:val="20"/>
          <w:szCs w:val="20"/>
        </w:rPr>
        <w:t>etained and reinvested in the business, increasing our reliance upon raising capital to fund growth.</w:t>
      </w:r>
      <w:r>
        <w:rPr>
          <w:sz w:val="20"/>
          <w:szCs w:val="20"/>
        </w:rPr>
        <w:t xml:space="preserve"> </w:t>
      </w:r>
    </w:p>
    <w:p w:rsidR="00000000" w:rsidRDefault="00865332">
      <w:pPr>
        <w:pStyle w:val="a3"/>
        <w:spacing w:before="0" w:beforeAutospacing="0" w:after="0" w:afterAutospacing="0" w:line="259" w:lineRule="auto"/>
        <w:ind w:firstLine="720"/>
        <w:jc w:val="both"/>
        <w:divId w:val="1291059641"/>
        <w:rPr>
          <w:sz w:val="20"/>
          <w:szCs w:val="20"/>
        </w:rPr>
      </w:pPr>
      <w:r>
        <w:rPr>
          <w:b/>
          <w:bCs/>
          <w:i/>
          <w:iCs/>
          <w:sz w:val="20"/>
          <w:szCs w:val="20"/>
        </w:rPr>
        <w:t>Access to Capital</w:t>
      </w:r>
      <w:r>
        <w:rPr>
          <w:b/>
          <w:bCs/>
          <w:i/>
          <w:iCs/>
          <w:sz w:val="20"/>
          <w:szCs w:val="20"/>
        </w:rPr>
        <w:t>:</w:t>
      </w:r>
      <w:r>
        <w:rPr>
          <w:sz w:val="20"/>
          <w:szCs w:val="20"/>
        </w:rPr>
        <w:t xml:space="preserve"> Because raising capital is important to our growth, we endeavor to maintain a strong financial profile characterized by strong credit m</w:t>
      </w:r>
      <w:r>
        <w:rPr>
          <w:sz w:val="20"/>
          <w:szCs w:val="20"/>
        </w:rPr>
        <w:t>etrics, including low leverage relative to our total capitalization and operating cash flows. We are one of the highest rated REITs, as rated by major rating agencies Moody’s and Standard</w:t>
      </w:r>
      <w:r>
        <w:rPr>
          <w:sz w:val="20"/>
          <w:szCs w:val="20"/>
        </w:rPr>
        <w:t xml:space="preserve"> </w:t>
      </w:r>
    </w:p>
    <w:p w:rsidR="00000000" w:rsidRDefault="00865332">
      <w:pPr>
        <w:pStyle w:val="a3"/>
        <w:spacing w:before="0" w:beforeAutospacing="0" w:after="0" w:afterAutospacing="0" w:line="259" w:lineRule="auto"/>
        <w:jc w:val="center"/>
        <w:divId w:val="251592794"/>
        <w:rPr>
          <w:sz w:val="20"/>
          <w:szCs w:val="20"/>
        </w:rPr>
      </w:pPr>
      <w:r>
        <w:rPr>
          <w:rStyle w:val="ctheaderfooterpage"/>
          <w:sz w:val="20"/>
          <w:szCs w:val="20"/>
        </w:rPr>
        <w:t>9</w:t>
      </w:r>
    </w:p>
    <w:p w:rsidR="00000000" w:rsidRDefault="00865332">
      <w:pPr>
        <w:spacing w:before="360" w:after="360"/>
        <w:divId w:val="2036230582"/>
        <w:rPr>
          <w:rFonts w:eastAsia="Times New Roman"/>
        </w:rPr>
      </w:pPr>
      <w:r>
        <w:rPr>
          <w:rFonts w:eastAsia="Times New Roman"/>
        </w:rPr>
        <w:pict>
          <v:rect id="_x0000_i1033" style="width:0;height:1.5pt" o:hralign="center" o:hrstd="t" o:hr="t" fillcolor="#a0a0a0" stroked="f"/>
        </w:pict>
      </w:r>
    </w:p>
    <w:p w:rsidR="00000000" w:rsidRDefault="00865332">
      <w:pPr>
        <w:pStyle w:val="a3"/>
        <w:spacing w:before="0" w:beforeAutospacing="0" w:after="0" w:afterAutospacing="0" w:line="259" w:lineRule="auto"/>
        <w:jc w:val="both"/>
        <w:divId w:val="113794826"/>
        <w:rPr>
          <w:sz w:val="20"/>
          <w:szCs w:val="20"/>
        </w:rPr>
      </w:pPr>
      <w:r>
        <w:rPr>
          <w:sz w:val="20"/>
          <w:szCs w:val="20"/>
        </w:rPr>
        <w:t>&amp; Poor’s. Our senior debt ha</w:t>
      </w:r>
      <w:r>
        <w:rPr>
          <w:sz w:val="20"/>
          <w:szCs w:val="20"/>
        </w:rPr>
        <w:t>s an “A” credit rating by Standard &amp; Poor’s and “A2” by Moody’s. Our credit ratings on each of our series of preferred shares are “A3” by Moody’s and “BBB+” by Standard &amp; Poor’s. Our credit profile and ratings enable us to effectively access both the publi</w:t>
      </w:r>
      <w:r>
        <w:rPr>
          <w:sz w:val="20"/>
          <w:szCs w:val="20"/>
        </w:rPr>
        <w:t>c and private capital markets to raise capital</w:t>
      </w:r>
      <w:r>
        <w:rPr>
          <w:sz w:val="20"/>
          <w:szCs w:val="20"/>
        </w:rPr>
        <w:t>.</w:t>
      </w:r>
    </w:p>
    <w:p w:rsidR="00000000" w:rsidRDefault="00865332">
      <w:pPr>
        <w:pStyle w:val="a3"/>
        <w:spacing w:before="0" w:beforeAutospacing="0" w:after="0" w:afterAutospacing="0" w:line="259" w:lineRule="auto"/>
        <w:ind w:firstLine="720"/>
        <w:jc w:val="both"/>
        <w:divId w:val="113794826"/>
        <w:rPr>
          <w:sz w:val="20"/>
          <w:szCs w:val="20"/>
        </w:rPr>
      </w:pPr>
      <w:r>
        <w:rPr>
          <w:sz w:val="20"/>
          <w:szCs w:val="20"/>
        </w:rPr>
        <w:t>While we must distribute our taxable income, we are nonetheless able to retain operating cash flow to the extent that our tax depreciation exceeds our maintenance capital expenditures. In recent years, we hav</w:t>
      </w:r>
      <w:r>
        <w:rPr>
          <w:sz w:val="20"/>
          <w:szCs w:val="20"/>
        </w:rPr>
        <w:t>e retained approximately $200 million to $300 million per year in cash flow. Capital needs in excess of retained cash flow are met with: (i) preferred equity, (ii) medium and long-term debt, and (iii) common equity. We select among these sources of capital</w:t>
      </w:r>
      <w:r>
        <w:rPr>
          <w:sz w:val="20"/>
          <w:szCs w:val="20"/>
        </w:rPr>
        <w:t xml:space="preserve"> based upon relative cost, availability, the desire for leverage, and potential constraints caused by certain features of capital sources, such as debt covenants. We view our line of credit, as well as short-term bank loans, as bridge financing.</w:t>
      </w:r>
      <w:r>
        <w:rPr>
          <w:sz w:val="20"/>
          <w:szCs w:val="20"/>
        </w:rPr>
        <w:t xml:space="preserve"> </w:t>
      </w:r>
    </w:p>
    <w:p w:rsidR="00000000" w:rsidRDefault="00865332">
      <w:pPr>
        <w:pStyle w:val="a3"/>
        <w:spacing w:before="0" w:beforeAutospacing="0" w:after="0" w:afterAutospacing="0" w:line="259" w:lineRule="auto"/>
        <w:ind w:firstLine="720"/>
        <w:jc w:val="both"/>
        <w:divId w:val="113794826"/>
        <w:rPr>
          <w:sz w:val="20"/>
          <w:szCs w:val="20"/>
        </w:rPr>
      </w:pPr>
      <w:r>
        <w:rPr>
          <w:sz w:val="20"/>
          <w:szCs w:val="20"/>
        </w:rPr>
        <w:t xml:space="preserve">We could </w:t>
      </w:r>
      <w:r>
        <w:rPr>
          <w:sz w:val="20"/>
          <w:szCs w:val="20"/>
        </w:rPr>
        <w:t>also raise capital through joint venture financing or the sale of properties, however, we have no current plans to use these sources of capital.</w:t>
      </w:r>
      <w:r>
        <w:rPr>
          <w:sz w:val="20"/>
          <w:szCs w:val="20"/>
        </w:rPr>
        <w:t xml:space="preserve"> </w:t>
      </w:r>
    </w:p>
    <w:p w:rsidR="00000000" w:rsidRDefault="00865332">
      <w:pPr>
        <w:pStyle w:val="a3"/>
        <w:spacing w:before="0" w:beforeAutospacing="0" w:after="0" w:afterAutospacing="0" w:line="259" w:lineRule="auto"/>
        <w:ind w:firstLine="720"/>
        <w:jc w:val="both"/>
        <w:divId w:val="113794826"/>
        <w:rPr>
          <w:sz w:val="20"/>
          <w:szCs w:val="20"/>
        </w:rPr>
      </w:pPr>
      <w:r>
        <w:rPr>
          <w:b/>
          <w:bCs/>
          <w:i/>
          <w:iCs/>
          <w:sz w:val="20"/>
          <w:szCs w:val="20"/>
        </w:rPr>
        <w:t>Preferred equity</w:t>
      </w:r>
      <w:r>
        <w:rPr>
          <w:b/>
          <w:bCs/>
          <w:i/>
          <w:iCs/>
          <w:sz w:val="20"/>
          <w:szCs w:val="20"/>
        </w:rPr>
        <w:t>:</w:t>
      </w:r>
      <w:r>
        <w:rPr>
          <w:sz w:val="20"/>
          <w:szCs w:val="20"/>
        </w:rPr>
        <w:t xml:space="preserve"> Preferred equity is an important source of long-term capital. While preferred equity’s coupo</w:t>
      </w:r>
      <w:r>
        <w:rPr>
          <w:sz w:val="20"/>
          <w:szCs w:val="20"/>
        </w:rPr>
        <w:t>n rates generally exceed interest rates on long-term debt, we believe the issuance of preferred equity is a favorable source of capital when available because it does not require repayment and, at our option, we can redeem the security after five years if,</w:t>
      </w:r>
      <w:r>
        <w:rPr>
          <w:sz w:val="20"/>
          <w:szCs w:val="20"/>
        </w:rPr>
        <w:t xml:space="preserve"> for example, market coupon rates have declined and we can reissue new securities at a lower rate.</w:t>
      </w:r>
      <w:r>
        <w:rPr>
          <w:sz w:val="20"/>
          <w:szCs w:val="20"/>
        </w:rPr>
        <w:t xml:space="preserve"> </w:t>
      </w:r>
    </w:p>
    <w:p w:rsidR="00000000" w:rsidRDefault="00865332">
      <w:pPr>
        <w:pStyle w:val="a3"/>
        <w:spacing w:before="0" w:beforeAutospacing="0" w:after="0" w:afterAutospacing="0" w:line="259" w:lineRule="auto"/>
        <w:ind w:firstLine="720"/>
        <w:jc w:val="both"/>
        <w:divId w:val="113794826"/>
        <w:rPr>
          <w:sz w:val="20"/>
          <w:szCs w:val="20"/>
        </w:rPr>
      </w:pPr>
      <w:r>
        <w:rPr>
          <w:sz w:val="20"/>
          <w:szCs w:val="20"/>
        </w:rPr>
        <w:t>Notwithstanding these favorable characteristics, the rates and market conditions for the issuance of preferred securities can be volatile or inefficient fro</w:t>
      </w:r>
      <w:r>
        <w:rPr>
          <w:sz w:val="20"/>
          <w:szCs w:val="20"/>
        </w:rPr>
        <w:t>m time to time, and the amount that can be issued in any particular offering is generally limited to approximately $300 million at any one point in time, because demand for these securities comes primarily from retail investors rather than institutional in</w:t>
      </w:r>
      <w:r>
        <w:rPr>
          <w:sz w:val="20"/>
          <w:szCs w:val="20"/>
        </w:rPr>
        <w:t>vestors.</w:t>
      </w:r>
      <w:r>
        <w:rPr>
          <w:sz w:val="20"/>
          <w:szCs w:val="20"/>
        </w:rPr>
        <w:t xml:space="preserve"> </w:t>
      </w:r>
    </w:p>
    <w:p w:rsidR="00000000" w:rsidRDefault="00865332">
      <w:pPr>
        <w:pStyle w:val="a3"/>
        <w:spacing w:before="0" w:beforeAutospacing="0" w:after="0" w:afterAutospacing="0" w:line="259" w:lineRule="auto"/>
        <w:ind w:firstLine="720"/>
        <w:jc w:val="both"/>
        <w:divId w:val="113794826"/>
        <w:rPr>
          <w:sz w:val="20"/>
          <w:szCs w:val="20"/>
        </w:rPr>
      </w:pPr>
      <w:r>
        <w:rPr>
          <w:sz w:val="20"/>
          <w:szCs w:val="20"/>
        </w:rPr>
        <w:t xml:space="preserve">The level of preferred equity outstanding has remained relatively constant, totaling $4.3 billion at December 31, 2014 and $4.1 billion at December 31, 2019. However, during this timeframe, we have regularly redeemed preferred shares pursuant to </w:t>
      </w:r>
      <w:r>
        <w:rPr>
          <w:sz w:val="20"/>
          <w:szCs w:val="20"/>
        </w:rPr>
        <w:t>our redemption option, and issued new preferred equity at lower rates, reducing the average coupon rate from 5.88% at December 31, 2014 to 5.12% at December 31, 2019.</w:t>
      </w:r>
      <w:r>
        <w:rPr>
          <w:sz w:val="20"/>
          <w:szCs w:val="20"/>
        </w:rPr>
        <w:t xml:space="preserve"> </w:t>
      </w:r>
    </w:p>
    <w:p w:rsidR="00000000" w:rsidRDefault="00865332">
      <w:pPr>
        <w:pStyle w:val="a3"/>
        <w:spacing w:before="0" w:beforeAutospacing="0" w:after="0" w:afterAutospacing="0" w:line="259" w:lineRule="auto"/>
        <w:ind w:firstLine="720"/>
        <w:jc w:val="both"/>
        <w:divId w:val="113794826"/>
        <w:rPr>
          <w:sz w:val="20"/>
          <w:szCs w:val="20"/>
        </w:rPr>
      </w:pPr>
      <w:r>
        <w:rPr>
          <w:sz w:val="20"/>
          <w:szCs w:val="20"/>
        </w:rPr>
        <w:t>As of February 25, 2020, we believe that the market coupon rate for preferred securities</w:t>
      </w:r>
      <w:r>
        <w:rPr>
          <w:sz w:val="20"/>
          <w:szCs w:val="20"/>
        </w:rPr>
        <w:t xml:space="preserve"> approximates 4.75%. As of February 25, 2020, we have the option to redeem, with 30 days’ notice, the following series of preferred securities: our 5.375% Series V Preferred Shares ($495 million), our 5.200% Series W Preferred Shares ($500 million), and ou</w:t>
      </w:r>
      <w:r>
        <w:rPr>
          <w:sz w:val="20"/>
          <w:szCs w:val="20"/>
        </w:rPr>
        <w:t>r 5.200% Series X Preferred Shares ($225 million). Redemption of such preferred shares will depend upon many factors, including the rate at which we could issue replacement preferred securities.</w:t>
      </w:r>
      <w:r>
        <w:rPr>
          <w:sz w:val="20"/>
          <w:szCs w:val="20"/>
        </w:rPr>
        <w:t xml:space="preserve"> </w:t>
      </w:r>
    </w:p>
    <w:p w:rsidR="00000000" w:rsidRDefault="00865332">
      <w:pPr>
        <w:pStyle w:val="a3"/>
        <w:spacing w:before="0" w:beforeAutospacing="0" w:after="0" w:afterAutospacing="0" w:line="259" w:lineRule="auto"/>
        <w:ind w:firstLine="720"/>
        <w:jc w:val="both"/>
        <w:divId w:val="113794826"/>
        <w:rPr>
          <w:sz w:val="20"/>
          <w:szCs w:val="20"/>
        </w:rPr>
      </w:pPr>
      <w:r>
        <w:rPr>
          <w:b/>
          <w:bCs/>
          <w:i/>
          <w:iCs/>
          <w:sz w:val="20"/>
          <w:szCs w:val="20"/>
        </w:rPr>
        <w:t>Medium and Long-Term Deb</w:t>
      </w:r>
      <w:r>
        <w:rPr>
          <w:b/>
          <w:bCs/>
          <w:i/>
          <w:iCs/>
          <w:sz w:val="20"/>
          <w:szCs w:val="20"/>
        </w:rPr>
        <w:t>t</w:t>
      </w:r>
      <w:r>
        <w:rPr>
          <w:sz w:val="20"/>
          <w:szCs w:val="20"/>
        </w:rPr>
        <w:t>: We have increased our debt outsta</w:t>
      </w:r>
      <w:r>
        <w:rPr>
          <w:sz w:val="20"/>
          <w:szCs w:val="20"/>
        </w:rPr>
        <w:t>nding from $64 million at December 31, 2014 to $1.9 billion at December 31, 2019, and on January 24, 2020, we issued an additional €500 million ($551.6 million) of senior unsecured debt. Our $2.5 billion of debt outstanding at February 25, 2020 has an aver</w:t>
      </w:r>
      <w:r>
        <w:rPr>
          <w:sz w:val="20"/>
          <w:szCs w:val="20"/>
        </w:rPr>
        <w:t>age interest rate of approximately 2.43%. While we have increased our use of debt as a capital source, and have broad powers to issue debt without a vote by our preferred or common shareholders, we expect to continue to remain conservatively capitalized an</w:t>
      </w:r>
      <w:r>
        <w:rPr>
          <w:sz w:val="20"/>
          <w:szCs w:val="20"/>
        </w:rPr>
        <w:t>d not subject ourselves to significant refinancing risk through effective “laddering” of our maturities.</w:t>
      </w:r>
      <w:r>
        <w:rPr>
          <w:sz w:val="20"/>
          <w:szCs w:val="20"/>
        </w:rPr>
        <w:t xml:space="preserve"> </w:t>
      </w:r>
    </w:p>
    <w:p w:rsidR="00000000" w:rsidRDefault="00865332">
      <w:pPr>
        <w:pStyle w:val="a3"/>
        <w:spacing w:before="0" w:beforeAutospacing="0" w:after="0" w:afterAutospacing="0" w:line="259" w:lineRule="auto"/>
        <w:ind w:firstLine="720"/>
        <w:jc w:val="both"/>
        <w:divId w:val="113794826"/>
        <w:rPr>
          <w:sz w:val="20"/>
          <w:szCs w:val="20"/>
        </w:rPr>
      </w:pPr>
      <w:r>
        <w:rPr>
          <w:b/>
          <w:bCs/>
          <w:i/>
          <w:iCs/>
          <w:sz w:val="20"/>
          <w:szCs w:val="20"/>
        </w:rPr>
        <w:t>Common equity</w:t>
      </w:r>
      <w:r>
        <w:rPr>
          <w:b/>
          <w:bCs/>
          <w:i/>
          <w:iCs/>
          <w:sz w:val="20"/>
          <w:szCs w:val="20"/>
        </w:rPr>
        <w:t>:</w:t>
      </w:r>
      <w:r>
        <w:rPr>
          <w:sz w:val="20"/>
          <w:szCs w:val="20"/>
        </w:rPr>
        <w:t xml:space="preserve"> Except in connection with mergers, most notably a merger in 2006 with Shurgard Storage Centers, we have not raised capital through the </w:t>
      </w:r>
      <w:r>
        <w:rPr>
          <w:sz w:val="20"/>
          <w:szCs w:val="20"/>
        </w:rPr>
        <w:t xml:space="preserve">issuance of common equity because lower cost alternatives have been available. However, we believe that the market for our common equity is liquid, with average trading volume in 2019 of approximately 885,000 common shares per day and, as a result, common </w:t>
      </w:r>
      <w:r>
        <w:rPr>
          <w:sz w:val="20"/>
          <w:szCs w:val="20"/>
        </w:rPr>
        <w:t>equity is a significant potential source of capital.</w:t>
      </w:r>
      <w:r>
        <w:rPr>
          <w:sz w:val="20"/>
          <w:szCs w:val="20"/>
        </w:rPr>
        <w:t xml:space="preserve"> </w:t>
      </w:r>
    </w:p>
    <w:p w:rsidR="00000000" w:rsidRDefault="00865332">
      <w:pPr>
        <w:pStyle w:val="a3"/>
        <w:spacing w:before="0" w:beforeAutospacing="0" w:after="0" w:afterAutospacing="0" w:line="259" w:lineRule="auto"/>
        <w:ind w:firstLine="720"/>
        <w:jc w:val="both"/>
        <w:divId w:val="113794826"/>
        <w:rPr>
          <w:sz w:val="20"/>
          <w:szCs w:val="20"/>
        </w:rPr>
      </w:pPr>
      <w:r>
        <w:rPr>
          <w:b/>
          <w:bCs/>
          <w:i/>
          <w:iCs/>
          <w:sz w:val="20"/>
          <w:szCs w:val="20"/>
        </w:rPr>
        <w:t>Bridge financin</w:t>
      </w:r>
      <w:r>
        <w:rPr>
          <w:b/>
          <w:bCs/>
          <w:i/>
          <w:iCs/>
          <w:sz w:val="20"/>
          <w:szCs w:val="20"/>
        </w:rPr>
        <w:t>g</w:t>
      </w:r>
      <w:r>
        <w:rPr>
          <w:sz w:val="20"/>
          <w:szCs w:val="20"/>
        </w:rPr>
        <w:t>: We have a $500.0 million revolving line of credit which we occasionally use as temporary “bridge” financing, along with short-term bank loans, until we are able to raise longer-term ca</w:t>
      </w:r>
      <w:r>
        <w:rPr>
          <w:sz w:val="20"/>
          <w:szCs w:val="20"/>
        </w:rPr>
        <w:t>pital. As of</w:t>
      </w:r>
      <w:r>
        <w:rPr>
          <w:sz w:val="20"/>
          <w:szCs w:val="20"/>
        </w:rPr>
        <w:t xml:space="preserve"> </w:t>
      </w:r>
    </w:p>
    <w:p w:rsidR="00000000" w:rsidRDefault="00865332">
      <w:pPr>
        <w:pStyle w:val="a3"/>
        <w:spacing w:before="0" w:beforeAutospacing="0" w:after="0" w:afterAutospacing="0" w:line="259" w:lineRule="auto"/>
        <w:jc w:val="center"/>
        <w:divId w:val="698705934"/>
        <w:rPr>
          <w:sz w:val="20"/>
          <w:szCs w:val="20"/>
        </w:rPr>
      </w:pPr>
      <w:r>
        <w:rPr>
          <w:rStyle w:val="ctheaderfooterpage"/>
          <w:sz w:val="20"/>
          <w:szCs w:val="20"/>
        </w:rPr>
        <w:t>1</w:t>
      </w:r>
      <w:r>
        <w:rPr>
          <w:rStyle w:val="ctheaderfooterpage"/>
          <w:sz w:val="20"/>
          <w:szCs w:val="20"/>
        </w:rPr>
        <w:t>0</w:t>
      </w:r>
    </w:p>
    <w:p w:rsidR="00000000" w:rsidRDefault="00865332">
      <w:pPr>
        <w:spacing w:before="360" w:after="360"/>
        <w:divId w:val="123621667"/>
        <w:rPr>
          <w:rFonts w:eastAsia="Times New Roman"/>
        </w:rPr>
      </w:pPr>
      <w:r>
        <w:rPr>
          <w:rFonts w:eastAsia="Times New Roman"/>
        </w:rPr>
        <w:pict>
          <v:rect id="_x0000_i1034" style="width:0;height:1.5pt" o:hralign="center" o:hrstd="t" o:hr="t" fillcolor="#a0a0a0" stroked="f"/>
        </w:pict>
      </w:r>
    </w:p>
    <w:p w:rsidR="00000000" w:rsidRDefault="00865332">
      <w:pPr>
        <w:pStyle w:val="a3"/>
        <w:spacing w:before="0" w:beforeAutospacing="0" w:after="0" w:afterAutospacing="0" w:line="259" w:lineRule="auto"/>
        <w:jc w:val="both"/>
        <w:divId w:val="1144935358"/>
        <w:rPr>
          <w:sz w:val="20"/>
          <w:szCs w:val="20"/>
        </w:rPr>
      </w:pPr>
      <w:r>
        <w:rPr>
          <w:sz w:val="20"/>
          <w:szCs w:val="20"/>
        </w:rPr>
        <w:t>December 31, 2019, there were no borrowings outstanding on our revolving line of credit and no short-term bank loans.</w:t>
      </w:r>
      <w:r>
        <w:rPr>
          <w:sz w:val="20"/>
          <w:szCs w:val="20"/>
        </w:rPr>
        <w:t xml:space="preserve"> </w:t>
      </w:r>
    </w:p>
    <w:p w:rsidR="00000000" w:rsidRDefault="00865332">
      <w:pPr>
        <w:pStyle w:val="a3"/>
        <w:spacing w:before="0" w:beforeAutospacing="0" w:after="0" w:afterAutospacing="0" w:line="259" w:lineRule="auto"/>
        <w:ind w:firstLine="720"/>
        <w:jc w:val="both"/>
        <w:divId w:val="1144935358"/>
        <w:rPr>
          <w:sz w:val="20"/>
          <w:szCs w:val="20"/>
        </w:rPr>
      </w:pPr>
      <w:r>
        <w:rPr>
          <w:b/>
          <w:bCs/>
          <w:i/>
          <w:iCs/>
          <w:sz w:val="20"/>
          <w:szCs w:val="20"/>
        </w:rPr>
        <w:t>Joint Venture Financing</w:t>
      </w:r>
      <w:r>
        <w:rPr>
          <w:b/>
          <w:bCs/>
          <w:i/>
          <w:iCs/>
          <w:sz w:val="20"/>
          <w:szCs w:val="20"/>
        </w:rPr>
        <w:t>:</w:t>
      </w:r>
      <w:r>
        <w:rPr>
          <w:sz w:val="20"/>
          <w:szCs w:val="20"/>
        </w:rPr>
        <w:t xml:space="preserve"> We have participated in joint ventures with institutional </w:t>
      </w:r>
      <w:r>
        <w:rPr>
          <w:sz w:val="20"/>
          <w:szCs w:val="20"/>
        </w:rPr>
        <w:t>investors in the past to acquire, develop, and operate self-storage facilities, most notably our joint venture to own Shurgard, prior to its Offering. Any future uses of joint venture financing will be based upon, among other considerations, the relative c</w:t>
      </w:r>
      <w:r>
        <w:rPr>
          <w:sz w:val="20"/>
          <w:szCs w:val="20"/>
        </w:rPr>
        <w:t>ost of joint venture financing as compared to other sources of capital. We do not have any current plans to utilize joint venture financing.</w:t>
      </w:r>
      <w:r>
        <w:rPr>
          <w:sz w:val="20"/>
          <w:szCs w:val="20"/>
        </w:rPr>
        <w:t xml:space="preserve"> </w:t>
      </w:r>
    </w:p>
    <w:p w:rsidR="00000000" w:rsidRDefault="00865332">
      <w:pPr>
        <w:pStyle w:val="a3"/>
        <w:spacing w:before="0" w:beforeAutospacing="0" w:after="0" w:afterAutospacing="0" w:line="259" w:lineRule="auto"/>
        <w:ind w:firstLine="720"/>
        <w:jc w:val="both"/>
        <w:divId w:val="1144935358"/>
        <w:rPr>
          <w:sz w:val="20"/>
          <w:szCs w:val="20"/>
        </w:rPr>
      </w:pPr>
      <w:r>
        <w:rPr>
          <w:b/>
          <w:bCs/>
          <w:i/>
          <w:iCs/>
          <w:sz w:val="20"/>
          <w:szCs w:val="20"/>
        </w:rPr>
        <w:t>Sale of Properties</w:t>
      </w:r>
      <w:r>
        <w:rPr>
          <w:b/>
          <w:bCs/>
          <w:i/>
          <w:iCs/>
          <w:sz w:val="20"/>
          <w:szCs w:val="20"/>
        </w:rPr>
        <w:t>:</w:t>
      </w:r>
      <w:r>
        <w:rPr>
          <w:sz w:val="20"/>
          <w:szCs w:val="20"/>
        </w:rPr>
        <w:t xml:space="preserve"> Generally, we have disposed of self-storage facilities only when compelled to do so through co</w:t>
      </w:r>
      <w:r>
        <w:rPr>
          <w:sz w:val="20"/>
          <w:szCs w:val="20"/>
        </w:rPr>
        <w:t>ndemnation proceedings. Because we believe that we are an optimal operator of self-storage facilities, we have generally found that we cannot obtain sufficient value in selling properties because potential buyers cannot extract as much cash flow from the p</w:t>
      </w:r>
      <w:r>
        <w:rPr>
          <w:sz w:val="20"/>
          <w:szCs w:val="20"/>
        </w:rPr>
        <w:t>roperties as we can. As a result, we do not presently expect to raise significant capital selling self-storage facilities; however, there can be no assurance that we will not</w:t>
      </w:r>
      <w:r>
        <w:rPr>
          <w:sz w:val="20"/>
          <w:szCs w:val="20"/>
        </w:rPr>
        <w:t>.</w:t>
      </w:r>
    </w:p>
    <w:p w:rsidR="00000000" w:rsidRDefault="00865332">
      <w:pPr>
        <w:pStyle w:val="a3"/>
        <w:spacing w:before="0" w:beforeAutospacing="0" w:after="0" w:afterAutospacing="0" w:line="259" w:lineRule="auto"/>
        <w:jc w:val="both"/>
        <w:divId w:val="1144935358"/>
        <w:rPr>
          <w:sz w:val="20"/>
          <w:szCs w:val="20"/>
        </w:rPr>
      </w:pPr>
      <w:r>
        <w:rPr>
          <w:b/>
          <w:bCs/>
          <w:sz w:val="20"/>
          <w:szCs w:val="20"/>
          <w:u w:val="single"/>
        </w:rPr>
        <w:t>Investments in Real Estate and Unconsolidated Real Estate Entitie</w:t>
      </w:r>
      <w:r>
        <w:rPr>
          <w:b/>
          <w:bCs/>
          <w:sz w:val="20"/>
          <w:szCs w:val="20"/>
          <w:u w:val="single"/>
        </w:rPr>
        <w:t>s</w:t>
      </w:r>
    </w:p>
    <w:p w:rsidR="00000000" w:rsidRDefault="00865332">
      <w:pPr>
        <w:pStyle w:val="a3"/>
        <w:spacing w:before="0" w:beforeAutospacing="0" w:after="0" w:afterAutospacing="0" w:line="259" w:lineRule="auto"/>
        <w:ind w:firstLine="720"/>
        <w:jc w:val="both"/>
        <w:divId w:val="1144935358"/>
        <w:rPr>
          <w:sz w:val="20"/>
          <w:szCs w:val="20"/>
        </w:rPr>
      </w:pPr>
      <w:r>
        <w:rPr>
          <w:b/>
          <w:bCs/>
          <w:i/>
          <w:iCs/>
          <w:sz w:val="20"/>
          <w:szCs w:val="20"/>
        </w:rPr>
        <w:t>Investment Policies and Practices with respect to our investment</w:t>
      </w:r>
      <w:r>
        <w:rPr>
          <w:b/>
          <w:bCs/>
          <w:i/>
          <w:iCs/>
          <w:sz w:val="20"/>
          <w:szCs w:val="20"/>
        </w:rPr>
        <w:t>s</w:t>
      </w:r>
      <w:r>
        <w:rPr>
          <w:sz w:val="20"/>
          <w:szCs w:val="20"/>
        </w:rPr>
        <w:t xml:space="preserve">: Following are our investment practices and policies which, though we do not anticipate any significant alteration, can be </w:t>
      </w:r>
      <w:r>
        <w:rPr>
          <w:sz w:val="20"/>
          <w:szCs w:val="20"/>
        </w:rPr>
        <w:t>changed by our board of trustees (the “Board”) without a shareholder vote</w:t>
      </w:r>
      <w:r>
        <w:rPr>
          <w:sz w:val="20"/>
          <w:szCs w:val="20"/>
        </w:rPr>
        <w:t>:</w:t>
      </w:r>
    </w:p>
    <w:p w:rsidR="00000000" w:rsidRDefault="00865332">
      <w:pPr>
        <w:pStyle w:val="a3"/>
        <w:spacing w:before="0" w:beforeAutospacing="0" w:after="0" w:afterAutospacing="0" w:line="259" w:lineRule="auto"/>
        <w:ind w:left="1080" w:hanging="360"/>
        <w:jc w:val="both"/>
        <w:divId w:val="1144935358"/>
        <w:rPr>
          <w:sz w:val="20"/>
          <w:szCs w:val="20"/>
        </w:rPr>
      </w:pPr>
      <w:r>
        <w:rPr>
          <w:rFonts w:ascii="Symbol" w:hAnsi="Symbol"/>
          <w:sz w:val="20"/>
          <w:szCs w:val="20"/>
        </w:rPr>
        <w:sym w:font="Symbol" w:char="F0B7"/>
      </w:r>
      <w:r>
        <w:rPr>
          <w:sz w:val="20"/>
          <w:szCs w:val="20"/>
        </w:rPr>
        <w:t>Our investments primarily consist of direct ownership of self-storage facilities, as well as partial interests in entities we control that own self-storage facilities that we manag</w:t>
      </w:r>
      <w:r>
        <w:rPr>
          <w:sz w:val="20"/>
          <w:szCs w:val="20"/>
        </w:rPr>
        <w:t>e under the “Public Storage” brand name in the U.S. Our investments in self-storage facilities are described in more detail in Item 2, “Properties,” below</w:t>
      </w:r>
      <w:r>
        <w:rPr>
          <w:sz w:val="20"/>
          <w:szCs w:val="20"/>
        </w:rPr>
        <w:t>.</w:t>
      </w:r>
    </w:p>
    <w:p w:rsidR="00000000" w:rsidRDefault="00865332">
      <w:pPr>
        <w:pStyle w:val="a3"/>
        <w:spacing w:before="0" w:beforeAutospacing="0" w:after="0" w:afterAutospacing="0" w:line="259" w:lineRule="auto"/>
        <w:ind w:left="1080" w:hanging="360"/>
        <w:jc w:val="both"/>
        <w:divId w:val="1144935358"/>
        <w:rPr>
          <w:sz w:val="20"/>
          <w:szCs w:val="20"/>
        </w:rPr>
      </w:pPr>
      <w:r>
        <w:rPr>
          <w:rFonts w:ascii="Symbol" w:hAnsi="Symbol"/>
          <w:sz w:val="20"/>
          <w:szCs w:val="20"/>
        </w:rPr>
        <w:sym w:font="Symbol" w:char="F0B7"/>
      </w:r>
      <w:r>
        <w:rPr>
          <w:sz w:val="20"/>
          <w:szCs w:val="20"/>
        </w:rPr>
        <w:t>We have an ownership interest in Shurgard, which owns storage facilities located in Europe under th</w:t>
      </w:r>
      <w:r>
        <w:rPr>
          <w:sz w:val="20"/>
          <w:szCs w:val="20"/>
        </w:rPr>
        <w:t>e “Shurgard” brand name</w:t>
      </w:r>
      <w:r>
        <w:rPr>
          <w:sz w:val="20"/>
          <w:szCs w:val="20"/>
        </w:rPr>
        <w:t>.</w:t>
      </w:r>
    </w:p>
    <w:p w:rsidR="00000000" w:rsidRDefault="00865332">
      <w:pPr>
        <w:pStyle w:val="a3"/>
        <w:spacing w:before="0" w:beforeAutospacing="0" w:after="0" w:afterAutospacing="0" w:line="259" w:lineRule="auto"/>
        <w:ind w:left="1080" w:hanging="360"/>
        <w:jc w:val="both"/>
        <w:divId w:val="1144935358"/>
        <w:rPr>
          <w:sz w:val="20"/>
          <w:szCs w:val="20"/>
        </w:rPr>
      </w:pPr>
      <w:r>
        <w:rPr>
          <w:rFonts w:ascii="Symbol" w:hAnsi="Symbol"/>
          <w:sz w:val="20"/>
          <w:szCs w:val="20"/>
        </w:rPr>
        <w:sym w:font="Symbol" w:char="F0B7"/>
      </w:r>
      <w:r>
        <w:rPr>
          <w:sz w:val="20"/>
          <w:szCs w:val="20"/>
        </w:rPr>
        <w:t>Additional acquired interests in real estate will primarily include the acquisition of properties from third parties, as well as to a lesser extent, partial interests in entities in which we already have an interest</w:t>
      </w:r>
      <w:r>
        <w:rPr>
          <w:sz w:val="20"/>
          <w:szCs w:val="20"/>
        </w:rPr>
        <w:t>.</w:t>
      </w:r>
    </w:p>
    <w:p w:rsidR="00000000" w:rsidRDefault="00865332">
      <w:pPr>
        <w:pStyle w:val="a3"/>
        <w:spacing w:before="0" w:beforeAutospacing="0" w:after="0" w:afterAutospacing="0" w:line="259" w:lineRule="auto"/>
        <w:ind w:left="1080" w:hanging="360"/>
        <w:jc w:val="both"/>
        <w:divId w:val="1144935358"/>
        <w:rPr>
          <w:sz w:val="20"/>
          <w:szCs w:val="20"/>
        </w:rPr>
      </w:pPr>
      <w:r>
        <w:rPr>
          <w:rFonts w:ascii="Symbol" w:hAnsi="Symbol"/>
          <w:sz w:val="20"/>
          <w:szCs w:val="20"/>
        </w:rPr>
        <w:sym w:font="Symbol" w:char="F0B7"/>
      </w:r>
      <w:r>
        <w:rPr>
          <w:sz w:val="20"/>
          <w:szCs w:val="20"/>
        </w:rPr>
        <w:t xml:space="preserve">To a lesser </w:t>
      </w:r>
      <w:r>
        <w:rPr>
          <w:sz w:val="20"/>
          <w:szCs w:val="20"/>
        </w:rPr>
        <w:t>extent, we have interests in existing commercial properties (described in Item 2, “Properties”), containing commercial and industrial rental space, primarily through our investment in PSB</w:t>
      </w:r>
      <w:r>
        <w:rPr>
          <w:sz w:val="20"/>
          <w:szCs w:val="20"/>
        </w:rPr>
        <w:t>.</w:t>
      </w:r>
    </w:p>
    <w:p w:rsidR="00000000" w:rsidRDefault="00865332">
      <w:pPr>
        <w:pStyle w:val="a3"/>
        <w:spacing w:before="0" w:beforeAutospacing="0" w:after="0" w:afterAutospacing="0" w:line="259" w:lineRule="auto"/>
        <w:jc w:val="both"/>
        <w:divId w:val="1144935358"/>
        <w:rPr>
          <w:sz w:val="20"/>
          <w:szCs w:val="20"/>
        </w:rPr>
      </w:pPr>
      <w:r>
        <w:rPr>
          <w:b/>
          <w:bCs/>
          <w:sz w:val="20"/>
          <w:szCs w:val="20"/>
          <w:u w:val="single"/>
        </w:rPr>
        <w:t>Facilities Owned by Unconsolidated Real Estate Entitie</w:t>
      </w:r>
      <w:r>
        <w:rPr>
          <w:b/>
          <w:bCs/>
          <w:sz w:val="20"/>
          <w:szCs w:val="20"/>
          <w:u w:val="single"/>
        </w:rPr>
        <w:t>s</w:t>
      </w:r>
    </w:p>
    <w:p w:rsidR="00000000" w:rsidRDefault="00865332">
      <w:pPr>
        <w:pStyle w:val="a3"/>
        <w:spacing w:before="0" w:beforeAutospacing="0" w:after="0" w:afterAutospacing="0" w:line="259" w:lineRule="auto"/>
        <w:ind w:firstLine="720"/>
        <w:jc w:val="both"/>
        <w:divId w:val="1144935358"/>
        <w:rPr>
          <w:sz w:val="20"/>
          <w:szCs w:val="20"/>
        </w:rPr>
      </w:pPr>
      <w:r>
        <w:rPr>
          <w:sz w:val="20"/>
          <w:szCs w:val="20"/>
        </w:rPr>
        <w:t>At December</w:t>
      </w:r>
      <w:r>
        <w:rPr>
          <w:sz w:val="20"/>
          <w:szCs w:val="20"/>
        </w:rPr>
        <w:t xml:space="preserve"> 31, 2019, we had ownership interests in PSB and Shurgard (each discussed above), which we do not control or consolidate.</w:t>
      </w:r>
      <w:r>
        <w:rPr>
          <w:sz w:val="20"/>
          <w:szCs w:val="20"/>
        </w:rPr>
        <w:t xml:space="preserve"> </w:t>
      </w:r>
    </w:p>
    <w:p w:rsidR="00000000" w:rsidRDefault="00865332">
      <w:pPr>
        <w:pStyle w:val="a3"/>
        <w:spacing w:before="0" w:beforeAutospacing="0" w:after="0" w:afterAutospacing="0" w:line="259" w:lineRule="auto"/>
        <w:ind w:firstLine="720"/>
        <w:jc w:val="both"/>
        <w:divId w:val="1144935358"/>
        <w:rPr>
          <w:sz w:val="20"/>
          <w:szCs w:val="20"/>
        </w:rPr>
      </w:pPr>
      <w:r>
        <w:rPr>
          <w:sz w:val="20"/>
          <w:szCs w:val="20"/>
        </w:rPr>
        <w:t>PSB and Shurgard’s debt has no recourse to us. See Note 4 to our December 31, 2019 financial statements for further disclosure regard</w:t>
      </w:r>
      <w:r>
        <w:rPr>
          <w:sz w:val="20"/>
          <w:szCs w:val="20"/>
        </w:rPr>
        <w:t>ing our investments in PSB and Shurgard. In addition, PSB’s public filings are available at its website, www.psbusinessparks.com and on the SEC website, and Shurgard’s public filings and publicly reported information can be obtained on its website, https:/</w:t>
      </w:r>
      <w:r>
        <w:rPr>
          <w:sz w:val="20"/>
          <w:szCs w:val="20"/>
        </w:rPr>
        <w:t>/corporate.shurgard.eu and on the website of the Luxembourg Stock Exchange, http://www.bourse.lu</w:t>
      </w:r>
      <w:r>
        <w:rPr>
          <w:sz w:val="20"/>
          <w:szCs w:val="20"/>
        </w:rPr>
        <w:t>.</w:t>
      </w:r>
    </w:p>
    <w:p w:rsidR="00000000" w:rsidRDefault="00865332">
      <w:pPr>
        <w:pStyle w:val="a3"/>
        <w:spacing w:before="0" w:beforeAutospacing="0" w:after="0" w:afterAutospacing="0" w:line="259" w:lineRule="auto"/>
        <w:jc w:val="both"/>
        <w:divId w:val="1144935358"/>
        <w:rPr>
          <w:sz w:val="20"/>
          <w:szCs w:val="20"/>
        </w:rPr>
      </w:pPr>
      <w:r>
        <w:rPr>
          <w:b/>
          <w:bCs/>
          <w:sz w:val="20"/>
          <w:szCs w:val="20"/>
          <w:u w:val="single"/>
        </w:rPr>
        <w:t>Canadian self-storage facilities owned by Tamara Hughes Gustavson</w:t>
      </w:r>
      <w:r>
        <w:rPr>
          <w:b/>
          <w:bCs/>
          <w:sz w:val="20"/>
          <w:szCs w:val="20"/>
          <w:u w:val="single"/>
        </w:rPr>
        <w:t xml:space="preserve"> </w:t>
      </w:r>
    </w:p>
    <w:p w:rsidR="00000000" w:rsidRDefault="00865332">
      <w:pPr>
        <w:pStyle w:val="a3"/>
        <w:spacing w:before="0" w:beforeAutospacing="0" w:after="0" w:afterAutospacing="0" w:line="259" w:lineRule="auto"/>
        <w:ind w:firstLine="720"/>
        <w:jc w:val="both"/>
        <w:divId w:val="1144935358"/>
        <w:rPr>
          <w:sz w:val="20"/>
          <w:szCs w:val="20"/>
        </w:rPr>
      </w:pPr>
      <w:r>
        <w:rPr>
          <w:sz w:val="20"/>
          <w:szCs w:val="20"/>
        </w:rPr>
        <w:t>At December 31, 2019, Tamara Hughes Gustavson, a member of our Board of Trustees, owned and</w:t>
      </w:r>
      <w:r>
        <w:rPr>
          <w:sz w:val="20"/>
          <w:szCs w:val="20"/>
        </w:rPr>
        <w:t xml:space="preserve"> controlled</w:t>
      </w:r>
      <w:r>
        <w:rPr>
          <w:sz w:val="20"/>
          <w:szCs w:val="20"/>
        </w:rPr>
        <w:t xml:space="preserve"> </w:t>
      </w:r>
      <w:r>
        <w:rPr>
          <w:sz w:val="20"/>
          <w:szCs w:val="20"/>
        </w:rPr>
        <w:t>6</w:t>
      </w:r>
      <w:r>
        <w:rPr>
          <w:sz w:val="20"/>
          <w:szCs w:val="20"/>
        </w:rPr>
        <w:t>3</w:t>
      </w:r>
      <w:r>
        <w:rPr>
          <w:sz w:val="20"/>
          <w:szCs w:val="20"/>
        </w:rPr>
        <w:t xml:space="preserve"> self-storage facilities in Canada.  These facilities operate under the “Public Storage” tradename, which we license to the owners of these facilities for use in Canada on a royalty-free, non-exclusive basis. We have no ownership interest in </w:t>
      </w:r>
      <w:r>
        <w:rPr>
          <w:sz w:val="20"/>
          <w:szCs w:val="20"/>
        </w:rPr>
        <w:t>these facilities and we do not own or operate any facilities in Canada.  If we chose to acquire or develop our own facilities in Canada, we would have to share the use of the “Public Storage” name in Canada. We have a</w:t>
      </w:r>
      <w:r>
        <w:rPr>
          <w:sz w:val="20"/>
          <w:szCs w:val="20"/>
        </w:rPr>
        <w:t xml:space="preserve"> </w:t>
      </w:r>
    </w:p>
    <w:p w:rsidR="00000000" w:rsidRDefault="00865332">
      <w:pPr>
        <w:pStyle w:val="a3"/>
        <w:spacing w:before="0" w:beforeAutospacing="0" w:after="0" w:afterAutospacing="0" w:line="259" w:lineRule="auto"/>
        <w:jc w:val="center"/>
        <w:divId w:val="1144739729"/>
        <w:rPr>
          <w:sz w:val="20"/>
          <w:szCs w:val="20"/>
        </w:rPr>
      </w:pPr>
      <w:r>
        <w:rPr>
          <w:rStyle w:val="ctheaderfooterpage"/>
          <w:sz w:val="20"/>
          <w:szCs w:val="20"/>
        </w:rPr>
        <w:t>1</w:t>
      </w:r>
      <w:r>
        <w:rPr>
          <w:rStyle w:val="ctheaderfooterpage"/>
          <w:sz w:val="20"/>
          <w:szCs w:val="20"/>
        </w:rPr>
        <w:t>1</w:t>
      </w:r>
    </w:p>
    <w:p w:rsidR="00000000" w:rsidRDefault="00865332">
      <w:pPr>
        <w:spacing w:before="360" w:after="360"/>
        <w:divId w:val="175928948"/>
        <w:rPr>
          <w:rFonts w:eastAsia="Times New Roman"/>
        </w:rPr>
      </w:pPr>
      <w:r>
        <w:rPr>
          <w:rFonts w:eastAsia="Times New Roman"/>
        </w:rPr>
        <w:pict>
          <v:rect id="_x0000_i1035" style="width:0;height:1.5pt" o:hralign="center" o:hrstd="t" o:hr="t" fillcolor="#a0a0a0" stroked="f"/>
        </w:pict>
      </w:r>
    </w:p>
    <w:p w:rsidR="00000000" w:rsidRDefault="00865332">
      <w:pPr>
        <w:pStyle w:val="a3"/>
        <w:spacing w:before="0" w:beforeAutospacing="0" w:after="0" w:afterAutospacing="0" w:line="259" w:lineRule="auto"/>
        <w:jc w:val="both"/>
        <w:divId w:val="1860699586"/>
        <w:rPr>
          <w:sz w:val="20"/>
          <w:szCs w:val="20"/>
        </w:rPr>
      </w:pPr>
      <w:r>
        <w:rPr>
          <w:sz w:val="20"/>
          <w:szCs w:val="20"/>
        </w:rPr>
        <w:t>right of first refusal, subject to limitations, to acquire the stock or assets of the corporation engaged in the operation of these facilities if their owners agree to sell them. Our subsidiaries reinsure risks relating to loss of goods stored by custome</w:t>
      </w:r>
      <w:r>
        <w:rPr>
          <w:sz w:val="20"/>
          <w:szCs w:val="20"/>
        </w:rPr>
        <w:t xml:space="preserve">rs in these facilities, and have received approximately $1.5 million, </w:t>
      </w:r>
      <w:r>
        <w:rPr>
          <w:sz w:val="20"/>
          <w:szCs w:val="20"/>
        </w:rPr>
        <w:t>$</w:t>
      </w:r>
      <w:r>
        <w:rPr>
          <w:sz w:val="20"/>
          <w:szCs w:val="20"/>
        </w:rPr>
        <w:t>1.3 millio</w:t>
      </w:r>
      <w:r>
        <w:rPr>
          <w:sz w:val="20"/>
          <w:szCs w:val="20"/>
        </w:rPr>
        <w:t>n</w:t>
      </w:r>
      <w:r>
        <w:rPr>
          <w:sz w:val="20"/>
          <w:szCs w:val="20"/>
        </w:rPr>
        <w:t xml:space="preserve"> and </w:t>
      </w:r>
      <w:r>
        <w:rPr>
          <w:sz w:val="20"/>
          <w:szCs w:val="20"/>
        </w:rPr>
        <w:t>$</w:t>
      </w:r>
      <w:r>
        <w:rPr>
          <w:sz w:val="20"/>
          <w:szCs w:val="20"/>
        </w:rPr>
        <w:t>1.1 millio</w:t>
      </w:r>
      <w:r>
        <w:rPr>
          <w:sz w:val="20"/>
          <w:szCs w:val="20"/>
        </w:rPr>
        <w:t>n</w:t>
      </w:r>
      <w:r>
        <w:rPr>
          <w:sz w:val="20"/>
          <w:szCs w:val="20"/>
        </w:rPr>
        <w:t xml:space="preserve"> for the years ended December 31, 2019, 2018 and 2017, respectively. Our right to continue receiving these premiums may be qualified.  </w:t>
      </w:r>
      <w:r>
        <w:rPr>
          <w:sz w:val="20"/>
          <w:szCs w:val="20"/>
        </w:rPr>
        <w:t xml:space="preserve"> </w:t>
      </w:r>
    </w:p>
    <w:p w:rsidR="00000000" w:rsidRDefault="00865332">
      <w:pPr>
        <w:pStyle w:val="a3"/>
        <w:spacing w:before="0" w:beforeAutospacing="0" w:after="0" w:afterAutospacing="0" w:line="259" w:lineRule="auto"/>
        <w:jc w:val="both"/>
        <w:divId w:val="1860699586"/>
        <w:rPr>
          <w:sz w:val="20"/>
          <w:szCs w:val="20"/>
        </w:rPr>
      </w:pPr>
      <w:r>
        <w:rPr>
          <w:b/>
          <w:bCs/>
          <w:sz w:val="20"/>
          <w:szCs w:val="20"/>
          <w:u w:val="single"/>
        </w:rPr>
        <w:t>Limitations on Debt</w:t>
      </w:r>
      <w:r>
        <w:rPr>
          <w:b/>
          <w:bCs/>
          <w:sz w:val="20"/>
          <w:szCs w:val="20"/>
          <w:u w:val="single"/>
        </w:rPr>
        <w:t xml:space="preserve"> </w:t>
      </w:r>
    </w:p>
    <w:p w:rsidR="00000000" w:rsidRDefault="00865332">
      <w:pPr>
        <w:pStyle w:val="a3"/>
        <w:spacing w:before="0" w:beforeAutospacing="0" w:after="0" w:afterAutospacing="0" w:line="259" w:lineRule="auto"/>
        <w:ind w:firstLine="720"/>
        <w:jc w:val="both"/>
        <w:divId w:val="1860699586"/>
        <w:rPr>
          <w:sz w:val="20"/>
          <w:szCs w:val="20"/>
        </w:rPr>
      </w:pPr>
      <w:r>
        <w:rPr>
          <w:sz w:val="20"/>
          <w:szCs w:val="20"/>
        </w:rPr>
        <w:t>Our revolving credit facility, U.S. Dollar Notes and Euro Notes contain various customary financial covenants, including limitations on our ability to encumber our properties with mortgages and limitations on the level of indebtedness. We believe we compl</w:t>
      </w:r>
      <w:r>
        <w:rPr>
          <w:sz w:val="20"/>
          <w:szCs w:val="20"/>
        </w:rPr>
        <w:t>ied with each of these covenants as of December 31, 2019</w:t>
      </w:r>
      <w:r>
        <w:rPr>
          <w:sz w:val="20"/>
          <w:szCs w:val="20"/>
        </w:rPr>
        <w:t>.</w:t>
      </w:r>
    </w:p>
    <w:p w:rsidR="00000000" w:rsidRDefault="00865332">
      <w:pPr>
        <w:pStyle w:val="a3"/>
        <w:spacing w:before="0" w:beforeAutospacing="0" w:after="0" w:afterAutospacing="0" w:line="276" w:lineRule="auto"/>
        <w:divId w:val="1860699586"/>
        <w:rPr>
          <w:sz w:val="20"/>
          <w:szCs w:val="20"/>
        </w:rPr>
      </w:pPr>
      <w:r>
        <w:rPr>
          <w:b/>
          <w:bCs/>
          <w:sz w:val="20"/>
          <w:szCs w:val="20"/>
          <w:u w:val="single"/>
        </w:rPr>
        <w:t>Employee</w:t>
      </w:r>
      <w:r>
        <w:rPr>
          <w:b/>
          <w:bCs/>
          <w:sz w:val="20"/>
          <w:szCs w:val="20"/>
          <w:u w:val="single"/>
        </w:rPr>
        <w:t>s</w:t>
      </w:r>
    </w:p>
    <w:p w:rsidR="00000000" w:rsidRDefault="00865332">
      <w:pPr>
        <w:pStyle w:val="a3"/>
        <w:spacing w:before="0" w:beforeAutospacing="0" w:after="0" w:afterAutospacing="0" w:line="259" w:lineRule="auto"/>
        <w:ind w:firstLine="720"/>
        <w:jc w:val="both"/>
        <w:divId w:val="1860699586"/>
        <w:rPr>
          <w:sz w:val="20"/>
          <w:szCs w:val="20"/>
        </w:rPr>
      </w:pPr>
      <w:r>
        <w:rPr>
          <w:sz w:val="20"/>
          <w:szCs w:val="20"/>
        </w:rPr>
        <w:t>We had approximately 5,900 employees in the U.S. at December 31, 2019 who are engaged primarily in property operations.</w:t>
      </w:r>
      <w:r>
        <w:rPr>
          <w:sz w:val="20"/>
          <w:szCs w:val="20"/>
        </w:rPr>
        <w:t xml:space="preserve"> </w:t>
      </w:r>
    </w:p>
    <w:p w:rsidR="00000000" w:rsidRDefault="00865332">
      <w:pPr>
        <w:pStyle w:val="a3"/>
        <w:spacing w:before="0" w:beforeAutospacing="0" w:after="0" w:afterAutospacing="0" w:line="259" w:lineRule="auto"/>
        <w:jc w:val="both"/>
        <w:divId w:val="1860699586"/>
        <w:rPr>
          <w:sz w:val="20"/>
          <w:szCs w:val="20"/>
        </w:rPr>
      </w:pPr>
      <w:r>
        <w:rPr>
          <w:b/>
          <w:bCs/>
          <w:sz w:val="20"/>
          <w:szCs w:val="20"/>
          <w:u w:val="single"/>
        </w:rPr>
        <w:t>Seasonalit</w:t>
      </w:r>
      <w:r>
        <w:rPr>
          <w:b/>
          <w:bCs/>
          <w:sz w:val="20"/>
          <w:szCs w:val="20"/>
          <w:u w:val="single"/>
        </w:rPr>
        <w:t>y</w:t>
      </w:r>
    </w:p>
    <w:p w:rsidR="00000000" w:rsidRDefault="00865332">
      <w:pPr>
        <w:pStyle w:val="a3"/>
        <w:spacing w:before="0" w:beforeAutospacing="0" w:after="0" w:afterAutospacing="0" w:line="259" w:lineRule="auto"/>
        <w:ind w:firstLine="720"/>
        <w:jc w:val="both"/>
        <w:divId w:val="1860699586"/>
        <w:rPr>
          <w:sz w:val="20"/>
          <w:szCs w:val="20"/>
        </w:rPr>
      </w:pPr>
      <w:r>
        <w:rPr>
          <w:sz w:val="20"/>
          <w:szCs w:val="20"/>
        </w:rPr>
        <w:t>We experience minor seasonal fluctuations in the demand for self-storage space, with demand and rental rates generally higher in the summer months than in the winter months. We believe that these fluctuations result in part from increased moving activity d</w:t>
      </w:r>
      <w:r>
        <w:rPr>
          <w:sz w:val="20"/>
          <w:szCs w:val="20"/>
        </w:rPr>
        <w:t>uring the summer months</w:t>
      </w:r>
      <w:r>
        <w:rPr>
          <w:sz w:val="20"/>
          <w:szCs w:val="20"/>
        </w:rPr>
        <w:t>.</w:t>
      </w:r>
    </w:p>
    <w:p w:rsidR="00000000" w:rsidRDefault="00865332">
      <w:pPr>
        <w:pStyle w:val="a3"/>
        <w:spacing w:before="0" w:beforeAutospacing="0" w:after="0" w:afterAutospacing="0" w:line="259" w:lineRule="auto"/>
        <w:jc w:val="both"/>
        <w:divId w:val="1860699586"/>
        <w:rPr>
          <w:sz w:val="20"/>
          <w:szCs w:val="20"/>
        </w:rPr>
      </w:pPr>
      <w:r>
        <w:rPr>
          <w:b/>
          <w:bCs/>
          <w:sz w:val="20"/>
          <w:szCs w:val="20"/>
          <w:u w:val="single"/>
        </w:rPr>
        <w:t>Insuranc</w:t>
      </w:r>
      <w:r>
        <w:rPr>
          <w:b/>
          <w:bCs/>
          <w:sz w:val="20"/>
          <w:szCs w:val="20"/>
          <w:u w:val="single"/>
        </w:rPr>
        <w:t>e</w:t>
      </w:r>
    </w:p>
    <w:p w:rsidR="00000000" w:rsidRDefault="00865332">
      <w:pPr>
        <w:pStyle w:val="a3"/>
        <w:spacing w:before="0" w:beforeAutospacing="0" w:after="0" w:afterAutospacing="0" w:line="259" w:lineRule="auto"/>
        <w:ind w:firstLine="720"/>
        <w:jc w:val="both"/>
        <w:divId w:val="1860699586"/>
        <w:rPr>
          <w:sz w:val="20"/>
          <w:szCs w:val="20"/>
        </w:rPr>
      </w:pPr>
      <w:r>
        <w:rPr>
          <w:sz w:val="20"/>
          <w:szCs w:val="20"/>
        </w:rPr>
        <w:t>We carry property, earthquake, general liability, employee medical insurance and workers compensation coverage through internationally recognized insurance carriers, subject to deductibles. Our deductible for general liab</w:t>
      </w:r>
      <w:r>
        <w:rPr>
          <w:sz w:val="20"/>
          <w:szCs w:val="20"/>
        </w:rPr>
        <w:t>ility is $2.0 million per occurrence. Our annual deductible for property loss is $25.0 million per occurrence. This deductible decreases to $5.0 million once we reach $35.0 million in aggregate losses for occurrences that exceed</w:t>
      </w:r>
      <w:r>
        <w:rPr>
          <w:sz w:val="20"/>
          <w:szCs w:val="20"/>
        </w:rPr>
        <w:t xml:space="preserve"> </w:t>
      </w:r>
      <w:r>
        <w:rPr>
          <w:sz w:val="20"/>
          <w:szCs w:val="20"/>
        </w:rPr>
        <w:t>$5.0 million.</w:t>
      </w:r>
      <w:r>
        <w:rPr>
          <w:sz w:val="20"/>
          <w:szCs w:val="20"/>
        </w:rPr>
        <w:t xml:space="preserve"> </w:t>
      </w:r>
      <w:r>
        <w:rPr>
          <w:sz w:val="20"/>
          <w:szCs w:val="20"/>
        </w:rPr>
        <w:t>Insurance car</w:t>
      </w:r>
      <w:r>
        <w:rPr>
          <w:sz w:val="20"/>
          <w:szCs w:val="20"/>
        </w:rPr>
        <w:t>riers’ aggregate limits on these policies of $75.0 million for property losses and $102.0 million for general liability losses are higher than estimates of maximum probable losses that could occur from individual catastrophic events determined in recent en</w:t>
      </w:r>
      <w:r>
        <w:rPr>
          <w:sz w:val="20"/>
          <w:szCs w:val="20"/>
        </w:rPr>
        <w:t>gineering and actuarial studies; however, in case of multiple catastrophic events, these limits could be exceeded</w:t>
      </w:r>
      <w:r>
        <w:rPr>
          <w:sz w:val="20"/>
          <w:szCs w:val="20"/>
        </w:rPr>
        <w:t>.</w:t>
      </w:r>
    </w:p>
    <w:p w:rsidR="00000000" w:rsidRDefault="00865332">
      <w:pPr>
        <w:pStyle w:val="a3"/>
        <w:spacing w:before="0" w:beforeAutospacing="0" w:after="0" w:afterAutospacing="0" w:line="259" w:lineRule="auto"/>
        <w:ind w:firstLine="720"/>
        <w:jc w:val="both"/>
        <w:divId w:val="1860699586"/>
        <w:rPr>
          <w:sz w:val="20"/>
          <w:szCs w:val="20"/>
        </w:rPr>
      </w:pPr>
      <w:r>
        <w:rPr>
          <w:sz w:val="20"/>
          <w:szCs w:val="20"/>
        </w:rPr>
        <w:t>We reinsure a program that provides insurance to our customers from an independent third-party insurer. This program covers customer claims f</w:t>
      </w:r>
      <w:r>
        <w:rPr>
          <w:sz w:val="20"/>
          <w:szCs w:val="20"/>
        </w:rPr>
        <w:t>or losses to goods stored at our facilities as a result of specific named perils (earthquakes are not covered by this program), up to a maximum limit of $5,000 per storage unit. We reinsure all risks in this program, but purchase insurance to cover this ex</w:t>
      </w:r>
      <w:r>
        <w:rPr>
          <w:sz w:val="20"/>
          <w:szCs w:val="20"/>
        </w:rPr>
        <w:t>posure for a limit of $15.0 million for losses in excess of $5.0 million per occurrence. We are subject to licensing requirements and regulations in several states. Customers participate in the program at their option. At December 31, 2019, there were appr</w:t>
      </w:r>
      <w:r>
        <w:rPr>
          <w:sz w:val="20"/>
          <w:szCs w:val="20"/>
        </w:rPr>
        <w:t>oximately 935,000 certificates held by our self-storage customers, representing aggregate coverage of approximately $3</w:t>
      </w:r>
      <w:r>
        <w:rPr>
          <w:sz w:val="20"/>
          <w:szCs w:val="20"/>
        </w:rPr>
        <w:t>.</w:t>
      </w:r>
      <w:r>
        <w:rPr>
          <w:sz w:val="20"/>
          <w:szCs w:val="20"/>
        </w:rPr>
        <w:t>2</w:t>
      </w:r>
      <w:r>
        <w:rPr>
          <w:sz w:val="20"/>
          <w:szCs w:val="20"/>
        </w:rPr>
        <w:t> billion</w:t>
      </w:r>
      <w:r>
        <w:rPr>
          <w:sz w:val="20"/>
          <w:szCs w:val="20"/>
        </w:rPr>
        <w:t>.</w:t>
      </w:r>
    </w:p>
    <w:p w:rsidR="00000000" w:rsidRDefault="00865332">
      <w:pPr>
        <w:pStyle w:val="a3"/>
        <w:spacing w:before="0" w:beforeAutospacing="0" w:after="0" w:afterAutospacing="0" w:line="259" w:lineRule="auto"/>
        <w:divId w:val="1860699586"/>
        <w:rPr>
          <w:sz w:val="20"/>
          <w:szCs w:val="20"/>
        </w:rPr>
      </w:pPr>
      <w:r>
        <w:rPr>
          <w:b/>
          <w:bCs/>
          <w:sz w:val="20"/>
          <w:szCs w:val="20"/>
        </w:rPr>
        <w:t>ITEM 1A.</w:t>
      </w:r>
      <w:r>
        <w:rPr>
          <w:b/>
          <w:bCs/>
          <w:sz w:val="20"/>
          <w:szCs w:val="20"/>
        </w:rPr>
        <w:t xml:space="preserve"> </w:t>
      </w:r>
      <w:r>
        <w:rPr>
          <w:b/>
          <w:bCs/>
          <w:sz w:val="20"/>
          <w:szCs w:val="20"/>
          <w:u w:val="single"/>
        </w:rPr>
        <w:t>Risk Factor</w:t>
      </w:r>
      <w:r>
        <w:rPr>
          <w:b/>
          <w:bCs/>
          <w:sz w:val="20"/>
          <w:szCs w:val="20"/>
          <w:u w:val="single"/>
        </w:rPr>
        <w:t>s</w:t>
      </w:r>
    </w:p>
    <w:p w:rsidR="00000000" w:rsidRDefault="00865332">
      <w:pPr>
        <w:pStyle w:val="a3"/>
        <w:spacing w:before="0" w:beforeAutospacing="0" w:after="0" w:afterAutospacing="0" w:line="259" w:lineRule="auto"/>
        <w:ind w:firstLine="720"/>
        <w:jc w:val="both"/>
        <w:divId w:val="1860699586"/>
        <w:rPr>
          <w:sz w:val="20"/>
          <w:szCs w:val="20"/>
        </w:rPr>
      </w:pPr>
      <w:r>
        <w:rPr>
          <w:sz w:val="20"/>
          <w:szCs w:val="20"/>
        </w:rPr>
        <w:t>In addition to the other information in our Annual Report on Form 10-K, you should consider the risks de</w:t>
      </w:r>
      <w:r>
        <w:rPr>
          <w:sz w:val="20"/>
          <w:szCs w:val="20"/>
        </w:rPr>
        <w:t>scribed below that we believe may be material to investors in evaluating the Company. This section contains forward-looking statements, and in considering these statements, you should refer to the qualifications and limitations on our forward-looking state</w:t>
      </w:r>
      <w:r>
        <w:rPr>
          <w:sz w:val="20"/>
          <w:szCs w:val="20"/>
        </w:rPr>
        <w:t>ments that are described in Item 1, “Business.</w:t>
      </w:r>
      <w:r>
        <w:rPr>
          <w:sz w:val="20"/>
          <w:szCs w:val="20"/>
        </w:rPr>
        <w:t>”</w:t>
      </w:r>
    </w:p>
    <w:p w:rsidR="00000000" w:rsidRDefault="00865332">
      <w:pPr>
        <w:pStyle w:val="a3"/>
        <w:spacing w:before="0" w:beforeAutospacing="0" w:after="0" w:afterAutospacing="0" w:line="259" w:lineRule="auto"/>
        <w:jc w:val="both"/>
        <w:divId w:val="1860699586"/>
        <w:rPr>
          <w:sz w:val="20"/>
          <w:szCs w:val="20"/>
        </w:rPr>
      </w:pPr>
      <w:r>
        <w:rPr>
          <w:b/>
          <w:bCs/>
          <w:sz w:val="20"/>
          <w:szCs w:val="20"/>
        </w:rPr>
        <w:t>We have significant exposure to real estate risk.</w:t>
      </w:r>
      <w:r>
        <w:rPr>
          <w:b/>
          <w:bCs/>
          <w:sz w:val="20"/>
          <w:szCs w:val="20"/>
        </w:rPr>
        <w:t xml:space="preserve"> </w:t>
      </w:r>
    </w:p>
    <w:p w:rsidR="00000000" w:rsidRDefault="00865332">
      <w:pPr>
        <w:pStyle w:val="a3"/>
        <w:spacing w:before="0" w:beforeAutospacing="0" w:after="0" w:afterAutospacing="0" w:line="259" w:lineRule="auto"/>
        <w:ind w:firstLine="720"/>
        <w:jc w:val="both"/>
        <w:divId w:val="1860699586"/>
        <w:rPr>
          <w:sz w:val="20"/>
          <w:szCs w:val="20"/>
        </w:rPr>
      </w:pPr>
      <w:r>
        <w:rPr>
          <w:sz w:val="20"/>
          <w:szCs w:val="20"/>
        </w:rPr>
        <w:t xml:space="preserve">Since our business consists primarily of acquiring, developing, and operating real estate, we are subject to risks related to the ownership and operation of </w:t>
      </w:r>
      <w:r>
        <w:rPr>
          <w:sz w:val="20"/>
          <w:szCs w:val="20"/>
        </w:rPr>
        <w:t>real estate that</w:t>
      </w:r>
      <w:r>
        <w:rPr>
          <w:sz w:val="20"/>
          <w:szCs w:val="20"/>
        </w:rPr>
        <w:t xml:space="preserve"> </w:t>
      </w:r>
      <w:r>
        <w:rPr>
          <w:sz w:val="20"/>
          <w:szCs w:val="20"/>
        </w:rPr>
        <w:t>could result in reduced revenues, increased expenses, increased capital expenditures, or increased borrowings, which could negatively impact our operating results, cash flow available for distribution or reinvestment, and our stock pric</w:t>
      </w:r>
      <w:r>
        <w:rPr>
          <w:sz w:val="20"/>
          <w:szCs w:val="20"/>
        </w:rPr>
        <w:t>e</w:t>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2017227595"/>
        <w:rPr>
          <w:sz w:val="20"/>
          <w:szCs w:val="20"/>
        </w:rPr>
      </w:pPr>
      <w:r>
        <w:rPr>
          <w:rStyle w:val="ctheaderfooterpage"/>
          <w:sz w:val="20"/>
          <w:szCs w:val="20"/>
        </w:rPr>
        <w:t>1</w:t>
      </w:r>
      <w:r>
        <w:rPr>
          <w:rStyle w:val="ctheaderfooterpage"/>
          <w:sz w:val="20"/>
          <w:szCs w:val="20"/>
        </w:rPr>
        <w:t>2</w:t>
      </w:r>
    </w:p>
    <w:p w:rsidR="00000000" w:rsidRDefault="00865332">
      <w:pPr>
        <w:spacing w:before="360" w:after="360"/>
        <w:divId w:val="976690868"/>
        <w:rPr>
          <w:rFonts w:eastAsia="Times New Roman"/>
        </w:rPr>
      </w:pPr>
      <w:r>
        <w:rPr>
          <w:rFonts w:eastAsia="Times New Roman"/>
        </w:rPr>
        <w:pict>
          <v:rect id="_x0000_i1036" style="width:0;height:1.5pt" o:hralign="center" o:hrstd="t" o:hr="t" fillcolor="#a0a0a0" stroked="f"/>
        </w:pict>
      </w:r>
    </w:p>
    <w:p w:rsidR="00000000" w:rsidRDefault="00865332">
      <w:pPr>
        <w:pStyle w:val="a3"/>
        <w:spacing w:before="0" w:beforeAutospacing="0" w:after="0" w:afterAutospacing="0" w:line="259" w:lineRule="auto"/>
        <w:ind w:firstLine="720"/>
        <w:jc w:val="both"/>
        <w:divId w:val="1703245640"/>
        <w:rPr>
          <w:sz w:val="20"/>
          <w:szCs w:val="20"/>
        </w:rPr>
      </w:pPr>
      <w:r>
        <w:rPr>
          <w:i/>
          <w:iCs/>
          <w:sz w:val="20"/>
          <w:szCs w:val="20"/>
        </w:rPr>
        <w:t>Natural disasters or terrorist attacks could cause damage to our facilities, resulting in increased costs and reduced revenues.</w:t>
      </w:r>
      <w:r>
        <w:rPr>
          <w:i/>
          <w:iCs/>
          <w:sz w:val="20"/>
          <w:szCs w:val="20"/>
        </w:rPr>
        <w:t xml:space="preserve"> </w:t>
      </w:r>
      <w:r>
        <w:rPr>
          <w:sz w:val="20"/>
          <w:szCs w:val="20"/>
        </w:rPr>
        <w:t>Natural disasters, such as earthquakes, fires, hurricanes and floods, or terrorist attacks c</w:t>
      </w:r>
      <w:r>
        <w:rPr>
          <w:sz w:val="20"/>
          <w:szCs w:val="20"/>
        </w:rPr>
        <w:t>ould cause significant damage to our facilities and require significant repair costs, and make facilities temporarily uninhabitable, thereby reducing our revenues. Damage and business interruption losses could exceed the aggregate limits of our insurance c</w:t>
      </w:r>
      <w:r>
        <w:rPr>
          <w:sz w:val="20"/>
          <w:szCs w:val="20"/>
        </w:rPr>
        <w:t>overage. In addition, because we self-insure a portion of our risks, losses below a certain level may not be covered by insurance. See Note 13 to our December 31, 2019 financial statements for a description of the risks of losses that are not covered by th</w:t>
      </w:r>
      <w:r>
        <w:rPr>
          <w:sz w:val="20"/>
          <w:szCs w:val="20"/>
        </w:rPr>
        <w:t>ird-party insurance contracts. We</w:t>
      </w:r>
      <w:r>
        <w:rPr>
          <w:sz w:val="20"/>
          <w:szCs w:val="20"/>
        </w:rPr>
        <w:t xml:space="preserve"> </w:t>
      </w:r>
      <w:r>
        <w:rPr>
          <w:color w:val="000000"/>
          <w:sz w:val="20"/>
          <w:szCs w:val="20"/>
        </w:rPr>
        <w:t>may not have sufficient insurance coverage for losses caused by a terrorist attack, or such insurance may not be maintained, available or cost-effective. In addition, significant natural disasters, terrorist attacks, threa</w:t>
      </w:r>
      <w:r>
        <w:rPr>
          <w:color w:val="000000"/>
          <w:sz w:val="20"/>
          <w:szCs w:val="20"/>
        </w:rPr>
        <w:t>ts of future terrorist attacks, or resulting wider armed conflicts could have negative impacts on self-storage demand and/or our revenues.</w:t>
      </w:r>
      <w:r>
        <w:rPr>
          <w:color w:val="000000"/>
          <w:sz w:val="20"/>
          <w:szCs w:val="20"/>
        </w:rPr>
        <w:t xml:space="preserve"> </w:t>
      </w:r>
    </w:p>
    <w:p w:rsidR="00000000" w:rsidRDefault="00865332">
      <w:pPr>
        <w:pStyle w:val="a3"/>
        <w:spacing w:before="0" w:beforeAutospacing="0" w:after="0" w:afterAutospacing="0" w:line="259" w:lineRule="auto"/>
        <w:ind w:firstLine="720"/>
        <w:jc w:val="both"/>
        <w:divId w:val="1703245640"/>
        <w:rPr>
          <w:sz w:val="20"/>
          <w:szCs w:val="20"/>
        </w:rPr>
      </w:pPr>
      <w:r>
        <w:rPr>
          <w:i/>
          <w:iCs/>
          <w:color w:val="000000"/>
          <w:sz w:val="20"/>
          <w:szCs w:val="20"/>
        </w:rPr>
        <w:t>Consequences of climate change, including severe weather events, and the steps taken to prevent climate change, coul</w:t>
      </w:r>
      <w:r>
        <w:rPr>
          <w:i/>
          <w:iCs/>
          <w:color w:val="000000"/>
          <w:sz w:val="20"/>
          <w:szCs w:val="20"/>
        </w:rPr>
        <w:t>d result in increased capital expenditures, increased expenses, and reduced revenues:</w:t>
      </w:r>
      <w:r>
        <w:rPr>
          <w:i/>
          <w:iCs/>
          <w:color w:val="000000"/>
          <w:sz w:val="20"/>
          <w:szCs w:val="20"/>
        </w:rPr>
        <w:t xml:space="preserve"> </w:t>
      </w:r>
      <w:r>
        <w:rPr>
          <w:color w:val="000000"/>
          <w:sz w:val="20"/>
          <w:szCs w:val="20"/>
        </w:rPr>
        <w:t xml:space="preserve">Direct and indirect impacts of climate change, such as increased destructive weather events, fires, reduced lifespans and population reduction, reduced natural habitats, </w:t>
      </w:r>
      <w:r>
        <w:rPr>
          <w:color w:val="000000"/>
          <w:sz w:val="20"/>
          <w:szCs w:val="20"/>
        </w:rPr>
        <w:t xml:space="preserve">water, food, arable land, and other resources, as well as resulting armed conflicts, could increase our costs or reduce demand for our self-storage facilities. Governmental, political, and societal pressure could (i) require costly changes to future newly </w:t>
      </w:r>
      <w:r>
        <w:rPr>
          <w:color w:val="000000"/>
          <w:sz w:val="20"/>
          <w:szCs w:val="20"/>
        </w:rPr>
        <w:t>developed facilities, or require retrofitting of our existing facilities, to reduce carbon emissions through multiple avenues including changes to insulation, space configuration, lighting, heating, and air conditioning, (ii) increase energy costs as a res</w:t>
      </w:r>
      <w:r>
        <w:rPr>
          <w:color w:val="000000"/>
          <w:sz w:val="20"/>
          <w:szCs w:val="20"/>
        </w:rPr>
        <w:t>ult of switching to less carbon-intensive, but more expensive, sources of energy to operate our facilities, and (iii) result in consumers reducing their individual carbon footprints by owning fewer durable material consumer goods, collectibles, and other s</w:t>
      </w:r>
      <w:r>
        <w:rPr>
          <w:color w:val="000000"/>
          <w:sz w:val="20"/>
          <w:szCs w:val="20"/>
        </w:rPr>
        <w:t>uch items requiring storage, resulting in a reduced demand for our self-storage space.</w:t>
      </w:r>
      <w:r>
        <w:rPr>
          <w:color w:val="000000"/>
          <w:sz w:val="20"/>
          <w:szCs w:val="20"/>
        </w:rPr>
        <w:t xml:space="preserve"> </w:t>
      </w:r>
    </w:p>
    <w:p w:rsidR="00000000" w:rsidRDefault="00865332">
      <w:pPr>
        <w:pStyle w:val="a3"/>
        <w:spacing w:before="0" w:beforeAutospacing="0" w:after="0" w:afterAutospacing="0" w:line="259" w:lineRule="auto"/>
        <w:ind w:firstLine="720"/>
        <w:jc w:val="both"/>
        <w:divId w:val="1703245640"/>
        <w:rPr>
          <w:sz w:val="20"/>
          <w:szCs w:val="20"/>
        </w:rPr>
      </w:pPr>
      <w:r>
        <w:rPr>
          <w:i/>
          <w:iCs/>
          <w:sz w:val="20"/>
          <w:szCs w:val="20"/>
        </w:rPr>
        <w:t>Operating costs, including property taxes, could increas</w:t>
      </w:r>
      <w:r>
        <w:rPr>
          <w:i/>
          <w:iCs/>
          <w:sz w:val="20"/>
          <w:szCs w:val="20"/>
        </w:rPr>
        <w:t>e</w:t>
      </w:r>
      <w:r>
        <w:rPr>
          <w:sz w:val="20"/>
          <w:szCs w:val="20"/>
        </w:rPr>
        <w:t>. We could be subject to increases in insurance premiums, property or other taxes, repair and maintenance costs</w:t>
      </w:r>
      <w:r>
        <w:rPr>
          <w:sz w:val="20"/>
          <w:szCs w:val="20"/>
        </w:rPr>
        <w:t xml:space="preserve">, payroll, utility costs, workers compensation, and other operating expenses due to various factors such as inflation, labor shortages, commodity and energy price increases, weather, increases to minimum wage rates, changes to governmental safety and real </w:t>
      </w:r>
      <w:r>
        <w:rPr>
          <w:sz w:val="20"/>
          <w:szCs w:val="20"/>
        </w:rPr>
        <w:t>estate use limitations, as well as other governmental actions. Our property tax expense, which totaled approximately $280.5 million during the year ended December 31, 2019, generally depends upon the assessed value of our real estate facilities as determin</w:t>
      </w:r>
      <w:r>
        <w:rPr>
          <w:sz w:val="20"/>
          <w:szCs w:val="20"/>
        </w:rPr>
        <w:t>ed by assessors and government agencies, and accordingly could be subject to substantial increases if such agencies changed their valuation approaches or opinions or if new laws are enacted, especially if new approaches are adopted or laws are enacted that</w:t>
      </w:r>
      <w:r>
        <w:rPr>
          <w:sz w:val="20"/>
          <w:szCs w:val="20"/>
        </w:rPr>
        <w:t xml:space="preserve"> result in increased property tax assessments in states or geographies where we have a high concentration of facilities. See also </w:t>
      </w:r>
      <w:r>
        <w:rPr>
          <w:sz w:val="20"/>
          <w:szCs w:val="20"/>
        </w:rPr>
        <w:t>“</w:t>
      </w:r>
      <w:r>
        <w:rPr>
          <w:i/>
          <w:iCs/>
          <w:sz w:val="20"/>
          <w:szCs w:val="20"/>
        </w:rPr>
        <w:t>We have exposure to increased property tax in Californi</w:t>
      </w:r>
      <w:r>
        <w:rPr>
          <w:i/>
          <w:iCs/>
          <w:sz w:val="20"/>
          <w:szCs w:val="20"/>
        </w:rPr>
        <w:t>a</w:t>
      </w:r>
      <w:r>
        <w:rPr>
          <w:sz w:val="20"/>
          <w:szCs w:val="20"/>
        </w:rPr>
        <w:t>” below.</w:t>
      </w:r>
      <w:r>
        <w:rPr>
          <w:sz w:val="20"/>
          <w:szCs w:val="20"/>
        </w:rPr>
        <w:t xml:space="preserve"> </w:t>
      </w:r>
    </w:p>
    <w:p w:rsidR="00000000" w:rsidRDefault="00865332">
      <w:pPr>
        <w:pStyle w:val="a3"/>
        <w:spacing w:before="0" w:beforeAutospacing="0" w:after="0" w:afterAutospacing="0" w:line="259" w:lineRule="auto"/>
        <w:ind w:firstLine="720"/>
        <w:jc w:val="both"/>
        <w:divId w:val="1703245640"/>
        <w:rPr>
          <w:sz w:val="20"/>
          <w:szCs w:val="20"/>
        </w:rPr>
      </w:pPr>
      <w:r>
        <w:rPr>
          <w:i/>
          <w:iCs/>
          <w:sz w:val="20"/>
          <w:szCs w:val="20"/>
        </w:rPr>
        <w:t>The acquisition of existing properties or self-storage oper</w:t>
      </w:r>
      <w:r>
        <w:rPr>
          <w:i/>
          <w:iCs/>
          <w:sz w:val="20"/>
          <w:szCs w:val="20"/>
        </w:rPr>
        <w:t>ating companies is subject to risks that may adversely affect our growth and financial results</w:t>
      </w:r>
      <w:r>
        <w:rPr>
          <w:i/>
          <w:iCs/>
          <w:sz w:val="20"/>
          <w:szCs w:val="20"/>
        </w:rPr>
        <w:t>.</w:t>
      </w:r>
      <w:r>
        <w:rPr>
          <w:b/>
          <w:bCs/>
          <w:sz w:val="20"/>
          <w:szCs w:val="20"/>
        </w:rPr>
        <w:t xml:space="preserve"> </w:t>
      </w:r>
      <w:r>
        <w:rPr>
          <w:sz w:val="20"/>
          <w:szCs w:val="20"/>
        </w:rPr>
        <w:t>We have acquired self-storage facilities from third parties in the past, and we expect to continue to do so in the future</w:t>
      </w:r>
      <w:r>
        <w:rPr>
          <w:sz w:val="20"/>
          <w:szCs w:val="20"/>
        </w:rPr>
        <w:t>.</w:t>
      </w:r>
      <w:r>
        <w:rPr>
          <w:b/>
          <w:bCs/>
          <w:sz w:val="20"/>
          <w:szCs w:val="20"/>
        </w:rPr>
        <w:t xml:space="preserve"> </w:t>
      </w:r>
      <w:r>
        <w:rPr>
          <w:sz w:val="20"/>
          <w:szCs w:val="20"/>
        </w:rPr>
        <w:t>We face significant competition for s</w:t>
      </w:r>
      <w:r>
        <w:rPr>
          <w:sz w:val="20"/>
          <w:szCs w:val="20"/>
        </w:rPr>
        <w:t>uitable acquisition properties from other real estate investors. As a result, we may be unable to acquire additional properties we desire or the purchase price for desirable properties may be significantly increased.</w:t>
      </w:r>
      <w:r>
        <w:rPr>
          <w:sz w:val="20"/>
          <w:szCs w:val="20"/>
        </w:rPr>
        <w:t xml:space="preserve"> </w:t>
      </w:r>
      <w:r>
        <w:rPr>
          <w:sz w:val="20"/>
          <w:szCs w:val="20"/>
        </w:rPr>
        <w:t>Failures or unexpected circumstances in</w:t>
      </w:r>
      <w:r>
        <w:rPr>
          <w:sz w:val="20"/>
          <w:szCs w:val="20"/>
        </w:rPr>
        <w:t xml:space="preserve"> integrating facilities that we acquire directly or via the acquisition of operating companies into our operations, or circumstances we did not detect or anticipate during due diligence, such as environmental matters, needed repairs or deferred maintenance</w:t>
      </w:r>
      <w:r>
        <w:rPr>
          <w:sz w:val="20"/>
          <w:szCs w:val="20"/>
        </w:rPr>
        <w:t>, customer collection issues, assumed liabilities, turnover of critical personnel involved in acquired operating companies, or the effects of increased property tax following reassessment of a newly-acquired property, as well as the general risks of real e</w:t>
      </w:r>
      <w:r>
        <w:rPr>
          <w:sz w:val="20"/>
          <w:szCs w:val="20"/>
        </w:rPr>
        <w:t>state investment and mergers and acquisitions, could jeopardize realization of the anticipated earnings from an acquisition.</w:t>
      </w:r>
      <w:r>
        <w:rPr>
          <w:sz w:val="20"/>
          <w:szCs w:val="20"/>
        </w:rPr>
        <w:t xml:space="preserve"> </w:t>
      </w:r>
    </w:p>
    <w:p w:rsidR="00000000" w:rsidRDefault="00865332">
      <w:pPr>
        <w:pStyle w:val="a3"/>
        <w:spacing w:before="0" w:beforeAutospacing="0" w:after="0" w:afterAutospacing="0" w:line="259" w:lineRule="auto"/>
        <w:ind w:firstLine="720"/>
        <w:jc w:val="both"/>
        <w:divId w:val="1703245640"/>
        <w:rPr>
          <w:sz w:val="20"/>
          <w:szCs w:val="20"/>
        </w:rPr>
      </w:pPr>
      <w:r>
        <w:rPr>
          <w:i/>
          <w:iCs/>
          <w:sz w:val="20"/>
          <w:szCs w:val="20"/>
        </w:rPr>
        <w:t>Development of self-storage facilities can subject us to risks</w:t>
      </w:r>
      <w:r>
        <w:rPr>
          <w:i/>
          <w:iCs/>
          <w:sz w:val="20"/>
          <w:szCs w:val="20"/>
        </w:rPr>
        <w:t>.</w:t>
      </w:r>
      <w:r>
        <w:rPr>
          <w:sz w:val="20"/>
          <w:szCs w:val="20"/>
        </w:rPr>
        <w:t xml:space="preserve">  At December 31, 2019, we have a pipeline of development projects </w:t>
      </w:r>
      <w:r>
        <w:rPr>
          <w:sz w:val="20"/>
          <w:szCs w:val="20"/>
        </w:rPr>
        <w:t>totaling $619.2 million (subject to contingencies), and we expect to continue to seek additional development projects. There are significant risks involved in developing self-storage facilities, such as delays or cost increases due to changes in or failure</w:t>
      </w:r>
      <w:r>
        <w:rPr>
          <w:sz w:val="20"/>
          <w:szCs w:val="20"/>
        </w:rPr>
        <w:t xml:space="preserve"> to meet government or regulatory requirements, failure of revenue to meet our underwriting estimates, weather issues, unforeseen site conditions, or personnel problems. Self-storage space is generally not pre-leased, and rent-up of newly developed space c</w:t>
      </w:r>
      <w:r>
        <w:rPr>
          <w:sz w:val="20"/>
          <w:szCs w:val="20"/>
        </w:rPr>
        <w:t>an be delayed or ongoing cash flow yields can be reduced due to competition, reductions in storage demand, or other factors.</w:t>
      </w:r>
      <w:r>
        <w:rPr>
          <w:sz w:val="20"/>
          <w:szCs w:val="20"/>
        </w:rPr>
        <w:t xml:space="preserve"> </w:t>
      </w:r>
    </w:p>
    <w:p w:rsidR="00000000" w:rsidRDefault="00865332">
      <w:pPr>
        <w:pStyle w:val="a3"/>
        <w:spacing w:before="0" w:beforeAutospacing="0" w:after="0" w:afterAutospacing="0" w:line="259" w:lineRule="auto"/>
        <w:jc w:val="center"/>
        <w:divId w:val="815878169"/>
        <w:rPr>
          <w:sz w:val="20"/>
          <w:szCs w:val="20"/>
        </w:rPr>
      </w:pPr>
      <w:r>
        <w:rPr>
          <w:rStyle w:val="ctheaderfooterpage"/>
          <w:sz w:val="20"/>
          <w:szCs w:val="20"/>
        </w:rPr>
        <w:t>1</w:t>
      </w:r>
      <w:r>
        <w:rPr>
          <w:rStyle w:val="ctheaderfooterpage"/>
          <w:sz w:val="20"/>
          <w:szCs w:val="20"/>
        </w:rPr>
        <w:t>3</w:t>
      </w:r>
    </w:p>
    <w:p w:rsidR="00000000" w:rsidRDefault="00865332">
      <w:pPr>
        <w:spacing w:before="360" w:after="360"/>
        <w:divId w:val="1625310113"/>
        <w:rPr>
          <w:rFonts w:eastAsia="Times New Roman"/>
        </w:rPr>
      </w:pPr>
      <w:r>
        <w:rPr>
          <w:rFonts w:eastAsia="Times New Roman"/>
        </w:rPr>
        <w:pict>
          <v:rect id="_x0000_i1037" style="width:0;height:1.5pt" o:hralign="center" o:hrstd="t" o:hr="t" fillcolor="#a0a0a0" stroked="f"/>
        </w:pict>
      </w:r>
    </w:p>
    <w:p w:rsidR="00000000" w:rsidRDefault="00865332">
      <w:pPr>
        <w:pStyle w:val="a3"/>
        <w:spacing w:before="0" w:beforeAutospacing="0" w:after="0" w:afterAutospacing="0" w:line="259" w:lineRule="auto"/>
        <w:ind w:firstLine="720"/>
        <w:jc w:val="both"/>
        <w:divId w:val="544683394"/>
        <w:rPr>
          <w:sz w:val="20"/>
          <w:szCs w:val="20"/>
        </w:rPr>
      </w:pPr>
      <w:r>
        <w:rPr>
          <w:i/>
          <w:iCs/>
          <w:sz w:val="20"/>
          <w:szCs w:val="20"/>
        </w:rPr>
        <w:t>There is significant competition among self-storage operators and from other storage alter</w:t>
      </w:r>
      <w:r>
        <w:rPr>
          <w:i/>
          <w:iCs/>
          <w:sz w:val="20"/>
          <w:szCs w:val="20"/>
        </w:rPr>
        <w:t>native</w:t>
      </w:r>
      <w:r>
        <w:rPr>
          <w:i/>
          <w:iCs/>
          <w:sz w:val="20"/>
          <w:szCs w:val="20"/>
        </w:rPr>
        <w:t>s</w:t>
      </w:r>
      <w:r>
        <w:rPr>
          <w:sz w:val="20"/>
          <w:szCs w:val="20"/>
        </w:rPr>
        <w:t>.  Our self-storage facilities generate most of our revenue and earnings. Competition in the local market areas in which many of our properties are located is significant and has affected our occupancy levels, rental rates, and operating expenses. D</w:t>
      </w:r>
      <w:r>
        <w:rPr>
          <w:sz w:val="20"/>
          <w:szCs w:val="20"/>
        </w:rPr>
        <w:t>evelopment of self-storage facilities has increased in recent years, which has intensified competition and will continue to do so as newly developed facilities are opened. Development of self-storage facilities by other operators could continue to increase</w:t>
      </w:r>
      <w:r>
        <w:rPr>
          <w:sz w:val="20"/>
          <w:szCs w:val="20"/>
        </w:rPr>
        <w:t>, due to increases in availability of funds for investment or other reasons, and further intensify competition.</w:t>
      </w:r>
      <w:r>
        <w:rPr>
          <w:sz w:val="20"/>
          <w:szCs w:val="20"/>
        </w:rPr>
        <w:t xml:space="preserve"> </w:t>
      </w:r>
    </w:p>
    <w:p w:rsidR="00000000" w:rsidRDefault="00865332">
      <w:pPr>
        <w:pStyle w:val="a3"/>
        <w:spacing w:before="0" w:beforeAutospacing="0" w:after="0" w:afterAutospacing="0" w:line="259" w:lineRule="auto"/>
        <w:ind w:firstLine="720"/>
        <w:jc w:val="both"/>
        <w:divId w:val="544683394"/>
        <w:rPr>
          <w:sz w:val="20"/>
          <w:szCs w:val="20"/>
        </w:rPr>
      </w:pPr>
      <w:r>
        <w:rPr>
          <w:i/>
          <w:iCs/>
          <w:sz w:val="20"/>
          <w:szCs w:val="20"/>
        </w:rPr>
        <w:t>Our newly developed and expanded facilities, and facilities that we manage for third party owners, may negatively impact the revenues of our ex</w:t>
      </w:r>
      <w:r>
        <w:rPr>
          <w:i/>
          <w:iCs/>
          <w:sz w:val="20"/>
          <w:szCs w:val="20"/>
        </w:rPr>
        <w:t>isting facilities.</w:t>
      </w:r>
      <w:r>
        <w:rPr>
          <w:i/>
          <w:iCs/>
          <w:sz w:val="20"/>
          <w:szCs w:val="20"/>
        </w:rPr>
        <w:t xml:space="preserve"> </w:t>
      </w:r>
      <w:r>
        <w:rPr>
          <w:sz w:val="20"/>
          <w:szCs w:val="20"/>
        </w:rPr>
        <w:t>We continue to develop new self-storage facilities and expand our existing self-storage facilities. In addition, we are seeking to increase the number of self-storage facilities that we manage for third party owners in exchange for a fee</w:t>
      </w:r>
      <w:r>
        <w:rPr>
          <w:sz w:val="20"/>
          <w:szCs w:val="20"/>
        </w:rPr>
        <w:t>, many of which are in the process of stabilization and are in proximity to our existing stabilized self-storage facilities. In order to hasten the fill-up of these new facilities, we aggressively price such space during the fill-up period. While we believ</w:t>
      </w:r>
      <w:r>
        <w:rPr>
          <w:sz w:val="20"/>
          <w:szCs w:val="20"/>
        </w:rPr>
        <w:t>e that this aggressive pricing allows us to increase our market share relative to our competitors and increase the cash flows of these properties, such pricing and the added capacity may also negatively impact our existing stabilized self-storage facilitie</w:t>
      </w:r>
      <w:r>
        <w:rPr>
          <w:sz w:val="20"/>
          <w:szCs w:val="20"/>
        </w:rPr>
        <w:t>s that are in proximity to these unstabilized facilities.</w:t>
      </w:r>
      <w:r>
        <w:rPr>
          <w:sz w:val="20"/>
          <w:szCs w:val="20"/>
        </w:rPr>
        <w:t xml:space="preserve"> </w:t>
      </w:r>
    </w:p>
    <w:p w:rsidR="00000000" w:rsidRDefault="00865332">
      <w:pPr>
        <w:pStyle w:val="a3"/>
        <w:spacing w:before="0" w:beforeAutospacing="0" w:after="0" w:afterAutospacing="0" w:line="259" w:lineRule="auto"/>
        <w:ind w:firstLine="720"/>
        <w:jc w:val="both"/>
        <w:divId w:val="544683394"/>
        <w:rPr>
          <w:sz w:val="20"/>
          <w:szCs w:val="20"/>
        </w:rPr>
      </w:pPr>
      <w:r>
        <w:rPr>
          <w:i/>
          <w:iCs/>
          <w:sz w:val="20"/>
          <w:szCs w:val="20"/>
        </w:rPr>
        <w:t>Many of our existing self-storage facilities may be at a competitive disadvantage to newly developed facilities.</w:t>
      </w:r>
      <w:r>
        <w:rPr>
          <w:i/>
          <w:iCs/>
          <w:sz w:val="20"/>
          <w:szCs w:val="20"/>
        </w:rPr>
        <w:t xml:space="preserve"> </w:t>
      </w:r>
      <w:r>
        <w:rPr>
          <w:sz w:val="20"/>
          <w:szCs w:val="20"/>
        </w:rPr>
        <w:t>There is a significant level of development of new self-storage facilities, by us an</w:t>
      </w:r>
      <w:r>
        <w:rPr>
          <w:sz w:val="20"/>
          <w:szCs w:val="20"/>
        </w:rPr>
        <w:t>d other operators. These newly developed facilities are generally of high quality, with a more fresh and vibrant appearance, more amenities such as climate control, more attractive office configurations, newer elements, and a more imposing and attractive r</w:t>
      </w:r>
      <w:r>
        <w:rPr>
          <w:sz w:val="20"/>
          <w:szCs w:val="20"/>
        </w:rPr>
        <w:t>etail presence as compared to many of our existing stabilized self-storage facilities, some of which were built as much as 50 years ago. Such qualitative differentials may negatively impact our ability to compete with these facilities for new tenants and o</w:t>
      </w:r>
      <w:r>
        <w:rPr>
          <w:sz w:val="20"/>
          <w:szCs w:val="20"/>
        </w:rPr>
        <w:t>ur existing tenants may move to newly developed facilities.</w:t>
      </w:r>
      <w:r>
        <w:rPr>
          <w:sz w:val="20"/>
          <w:szCs w:val="20"/>
        </w:rPr>
        <w:t xml:space="preserve"> </w:t>
      </w:r>
    </w:p>
    <w:p w:rsidR="00000000" w:rsidRDefault="00865332">
      <w:pPr>
        <w:pStyle w:val="a3"/>
        <w:spacing w:before="0" w:beforeAutospacing="0" w:after="0" w:afterAutospacing="0" w:line="259" w:lineRule="auto"/>
        <w:ind w:firstLine="720"/>
        <w:jc w:val="both"/>
        <w:divId w:val="544683394"/>
        <w:rPr>
          <w:sz w:val="20"/>
          <w:szCs w:val="20"/>
        </w:rPr>
      </w:pPr>
      <w:r>
        <w:rPr>
          <w:i/>
          <w:iCs/>
          <w:sz w:val="20"/>
          <w:szCs w:val="20"/>
        </w:rPr>
        <w:t>We may incur significant liabilities from environmental contamination or moisture infiltratio</w:t>
      </w:r>
      <w:r>
        <w:rPr>
          <w:i/>
          <w:iCs/>
          <w:sz w:val="20"/>
          <w:szCs w:val="20"/>
        </w:rPr>
        <w:t>n</w:t>
      </w:r>
      <w:r>
        <w:rPr>
          <w:sz w:val="20"/>
          <w:szCs w:val="20"/>
        </w:rPr>
        <w:t>.   Existing or future laws impose or may impose liability on us to clean up environmental contaminat</w:t>
      </w:r>
      <w:r>
        <w:rPr>
          <w:sz w:val="20"/>
          <w:szCs w:val="20"/>
        </w:rPr>
        <w:t xml:space="preserve">ion on or around properties that we currently or previously owned or operated, even if we were not responsible for or aware of the environmental contamination or even if such environmental contamination occurred prior to our involvement with the property. </w:t>
      </w:r>
      <w:r>
        <w:rPr>
          <w:sz w:val="20"/>
          <w:szCs w:val="20"/>
        </w:rPr>
        <w:t xml:space="preserve">We have conducted preliminary environmental assessments on most of our properties, which have not identified any material liabilities. These assessments, commonly referred to as “Phase 1 Environmental Assessments,” include an investigation (excluding soil </w:t>
      </w:r>
      <w:r>
        <w:rPr>
          <w:sz w:val="20"/>
          <w:szCs w:val="20"/>
        </w:rPr>
        <w:t>or groundwater sampling or analysis) and a review of publicly available information regarding the site and other nearby properties.</w:t>
      </w:r>
      <w:r>
        <w:rPr>
          <w:sz w:val="20"/>
          <w:szCs w:val="20"/>
        </w:rPr>
        <w:t xml:space="preserve"> </w:t>
      </w:r>
    </w:p>
    <w:p w:rsidR="00000000" w:rsidRDefault="00865332">
      <w:pPr>
        <w:pStyle w:val="a3"/>
        <w:spacing w:before="0" w:beforeAutospacing="0" w:after="0" w:afterAutospacing="0" w:line="259" w:lineRule="auto"/>
        <w:ind w:firstLine="720"/>
        <w:jc w:val="both"/>
        <w:divId w:val="544683394"/>
        <w:rPr>
          <w:sz w:val="20"/>
          <w:szCs w:val="20"/>
        </w:rPr>
      </w:pPr>
      <w:r>
        <w:rPr>
          <w:sz w:val="20"/>
          <w:szCs w:val="20"/>
        </w:rPr>
        <w:t>We are also subject to potential liability relating to moisture infiltration, which can result in mold or other damage to our or our customers’ property, as well as potential health concerns. When we receive a complaint or otherwise become aware that an ai</w:t>
      </w:r>
      <w:r>
        <w:rPr>
          <w:sz w:val="20"/>
          <w:szCs w:val="20"/>
        </w:rPr>
        <w:t>r quality concern exists, we implement corrective measures and seek to work proactively with our customers to resolve issues, subject to our contractual limitations on liability for such claims.</w:t>
      </w:r>
      <w:r>
        <w:rPr>
          <w:sz w:val="20"/>
          <w:szCs w:val="20"/>
        </w:rPr>
        <w:t xml:space="preserve"> </w:t>
      </w:r>
    </w:p>
    <w:p w:rsidR="00000000" w:rsidRDefault="00865332">
      <w:pPr>
        <w:pStyle w:val="a3"/>
        <w:spacing w:before="0" w:beforeAutospacing="0" w:after="0" w:afterAutospacing="0" w:line="259" w:lineRule="auto"/>
        <w:ind w:firstLine="720"/>
        <w:jc w:val="both"/>
        <w:divId w:val="544683394"/>
        <w:rPr>
          <w:sz w:val="20"/>
          <w:szCs w:val="20"/>
        </w:rPr>
      </w:pPr>
      <w:r>
        <w:rPr>
          <w:sz w:val="20"/>
          <w:szCs w:val="20"/>
        </w:rPr>
        <w:t>We are not aware of any environmental contamination or moist</w:t>
      </w:r>
      <w:r>
        <w:rPr>
          <w:sz w:val="20"/>
          <w:szCs w:val="20"/>
        </w:rPr>
        <w:t>ure infiltration related liabilities that could be material to our overall business, financial condition, or results of operation. However, we may not have detected all material liabilities, we could acquire properties with material undetected liabilities,</w:t>
      </w:r>
      <w:r>
        <w:rPr>
          <w:sz w:val="20"/>
          <w:szCs w:val="20"/>
        </w:rPr>
        <w:t xml:space="preserve"> or new conditions could arise or develop at our properties, any of which could result in a cash settlement or adversely affect our ability to sell, lease, operate, or encumber affected facilities.</w:t>
      </w:r>
      <w:r>
        <w:rPr>
          <w:sz w:val="20"/>
          <w:szCs w:val="20"/>
        </w:rPr>
        <w:t xml:space="preserve"> </w:t>
      </w:r>
    </w:p>
    <w:p w:rsidR="00000000" w:rsidRDefault="00865332">
      <w:pPr>
        <w:pStyle w:val="a3"/>
        <w:spacing w:before="0" w:beforeAutospacing="0" w:after="0" w:afterAutospacing="0" w:line="259" w:lineRule="auto"/>
        <w:jc w:val="both"/>
        <w:divId w:val="544683394"/>
        <w:rPr>
          <w:sz w:val="20"/>
          <w:szCs w:val="20"/>
        </w:rPr>
      </w:pPr>
      <w:r>
        <w:rPr>
          <w:b/>
          <w:bCs/>
          <w:sz w:val="20"/>
          <w:szCs w:val="20"/>
        </w:rPr>
        <w:t>Economic conditions can adversely affect our business, fi</w:t>
      </w:r>
      <w:r>
        <w:rPr>
          <w:b/>
          <w:bCs/>
          <w:sz w:val="20"/>
          <w:szCs w:val="20"/>
        </w:rPr>
        <w:t>nancial condition, growth and access to capital</w:t>
      </w:r>
      <w:r>
        <w:rPr>
          <w:b/>
          <w:bCs/>
          <w:sz w:val="20"/>
          <w:szCs w:val="20"/>
        </w:rPr>
        <w:t>.</w:t>
      </w:r>
    </w:p>
    <w:p w:rsidR="00000000" w:rsidRDefault="00865332">
      <w:pPr>
        <w:pStyle w:val="a3"/>
        <w:spacing w:before="0" w:beforeAutospacing="0" w:after="0" w:afterAutospacing="0" w:line="259" w:lineRule="auto"/>
        <w:ind w:firstLine="720"/>
        <w:jc w:val="both"/>
        <w:divId w:val="544683394"/>
        <w:rPr>
          <w:sz w:val="20"/>
          <w:szCs w:val="20"/>
        </w:rPr>
      </w:pPr>
      <w:r>
        <w:rPr>
          <w:sz w:val="20"/>
          <w:szCs w:val="20"/>
        </w:rPr>
        <w:t>Our revenues and operating cash flow can be negatively impacted by reductions in employment and population levels, household and disposable income, and other general economic factors that lead to a reduction</w:t>
      </w:r>
      <w:r>
        <w:rPr>
          <w:sz w:val="20"/>
          <w:szCs w:val="20"/>
        </w:rPr>
        <w:t xml:space="preserve"> in demand for rental space in each of the markets in which we operate.</w:t>
      </w:r>
      <w:r>
        <w:rPr>
          <w:sz w:val="20"/>
          <w:szCs w:val="20"/>
        </w:rPr>
        <w:t xml:space="preserve"> </w:t>
      </w:r>
    </w:p>
    <w:p w:rsidR="00000000" w:rsidRDefault="00865332">
      <w:pPr>
        <w:pStyle w:val="a3"/>
        <w:spacing w:before="0" w:beforeAutospacing="0" w:after="0" w:afterAutospacing="0" w:line="259" w:lineRule="auto"/>
        <w:ind w:firstLine="720"/>
        <w:jc w:val="both"/>
        <w:divId w:val="544683394"/>
        <w:rPr>
          <w:sz w:val="20"/>
          <w:szCs w:val="20"/>
        </w:rPr>
      </w:pPr>
      <w:r>
        <w:rPr>
          <w:sz w:val="20"/>
          <w:szCs w:val="20"/>
        </w:rPr>
        <w:t>Our ability to raise capital to fund our activities may be adversely affected by challenging market conditions. In periods when the capital and credit markets experience significant v</w:t>
      </w:r>
      <w:r>
        <w:rPr>
          <w:sz w:val="20"/>
          <w:szCs w:val="20"/>
        </w:rPr>
        <w:t>olatility, the amounts, sources, and cost of</w:t>
      </w:r>
      <w:r>
        <w:rPr>
          <w:sz w:val="20"/>
          <w:szCs w:val="20"/>
        </w:rPr>
        <w:t xml:space="preserve"> </w:t>
      </w:r>
    </w:p>
    <w:p w:rsidR="00000000" w:rsidRDefault="00865332">
      <w:pPr>
        <w:pStyle w:val="a3"/>
        <w:spacing w:before="0" w:beforeAutospacing="0" w:after="0" w:afterAutospacing="0" w:line="259" w:lineRule="auto"/>
        <w:jc w:val="center"/>
        <w:divId w:val="1554151807"/>
        <w:rPr>
          <w:sz w:val="20"/>
          <w:szCs w:val="20"/>
        </w:rPr>
      </w:pPr>
      <w:r>
        <w:rPr>
          <w:rStyle w:val="ctheaderfooterpage"/>
          <w:sz w:val="20"/>
          <w:szCs w:val="20"/>
        </w:rPr>
        <w:t>1</w:t>
      </w:r>
      <w:r>
        <w:rPr>
          <w:rStyle w:val="ctheaderfooterpage"/>
          <w:sz w:val="20"/>
          <w:szCs w:val="20"/>
        </w:rPr>
        <w:t>4</w:t>
      </w:r>
    </w:p>
    <w:p w:rsidR="00000000" w:rsidRDefault="00865332">
      <w:pPr>
        <w:spacing w:before="360" w:after="360"/>
        <w:divId w:val="686951775"/>
        <w:rPr>
          <w:rFonts w:eastAsia="Times New Roman"/>
        </w:rPr>
      </w:pPr>
      <w:r>
        <w:rPr>
          <w:rFonts w:eastAsia="Times New Roman"/>
        </w:rPr>
        <w:pict>
          <v:rect id="_x0000_i1038" style="width:0;height:1.5pt" o:hralign="center" o:hrstd="t" o:hr="t" fillcolor="#a0a0a0" stroked="f"/>
        </w:pict>
      </w:r>
    </w:p>
    <w:p w:rsidR="00000000" w:rsidRDefault="00865332">
      <w:pPr>
        <w:pStyle w:val="a3"/>
        <w:spacing w:before="0" w:beforeAutospacing="0" w:after="0" w:afterAutospacing="0" w:line="259" w:lineRule="auto"/>
        <w:jc w:val="both"/>
        <w:divId w:val="1936278066"/>
        <w:rPr>
          <w:sz w:val="20"/>
          <w:szCs w:val="20"/>
        </w:rPr>
      </w:pPr>
      <w:r>
        <w:rPr>
          <w:sz w:val="20"/>
          <w:szCs w:val="20"/>
        </w:rPr>
        <w:t>capital available to us may be adversely affected. If we were unable to raise capital at reasonable rates, prospective earnings growth through expanding our asset base co</w:t>
      </w:r>
      <w:r>
        <w:rPr>
          <w:sz w:val="20"/>
          <w:szCs w:val="20"/>
        </w:rPr>
        <w:t>uld be limited.</w:t>
      </w:r>
      <w:r>
        <w:rPr>
          <w:sz w:val="20"/>
          <w:szCs w:val="20"/>
        </w:rPr>
        <w:t xml:space="preserve"> </w:t>
      </w:r>
    </w:p>
    <w:p w:rsidR="00000000" w:rsidRDefault="00865332">
      <w:pPr>
        <w:pStyle w:val="a3"/>
        <w:spacing w:before="0" w:beforeAutospacing="0" w:after="0" w:afterAutospacing="0" w:line="259" w:lineRule="auto"/>
        <w:jc w:val="both"/>
        <w:divId w:val="1936278066"/>
        <w:rPr>
          <w:sz w:val="20"/>
          <w:szCs w:val="20"/>
        </w:rPr>
      </w:pPr>
      <w:r>
        <w:rPr>
          <w:b/>
          <w:bCs/>
          <w:sz w:val="20"/>
          <w:szCs w:val="20"/>
        </w:rPr>
        <w:t>We have exposure to European operations through our ownership in Shurgard.</w:t>
      </w:r>
      <w:r>
        <w:rPr>
          <w:b/>
          <w:bCs/>
          <w:sz w:val="20"/>
          <w:szCs w:val="20"/>
        </w:rPr>
        <w:t xml:space="preserve"> </w:t>
      </w:r>
    </w:p>
    <w:p w:rsidR="00000000" w:rsidRDefault="00865332">
      <w:pPr>
        <w:pStyle w:val="a3"/>
        <w:spacing w:before="0" w:beforeAutospacing="0" w:after="0" w:afterAutospacing="0" w:line="259" w:lineRule="auto"/>
        <w:ind w:firstLine="720"/>
        <w:jc w:val="both"/>
        <w:divId w:val="1936278066"/>
        <w:rPr>
          <w:sz w:val="20"/>
          <w:szCs w:val="20"/>
        </w:rPr>
      </w:pPr>
      <w:r>
        <w:rPr>
          <w:sz w:val="20"/>
          <w:szCs w:val="20"/>
        </w:rPr>
        <w:t>We own approximately 35% of the common shares of Shurgard, and this investment has a $339.9 million book value and a $1.2 billion market value (based upon the clos</w:t>
      </w:r>
      <w:r>
        <w:rPr>
          <w:sz w:val="20"/>
          <w:szCs w:val="20"/>
        </w:rPr>
        <w:t>ing trading price of Shurgard’s common stock) at December 31, 2019. We recognized $15.5 million in equity in earnings, and received $23.1 million in dividends, in 2019, with respect to Shurgard.</w:t>
      </w:r>
      <w:r>
        <w:rPr>
          <w:sz w:val="20"/>
          <w:szCs w:val="20"/>
        </w:rPr>
        <w:t xml:space="preserve"> </w:t>
      </w:r>
    </w:p>
    <w:p w:rsidR="00000000" w:rsidRDefault="00865332">
      <w:pPr>
        <w:pStyle w:val="a3"/>
        <w:spacing w:before="0" w:beforeAutospacing="0" w:after="0" w:afterAutospacing="0" w:line="259" w:lineRule="auto"/>
        <w:ind w:firstLine="720"/>
        <w:jc w:val="both"/>
        <w:divId w:val="1936278066"/>
        <w:rPr>
          <w:sz w:val="20"/>
          <w:szCs w:val="20"/>
        </w:rPr>
      </w:pPr>
      <w:r>
        <w:rPr>
          <w:sz w:val="20"/>
          <w:szCs w:val="20"/>
        </w:rPr>
        <w:t>Shurgard, as an owner, operator, and developer of self-stora</w:t>
      </w:r>
      <w:r>
        <w:rPr>
          <w:sz w:val="20"/>
          <w:szCs w:val="20"/>
        </w:rPr>
        <w:t xml:space="preserve">ge facilities, is subject to many of the same risks we are with respect to self-storage. However, through our investment in Shurgard, we are exposed to additional risks unique to the various European markets Shurgard operates in which may adversely impact </w:t>
      </w:r>
      <w:r>
        <w:rPr>
          <w:sz w:val="20"/>
          <w:szCs w:val="20"/>
        </w:rPr>
        <w:t>our business and financial results, many of which are referred to in Shurgard’s public filings. These risks include the following</w:t>
      </w:r>
      <w:r>
        <w:rPr>
          <w:sz w:val="20"/>
          <w:szCs w:val="20"/>
        </w:rPr>
        <w:t>:</w:t>
      </w:r>
    </w:p>
    <w:p w:rsidR="00000000" w:rsidRDefault="00865332">
      <w:pPr>
        <w:pStyle w:val="a3"/>
        <w:spacing w:before="0" w:beforeAutospacing="0" w:after="0" w:afterAutospacing="0" w:line="259" w:lineRule="auto"/>
        <w:ind w:left="994" w:hanging="360"/>
        <w:jc w:val="both"/>
        <w:divId w:val="1936278066"/>
        <w:rPr>
          <w:sz w:val="20"/>
          <w:szCs w:val="20"/>
        </w:rPr>
      </w:pPr>
      <w:r>
        <w:rPr>
          <w:rFonts w:ascii="Symbol" w:hAnsi="Symbol"/>
          <w:sz w:val="20"/>
          <w:szCs w:val="20"/>
        </w:rPr>
        <w:sym w:font="Symbol" w:char="F0B7"/>
      </w:r>
      <w:r>
        <w:rPr>
          <w:i/>
          <w:iCs/>
          <w:sz w:val="20"/>
          <w:szCs w:val="20"/>
        </w:rPr>
        <w:t>Currency risks</w:t>
      </w:r>
      <w:r>
        <w:rPr>
          <w:i/>
          <w:iCs/>
          <w:sz w:val="20"/>
          <w:szCs w:val="20"/>
        </w:rPr>
        <w:t>:</w:t>
      </w:r>
      <w:r>
        <w:rPr>
          <w:sz w:val="20"/>
          <w:szCs w:val="20"/>
        </w:rPr>
        <w:t xml:space="preserve"> Currency fluctuations can impact the fair value of our investment in Shurgard, our equity earnings, our ongo</w:t>
      </w:r>
      <w:r>
        <w:rPr>
          <w:sz w:val="20"/>
          <w:szCs w:val="20"/>
        </w:rPr>
        <w:t>ing dividends, and any other related repatriations of cash</w:t>
      </w:r>
      <w:r>
        <w:rPr>
          <w:sz w:val="20"/>
          <w:szCs w:val="20"/>
        </w:rPr>
        <w:t>.</w:t>
      </w:r>
    </w:p>
    <w:p w:rsidR="00000000" w:rsidRDefault="00865332">
      <w:pPr>
        <w:pStyle w:val="a3"/>
        <w:spacing w:before="0" w:beforeAutospacing="0" w:after="0" w:afterAutospacing="0" w:line="259" w:lineRule="auto"/>
        <w:ind w:left="994" w:hanging="360"/>
        <w:jc w:val="both"/>
        <w:divId w:val="1936278066"/>
        <w:rPr>
          <w:sz w:val="20"/>
          <w:szCs w:val="20"/>
        </w:rPr>
      </w:pPr>
      <w:r>
        <w:rPr>
          <w:rFonts w:ascii="Symbol" w:hAnsi="Symbol"/>
          <w:sz w:val="20"/>
          <w:szCs w:val="20"/>
        </w:rPr>
        <w:sym w:font="Symbol" w:char="F0B7"/>
      </w:r>
      <w:r>
        <w:rPr>
          <w:i/>
          <w:iCs/>
          <w:sz w:val="20"/>
          <w:szCs w:val="20"/>
        </w:rPr>
        <w:t>Legislative, tax, and regulatory risks</w:t>
      </w:r>
      <w:r>
        <w:rPr>
          <w:i/>
          <w:iCs/>
          <w:sz w:val="20"/>
          <w:szCs w:val="20"/>
        </w:rPr>
        <w:t>:</w:t>
      </w:r>
      <w:r>
        <w:rPr>
          <w:sz w:val="20"/>
          <w:szCs w:val="20"/>
        </w:rPr>
        <w:t xml:space="preserve"> Shurgard is subject to a variety of local, national, and pan European laws and regulations related to permitting and land use, the environment, labor, and </w:t>
      </w:r>
      <w:r>
        <w:rPr>
          <w:sz w:val="20"/>
          <w:szCs w:val="20"/>
        </w:rPr>
        <w:t>other areas, as well as income, property, sales, value added and employment tax laws. These laws can be difficult to apply or interpret and can vary in each country or locality, and are subject to unexpected changes in their form and application due to reg</w:t>
      </w:r>
      <w:r>
        <w:rPr>
          <w:sz w:val="20"/>
          <w:szCs w:val="20"/>
        </w:rPr>
        <w:t>ional, national, or local political uncertainty and other factors. Such changes, or Shurgard’s failure to comply with these laws, could subject it to penalties or other sanctions, adverse changes in business processes, as well as potentially adverse income</w:t>
      </w:r>
      <w:r>
        <w:rPr>
          <w:sz w:val="20"/>
          <w:szCs w:val="20"/>
        </w:rPr>
        <w:t xml:space="preserve"> tax, property tax, or other tax burdens.</w:t>
      </w:r>
      <w:r>
        <w:rPr>
          <w:sz w:val="20"/>
          <w:szCs w:val="20"/>
        </w:rPr>
        <w:t xml:space="preserve"> </w:t>
      </w:r>
    </w:p>
    <w:p w:rsidR="00000000" w:rsidRDefault="00865332">
      <w:pPr>
        <w:pStyle w:val="a3"/>
        <w:spacing w:before="0" w:beforeAutospacing="0" w:after="0" w:afterAutospacing="0" w:line="259" w:lineRule="auto"/>
        <w:ind w:left="994" w:hanging="360"/>
        <w:jc w:val="both"/>
        <w:divId w:val="1936278066"/>
        <w:rPr>
          <w:sz w:val="20"/>
          <w:szCs w:val="20"/>
        </w:rPr>
      </w:pPr>
      <w:r>
        <w:rPr>
          <w:rFonts w:ascii="Symbol" w:hAnsi="Symbol"/>
          <w:sz w:val="20"/>
          <w:szCs w:val="20"/>
        </w:rPr>
        <w:sym w:font="Symbol" w:char="F0B7"/>
      </w:r>
      <w:r>
        <w:rPr>
          <w:i/>
          <w:iCs/>
          <w:sz w:val="20"/>
          <w:szCs w:val="20"/>
        </w:rPr>
        <w:t>Impediments to capital repatriation could negatively impact the realization of our investment in Shurgard:</w:t>
      </w:r>
      <w:r>
        <w:rPr>
          <w:i/>
          <w:iCs/>
          <w:sz w:val="20"/>
          <w:szCs w:val="20"/>
        </w:rPr>
        <w:t xml:space="preserve"> </w:t>
      </w:r>
      <w:r>
        <w:rPr>
          <w:sz w:val="20"/>
          <w:szCs w:val="20"/>
        </w:rPr>
        <w:t>Laws in Europe and the U.S. may create, impede, or increase our cost to repatriate distributions received</w:t>
      </w:r>
      <w:r>
        <w:rPr>
          <w:sz w:val="20"/>
          <w:szCs w:val="20"/>
        </w:rPr>
        <w:t xml:space="preserve"> from Shurgard or proceeds from the sale of Shurgard’s shares</w:t>
      </w:r>
      <w:r>
        <w:rPr>
          <w:sz w:val="20"/>
          <w:szCs w:val="20"/>
        </w:rPr>
        <w:t>.</w:t>
      </w:r>
      <w:r>
        <w:rPr>
          <w:i/>
          <w:iCs/>
          <w:sz w:val="20"/>
          <w:szCs w:val="20"/>
        </w:rPr>
        <w:t xml:space="preserve"> </w:t>
      </w:r>
    </w:p>
    <w:p w:rsidR="00000000" w:rsidRDefault="00865332">
      <w:pPr>
        <w:pStyle w:val="a3"/>
        <w:spacing w:before="0" w:beforeAutospacing="0" w:after="0" w:afterAutospacing="0" w:line="259" w:lineRule="auto"/>
        <w:ind w:left="994" w:hanging="360"/>
        <w:jc w:val="both"/>
        <w:divId w:val="1936278066"/>
        <w:rPr>
          <w:sz w:val="20"/>
          <w:szCs w:val="20"/>
        </w:rPr>
      </w:pPr>
      <w:r>
        <w:rPr>
          <w:rFonts w:ascii="Symbol" w:hAnsi="Symbol"/>
          <w:sz w:val="20"/>
          <w:szCs w:val="20"/>
        </w:rPr>
        <w:sym w:font="Symbol" w:char="F0B7"/>
      </w:r>
      <w:r>
        <w:rPr>
          <w:i/>
          <w:iCs/>
          <w:sz w:val="20"/>
          <w:szCs w:val="20"/>
        </w:rPr>
        <w:t>Risks of collective bargaining and intellectual property</w:t>
      </w:r>
      <w:r>
        <w:rPr>
          <w:i/>
          <w:iCs/>
          <w:sz w:val="20"/>
          <w:szCs w:val="20"/>
        </w:rPr>
        <w:t>:</w:t>
      </w:r>
      <w:r>
        <w:rPr>
          <w:sz w:val="20"/>
          <w:szCs w:val="20"/>
        </w:rPr>
        <w:t xml:space="preserve"> Collective bargaining, which is prevalent in certain areas in Europe, could negatively impact Shurgard’s labor costs or operations. M</w:t>
      </w:r>
      <w:r>
        <w:rPr>
          <w:sz w:val="20"/>
          <w:szCs w:val="20"/>
        </w:rPr>
        <w:t>any of Shurgard’s employees participate in various national unions.</w:t>
      </w:r>
      <w:r>
        <w:rPr>
          <w:sz w:val="20"/>
          <w:szCs w:val="20"/>
        </w:rPr>
        <w:t xml:space="preserve"> </w:t>
      </w:r>
    </w:p>
    <w:p w:rsidR="00000000" w:rsidRDefault="00865332">
      <w:pPr>
        <w:pStyle w:val="a3"/>
        <w:spacing w:before="0" w:beforeAutospacing="0" w:after="0" w:afterAutospacing="0" w:line="259" w:lineRule="auto"/>
        <w:ind w:left="994" w:hanging="360"/>
        <w:jc w:val="both"/>
        <w:divId w:val="1936278066"/>
        <w:rPr>
          <w:sz w:val="20"/>
          <w:szCs w:val="20"/>
        </w:rPr>
      </w:pPr>
      <w:r>
        <w:rPr>
          <w:rFonts w:ascii="Symbol" w:hAnsi="Symbol"/>
          <w:sz w:val="20"/>
          <w:szCs w:val="20"/>
        </w:rPr>
        <w:sym w:font="Symbol" w:char="F0B7"/>
      </w:r>
      <w:r>
        <w:rPr>
          <w:i/>
          <w:iCs/>
          <w:sz w:val="20"/>
          <w:szCs w:val="20"/>
        </w:rPr>
        <w:t>Potential operating and individual country risks</w:t>
      </w:r>
      <w:r>
        <w:rPr>
          <w:i/>
          <w:iCs/>
          <w:sz w:val="20"/>
          <w:szCs w:val="20"/>
        </w:rPr>
        <w:t>:</w:t>
      </w:r>
      <w:r>
        <w:rPr>
          <w:sz w:val="20"/>
          <w:szCs w:val="20"/>
        </w:rPr>
        <w:t xml:space="preserve"> Economic slowdowns or extraordinary political or social change in the countries in which it operates have posed, and could continue to p</w:t>
      </w:r>
      <w:r>
        <w:rPr>
          <w:sz w:val="20"/>
          <w:szCs w:val="20"/>
        </w:rPr>
        <w:t>ose, challenges or result in future reductions of Shurgard’s operating cash flows.</w:t>
      </w:r>
      <w:r>
        <w:rPr>
          <w:sz w:val="20"/>
          <w:szCs w:val="20"/>
        </w:rPr>
        <w:t xml:space="preserve"> </w:t>
      </w:r>
    </w:p>
    <w:p w:rsidR="00000000" w:rsidRDefault="00865332">
      <w:pPr>
        <w:pStyle w:val="a3"/>
        <w:spacing w:before="0" w:beforeAutospacing="0" w:after="0" w:afterAutospacing="0" w:line="259" w:lineRule="auto"/>
        <w:ind w:left="994" w:hanging="360"/>
        <w:jc w:val="both"/>
        <w:divId w:val="1936278066"/>
        <w:rPr>
          <w:sz w:val="20"/>
          <w:szCs w:val="20"/>
        </w:rPr>
      </w:pPr>
      <w:r>
        <w:rPr>
          <w:rFonts w:ascii="Symbol" w:hAnsi="Symbol"/>
          <w:sz w:val="20"/>
          <w:szCs w:val="20"/>
        </w:rPr>
        <w:sym w:font="Symbol" w:char="F0B7"/>
      </w:r>
      <w:r>
        <w:rPr>
          <w:i/>
          <w:iCs/>
          <w:sz w:val="20"/>
          <w:szCs w:val="20"/>
        </w:rPr>
        <w:t>Liquidity of our ownership stake</w:t>
      </w:r>
      <w:r>
        <w:rPr>
          <w:i/>
          <w:iCs/>
          <w:sz w:val="20"/>
          <w:szCs w:val="20"/>
        </w:rPr>
        <w:t>:</w:t>
      </w:r>
      <w:r>
        <w:rPr>
          <w:sz w:val="20"/>
          <w:szCs w:val="20"/>
        </w:rPr>
        <w:t xml:space="preserve"> We have no plans to liquidate our interest in Shurgard. However, while Shurgard is a publicly held entity, if we chose to, our ability to</w:t>
      </w:r>
      <w:r>
        <w:rPr>
          <w:sz w:val="20"/>
          <w:szCs w:val="20"/>
        </w:rPr>
        <w:t xml:space="preserve"> liquidate our shares in Shurgard in an efficient manner could be limited by the level of Shurgard’s public “float” relative to any ownership stake we sought to sell. Our existing relationship with our legacy joint venture partner may place further contrac</w:t>
      </w:r>
      <w:r>
        <w:rPr>
          <w:sz w:val="20"/>
          <w:szCs w:val="20"/>
        </w:rPr>
        <w:t>tual limitations on our ability to sell all of the shares we own if we desired to do so.</w:t>
      </w:r>
      <w:r>
        <w:rPr>
          <w:sz w:val="20"/>
          <w:szCs w:val="20"/>
        </w:rPr>
        <w:t xml:space="preserve"> </w:t>
      </w:r>
    </w:p>
    <w:p w:rsidR="00000000" w:rsidRDefault="00865332">
      <w:pPr>
        <w:pStyle w:val="a3"/>
        <w:spacing w:before="0" w:beforeAutospacing="0" w:after="0" w:afterAutospacing="0" w:line="259" w:lineRule="auto"/>
        <w:ind w:left="994" w:hanging="360"/>
        <w:jc w:val="both"/>
        <w:divId w:val="1936278066"/>
        <w:rPr>
          <w:sz w:val="20"/>
          <w:szCs w:val="20"/>
        </w:rPr>
      </w:pPr>
      <w:r>
        <w:rPr>
          <w:rFonts w:ascii="Symbol" w:hAnsi="Symbol"/>
          <w:sz w:val="20"/>
          <w:szCs w:val="20"/>
        </w:rPr>
        <w:sym w:font="Symbol" w:char="F0B7"/>
      </w:r>
      <w:r>
        <w:rPr>
          <w:i/>
          <w:iCs/>
          <w:sz w:val="20"/>
          <w:szCs w:val="20"/>
        </w:rPr>
        <w:t>Impediments of Shurgard’s public ownership structure</w:t>
      </w:r>
      <w:r>
        <w:rPr>
          <w:i/>
          <w:iCs/>
          <w:sz w:val="20"/>
          <w:szCs w:val="20"/>
        </w:rPr>
        <w:t>:</w:t>
      </w:r>
      <w:r>
        <w:rPr>
          <w:sz w:val="20"/>
          <w:szCs w:val="20"/>
        </w:rPr>
        <w:t xml:space="preserve"> Shurgard’s strategic decisions, involving activities such as borrowing money, capital contributions, raising ca</w:t>
      </w:r>
      <w:r>
        <w:rPr>
          <w:sz w:val="20"/>
          <w:szCs w:val="20"/>
        </w:rPr>
        <w:t xml:space="preserve">pital from third parties, as well as selling or acquiring significant assets, are determined by its board of directors. As a result, Shurgard may be precluded from taking advantage of opportunities that we would find attractive but that we may not be able </w:t>
      </w:r>
      <w:r>
        <w:rPr>
          <w:sz w:val="20"/>
          <w:szCs w:val="20"/>
        </w:rPr>
        <w:t>to pursue economically separately, or it could take actions that we do not agree with.</w:t>
      </w:r>
      <w:r>
        <w:rPr>
          <w:sz w:val="20"/>
          <w:szCs w:val="20"/>
        </w:rPr>
        <w:t xml:space="preserve"> </w:t>
      </w:r>
    </w:p>
    <w:p w:rsidR="00000000" w:rsidRDefault="00865332">
      <w:pPr>
        <w:pStyle w:val="a3"/>
        <w:spacing w:before="0" w:beforeAutospacing="0" w:after="0" w:afterAutospacing="0" w:line="276" w:lineRule="auto"/>
        <w:divId w:val="1936278066"/>
        <w:rPr>
          <w:sz w:val="20"/>
          <w:szCs w:val="20"/>
        </w:rPr>
      </w:pPr>
      <w:r>
        <w:rPr>
          <w:b/>
          <w:bCs/>
          <w:sz w:val="20"/>
          <w:szCs w:val="20"/>
        </w:rPr>
        <w:br/>
      </w:r>
      <w:r>
        <w:rPr>
          <w:b/>
          <w:bCs/>
          <w:sz w:val="20"/>
          <w:szCs w:val="20"/>
        </w:rPr>
        <w:t>‎</w:t>
      </w:r>
      <w:r>
        <w:rPr>
          <w:sz w:val="20"/>
          <w:szCs w:val="20"/>
        </w:rPr>
        <w:t xml:space="preserve"> </w:t>
      </w:r>
    </w:p>
    <w:p w:rsidR="00000000" w:rsidRDefault="00865332">
      <w:pPr>
        <w:pStyle w:val="a3"/>
        <w:spacing w:before="0" w:beforeAutospacing="0" w:after="0" w:afterAutospacing="0" w:line="259" w:lineRule="auto"/>
        <w:jc w:val="center"/>
        <w:divId w:val="143006328"/>
        <w:rPr>
          <w:sz w:val="20"/>
          <w:szCs w:val="20"/>
        </w:rPr>
      </w:pPr>
      <w:r>
        <w:rPr>
          <w:rStyle w:val="ctheaderfooterpage"/>
          <w:sz w:val="20"/>
          <w:szCs w:val="20"/>
        </w:rPr>
        <w:t>1</w:t>
      </w:r>
      <w:r>
        <w:rPr>
          <w:rStyle w:val="ctheaderfooterpage"/>
          <w:sz w:val="20"/>
          <w:szCs w:val="20"/>
        </w:rPr>
        <w:t>5</w:t>
      </w:r>
    </w:p>
    <w:p w:rsidR="00000000" w:rsidRDefault="00865332">
      <w:pPr>
        <w:spacing w:before="360" w:after="360"/>
        <w:divId w:val="9114421"/>
        <w:rPr>
          <w:rFonts w:eastAsia="Times New Roman"/>
        </w:rPr>
      </w:pPr>
      <w:r>
        <w:rPr>
          <w:rFonts w:eastAsia="Times New Roman"/>
        </w:rPr>
        <w:pict>
          <v:rect id="_x0000_i1039" style="width:0;height:1.5pt" o:hralign="center" o:hrstd="t" o:hr="t" fillcolor="#a0a0a0" stroked="f"/>
        </w:pict>
      </w:r>
    </w:p>
    <w:p w:rsidR="00000000" w:rsidRDefault="00865332">
      <w:pPr>
        <w:pStyle w:val="a3"/>
        <w:spacing w:before="0" w:beforeAutospacing="0" w:after="0" w:afterAutospacing="0" w:line="259" w:lineRule="auto"/>
        <w:jc w:val="both"/>
        <w:divId w:val="1756048785"/>
        <w:rPr>
          <w:sz w:val="20"/>
          <w:szCs w:val="20"/>
        </w:rPr>
      </w:pPr>
      <w:r>
        <w:rPr>
          <w:b/>
          <w:bCs/>
          <w:sz w:val="20"/>
          <w:szCs w:val="20"/>
        </w:rPr>
        <w:t>We have exposure to commercial property risk through our ownership in PSB.</w:t>
      </w:r>
      <w:r>
        <w:rPr>
          <w:b/>
          <w:bCs/>
          <w:sz w:val="20"/>
          <w:szCs w:val="20"/>
        </w:rPr>
        <w:t xml:space="preserve"> </w:t>
      </w:r>
    </w:p>
    <w:p w:rsidR="00000000" w:rsidRDefault="00865332">
      <w:pPr>
        <w:pStyle w:val="a3"/>
        <w:spacing w:before="0" w:beforeAutospacing="0" w:after="0" w:afterAutospacing="0" w:line="259" w:lineRule="auto"/>
        <w:ind w:firstLine="720"/>
        <w:jc w:val="both"/>
        <w:divId w:val="1756048785"/>
        <w:rPr>
          <w:sz w:val="20"/>
          <w:szCs w:val="20"/>
        </w:rPr>
      </w:pPr>
      <w:r>
        <w:rPr>
          <w:sz w:val="20"/>
          <w:szCs w:val="20"/>
        </w:rPr>
        <w:t>We own approximately 42% of the common equity of PSB, and this investment has a $427.9 million book value and a $2.4 billion market value (based</w:t>
      </w:r>
      <w:r>
        <w:rPr>
          <w:sz w:val="20"/>
          <w:szCs w:val="20"/>
        </w:rPr>
        <w:t xml:space="preserve"> upon the closing trading price of PSB’s common stock) at December 31, 2019. We recognized $54.1 million in equity in earnings, and received $60.7 million in dividends, in 2019, with respect to PSB.</w:t>
      </w:r>
      <w:r>
        <w:rPr>
          <w:sz w:val="20"/>
          <w:szCs w:val="20"/>
        </w:rPr>
        <w:t xml:space="preserve"> </w:t>
      </w:r>
    </w:p>
    <w:p w:rsidR="00000000" w:rsidRDefault="00865332">
      <w:pPr>
        <w:pStyle w:val="a3"/>
        <w:spacing w:before="0" w:beforeAutospacing="0" w:after="0" w:afterAutospacing="0" w:line="259" w:lineRule="auto"/>
        <w:ind w:firstLine="720"/>
        <w:jc w:val="both"/>
        <w:divId w:val="1756048785"/>
        <w:rPr>
          <w:sz w:val="20"/>
          <w:szCs w:val="20"/>
        </w:rPr>
      </w:pPr>
      <w:r>
        <w:rPr>
          <w:sz w:val="20"/>
          <w:szCs w:val="20"/>
        </w:rPr>
        <w:t>PSB, as an owner, operator, and developer of real estate</w:t>
      </w:r>
      <w:r>
        <w:rPr>
          <w:sz w:val="20"/>
          <w:szCs w:val="20"/>
        </w:rPr>
        <w:t>, is subject to many of the same risks we are with respect to real estate. However, we may be exposed to other risks as a result of PSB’s ownership specifically of commercial facilities. These risks are set forth in PSB’s Form 10-K for the year ended Decem</w:t>
      </w:r>
      <w:r>
        <w:rPr>
          <w:sz w:val="20"/>
          <w:szCs w:val="20"/>
        </w:rPr>
        <w:t>ber 31, 2019, under “Item 1A.</w:t>
      </w:r>
      <w:r>
        <w:rPr>
          <w:sz w:val="20"/>
          <w:szCs w:val="20"/>
        </w:rPr>
        <w:t xml:space="preserve"> </w:t>
      </w:r>
      <w:r>
        <w:rPr>
          <w:i/>
          <w:iCs/>
          <w:sz w:val="20"/>
          <w:szCs w:val="20"/>
        </w:rPr>
        <w:t>Risk Factor</w:t>
      </w:r>
      <w:r>
        <w:rPr>
          <w:i/>
          <w:iCs/>
          <w:sz w:val="20"/>
          <w:szCs w:val="20"/>
        </w:rPr>
        <w:t>s</w:t>
      </w:r>
      <w:r>
        <w:rPr>
          <w:sz w:val="20"/>
          <w:szCs w:val="20"/>
        </w:rPr>
        <w:t>.”</w:t>
      </w:r>
      <w:r>
        <w:rPr>
          <w:sz w:val="20"/>
          <w:szCs w:val="20"/>
        </w:rPr>
        <w:t xml:space="preserve"> </w:t>
      </w:r>
    </w:p>
    <w:p w:rsidR="00000000" w:rsidRDefault="00865332">
      <w:pPr>
        <w:pStyle w:val="a3"/>
        <w:spacing w:before="0" w:beforeAutospacing="0" w:after="0" w:afterAutospacing="0" w:line="259" w:lineRule="auto"/>
        <w:divId w:val="1756048785"/>
        <w:rPr>
          <w:sz w:val="20"/>
          <w:szCs w:val="20"/>
        </w:rPr>
      </w:pPr>
      <w:r>
        <w:rPr>
          <w:b/>
          <w:bCs/>
          <w:sz w:val="20"/>
          <w:szCs w:val="20"/>
        </w:rPr>
        <w:t>The Hughes Family could significantly influence us and take actions adverse to other shareholders.</w:t>
      </w:r>
      <w:r>
        <w:rPr>
          <w:b/>
          <w:bCs/>
          <w:sz w:val="20"/>
          <w:szCs w:val="20"/>
        </w:rPr>
        <w:t xml:space="preserve"> </w:t>
      </w:r>
      <w:r>
        <w:rPr>
          <w:sz w:val="20"/>
          <w:szCs w:val="20"/>
        </w:rPr>
        <w:t> </w:t>
      </w:r>
    </w:p>
    <w:p w:rsidR="00000000" w:rsidRDefault="00865332">
      <w:pPr>
        <w:pStyle w:val="a3"/>
        <w:spacing w:before="0" w:beforeAutospacing="0" w:after="0" w:afterAutospacing="0" w:line="259" w:lineRule="auto"/>
        <w:ind w:firstLine="720"/>
        <w:jc w:val="both"/>
        <w:divId w:val="1756048785"/>
        <w:rPr>
          <w:sz w:val="20"/>
          <w:szCs w:val="20"/>
        </w:rPr>
      </w:pPr>
      <w:r>
        <w:rPr>
          <w:sz w:val="20"/>
          <w:szCs w:val="20"/>
        </w:rPr>
        <w:t>At December 31, 2019, B. Wayne Hughes, our former Chairman and his family, which includes his daughter, Tamar</w:t>
      </w:r>
      <w:r>
        <w:rPr>
          <w:sz w:val="20"/>
          <w:szCs w:val="20"/>
        </w:rPr>
        <w:t>a Hughes Gustavson and his son, B. Wayne Hughes, Jr., who are both members of our Board of Trustees (collectively, the “Hughes Family”), owned approximately 14.1% of our aggregate outstanding common shares. Our declaration of trust permits the Hughes Famil</w:t>
      </w:r>
      <w:r>
        <w:rPr>
          <w:sz w:val="20"/>
          <w:szCs w:val="20"/>
        </w:rPr>
        <w:t>y to own up to 35.66% of our outstanding common shares while it generally restricts the ownership by other persons and entities to 3% of our outstanding common shares unless our Board of Trustees grants an ownership waiver, as has occurred in certain cases</w:t>
      </w:r>
      <w:r>
        <w:rPr>
          <w:sz w:val="20"/>
          <w:szCs w:val="20"/>
        </w:rPr>
        <w:t xml:space="preserve"> for large mutual fund companies. Consequently, the Hughes Family may significantly influence matters submitted to a vote of our shareholders, including electing trustees, amending our organizational documents, dissolving and approving other extraordinary </w:t>
      </w:r>
      <w:r>
        <w:rPr>
          <w:sz w:val="20"/>
          <w:szCs w:val="20"/>
        </w:rPr>
        <w:t>transactions, such as a takeover attempt, which may result in an outcome that may not be favorable to other shareholders</w:t>
      </w:r>
      <w:r>
        <w:rPr>
          <w:sz w:val="20"/>
          <w:szCs w:val="20"/>
        </w:rPr>
        <w:t>.</w:t>
      </w:r>
    </w:p>
    <w:p w:rsidR="00000000" w:rsidRDefault="00865332">
      <w:pPr>
        <w:pStyle w:val="a3"/>
        <w:spacing w:before="0" w:beforeAutospacing="0" w:after="0" w:afterAutospacing="0" w:line="259" w:lineRule="auto"/>
        <w:jc w:val="both"/>
        <w:divId w:val="1756048785"/>
        <w:rPr>
          <w:sz w:val="20"/>
          <w:szCs w:val="20"/>
        </w:rPr>
      </w:pPr>
      <w:r>
        <w:rPr>
          <w:b/>
          <w:bCs/>
          <w:sz w:val="20"/>
          <w:szCs w:val="20"/>
        </w:rPr>
        <w:t>Takeover attempts or changes in control could be thwarted, even if beneficial to shareholders</w:t>
      </w:r>
      <w:r>
        <w:rPr>
          <w:b/>
          <w:bCs/>
          <w:sz w:val="20"/>
          <w:szCs w:val="20"/>
        </w:rPr>
        <w:t>.</w:t>
      </w:r>
    </w:p>
    <w:p w:rsidR="00000000" w:rsidRDefault="00865332">
      <w:pPr>
        <w:pStyle w:val="a3"/>
        <w:spacing w:before="0" w:beforeAutospacing="0" w:after="0" w:afterAutospacing="0" w:line="259" w:lineRule="auto"/>
        <w:ind w:firstLine="720"/>
        <w:jc w:val="both"/>
        <w:divId w:val="1756048785"/>
        <w:rPr>
          <w:sz w:val="20"/>
          <w:szCs w:val="20"/>
        </w:rPr>
      </w:pPr>
      <w:r>
        <w:rPr>
          <w:sz w:val="20"/>
          <w:szCs w:val="20"/>
        </w:rPr>
        <w:t xml:space="preserve">In certain circumstances, shareholders </w:t>
      </w:r>
      <w:r>
        <w:rPr>
          <w:sz w:val="20"/>
          <w:szCs w:val="20"/>
        </w:rPr>
        <w:t>might desire a change of control or acquisition of us, in order to realize a premium over the then-prevailing market price of our shares or for other reasons. However, the following could prevent, deter, or delay such a transaction:</w:t>
      </w:r>
      <w:r>
        <w:rPr>
          <w:sz w:val="20"/>
          <w:szCs w:val="20"/>
        </w:rPr>
        <w:t xml:space="preserve"> </w:t>
      </w:r>
    </w:p>
    <w:p w:rsidR="00000000" w:rsidRDefault="00865332">
      <w:pPr>
        <w:pStyle w:val="a3"/>
        <w:spacing w:before="0" w:beforeAutospacing="0" w:after="0" w:afterAutospacing="0" w:line="259" w:lineRule="auto"/>
        <w:ind w:left="1440" w:hanging="360"/>
        <w:jc w:val="both"/>
        <w:divId w:val="1756048785"/>
        <w:rPr>
          <w:sz w:val="20"/>
          <w:szCs w:val="20"/>
        </w:rPr>
      </w:pPr>
      <w:r>
        <w:rPr>
          <w:rFonts w:ascii="Symbol" w:hAnsi="Symbol"/>
          <w:sz w:val="20"/>
          <w:szCs w:val="20"/>
        </w:rPr>
        <w:sym w:font="Symbol" w:char="F0B7"/>
      </w:r>
      <w:r>
        <w:rPr>
          <w:sz w:val="20"/>
          <w:szCs w:val="20"/>
        </w:rPr>
        <w:t>Provisions of Marylan</w:t>
      </w:r>
      <w:r>
        <w:rPr>
          <w:sz w:val="20"/>
          <w:szCs w:val="20"/>
        </w:rPr>
        <w:t>d law may impose limitations that may make it more difficult for a third party to negotiate or effect a business combination transaction or control share acquisition with Public Storage. Currently, the Board has opted not to subject the Company to these pr</w:t>
      </w:r>
      <w:r>
        <w:rPr>
          <w:sz w:val="20"/>
          <w:szCs w:val="20"/>
        </w:rPr>
        <w:t>ovisions of Maryland law, but it could choose to do so in the future without shareholder approval.</w:t>
      </w:r>
      <w:r>
        <w:rPr>
          <w:sz w:val="20"/>
          <w:szCs w:val="20"/>
        </w:rPr>
        <w:t xml:space="preserve"> </w:t>
      </w:r>
    </w:p>
    <w:p w:rsidR="00000000" w:rsidRDefault="00865332">
      <w:pPr>
        <w:pStyle w:val="a3"/>
        <w:spacing w:before="0" w:beforeAutospacing="0" w:after="0" w:afterAutospacing="0" w:line="259" w:lineRule="auto"/>
        <w:ind w:left="1440" w:hanging="360"/>
        <w:jc w:val="both"/>
        <w:divId w:val="1756048785"/>
        <w:rPr>
          <w:sz w:val="20"/>
          <w:szCs w:val="20"/>
        </w:rPr>
      </w:pPr>
      <w:r>
        <w:rPr>
          <w:rFonts w:ascii="Symbol" w:hAnsi="Symbol"/>
          <w:sz w:val="20"/>
          <w:szCs w:val="20"/>
        </w:rPr>
        <w:sym w:font="Symbol" w:char="F0B7"/>
      </w:r>
      <w:r>
        <w:rPr>
          <w:sz w:val="20"/>
          <w:szCs w:val="20"/>
        </w:rPr>
        <w:t>To protect against the loss of our REIT status due to concentration of ownership levels, our declaration of trust generally limits the ability of a person,</w:t>
      </w:r>
      <w:r>
        <w:rPr>
          <w:sz w:val="20"/>
          <w:szCs w:val="20"/>
        </w:rPr>
        <w:t xml:space="preserve"> other than the Hughes Family or “designated investment entities” (each as defined in our declaration of trust), to own, actually or constructively, more than 3% of our outstanding common shares or 9.9% of the outstanding shares of any class or series of p</w:t>
      </w:r>
      <w:r>
        <w:rPr>
          <w:sz w:val="20"/>
          <w:szCs w:val="20"/>
        </w:rPr>
        <w:t>referred or equity shares. Our Board may grant, and has previously granted, a specific exemption. These limits could discourage, delay or prevent a transaction involving a change in control of the Company not approved by our Board.</w:t>
      </w:r>
      <w:r>
        <w:rPr>
          <w:sz w:val="20"/>
          <w:szCs w:val="20"/>
        </w:rPr>
        <w:t xml:space="preserve"> </w:t>
      </w:r>
    </w:p>
    <w:p w:rsidR="00000000" w:rsidRDefault="00865332">
      <w:pPr>
        <w:pStyle w:val="a3"/>
        <w:spacing w:before="0" w:beforeAutospacing="0" w:after="0" w:afterAutospacing="0" w:line="259" w:lineRule="auto"/>
        <w:ind w:left="1440" w:hanging="360"/>
        <w:jc w:val="both"/>
        <w:divId w:val="1756048785"/>
        <w:rPr>
          <w:sz w:val="20"/>
          <w:szCs w:val="20"/>
        </w:rPr>
      </w:pPr>
      <w:r>
        <w:rPr>
          <w:rFonts w:ascii="Symbol" w:hAnsi="Symbol"/>
          <w:sz w:val="20"/>
          <w:szCs w:val="20"/>
        </w:rPr>
        <w:sym w:font="Symbol" w:char="F0B7"/>
      </w:r>
      <w:r>
        <w:rPr>
          <w:sz w:val="20"/>
          <w:szCs w:val="20"/>
        </w:rPr>
        <w:t>Similarly, current pro</w:t>
      </w:r>
      <w:r>
        <w:rPr>
          <w:sz w:val="20"/>
          <w:szCs w:val="20"/>
        </w:rPr>
        <w:t>visions of our declaration of trust and powers of our Board could have the same effect, including (1) limitations on removal of trustees, (2) restrictions on the acquisition of our shares of beneficial interest, (3) the power to issue additional common sha</w:t>
      </w:r>
      <w:r>
        <w:rPr>
          <w:sz w:val="20"/>
          <w:szCs w:val="20"/>
        </w:rPr>
        <w:t>res, preferred shares or equity shares on terms approved by the Board without obtaining shareholder approval, (4) the advance notice provisions of our bylaws and (5) the Board’s ability under Maryland law, without obtaining shareholder approval, to impleme</w:t>
      </w:r>
      <w:r>
        <w:rPr>
          <w:sz w:val="20"/>
          <w:szCs w:val="20"/>
        </w:rPr>
        <w:t>nt takeover defenses that we may not yet have and to take, or refrain from taking, other actions that could have the effect of delaying, deterring or preventing a transaction or a change in control</w:t>
      </w:r>
      <w:r>
        <w:rPr>
          <w:sz w:val="20"/>
          <w:szCs w:val="20"/>
        </w:rPr>
        <w:t>.</w:t>
      </w:r>
    </w:p>
    <w:p w:rsidR="00000000" w:rsidRDefault="00865332">
      <w:pPr>
        <w:pStyle w:val="a3"/>
        <w:spacing w:before="0" w:beforeAutospacing="0" w:after="0" w:afterAutospacing="0" w:line="276" w:lineRule="auto"/>
        <w:divId w:val="1756048785"/>
        <w:rPr>
          <w:sz w:val="20"/>
          <w:szCs w:val="20"/>
        </w:rPr>
      </w:pPr>
      <w:r>
        <w:rPr>
          <w:b/>
          <w:bCs/>
          <w:sz w:val="20"/>
          <w:szCs w:val="20"/>
        </w:rPr>
        <w:br/>
      </w:r>
      <w:r>
        <w:rPr>
          <w:b/>
          <w:bCs/>
          <w:sz w:val="20"/>
          <w:szCs w:val="20"/>
        </w:rPr>
        <w:t>‎</w:t>
      </w:r>
      <w:r>
        <w:rPr>
          <w:sz w:val="20"/>
          <w:szCs w:val="20"/>
        </w:rPr>
        <w:t xml:space="preserve"> </w:t>
      </w:r>
    </w:p>
    <w:p w:rsidR="00000000" w:rsidRDefault="00865332">
      <w:pPr>
        <w:pStyle w:val="a3"/>
        <w:spacing w:before="0" w:beforeAutospacing="0" w:after="0" w:afterAutospacing="0" w:line="259" w:lineRule="auto"/>
        <w:jc w:val="center"/>
        <w:divId w:val="388580971"/>
        <w:rPr>
          <w:sz w:val="20"/>
          <w:szCs w:val="20"/>
        </w:rPr>
      </w:pPr>
      <w:r>
        <w:rPr>
          <w:rStyle w:val="ctheaderfooterpage"/>
          <w:sz w:val="20"/>
          <w:szCs w:val="20"/>
        </w:rPr>
        <w:t>1</w:t>
      </w:r>
      <w:r>
        <w:rPr>
          <w:rStyle w:val="ctheaderfooterpage"/>
          <w:sz w:val="20"/>
          <w:szCs w:val="20"/>
        </w:rPr>
        <w:t>6</w:t>
      </w:r>
    </w:p>
    <w:p w:rsidR="00000000" w:rsidRDefault="00865332">
      <w:pPr>
        <w:spacing w:before="360" w:after="360"/>
        <w:divId w:val="115147887"/>
        <w:rPr>
          <w:rFonts w:eastAsia="Times New Roman"/>
        </w:rPr>
      </w:pPr>
      <w:r>
        <w:rPr>
          <w:rFonts w:eastAsia="Times New Roman"/>
        </w:rPr>
        <w:pict>
          <v:rect id="_x0000_i1040" style="width:0;height:1.5pt" o:hralign="center" o:hrstd="t" o:hr="t" fillcolor="#a0a0a0" stroked="f"/>
        </w:pict>
      </w:r>
    </w:p>
    <w:p w:rsidR="00000000" w:rsidRDefault="00865332">
      <w:pPr>
        <w:pStyle w:val="a3"/>
        <w:spacing w:before="0" w:beforeAutospacing="0" w:after="0" w:afterAutospacing="0" w:line="259" w:lineRule="auto"/>
        <w:jc w:val="both"/>
        <w:divId w:val="488251384"/>
        <w:rPr>
          <w:sz w:val="20"/>
          <w:szCs w:val="20"/>
        </w:rPr>
      </w:pPr>
      <w:r>
        <w:rPr>
          <w:b/>
          <w:bCs/>
          <w:sz w:val="20"/>
          <w:szCs w:val="20"/>
        </w:rPr>
        <w:t>If we failed t</w:t>
      </w:r>
      <w:r>
        <w:rPr>
          <w:b/>
          <w:bCs/>
          <w:sz w:val="20"/>
          <w:szCs w:val="20"/>
        </w:rPr>
        <w:t>o qualify as a REIT, we would have to pay substantial income taxes</w:t>
      </w:r>
      <w:r>
        <w:rPr>
          <w:b/>
          <w:bCs/>
          <w:sz w:val="20"/>
          <w:szCs w:val="20"/>
        </w:rPr>
        <w:t>.</w:t>
      </w:r>
    </w:p>
    <w:p w:rsidR="00000000" w:rsidRDefault="00865332">
      <w:pPr>
        <w:pStyle w:val="a3"/>
        <w:spacing w:before="0" w:beforeAutospacing="0" w:after="0" w:afterAutospacing="0" w:line="259" w:lineRule="auto"/>
        <w:ind w:firstLine="720"/>
        <w:jc w:val="both"/>
        <w:divId w:val="488251384"/>
        <w:rPr>
          <w:sz w:val="20"/>
          <w:szCs w:val="20"/>
        </w:rPr>
      </w:pPr>
      <w:r>
        <w:rPr>
          <w:sz w:val="20"/>
          <w:szCs w:val="20"/>
        </w:rPr>
        <w:t xml:space="preserve">REITs are subject to a range of complex organizational and operational requirements. A qualifying REIT does not generally incur federal income tax on its net income that is distributed to </w:t>
      </w:r>
      <w:r>
        <w:rPr>
          <w:sz w:val="20"/>
          <w:szCs w:val="20"/>
        </w:rPr>
        <w:t>its shareholders. Our REIT status is also dependent upon the ongoing REIT qualification of PSB as a result of our substantial ownership interest in it. We believe we have qualified as a REIT and we intend to continue to maintain our REIT status.</w:t>
      </w:r>
      <w:r>
        <w:rPr>
          <w:sz w:val="20"/>
          <w:szCs w:val="20"/>
        </w:rPr>
        <w:t xml:space="preserve"> </w:t>
      </w:r>
    </w:p>
    <w:p w:rsidR="00000000" w:rsidRDefault="00865332">
      <w:pPr>
        <w:pStyle w:val="a3"/>
        <w:spacing w:before="0" w:beforeAutospacing="0" w:after="0" w:afterAutospacing="0" w:line="259" w:lineRule="auto"/>
        <w:ind w:firstLine="720"/>
        <w:jc w:val="both"/>
        <w:divId w:val="488251384"/>
        <w:rPr>
          <w:sz w:val="20"/>
          <w:szCs w:val="20"/>
        </w:rPr>
      </w:pPr>
      <w:r>
        <w:rPr>
          <w:sz w:val="20"/>
          <w:szCs w:val="20"/>
        </w:rPr>
        <w:t>There can be no assurance that we qualify or will continue to qualify as a REIT, because of the highly technical nature of the REIT rules, the ongoing importance of factual determinations, the possibility of unidentified issues in prior periods, or changes</w:t>
      </w:r>
      <w:r>
        <w:rPr>
          <w:sz w:val="20"/>
          <w:szCs w:val="20"/>
        </w:rPr>
        <w:t xml:space="preserve"> in our circumstances, as well as share ownership limits in our articles of incorporation that do not necessarily ensure that our shareholder base is sufficiently diverse for us to qualify as a REIT. For any year we fail to qualify as a REIT, unless certai</w:t>
      </w:r>
      <w:r>
        <w:rPr>
          <w:sz w:val="20"/>
          <w:szCs w:val="20"/>
        </w:rPr>
        <w:t>n relief provisions apply (the granting of such relief could nonetheless result in significant excise or penalty taxes), we would not be allowed a deduction for dividends paid, we would be subject to corporate tax on our taxable income, and generally we wo</w:t>
      </w:r>
      <w:r>
        <w:rPr>
          <w:sz w:val="20"/>
          <w:szCs w:val="20"/>
        </w:rPr>
        <w:t xml:space="preserve">uld not be allowed to elect REIT status until the fifth year after such a disqualification. Any taxes, interest, and penalties incurred would reduce our cash available for distributions to shareholders and could negatively affect our stock price. However, </w:t>
      </w:r>
      <w:r>
        <w:rPr>
          <w:sz w:val="20"/>
          <w:szCs w:val="20"/>
        </w:rPr>
        <w:t>for years in which we failed to qualify as a REIT, we would not be subject to REIT rules that require us to distribute substantially all of our taxable income to our shareholders</w:t>
      </w:r>
      <w:r>
        <w:rPr>
          <w:sz w:val="20"/>
          <w:szCs w:val="20"/>
        </w:rPr>
        <w:t>.</w:t>
      </w:r>
    </w:p>
    <w:p w:rsidR="00000000" w:rsidRDefault="00865332">
      <w:pPr>
        <w:pStyle w:val="a3"/>
        <w:spacing w:before="0" w:beforeAutospacing="0" w:after="0" w:afterAutospacing="0" w:line="259" w:lineRule="auto"/>
        <w:jc w:val="both"/>
        <w:divId w:val="488251384"/>
        <w:rPr>
          <w:sz w:val="20"/>
          <w:szCs w:val="20"/>
        </w:rPr>
      </w:pPr>
      <w:r>
        <w:rPr>
          <w:b/>
          <w:bCs/>
          <w:sz w:val="20"/>
          <w:szCs w:val="20"/>
        </w:rPr>
        <w:t xml:space="preserve">Holders of our preferred shares have dividend, liquidation and other rights </w:t>
      </w:r>
      <w:r>
        <w:rPr>
          <w:b/>
          <w:bCs/>
          <w:sz w:val="20"/>
          <w:szCs w:val="20"/>
        </w:rPr>
        <w:t>that are senior to the rights of the holders of shares of our common stock</w:t>
      </w:r>
      <w:r>
        <w:rPr>
          <w:b/>
          <w:bCs/>
          <w:sz w:val="20"/>
          <w:szCs w:val="20"/>
        </w:rPr>
        <w:t>.</w:t>
      </w:r>
    </w:p>
    <w:p w:rsidR="00000000" w:rsidRDefault="00865332">
      <w:pPr>
        <w:pStyle w:val="a3"/>
        <w:spacing w:before="0" w:beforeAutospacing="0" w:after="0" w:afterAutospacing="0" w:line="259" w:lineRule="auto"/>
        <w:ind w:firstLine="720"/>
        <w:jc w:val="both"/>
        <w:divId w:val="488251384"/>
        <w:rPr>
          <w:sz w:val="20"/>
          <w:szCs w:val="20"/>
        </w:rPr>
      </w:pPr>
      <w:r>
        <w:rPr>
          <w:sz w:val="20"/>
          <w:szCs w:val="20"/>
        </w:rPr>
        <w:t>Holders of our preferred shares are entitled to cumulative dividends before any dividends may be declared or set aside on our common stock. Upon liquidation, holders of our preferr</w:t>
      </w:r>
      <w:r>
        <w:rPr>
          <w:sz w:val="20"/>
          <w:szCs w:val="20"/>
        </w:rPr>
        <w:t>ed shares will receive a liquidation preference of $25,000 per share (or $25.00 per depositary share) plus any accrued and unpaid distributions before any payment is made to the common shareholders. These preferences may limit the amount received by our co</w:t>
      </w:r>
      <w:r>
        <w:rPr>
          <w:sz w:val="20"/>
          <w:szCs w:val="20"/>
        </w:rPr>
        <w:t>mmon shareholders either from ongoing distributions or upon liquidation. In addition, our preferred shareholders have the right to elect two additional directors to our Board whenever dividends are in arrears in an aggregate amount equivalent to six or mor</w:t>
      </w:r>
      <w:r>
        <w:rPr>
          <w:sz w:val="20"/>
          <w:szCs w:val="20"/>
        </w:rPr>
        <w:t>e quarterly dividends, whether or not consecutive</w:t>
      </w:r>
      <w:r>
        <w:rPr>
          <w:sz w:val="20"/>
          <w:szCs w:val="20"/>
        </w:rPr>
        <w:t>.</w:t>
      </w:r>
    </w:p>
    <w:p w:rsidR="00000000" w:rsidRDefault="00865332">
      <w:pPr>
        <w:pStyle w:val="a3"/>
        <w:spacing w:before="0" w:beforeAutospacing="0" w:after="0" w:afterAutospacing="0" w:line="259" w:lineRule="auto"/>
        <w:jc w:val="both"/>
        <w:divId w:val="488251384"/>
        <w:rPr>
          <w:sz w:val="20"/>
          <w:szCs w:val="20"/>
        </w:rPr>
      </w:pPr>
      <w:r>
        <w:rPr>
          <w:b/>
          <w:bCs/>
          <w:sz w:val="20"/>
          <w:szCs w:val="20"/>
        </w:rPr>
        <w:t>We are increasingly dependent upon Google to source our customers</w:t>
      </w:r>
      <w:r>
        <w:rPr>
          <w:b/>
          <w:bCs/>
          <w:sz w:val="20"/>
          <w:szCs w:val="20"/>
        </w:rPr>
        <w:t>.</w:t>
      </w:r>
    </w:p>
    <w:p w:rsidR="00000000" w:rsidRDefault="00865332">
      <w:pPr>
        <w:pStyle w:val="a3"/>
        <w:spacing w:before="0" w:beforeAutospacing="0" w:after="0" w:afterAutospacing="0" w:line="259" w:lineRule="auto"/>
        <w:ind w:firstLine="806"/>
        <w:jc w:val="both"/>
        <w:divId w:val="488251384"/>
        <w:rPr>
          <w:sz w:val="20"/>
          <w:szCs w:val="20"/>
        </w:rPr>
      </w:pPr>
      <w:r>
        <w:rPr>
          <w:sz w:val="20"/>
          <w:szCs w:val="20"/>
        </w:rPr>
        <w:t>Approximately 59% of our new storage customers in 2019 were sourced directly or indirectly through “unpaid” search and “paid” search campa</w:t>
      </w:r>
      <w:r>
        <w:rPr>
          <w:sz w:val="20"/>
          <w:szCs w:val="20"/>
        </w:rPr>
        <w:t>igns on Google. We believe that the vast majority of customers searching for self-storage use Google at some stage in their shopping experience. Google is providing tools to allow smaller and less sophisticated operators to bid for search terms, increasing</w:t>
      </w:r>
      <w:r>
        <w:rPr>
          <w:sz w:val="20"/>
          <w:szCs w:val="20"/>
        </w:rPr>
        <w:t xml:space="preserve"> competition for self-storage search terms. The predominance of Google in the shopping experience, as well as Google’s enabling of additional competitors to bid for placements in self-storage search terms, may reduce the number of new customers that we can</w:t>
      </w:r>
      <w:r>
        <w:rPr>
          <w:sz w:val="20"/>
          <w:szCs w:val="20"/>
        </w:rPr>
        <w:t xml:space="preserve"> procure, and/or increase our costs to obtain new customers.</w:t>
      </w:r>
      <w:r>
        <w:rPr>
          <w:sz w:val="20"/>
          <w:szCs w:val="20"/>
        </w:rPr>
        <w:t xml:space="preserve"> </w:t>
      </w:r>
    </w:p>
    <w:p w:rsidR="00000000" w:rsidRDefault="00865332">
      <w:pPr>
        <w:pStyle w:val="a3"/>
        <w:spacing w:before="0" w:beforeAutospacing="0" w:after="0" w:afterAutospacing="0" w:line="259" w:lineRule="auto"/>
        <w:jc w:val="both"/>
        <w:divId w:val="488251384"/>
        <w:rPr>
          <w:sz w:val="20"/>
          <w:szCs w:val="20"/>
        </w:rPr>
      </w:pPr>
      <w:r>
        <w:rPr>
          <w:b/>
          <w:bCs/>
          <w:sz w:val="20"/>
          <w:szCs w:val="20"/>
        </w:rPr>
        <w:t>Preferred Shareholders are subject to certain risks</w:t>
      </w:r>
      <w:r>
        <w:rPr>
          <w:b/>
          <w:bCs/>
          <w:sz w:val="20"/>
          <w:szCs w:val="20"/>
        </w:rPr>
        <w:t>.</w:t>
      </w:r>
    </w:p>
    <w:p w:rsidR="00000000" w:rsidRDefault="00865332">
      <w:pPr>
        <w:pStyle w:val="a3"/>
        <w:spacing w:before="0" w:beforeAutospacing="0" w:after="0" w:afterAutospacing="0" w:line="259" w:lineRule="auto"/>
        <w:ind w:firstLine="720"/>
        <w:jc w:val="both"/>
        <w:divId w:val="488251384"/>
        <w:rPr>
          <w:sz w:val="20"/>
          <w:szCs w:val="20"/>
        </w:rPr>
      </w:pPr>
      <w:r>
        <w:rPr>
          <w:sz w:val="20"/>
          <w:szCs w:val="20"/>
        </w:rPr>
        <w:t>Holders of our preferred shares have preference rights over our common shareholders with respect to liquidation and distributions, which give</w:t>
      </w:r>
      <w:r>
        <w:rPr>
          <w:sz w:val="20"/>
          <w:szCs w:val="20"/>
        </w:rPr>
        <w:t xml:space="preserve"> them some assurance of continued payment of their stated dividend rate, and receipt of their principal upon liquidation of the Company or redemption of their securities. However, holders of our Preferred Shares should consider the following risks:</w:t>
      </w:r>
      <w:r>
        <w:rPr>
          <w:sz w:val="20"/>
          <w:szCs w:val="20"/>
        </w:rPr>
        <w:t xml:space="preserve"> </w:t>
      </w:r>
    </w:p>
    <w:p w:rsidR="00000000" w:rsidRDefault="00865332">
      <w:pPr>
        <w:pStyle w:val="a3"/>
        <w:spacing w:before="0" w:beforeAutospacing="0" w:after="0" w:afterAutospacing="0" w:line="259" w:lineRule="auto"/>
        <w:ind w:left="1498" w:hanging="360"/>
        <w:jc w:val="both"/>
        <w:divId w:val="488251384"/>
        <w:rPr>
          <w:sz w:val="20"/>
          <w:szCs w:val="20"/>
        </w:rPr>
      </w:pPr>
      <w:r>
        <w:rPr>
          <w:rFonts w:ascii="Symbol" w:hAnsi="Symbol"/>
          <w:sz w:val="20"/>
          <w:szCs w:val="20"/>
        </w:rPr>
        <w:sym w:font="Symbol" w:char="F0B7"/>
      </w:r>
      <w:r>
        <w:rPr>
          <w:sz w:val="20"/>
          <w:szCs w:val="20"/>
        </w:rPr>
        <w:t>The C</w:t>
      </w:r>
      <w:r>
        <w:rPr>
          <w:sz w:val="20"/>
          <w:szCs w:val="20"/>
        </w:rPr>
        <w:t>ompany has in the past, and could in the future, issue or assume additional debt. Preferred shareholders would be subordinated to the interest and principal payments of such debt, which would increase the risk that there would not be sufficient funds to pa</w:t>
      </w:r>
      <w:r>
        <w:rPr>
          <w:sz w:val="20"/>
          <w:szCs w:val="20"/>
        </w:rPr>
        <w:t>y distributions or liquidation amounts to the preferred shareholders.</w:t>
      </w:r>
      <w:r>
        <w:rPr>
          <w:sz w:val="20"/>
          <w:szCs w:val="20"/>
        </w:rPr>
        <w:t xml:space="preserve"> </w:t>
      </w:r>
    </w:p>
    <w:p w:rsidR="00000000" w:rsidRDefault="00865332">
      <w:pPr>
        <w:pStyle w:val="a3"/>
        <w:spacing w:before="0" w:beforeAutospacing="0" w:after="0" w:afterAutospacing="0" w:line="259" w:lineRule="auto"/>
        <w:jc w:val="center"/>
        <w:divId w:val="228345496"/>
        <w:rPr>
          <w:sz w:val="20"/>
          <w:szCs w:val="20"/>
        </w:rPr>
      </w:pPr>
      <w:r>
        <w:rPr>
          <w:rStyle w:val="ctheaderfooterpage"/>
          <w:sz w:val="20"/>
          <w:szCs w:val="20"/>
        </w:rPr>
        <w:t>1</w:t>
      </w:r>
      <w:r>
        <w:rPr>
          <w:rStyle w:val="ctheaderfooterpage"/>
          <w:sz w:val="20"/>
          <w:szCs w:val="20"/>
        </w:rPr>
        <w:t>7</w:t>
      </w:r>
    </w:p>
    <w:p w:rsidR="00000000" w:rsidRDefault="00865332">
      <w:pPr>
        <w:spacing w:before="360" w:after="360"/>
        <w:divId w:val="1678992993"/>
        <w:rPr>
          <w:rFonts w:eastAsia="Times New Roman"/>
        </w:rPr>
      </w:pPr>
      <w:r>
        <w:rPr>
          <w:rFonts w:eastAsia="Times New Roman"/>
        </w:rPr>
        <w:pict>
          <v:rect id="_x0000_i1041" style="width:0;height:1.5pt" o:hralign="center" o:hrstd="t" o:hr="t" fillcolor="#a0a0a0" stroked="f"/>
        </w:pict>
      </w:r>
    </w:p>
    <w:p w:rsidR="00000000" w:rsidRDefault="00865332">
      <w:pPr>
        <w:pStyle w:val="a3"/>
        <w:spacing w:before="0" w:beforeAutospacing="0" w:after="0" w:afterAutospacing="0" w:line="259" w:lineRule="auto"/>
        <w:ind w:left="1498" w:hanging="360"/>
        <w:jc w:val="both"/>
        <w:divId w:val="1212230335"/>
        <w:rPr>
          <w:sz w:val="20"/>
          <w:szCs w:val="20"/>
        </w:rPr>
      </w:pPr>
      <w:r>
        <w:rPr>
          <w:rFonts w:ascii="Symbol" w:hAnsi="Symbol"/>
          <w:sz w:val="20"/>
          <w:szCs w:val="20"/>
        </w:rPr>
        <w:sym w:font="Symbol" w:char="F0B7"/>
      </w:r>
      <w:r>
        <w:rPr>
          <w:sz w:val="20"/>
          <w:szCs w:val="20"/>
        </w:rPr>
        <w:t xml:space="preserve">The Company has in the past, and could in the future, issue additional preferred shares that, while pari passu to the existing preferred shares, </w:t>
      </w:r>
      <w:r>
        <w:rPr>
          <w:sz w:val="20"/>
          <w:szCs w:val="20"/>
        </w:rPr>
        <w:t>increases the risk that there would not be sufficient funds to pay distributions to the preferred shareholders.</w:t>
      </w:r>
      <w:r>
        <w:rPr>
          <w:sz w:val="20"/>
          <w:szCs w:val="20"/>
        </w:rPr>
        <w:t xml:space="preserve"> </w:t>
      </w:r>
    </w:p>
    <w:p w:rsidR="00000000" w:rsidRDefault="00865332">
      <w:pPr>
        <w:pStyle w:val="a3"/>
        <w:spacing w:before="0" w:beforeAutospacing="0" w:after="0" w:afterAutospacing="0" w:line="259" w:lineRule="auto"/>
        <w:ind w:left="1498" w:hanging="360"/>
        <w:jc w:val="both"/>
        <w:divId w:val="1212230335"/>
        <w:rPr>
          <w:sz w:val="20"/>
          <w:szCs w:val="20"/>
        </w:rPr>
      </w:pPr>
      <w:r>
        <w:rPr>
          <w:rFonts w:ascii="Symbol" w:hAnsi="Symbol"/>
          <w:sz w:val="20"/>
          <w:szCs w:val="20"/>
        </w:rPr>
        <w:sym w:font="Symbol" w:char="F0B7"/>
      </w:r>
      <w:r>
        <w:rPr>
          <w:sz w:val="20"/>
          <w:szCs w:val="20"/>
        </w:rPr>
        <w:t>While the Company has no plans to do so, if the Company were to lose its REIT status or no longer elect REIT status, it would no longer be req</w:t>
      </w:r>
      <w:r>
        <w:rPr>
          <w:sz w:val="20"/>
          <w:szCs w:val="20"/>
        </w:rPr>
        <w:t>uired to distribute its taxable income to maintain REIT status. If, in such a circumstance, the Company ceased paying dividends, unpaid distributions to the preferred shareholders would continue to accumulate. The preferred shareholders would have the abil</w:t>
      </w:r>
      <w:r>
        <w:rPr>
          <w:sz w:val="20"/>
          <w:szCs w:val="20"/>
        </w:rPr>
        <w:t>ity to elect two additional members to serve on our Board of Trustees until the arrearage was cured. The preferred shareholders would not receive any compensation (such as interest) for the delay in the receipt of distributions, and it is possible that the</w:t>
      </w:r>
      <w:r>
        <w:rPr>
          <w:sz w:val="20"/>
          <w:szCs w:val="20"/>
        </w:rPr>
        <w:t xml:space="preserve"> arrearage could accumulate indefinitely.</w:t>
      </w:r>
      <w:r>
        <w:rPr>
          <w:sz w:val="20"/>
          <w:szCs w:val="20"/>
        </w:rPr>
        <w:t xml:space="preserve"> </w:t>
      </w:r>
    </w:p>
    <w:p w:rsidR="00000000" w:rsidRDefault="00865332">
      <w:pPr>
        <w:pStyle w:val="a3"/>
        <w:spacing w:before="0" w:beforeAutospacing="0" w:after="0" w:afterAutospacing="0" w:line="259" w:lineRule="auto"/>
        <w:jc w:val="both"/>
        <w:divId w:val="1212230335"/>
        <w:rPr>
          <w:sz w:val="20"/>
          <w:szCs w:val="20"/>
        </w:rPr>
      </w:pPr>
      <w:r>
        <w:rPr>
          <w:b/>
          <w:bCs/>
          <w:sz w:val="20"/>
          <w:szCs w:val="20"/>
        </w:rPr>
        <w:t>Changes in tax laws could negatively impact us</w:t>
      </w:r>
      <w:r>
        <w:rPr>
          <w:b/>
          <w:bCs/>
          <w:sz w:val="20"/>
          <w:szCs w:val="20"/>
        </w:rPr>
        <w:t>.</w:t>
      </w:r>
    </w:p>
    <w:p w:rsidR="00000000" w:rsidRDefault="00865332">
      <w:pPr>
        <w:pStyle w:val="a3"/>
        <w:spacing w:before="0" w:beforeAutospacing="0" w:after="0" w:afterAutospacing="0" w:line="259" w:lineRule="auto"/>
        <w:ind w:firstLine="720"/>
        <w:jc w:val="both"/>
        <w:divId w:val="1212230335"/>
        <w:rPr>
          <w:sz w:val="20"/>
          <w:szCs w:val="20"/>
        </w:rPr>
      </w:pPr>
      <w:r>
        <w:rPr>
          <w:sz w:val="20"/>
          <w:szCs w:val="20"/>
        </w:rPr>
        <w:t>The United States Treasury Department and Congress frequently review federal income tax legislation, regulations and other guidance. We cannot predict whether, when,</w:t>
      </w:r>
      <w:r>
        <w:rPr>
          <w:sz w:val="20"/>
          <w:szCs w:val="20"/>
        </w:rPr>
        <w:t xml:space="preserve"> or to what extent new federal tax laws, regulations, interpretations or rulings will be adopted. Any legislative action may prospectively or retroactively modify our tax treatment and, therefore, may adversely affect taxation of us or our shareholders.</w:t>
      </w:r>
      <w:r>
        <w:rPr>
          <w:sz w:val="20"/>
          <w:szCs w:val="20"/>
        </w:rPr>
        <w:t xml:space="preserve"> </w:t>
      </w:r>
    </w:p>
    <w:p w:rsidR="00000000" w:rsidRDefault="00865332">
      <w:pPr>
        <w:pStyle w:val="a3"/>
        <w:spacing w:before="0" w:beforeAutospacing="0" w:after="0" w:afterAutospacing="0" w:line="259" w:lineRule="auto"/>
        <w:ind w:firstLine="720"/>
        <w:jc w:val="both"/>
        <w:divId w:val="1212230335"/>
        <w:rPr>
          <w:sz w:val="20"/>
          <w:szCs w:val="20"/>
        </w:rPr>
      </w:pPr>
      <w:r>
        <w:rPr>
          <w:sz w:val="20"/>
          <w:szCs w:val="20"/>
        </w:rPr>
        <w:t>C</w:t>
      </w:r>
      <w:r>
        <w:rPr>
          <w:sz w:val="20"/>
          <w:szCs w:val="20"/>
        </w:rPr>
        <w:t>hanges made by the Tax Cuts and Jobs Act (the “TCJA”), signed into law on December 22, 2017, limit our ability to deduct compensation in excess of $1 million paid to certain senior executives. This could require us to increase distributions to our sharehol</w:t>
      </w:r>
      <w:r>
        <w:rPr>
          <w:sz w:val="20"/>
          <w:szCs w:val="20"/>
        </w:rPr>
        <w:t>ders in the future in order to avoid paying tax and to maintain our REIT status</w:t>
      </w:r>
      <w:r>
        <w:rPr>
          <w:sz w:val="20"/>
          <w:szCs w:val="20"/>
        </w:rPr>
        <w:t>.</w:t>
      </w:r>
    </w:p>
    <w:p w:rsidR="00000000" w:rsidRDefault="00865332">
      <w:pPr>
        <w:pStyle w:val="a3"/>
        <w:spacing w:before="0" w:beforeAutospacing="0" w:after="0" w:afterAutospacing="0" w:line="259" w:lineRule="auto"/>
        <w:jc w:val="both"/>
        <w:divId w:val="1212230335"/>
        <w:rPr>
          <w:sz w:val="20"/>
          <w:szCs w:val="20"/>
        </w:rPr>
      </w:pPr>
      <w:r>
        <w:rPr>
          <w:b/>
          <w:bCs/>
          <w:sz w:val="20"/>
          <w:szCs w:val="20"/>
        </w:rPr>
        <w:t>We may pay some taxes, reducing cash available for shareholders</w:t>
      </w:r>
      <w:r>
        <w:rPr>
          <w:b/>
          <w:bCs/>
          <w:sz w:val="20"/>
          <w:szCs w:val="20"/>
        </w:rPr>
        <w:t>.</w:t>
      </w:r>
    </w:p>
    <w:p w:rsidR="00000000" w:rsidRDefault="00865332">
      <w:pPr>
        <w:pStyle w:val="a3"/>
        <w:spacing w:before="0" w:beforeAutospacing="0" w:after="0" w:afterAutospacing="0" w:line="259" w:lineRule="auto"/>
        <w:ind w:firstLine="720"/>
        <w:jc w:val="both"/>
        <w:divId w:val="1212230335"/>
        <w:rPr>
          <w:sz w:val="20"/>
          <w:szCs w:val="20"/>
        </w:rPr>
      </w:pPr>
      <w:r>
        <w:rPr>
          <w:sz w:val="20"/>
          <w:szCs w:val="20"/>
        </w:rPr>
        <w:t>Even if we qualify as a REIT for federal income tax purposes, we may be subject to some federal, foreign, stat</w:t>
      </w:r>
      <w:r>
        <w:rPr>
          <w:sz w:val="20"/>
          <w:szCs w:val="20"/>
        </w:rPr>
        <w:t>e and local taxes on our income and property. Since January 1, 2001, certain consolidated corporate subsidiaries of the Company have elected to be treated as “taxable REIT subsidiaries” for federal income tax purposes, and are taxable as regular corporatio</w:t>
      </w:r>
      <w:r>
        <w:rPr>
          <w:sz w:val="20"/>
          <w:szCs w:val="20"/>
        </w:rPr>
        <w:t xml:space="preserve">ns and subject to certain limitations on intercompany transactions. If tax authorities determine that amounts paid by our taxable REIT subsidiaries to us are not reasonable compared to similar arrangements among unrelated parties, we could be subject to a </w:t>
      </w:r>
      <w:r>
        <w:rPr>
          <w:sz w:val="20"/>
          <w:szCs w:val="20"/>
        </w:rPr>
        <w:t xml:space="preserve">100% penalty tax on the excess payments, and ongoing intercompany arrangements could have to change, resulting in higher ongoing tax payments. To the extent the Company is required to pay federal, foreign, state or local taxes or federal penalty taxes due </w:t>
      </w:r>
      <w:r>
        <w:rPr>
          <w:sz w:val="20"/>
          <w:szCs w:val="20"/>
        </w:rPr>
        <w:t>to existing laws or changes thereto, we will have less cash available for distribution to shareholders.</w:t>
      </w:r>
      <w:r>
        <w:rPr>
          <w:sz w:val="20"/>
          <w:szCs w:val="20"/>
        </w:rPr>
        <w:t xml:space="preserve"> </w:t>
      </w:r>
    </w:p>
    <w:p w:rsidR="00000000" w:rsidRDefault="00865332">
      <w:pPr>
        <w:pStyle w:val="a3"/>
        <w:spacing w:before="0" w:beforeAutospacing="0" w:after="0" w:afterAutospacing="0" w:line="259" w:lineRule="auto"/>
        <w:ind w:firstLine="720"/>
        <w:jc w:val="both"/>
        <w:divId w:val="1212230335"/>
        <w:rPr>
          <w:sz w:val="20"/>
          <w:szCs w:val="20"/>
        </w:rPr>
      </w:pPr>
      <w:r>
        <w:rPr>
          <w:sz w:val="20"/>
          <w:szCs w:val="20"/>
        </w:rPr>
        <w:t>In addition, certain local and state governments have imposed taxes on self-storage rent. While in most cases those taxes are paid by our customers, th</w:t>
      </w:r>
      <w:r>
        <w:rPr>
          <w:sz w:val="20"/>
          <w:szCs w:val="20"/>
        </w:rPr>
        <w:t>ey increase the cost of self-storage rental to our customers and can negatively impact our revenues. Other local and state governments may impose self-storage rent taxes in the future.</w:t>
      </w:r>
      <w:r>
        <w:rPr>
          <w:sz w:val="20"/>
          <w:szCs w:val="20"/>
        </w:rPr>
        <w:t xml:space="preserve"> </w:t>
      </w:r>
    </w:p>
    <w:p w:rsidR="00000000" w:rsidRDefault="00865332">
      <w:pPr>
        <w:pStyle w:val="a3"/>
        <w:spacing w:before="0" w:beforeAutospacing="0" w:after="0" w:afterAutospacing="0" w:line="259" w:lineRule="auto"/>
        <w:jc w:val="both"/>
        <w:divId w:val="1212230335"/>
        <w:rPr>
          <w:sz w:val="20"/>
          <w:szCs w:val="20"/>
        </w:rPr>
      </w:pPr>
      <w:r>
        <w:rPr>
          <w:b/>
          <w:bCs/>
          <w:sz w:val="20"/>
          <w:szCs w:val="20"/>
        </w:rPr>
        <w:t>We have exposure to increased property tax in California</w:t>
      </w:r>
      <w:r>
        <w:rPr>
          <w:b/>
          <w:bCs/>
          <w:sz w:val="20"/>
          <w:szCs w:val="20"/>
        </w:rPr>
        <w:t>.</w:t>
      </w:r>
    </w:p>
    <w:p w:rsidR="00000000" w:rsidRDefault="00865332">
      <w:pPr>
        <w:pStyle w:val="a3"/>
        <w:spacing w:before="0" w:beforeAutospacing="0" w:after="0" w:afterAutospacing="0" w:line="259" w:lineRule="auto"/>
        <w:ind w:firstLine="720"/>
        <w:jc w:val="both"/>
        <w:divId w:val="1212230335"/>
        <w:rPr>
          <w:sz w:val="20"/>
          <w:szCs w:val="20"/>
        </w:rPr>
      </w:pPr>
      <w:r>
        <w:rPr>
          <w:sz w:val="20"/>
          <w:szCs w:val="20"/>
        </w:rPr>
        <w:t>Approximately $580 million of our 2019 net operating income is from our properties in California, and we incurred approximately $42 million in related property tax expense. Due to the impact of Prop</w:t>
      </w:r>
      <w:r>
        <w:rPr>
          <w:sz w:val="20"/>
          <w:szCs w:val="20"/>
        </w:rPr>
        <w:t xml:space="preserve">osition 13, which generally limits increases in assessed values to 2% per year, the assessed value and resulting property tax we pay is less than it would be if the properties were assessed at current values. From time to time, proposals have been made to </w:t>
      </w:r>
      <w:r>
        <w:rPr>
          <w:sz w:val="20"/>
          <w:szCs w:val="20"/>
        </w:rPr>
        <w:t>reduce the beneficial impact of Proposition 13, particularly with respect to commercial and industrial (non-residential) real estate, which would include self-storage facilities. In late 2018, an initiative qualified for California’s November 2020 statewid</w:t>
      </w:r>
      <w:r>
        <w:rPr>
          <w:sz w:val="20"/>
          <w:szCs w:val="20"/>
        </w:rPr>
        <w:t xml:space="preserve">e ballot that would create a “split roll,” generally making Proposition 13’s protections only applicable to residential real estate. The sponsors of the original initiative are attempting to qualify a revised proposal that has a similar impact in terms of </w:t>
      </w:r>
      <w:r>
        <w:rPr>
          <w:sz w:val="20"/>
          <w:szCs w:val="20"/>
        </w:rPr>
        <w:t>property taxes, but may have a higher change of passage. If the revised initiative is qualified, it will replace the first initiative on the November 2020 ballot. If the original or replacement initiative were to be adopted, it would end the beneficial eff</w:t>
      </w:r>
      <w:r>
        <w:rPr>
          <w:sz w:val="20"/>
          <w:szCs w:val="20"/>
        </w:rPr>
        <w:t>ect of Proposition 13 for our properties, and our property tax expense could increase substantially, adversely affecting our cash flow from operations and net income.</w:t>
      </w:r>
      <w:r>
        <w:rPr>
          <w:sz w:val="20"/>
          <w:szCs w:val="20"/>
        </w:rPr>
        <w:t xml:space="preserve"> </w:t>
      </w:r>
    </w:p>
    <w:p w:rsidR="00000000" w:rsidRDefault="00865332">
      <w:pPr>
        <w:pStyle w:val="a3"/>
        <w:spacing w:before="0" w:beforeAutospacing="0" w:after="0" w:afterAutospacing="0" w:line="259" w:lineRule="auto"/>
        <w:jc w:val="center"/>
        <w:divId w:val="147988014"/>
        <w:rPr>
          <w:sz w:val="20"/>
          <w:szCs w:val="20"/>
        </w:rPr>
      </w:pPr>
      <w:r>
        <w:rPr>
          <w:rStyle w:val="ctheaderfooterpage"/>
          <w:sz w:val="20"/>
          <w:szCs w:val="20"/>
        </w:rPr>
        <w:t>1</w:t>
      </w:r>
      <w:r>
        <w:rPr>
          <w:rStyle w:val="ctheaderfooterpage"/>
          <w:sz w:val="20"/>
          <w:szCs w:val="20"/>
        </w:rPr>
        <w:t>8</w:t>
      </w:r>
    </w:p>
    <w:p w:rsidR="00000000" w:rsidRDefault="00865332">
      <w:pPr>
        <w:spacing w:before="360" w:after="360"/>
        <w:divId w:val="1234395181"/>
        <w:rPr>
          <w:rFonts w:eastAsia="Times New Roman"/>
        </w:rPr>
      </w:pPr>
      <w:r>
        <w:rPr>
          <w:rFonts w:eastAsia="Times New Roman"/>
        </w:rPr>
        <w:pict>
          <v:rect id="_x0000_i1042" style="width:0;height:1.5pt" o:hralign="center" o:hrstd="t" o:hr="t" fillcolor="#a0a0a0" stroked="f"/>
        </w:pict>
      </w:r>
    </w:p>
    <w:p w:rsidR="00000000" w:rsidRDefault="00865332">
      <w:pPr>
        <w:pStyle w:val="a3"/>
        <w:spacing w:before="0" w:beforeAutospacing="0" w:after="0" w:afterAutospacing="0" w:line="259" w:lineRule="auto"/>
        <w:ind w:firstLine="720"/>
        <w:jc w:val="both"/>
        <w:divId w:val="1103300178"/>
        <w:rPr>
          <w:sz w:val="20"/>
          <w:szCs w:val="20"/>
        </w:rPr>
      </w:pPr>
      <w:r>
        <w:rPr>
          <w:sz w:val="20"/>
          <w:szCs w:val="20"/>
        </w:rPr>
        <w:t>We cannot predict whether (i) the revised initia</w:t>
      </w:r>
      <w:r>
        <w:rPr>
          <w:sz w:val="20"/>
          <w:szCs w:val="20"/>
        </w:rPr>
        <w:t>tive will qualify to replace the first qualified initiative, (ii) the initiative that ends up on the November 2020 ballot will pass or (iii) other changes to Proposition 13 may be proposed or adopted in the future</w:t>
      </w:r>
      <w:r>
        <w:rPr>
          <w:sz w:val="20"/>
          <w:szCs w:val="20"/>
        </w:rPr>
        <w:t>.</w:t>
      </w:r>
    </w:p>
    <w:p w:rsidR="00000000" w:rsidRDefault="00865332">
      <w:pPr>
        <w:pStyle w:val="a3"/>
        <w:spacing w:before="0" w:beforeAutospacing="0" w:after="0" w:afterAutospacing="0" w:line="259" w:lineRule="auto"/>
        <w:jc w:val="both"/>
        <w:divId w:val="1103300178"/>
        <w:rPr>
          <w:sz w:val="20"/>
          <w:szCs w:val="20"/>
        </w:rPr>
      </w:pPr>
      <w:r>
        <w:rPr>
          <w:b/>
          <w:bCs/>
          <w:sz w:val="20"/>
          <w:szCs w:val="20"/>
        </w:rPr>
        <w:t xml:space="preserve">We are exposed to ongoing litigation and </w:t>
      </w:r>
      <w:r>
        <w:rPr>
          <w:b/>
          <w:bCs/>
          <w:sz w:val="20"/>
          <w:szCs w:val="20"/>
        </w:rPr>
        <w:t>other legal and regulatory actions, which may divert management’s time and attention, require us to pay damages and expenses or restrict the operation of our business.</w:t>
      </w:r>
      <w:r>
        <w:rPr>
          <w:b/>
          <w:bCs/>
          <w:sz w:val="20"/>
          <w:szCs w:val="20"/>
        </w:rPr>
        <w:t xml:space="preserve"> </w:t>
      </w:r>
    </w:p>
    <w:p w:rsidR="00000000" w:rsidRDefault="00865332">
      <w:pPr>
        <w:pStyle w:val="a3"/>
        <w:spacing w:before="0" w:beforeAutospacing="0" w:after="0" w:afterAutospacing="0" w:line="259" w:lineRule="auto"/>
        <w:ind w:firstLine="720"/>
        <w:jc w:val="both"/>
        <w:divId w:val="1103300178"/>
        <w:rPr>
          <w:sz w:val="20"/>
          <w:szCs w:val="20"/>
        </w:rPr>
      </w:pPr>
      <w:r>
        <w:rPr>
          <w:sz w:val="20"/>
          <w:szCs w:val="20"/>
        </w:rPr>
        <w:t xml:space="preserve">We have over 5,900 employees, more than 1.4 million customers, and we conduct business </w:t>
      </w:r>
      <w:r>
        <w:rPr>
          <w:sz w:val="20"/>
          <w:szCs w:val="20"/>
        </w:rPr>
        <w:t>at facilities with 169 million net rentable square feet of storage space. As a result, we are subject to the risk of legal claims and proceedings (including class actions) and regulatory enforcement actions in the ordinary course of our business and otherw</w:t>
      </w:r>
      <w:r>
        <w:rPr>
          <w:sz w:val="20"/>
          <w:szCs w:val="20"/>
        </w:rPr>
        <w:t>ise, and we could incur significant liabilities and substantial legal fees as a result of these actions. Resolution of these claims and actions may divert time and attention by our management could involve payment of damages or expenses by us, all of which</w:t>
      </w:r>
      <w:r>
        <w:rPr>
          <w:sz w:val="20"/>
          <w:szCs w:val="20"/>
        </w:rPr>
        <w:t xml:space="preserve"> may be significant, and could damage our reputation and our brand. In addition, any such resolution could involve our agreement to terms that restrict the operation of our business. The results of legal proceedings cannot be predicted with certainty. We c</w:t>
      </w:r>
      <w:r>
        <w:rPr>
          <w:sz w:val="20"/>
          <w:szCs w:val="20"/>
        </w:rPr>
        <w:t>annot guarantee losses incurred in connection with any current or future legal or regulatory proceedings or actions will not exceed any provisions we may have set aside in respect of such proceedings or actions or will not exceed any available insurance co</w:t>
      </w:r>
      <w:r>
        <w:rPr>
          <w:sz w:val="20"/>
          <w:szCs w:val="20"/>
        </w:rPr>
        <w:t>verage. The impact of any such legal claims, proceedings, and regulatory enforcement actions and could negatively impact our operating results, cash flow available for distribution or reinvestment, and/or the price of our common shares.</w:t>
      </w:r>
      <w:r>
        <w:rPr>
          <w:sz w:val="20"/>
          <w:szCs w:val="20"/>
        </w:rPr>
        <w:t xml:space="preserve"> </w:t>
      </w:r>
    </w:p>
    <w:p w:rsidR="00000000" w:rsidRDefault="00865332">
      <w:pPr>
        <w:pStyle w:val="a3"/>
        <w:spacing w:before="0" w:beforeAutospacing="0" w:after="0" w:afterAutospacing="0" w:line="259" w:lineRule="auto"/>
        <w:ind w:firstLine="720"/>
        <w:jc w:val="both"/>
        <w:divId w:val="1103300178"/>
        <w:rPr>
          <w:sz w:val="20"/>
          <w:szCs w:val="20"/>
        </w:rPr>
      </w:pPr>
      <w:r>
        <w:rPr>
          <w:sz w:val="20"/>
          <w:szCs w:val="20"/>
        </w:rPr>
        <w:t>In addition, throu</w:t>
      </w:r>
      <w:r>
        <w:rPr>
          <w:sz w:val="20"/>
          <w:szCs w:val="20"/>
        </w:rPr>
        <w:t>gh exercising their authority to regulate our activities, governmental agencies can otherwise negatively impact our business by increasing costs or decreasing revenues.</w:t>
      </w:r>
      <w:r>
        <w:rPr>
          <w:sz w:val="20"/>
          <w:szCs w:val="20"/>
        </w:rPr>
        <w:t xml:space="preserve"> </w:t>
      </w:r>
    </w:p>
    <w:p w:rsidR="00000000" w:rsidRDefault="00865332">
      <w:pPr>
        <w:pStyle w:val="a3"/>
        <w:spacing w:before="0" w:beforeAutospacing="0" w:after="0" w:afterAutospacing="0" w:line="259" w:lineRule="auto"/>
        <w:jc w:val="both"/>
        <w:divId w:val="1103300178"/>
        <w:rPr>
          <w:sz w:val="20"/>
          <w:szCs w:val="20"/>
        </w:rPr>
      </w:pPr>
      <w:r>
        <w:rPr>
          <w:b/>
          <w:bCs/>
          <w:sz w:val="20"/>
          <w:szCs w:val="20"/>
        </w:rPr>
        <w:t>We are heavily dependent on computer systems, telecommunications and the Internet to p</w:t>
      </w:r>
      <w:r>
        <w:rPr>
          <w:b/>
          <w:bCs/>
          <w:sz w:val="20"/>
          <w:szCs w:val="20"/>
        </w:rPr>
        <w:t>rocess transactions, make payments, summarize results and manage our business. The failure or disruption of our computer and communications systems</w:t>
      </w:r>
      <w:r>
        <w:rPr>
          <w:b/>
          <w:bCs/>
          <w:sz w:val="20"/>
          <w:szCs w:val="20"/>
        </w:rPr>
        <w:t xml:space="preserve"> </w:t>
      </w:r>
      <w:r>
        <w:rPr>
          <w:b/>
          <w:bCs/>
          <w:sz w:val="20"/>
          <w:szCs w:val="20"/>
        </w:rPr>
        <w:t>could significantly harm our busines</w:t>
      </w:r>
      <w:r>
        <w:rPr>
          <w:b/>
          <w:bCs/>
          <w:sz w:val="20"/>
          <w:szCs w:val="20"/>
        </w:rPr>
        <w:t>s</w:t>
      </w:r>
      <w:r>
        <w:rPr>
          <w:b/>
          <w:bCs/>
          <w:sz w:val="20"/>
          <w:szCs w:val="20"/>
        </w:rPr>
        <w:t>.</w:t>
      </w:r>
    </w:p>
    <w:p w:rsidR="00000000" w:rsidRDefault="00865332">
      <w:pPr>
        <w:pStyle w:val="a3"/>
        <w:spacing w:before="0" w:beforeAutospacing="0" w:after="0" w:afterAutospacing="0" w:line="259" w:lineRule="auto"/>
        <w:ind w:firstLine="720"/>
        <w:jc w:val="both"/>
        <w:divId w:val="1103300178"/>
        <w:rPr>
          <w:sz w:val="20"/>
          <w:szCs w:val="20"/>
        </w:rPr>
      </w:pPr>
      <w:r>
        <w:rPr>
          <w:sz w:val="20"/>
          <w:szCs w:val="20"/>
        </w:rPr>
        <w:t>We are heavily dependent upon automated information technology and In</w:t>
      </w:r>
      <w:r>
        <w:rPr>
          <w:sz w:val="20"/>
          <w:szCs w:val="20"/>
        </w:rPr>
        <w:t>ternet commerce, with more than half of our new customers coming from the telephone or over the Internet. We centrally manage significant components of our operations with our computer systems, including our financial information, and we also rely extensiv</w:t>
      </w:r>
      <w:r>
        <w:rPr>
          <w:sz w:val="20"/>
          <w:szCs w:val="20"/>
        </w:rPr>
        <w:t>ely on third-party vendors to retain data, process transactions and provide other systems services. These systems are subject to damage or interruption from power outages, computer and telecommunications failures, hackers, computer worms, viruses and other</w:t>
      </w:r>
      <w:r>
        <w:rPr>
          <w:sz w:val="20"/>
          <w:szCs w:val="20"/>
        </w:rPr>
        <w:t xml:space="preserve"> destructive or disruptive security breaches and catastrophic events. Such incidents could also result in significant costs to repair or replace such networks or information systems, as well as actual monetary losses in case of a breach that resulted in fr</w:t>
      </w:r>
      <w:r>
        <w:rPr>
          <w:sz w:val="20"/>
          <w:szCs w:val="20"/>
        </w:rPr>
        <w:t>audulent payments or other cash transactions. As a result, our operations could be severely impacted by a natural disaster, terrorist attack, attack by hackers, acts of vandalism, data theft, misplaced or lost data, programming or human error, or other cir</w:t>
      </w:r>
      <w:r>
        <w:rPr>
          <w:sz w:val="20"/>
          <w:szCs w:val="20"/>
        </w:rPr>
        <w:t>cumstance that results in a significant outage of our systems or those of our third party providers, despite our use of back up and redundancy measures.</w:t>
      </w:r>
      <w:r>
        <w:rPr>
          <w:sz w:val="20"/>
          <w:szCs w:val="20"/>
        </w:rPr>
        <w:t xml:space="preserve"> </w:t>
      </w:r>
    </w:p>
    <w:p w:rsidR="00000000" w:rsidRDefault="00865332">
      <w:pPr>
        <w:pStyle w:val="a3"/>
        <w:spacing w:before="0" w:beforeAutospacing="0" w:after="0" w:afterAutospacing="0" w:line="259" w:lineRule="auto"/>
        <w:jc w:val="both"/>
        <w:divId w:val="1103300178"/>
        <w:rPr>
          <w:sz w:val="20"/>
          <w:szCs w:val="20"/>
        </w:rPr>
      </w:pPr>
      <w:r>
        <w:rPr>
          <w:b/>
          <w:bCs/>
          <w:sz w:val="20"/>
          <w:szCs w:val="20"/>
        </w:rPr>
        <w:t xml:space="preserve">If our confidential information is compromised or corrupted, including as a result of a cybersecurity </w:t>
      </w:r>
      <w:r>
        <w:rPr>
          <w:b/>
          <w:bCs/>
          <w:sz w:val="20"/>
          <w:szCs w:val="20"/>
        </w:rPr>
        <w:t>breach, our reputation and business relationships could be damaged, which could adversely affect our financial condition and operating results</w:t>
      </w:r>
      <w:r>
        <w:rPr>
          <w:b/>
          <w:bCs/>
          <w:sz w:val="20"/>
          <w:szCs w:val="20"/>
        </w:rPr>
        <w:t>.</w:t>
      </w:r>
    </w:p>
    <w:p w:rsidR="00000000" w:rsidRDefault="00865332">
      <w:pPr>
        <w:pStyle w:val="a3"/>
        <w:spacing w:before="0" w:beforeAutospacing="0" w:after="0" w:afterAutospacing="0" w:line="259" w:lineRule="auto"/>
        <w:ind w:firstLine="720"/>
        <w:jc w:val="both"/>
        <w:divId w:val="1103300178"/>
        <w:rPr>
          <w:sz w:val="20"/>
          <w:szCs w:val="20"/>
        </w:rPr>
      </w:pPr>
      <w:r>
        <w:rPr>
          <w:sz w:val="20"/>
          <w:szCs w:val="20"/>
        </w:rPr>
        <w:t>In the ordinary course of our business we acquire and store sensitive data, including personally identifiable in</w:t>
      </w:r>
      <w:r>
        <w:rPr>
          <w:sz w:val="20"/>
          <w:szCs w:val="20"/>
        </w:rPr>
        <w:t xml:space="preserve">formation of our prospective and current customers and our employees. The secure processing and maintenance of this information is critical to our operations and business strategy. Although we believe we have taken commercially reasonable steps to protect </w:t>
      </w:r>
      <w:r>
        <w:rPr>
          <w:sz w:val="20"/>
          <w:szCs w:val="20"/>
        </w:rPr>
        <w:t>the security of our confidential information, information security risks have generally increased in recent years due to the rise in new technologies and the increased sophistication and activities of perpetrators of cyberattacks.</w:t>
      </w:r>
      <w:r>
        <w:rPr>
          <w:sz w:val="20"/>
          <w:szCs w:val="20"/>
        </w:rPr>
        <w:t xml:space="preserve"> </w:t>
      </w:r>
      <w:r>
        <w:rPr>
          <w:sz w:val="20"/>
          <w:szCs w:val="20"/>
        </w:rPr>
        <w:t>Despite our security meas</w:t>
      </w:r>
      <w:r>
        <w:rPr>
          <w:sz w:val="20"/>
          <w:szCs w:val="20"/>
        </w:rPr>
        <w:t>ures, we have experienced security breaches due to cyberattacks and additional breaches could occur in the future. In these cases, our information technology and infrastructure could be vulnerable and our or our customers’ or employees’ confidential inform</w:t>
      </w:r>
      <w:r>
        <w:rPr>
          <w:sz w:val="20"/>
          <w:szCs w:val="20"/>
        </w:rPr>
        <w:t>ation could be compromised or misappropriated. Any such breach could result in serious and harmful consequences for us or our tenants</w:t>
      </w:r>
      <w:r>
        <w:rPr>
          <w:sz w:val="20"/>
          <w:szCs w:val="20"/>
        </w:rPr>
        <w:t>.</w:t>
      </w:r>
    </w:p>
    <w:p w:rsidR="00000000" w:rsidRDefault="00865332">
      <w:pPr>
        <w:pStyle w:val="a3"/>
        <w:spacing w:before="0" w:beforeAutospacing="0" w:after="0" w:afterAutospacing="0" w:line="259" w:lineRule="auto"/>
        <w:ind w:firstLine="720"/>
        <w:jc w:val="both"/>
        <w:divId w:val="1103300178"/>
        <w:rPr>
          <w:sz w:val="20"/>
          <w:szCs w:val="20"/>
        </w:rPr>
      </w:pPr>
      <w:r>
        <w:rPr>
          <w:sz w:val="20"/>
          <w:szCs w:val="20"/>
        </w:rPr>
        <w:t>Our confidential information may also be compromised due to programming or human error or malfeasance.</w:t>
      </w:r>
      <w:r>
        <w:rPr>
          <w:sz w:val="20"/>
          <w:szCs w:val="20"/>
        </w:rPr>
        <w:t xml:space="preserve"> </w:t>
      </w:r>
    </w:p>
    <w:p w:rsidR="00000000" w:rsidRDefault="00865332">
      <w:pPr>
        <w:pStyle w:val="a3"/>
        <w:spacing w:before="0" w:beforeAutospacing="0" w:after="0" w:afterAutospacing="0" w:line="259" w:lineRule="auto"/>
        <w:jc w:val="center"/>
        <w:divId w:val="2088838266"/>
        <w:rPr>
          <w:sz w:val="20"/>
          <w:szCs w:val="20"/>
        </w:rPr>
      </w:pPr>
      <w:r>
        <w:rPr>
          <w:rStyle w:val="ctheaderfooterpage"/>
          <w:sz w:val="20"/>
          <w:szCs w:val="20"/>
        </w:rPr>
        <w:t>1</w:t>
      </w:r>
      <w:r>
        <w:rPr>
          <w:rStyle w:val="ctheaderfooterpage"/>
          <w:sz w:val="20"/>
          <w:szCs w:val="20"/>
        </w:rPr>
        <w:t>9</w:t>
      </w:r>
    </w:p>
    <w:p w:rsidR="00000000" w:rsidRDefault="00865332">
      <w:pPr>
        <w:spacing w:before="360" w:after="360"/>
        <w:divId w:val="1940983904"/>
        <w:rPr>
          <w:rFonts w:eastAsia="Times New Roman"/>
        </w:rPr>
      </w:pPr>
      <w:r>
        <w:rPr>
          <w:rFonts w:eastAsia="Times New Roman"/>
        </w:rPr>
        <w:pict>
          <v:rect id="_x0000_i1043" style="width:0;height:1.5pt" o:hralign="center" o:hrstd="t" o:hr="t" fillcolor="#a0a0a0" stroked="f"/>
        </w:pict>
      </w:r>
    </w:p>
    <w:p w:rsidR="00000000" w:rsidRDefault="00865332">
      <w:pPr>
        <w:pStyle w:val="a3"/>
        <w:spacing w:before="0" w:beforeAutospacing="0" w:after="0" w:afterAutospacing="0" w:line="259" w:lineRule="auto"/>
        <w:jc w:val="both"/>
        <w:divId w:val="792402792"/>
        <w:rPr>
          <w:sz w:val="20"/>
          <w:szCs w:val="20"/>
        </w:rPr>
      </w:pPr>
      <w:r>
        <w:rPr>
          <w:sz w:val="20"/>
          <w:szCs w:val="20"/>
        </w:rPr>
        <w:t>We must continually evaluate and adapt our systems and processes to address the evolving threat landscape, and therefore there is no guarantee that they will be adequate to safeguard against all data security breaches or misuses of da</w:t>
      </w:r>
      <w:r>
        <w:rPr>
          <w:sz w:val="20"/>
          <w:szCs w:val="20"/>
        </w:rPr>
        <w:t>ta. In addition, as the regulatory environment related to information security, data collection and use, and privacy becomes increasingly rigorous, with new and changing requirements applicable to our business from multiple regulatory agencies at the local</w:t>
      </w:r>
      <w:r>
        <w:rPr>
          <w:sz w:val="20"/>
          <w:szCs w:val="20"/>
        </w:rPr>
        <w:t>, state, federal, or international level, compliance with those requirement could also result in additional costs, or we could fail to comply with those requirements due to various reasons such as not being aware of them.</w:t>
      </w:r>
      <w:r>
        <w:rPr>
          <w:sz w:val="20"/>
          <w:szCs w:val="20"/>
        </w:rPr>
        <w:t xml:space="preserve"> </w:t>
      </w:r>
    </w:p>
    <w:p w:rsidR="00000000" w:rsidRDefault="00865332">
      <w:pPr>
        <w:pStyle w:val="a3"/>
        <w:spacing w:before="0" w:beforeAutospacing="0" w:after="0" w:afterAutospacing="0" w:line="259" w:lineRule="auto"/>
        <w:ind w:firstLine="720"/>
        <w:jc w:val="both"/>
        <w:divId w:val="792402792"/>
        <w:rPr>
          <w:sz w:val="20"/>
          <w:szCs w:val="20"/>
        </w:rPr>
      </w:pPr>
      <w:r>
        <w:rPr>
          <w:sz w:val="20"/>
          <w:szCs w:val="20"/>
        </w:rPr>
        <w:t>Any such access, disclosure or ot</w:t>
      </w:r>
      <w:r>
        <w:rPr>
          <w:sz w:val="20"/>
          <w:szCs w:val="20"/>
        </w:rPr>
        <w:t>her loss of information could result in legal claims or proceedings, liability under laws that protect the privacy of personal information, regulatory penalties, disruption to our operations and the services we provide to customers or damage our reputation</w:t>
      </w:r>
      <w:r>
        <w:rPr>
          <w:sz w:val="20"/>
          <w:szCs w:val="20"/>
        </w:rPr>
        <w:t>, any of which could adversely affect our results of operations, reputation and competitive position. In addition, our customers could lose confidence in our ability to protect their personal information, which could cause them to discontinue leasing our s</w:t>
      </w:r>
      <w:r>
        <w:rPr>
          <w:sz w:val="20"/>
          <w:szCs w:val="20"/>
        </w:rPr>
        <w:t>elf-storage facilities. Such events could lead to lost future revenues and adversely affect our results of operations and could result in remedial and other costs, fines or lawsuits, which could be in excess of any available insurance that we have procured</w:t>
      </w:r>
      <w:r>
        <w:rPr>
          <w:sz w:val="20"/>
          <w:szCs w:val="20"/>
        </w:rPr>
        <w:t>.</w:t>
      </w:r>
    </w:p>
    <w:p w:rsidR="00000000" w:rsidRDefault="00865332">
      <w:pPr>
        <w:pStyle w:val="a3"/>
        <w:spacing w:before="0" w:beforeAutospacing="0" w:after="0" w:afterAutospacing="0" w:line="259" w:lineRule="auto"/>
        <w:jc w:val="both"/>
        <w:divId w:val="792402792"/>
        <w:rPr>
          <w:sz w:val="20"/>
          <w:szCs w:val="20"/>
        </w:rPr>
      </w:pPr>
      <w:r>
        <w:rPr>
          <w:b/>
          <w:bCs/>
          <w:sz w:val="20"/>
          <w:szCs w:val="20"/>
        </w:rPr>
        <w:t>We are subject to California’s new privacy law which will require us to incur compliance costs and may subject us to litigation that may affect our operating results and financial condition</w:t>
      </w:r>
      <w:r>
        <w:rPr>
          <w:b/>
          <w:bCs/>
          <w:sz w:val="20"/>
          <w:szCs w:val="20"/>
        </w:rPr>
        <w:t>.</w:t>
      </w:r>
    </w:p>
    <w:p w:rsidR="00000000" w:rsidRDefault="00865332">
      <w:pPr>
        <w:pStyle w:val="a3"/>
        <w:spacing w:before="0" w:beforeAutospacing="0" w:after="0" w:afterAutospacing="0" w:line="259" w:lineRule="auto"/>
        <w:ind w:firstLine="720"/>
        <w:jc w:val="both"/>
        <w:divId w:val="792402792"/>
        <w:rPr>
          <w:sz w:val="20"/>
          <w:szCs w:val="20"/>
        </w:rPr>
      </w:pPr>
      <w:r>
        <w:rPr>
          <w:sz w:val="20"/>
          <w:szCs w:val="20"/>
        </w:rPr>
        <w:t>The California Consumer Privacy Act (the “CCPA”) went into effe</w:t>
      </w:r>
      <w:r>
        <w:rPr>
          <w:sz w:val="20"/>
          <w:szCs w:val="20"/>
        </w:rPr>
        <w:t xml:space="preserve">ct on January 1, 2020. The CCPA requires, among other things, companies that collect personal information about California residents to make new disclosures to those residents about their data collection, use and sharing practices, allows residents to opt </w:t>
      </w:r>
      <w:r>
        <w:rPr>
          <w:sz w:val="20"/>
          <w:szCs w:val="20"/>
        </w:rPr>
        <w:t>out of certain data sharing with third parties, and provides a new cause of action for data breaches.</w:t>
      </w:r>
      <w:r>
        <w:rPr>
          <w:sz w:val="20"/>
          <w:szCs w:val="20"/>
        </w:rPr>
        <w:t xml:space="preserve"> </w:t>
      </w:r>
      <w:r>
        <w:rPr>
          <w:color w:val="000000"/>
          <w:sz w:val="20"/>
          <w:szCs w:val="20"/>
        </w:rPr>
        <w:t>However, regulations from the California Attorney General have not been finalized, and it is expected that additional amendments to the CCPA will be intro</w:t>
      </w:r>
      <w:r>
        <w:rPr>
          <w:color w:val="000000"/>
          <w:sz w:val="20"/>
          <w:szCs w:val="20"/>
        </w:rPr>
        <w:t>duced in 2020. It therefore remains unclear what, if any, modifications will be made to the CCPA or how it will be interpreted.</w:t>
      </w:r>
      <w:r>
        <w:rPr>
          <w:color w:val="000000"/>
          <w:sz w:val="20"/>
          <w:szCs w:val="20"/>
        </w:rPr>
        <w:t xml:space="preserve"> </w:t>
      </w:r>
      <w:r>
        <w:rPr>
          <w:sz w:val="20"/>
          <w:szCs w:val="20"/>
        </w:rPr>
        <w:t>While we believe we have developed processes to comply with CCPA requirements, a regulatory agency may not agree with certain of our implementation decisions, which could subject us to litigation, regulatory actions or changes to our business practices tha</w:t>
      </w:r>
      <w:r>
        <w:rPr>
          <w:sz w:val="20"/>
          <w:szCs w:val="20"/>
        </w:rPr>
        <w:t>t could increase costs or reduce revenues.</w:t>
      </w:r>
      <w:r>
        <w:rPr>
          <w:sz w:val="20"/>
          <w:szCs w:val="20"/>
        </w:rPr>
        <w:t xml:space="preserve"> </w:t>
      </w:r>
      <w:r>
        <w:rPr>
          <w:color w:val="000000"/>
          <w:sz w:val="20"/>
          <w:szCs w:val="20"/>
        </w:rPr>
        <w:t>Other states have also considered or are considering privacy laws similar to the CCPA.</w:t>
      </w:r>
      <w:r>
        <w:rPr>
          <w:color w:val="000000"/>
          <w:sz w:val="20"/>
          <w:szCs w:val="20"/>
        </w:rPr>
        <w:t xml:space="preserve"> </w:t>
      </w:r>
      <w:r>
        <w:rPr>
          <w:sz w:val="20"/>
          <w:szCs w:val="20"/>
        </w:rPr>
        <w:t>Similar laws may be implemented in other jurisdictions that we do business in and in ways that may be more restrictive than th</w:t>
      </w:r>
      <w:r>
        <w:rPr>
          <w:sz w:val="20"/>
          <w:szCs w:val="20"/>
        </w:rPr>
        <w:t>e CCPA, increasing the cost of compliance, as well as the risk of noncompliance, on our business.</w:t>
      </w:r>
      <w:r>
        <w:rPr>
          <w:sz w:val="20"/>
          <w:szCs w:val="20"/>
        </w:rPr>
        <w:t xml:space="preserve"> </w:t>
      </w:r>
    </w:p>
    <w:p w:rsidR="00000000" w:rsidRDefault="00865332">
      <w:pPr>
        <w:pStyle w:val="a3"/>
        <w:spacing w:before="0" w:beforeAutospacing="0" w:after="0" w:afterAutospacing="0" w:line="259" w:lineRule="auto"/>
        <w:jc w:val="both"/>
        <w:divId w:val="792402792"/>
        <w:rPr>
          <w:sz w:val="20"/>
          <w:szCs w:val="20"/>
        </w:rPr>
      </w:pPr>
      <w:r>
        <w:rPr>
          <w:b/>
          <w:bCs/>
          <w:sz w:val="20"/>
          <w:szCs w:val="20"/>
        </w:rPr>
        <w:t>Our tenant reinsurance business is subject to governmental regulation which could reduce our profitability or limit our growth</w:t>
      </w:r>
      <w:r>
        <w:rPr>
          <w:b/>
          <w:bCs/>
          <w:sz w:val="20"/>
          <w:szCs w:val="20"/>
        </w:rPr>
        <w:t>.</w:t>
      </w:r>
    </w:p>
    <w:p w:rsidR="00000000" w:rsidRDefault="00865332">
      <w:pPr>
        <w:pStyle w:val="a3"/>
        <w:spacing w:before="0" w:beforeAutospacing="0" w:after="0" w:afterAutospacing="0" w:line="259" w:lineRule="auto"/>
        <w:ind w:firstLine="720"/>
        <w:jc w:val="both"/>
        <w:divId w:val="792402792"/>
        <w:rPr>
          <w:sz w:val="20"/>
          <w:szCs w:val="20"/>
        </w:rPr>
      </w:pPr>
      <w:r>
        <w:rPr>
          <w:color w:val="000000"/>
          <w:sz w:val="20"/>
          <w:szCs w:val="20"/>
        </w:rPr>
        <w:t>We hold Limited Lines Self-Se</w:t>
      </w:r>
      <w:r>
        <w:rPr>
          <w:color w:val="000000"/>
          <w:sz w:val="20"/>
          <w:szCs w:val="20"/>
        </w:rPr>
        <w:t xml:space="preserve">rvice Storage Insurance Agent licenses from a number of individual state departments of insurance and are subject to state governmental regulation and supervision.  Our continued ability to maintain these Limited Lines Self-Service Storage Insurance Agent </w:t>
      </w:r>
      <w:r>
        <w:rPr>
          <w:color w:val="000000"/>
          <w:sz w:val="20"/>
          <w:szCs w:val="20"/>
        </w:rPr>
        <w:t>licenses in the jurisdictions in which we are licensed depends on our compliance with related rules and regulations.  The regulatory authorities in each jurisdiction generally have broad discretion to grant, renew and revoke licenses and approvals, to prom</w:t>
      </w:r>
      <w:r>
        <w:rPr>
          <w:color w:val="000000"/>
          <w:sz w:val="20"/>
          <w:szCs w:val="20"/>
        </w:rPr>
        <w:t>ulgate, interpret, and implement regulations, and to evaluate compliance with regulations through periodic examinations, audits and investigations of the affairs of insurance</w:t>
      </w:r>
      <w:r>
        <w:rPr>
          <w:color w:val="000000"/>
          <w:sz w:val="20"/>
          <w:szCs w:val="20"/>
        </w:rPr>
        <w:t xml:space="preserve"> </w:t>
      </w:r>
      <w:r>
        <w:rPr>
          <w:sz w:val="20"/>
          <w:szCs w:val="20"/>
        </w:rPr>
        <w:t>agents. As a result of regulatory or private action in any jurisdiction, we may b</w:t>
      </w:r>
      <w:r>
        <w:rPr>
          <w:sz w:val="20"/>
          <w:szCs w:val="20"/>
        </w:rPr>
        <w:t>e temporarily or permanently suspended from continuin</w:t>
      </w:r>
      <w:r>
        <w:rPr>
          <w:sz w:val="20"/>
          <w:szCs w:val="20"/>
        </w:rPr>
        <w:t>g</w:t>
      </w:r>
      <w:r>
        <w:rPr>
          <w:color w:val="000000"/>
          <w:sz w:val="20"/>
          <w:szCs w:val="20"/>
        </w:rPr>
        <w:t xml:space="preserve"> some or all of our reinsurance activitie</w:t>
      </w:r>
      <w:r>
        <w:rPr>
          <w:color w:val="000000"/>
          <w:sz w:val="20"/>
          <w:szCs w:val="20"/>
        </w:rPr>
        <w:t>s</w:t>
      </w:r>
      <w:r>
        <w:rPr>
          <w:color w:val="1F497D"/>
          <w:sz w:val="20"/>
          <w:szCs w:val="20"/>
        </w:rPr>
        <w:t>,</w:t>
      </w:r>
      <w:r>
        <w:rPr>
          <w:color w:val="000000"/>
          <w:sz w:val="20"/>
          <w:szCs w:val="20"/>
        </w:rPr>
        <w:t xml:space="preserve"> or otherwise fined or penalized or suffer an adverse judgment, which could reduce our net income. </w:t>
      </w:r>
      <w:r>
        <w:rPr>
          <w:color w:val="000000"/>
          <w:sz w:val="20"/>
          <w:szCs w:val="20"/>
        </w:rPr>
        <w:t xml:space="preserve"> </w:t>
      </w:r>
    </w:p>
    <w:p w:rsidR="00000000" w:rsidRDefault="00865332">
      <w:pPr>
        <w:pStyle w:val="a3"/>
        <w:spacing w:before="0" w:beforeAutospacing="0" w:after="0" w:afterAutospacing="0" w:line="259" w:lineRule="auto"/>
        <w:jc w:val="both"/>
        <w:divId w:val="792402792"/>
        <w:rPr>
          <w:sz w:val="20"/>
          <w:szCs w:val="20"/>
        </w:rPr>
      </w:pPr>
      <w:r>
        <w:rPr>
          <w:b/>
          <w:bCs/>
          <w:sz w:val="20"/>
          <w:szCs w:val="20"/>
        </w:rPr>
        <w:t>ITEM 1B</w:t>
      </w:r>
      <w:r>
        <w:rPr>
          <w:b/>
          <w:bCs/>
          <w:sz w:val="20"/>
          <w:szCs w:val="20"/>
        </w:rPr>
        <w:t>.</w:t>
      </w:r>
      <w:r>
        <w:rPr>
          <w:b/>
          <w:bCs/>
          <w:sz w:val="20"/>
          <w:szCs w:val="20"/>
          <w:u w:val="single"/>
        </w:rPr>
        <w:t>Unresolved Staff Comment</w:t>
      </w:r>
      <w:r>
        <w:rPr>
          <w:b/>
          <w:bCs/>
          <w:sz w:val="20"/>
          <w:szCs w:val="20"/>
          <w:u w:val="single"/>
        </w:rPr>
        <w:t>s</w:t>
      </w:r>
    </w:p>
    <w:p w:rsidR="00000000" w:rsidRDefault="00865332">
      <w:pPr>
        <w:pStyle w:val="a3"/>
        <w:spacing w:before="0" w:beforeAutospacing="0" w:after="0" w:afterAutospacing="0" w:line="259" w:lineRule="auto"/>
        <w:ind w:firstLine="720"/>
        <w:jc w:val="both"/>
        <w:divId w:val="792402792"/>
        <w:rPr>
          <w:sz w:val="20"/>
          <w:szCs w:val="20"/>
        </w:rPr>
      </w:pPr>
      <w:r>
        <w:rPr>
          <w:sz w:val="20"/>
          <w:szCs w:val="20"/>
        </w:rPr>
        <w:t>None</w:t>
      </w:r>
      <w:r>
        <w:rPr>
          <w:sz w:val="20"/>
          <w:szCs w:val="20"/>
        </w:rPr>
        <w:t>.</w:t>
      </w:r>
    </w:p>
    <w:p w:rsidR="00000000" w:rsidRDefault="00865332">
      <w:pPr>
        <w:pStyle w:val="a3"/>
        <w:spacing w:before="0" w:beforeAutospacing="0" w:after="0" w:afterAutospacing="0" w:line="276" w:lineRule="auto"/>
        <w:divId w:val="792402792"/>
        <w:rPr>
          <w:sz w:val="20"/>
          <w:szCs w:val="20"/>
        </w:rPr>
      </w:pPr>
      <w:r>
        <w:rPr>
          <w:b/>
          <w:bCs/>
          <w:sz w:val="20"/>
          <w:szCs w:val="20"/>
        </w:rPr>
        <w:br/>
      </w:r>
      <w:r>
        <w:rPr>
          <w:b/>
          <w:bCs/>
          <w:sz w:val="20"/>
          <w:szCs w:val="20"/>
        </w:rPr>
        <w:t>‎</w:t>
      </w:r>
      <w:r>
        <w:rPr>
          <w:sz w:val="20"/>
          <w:szCs w:val="20"/>
        </w:rPr>
        <w:t xml:space="preserve"> </w:t>
      </w:r>
    </w:p>
    <w:p w:rsidR="00000000" w:rsidRDefault="00865332">
      <w:pPr>
        <w:pStyle w:val="a3"/>
        <w:spacing w:before="0" w:beforeAutospacing="0" w:after="0" w:afterAutospacing="0" w:line="259" w:lineRule="auto"/>
        <w:jc w:val="center"/>
        <w:divId w:val="1821389092"/>
        <w:rPr>
          <w:sz w:val="20"/>
          <w:szCs w:val="20"/>
        </w:rPr>
      </w:pPr>
      <w:r>
        <w:rPr>
          <w:rStyle w:val="ctheaderfooterpage"/>
          <w:sz w:val="20"/>
          <w:szCs w:val="20"/>
        </w:rPr>
        <w:t>2</w:t>
      </w:r>
      <w:r>
        <w:rPr>
          <w:rStyle w:val="ctheaderfooterpage"/>
          <w:sz w:val="20"/>
          <w:szCs w:val="20"/>
        </w:rPr>
        <w:t>0</w:t>
      </w:r>
    </w:p>
    <w:p w:rsidR="00000000" w:rsidRDefault="00865332">
      <w:pPr>
        <w:spacing w:before="360" w:after="360"/>
        <w:divId w:val="1009797680"/>
        <w:rPr>
          <w:rFonts w:eastAsia="Times New Roman"/>
        </w:rPr>
      </w:pPr>
      <w:r>
        <w:rPr>
          <w:rFonts w:eastAsia="Times New Roman"/>
        </w:rPr>
        <w:pict>
          <v:rect id="_x0000_i1044" style="width:0;height:1.5pt" o:hralign="center" o:hrstd="t" o:hr="t" fillcolor="#a0a0a0" stroked="f"/>
        </w:pict>
      </w:r>
    </w:p>
    <w:p w:rsidR="00000000" w:rsidRDefault="00865332">
      <w:pPr>
        <w:pStyle w:val="a3"/>
        <w:spacing w:before="0" w:beforeAutospacing="0" w:after="0" w:afterAutospacing="0" w:line="259" w:lineRule="auto"/>
        <w:jc w:val="both"/>
        <w:divId w:val="2137527172"/>
        <w:rPr>
          <w:sz w:val="20"/>
          <w:szCs w:val="20"/>
        </w:rPr>
      </w:pPr>
      <w:r>
        <w:rPr>
          <w:b/>
          <w:bCs/>
          <w:sz w:val="20"/>
          <w:szCs w:val="20"/>
        </w:rPr>
        <w:t>ITEM 2</w:t>
      </w:r>
      <w:r>
        <w:rPr>
          <w:b/>
          <w:bCs/>
          <w:sz w:val="20"/>
          <w:szCs w:val="20"/>
        </w:rPr>
        <w:t>.</w:t>
      </w:r>
      <w:r>
        <w:rPr>
          <w:b/>
          <w:bCs/>
          <w:sz w:val="20"/>
          <w:szCs w:val="20"/>
        </w:rPr>
        <w:t>Propertie</w:t>
      </w:r>
      <w:r>
        <w:rPr>
          <w:b/>
          <w:bCs/>
          <w:sz w:val="20"/>
          <w:szCs w:val="20"/>
        </w:rPr>
        <w:t>s</w:t>
      </w:r>
    </w:p>
    <w:p w:rsidR="00000000" w:rsidRDefault="00865332">
      <w:pPr>
        <w:pStyle w:val="a3"/>
        <w:spacing w:before="0" w:beforeAutospacing="0" w:after="0" w:afterAutospacing="0" w:line="259" w:lineRule="auto"/>
        <w:ind w:firstLine="547"/>
        <w:jc w:val="both"/>
        <w:divId w:val="2137527172"/>
        <w:rPr>
          <w:sz w:val="20"/>
          <w:szCs w:val="20"/>
        </w:rPr>
      </w:pPr>
      <w:r>
        <w:rPr>
          <w:sz w:val="20"/>
          <w:szCs w:val="20"/>
        </w:rPr>
        <w:t>At December 31, 2019, we had controlling ownership interests in 2,483 self-storage facilities located in 38 states within the U.S.</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28"/>
        <w:gridCol w:w="2052"/>
        <w:gridCol w:w="257"/>
        <w:gridCol w:w="1869"/>
      </w:tblGrid>
      <w:tr w:rsidR="00000000">
        <w:trPr>
          <w:divId w:val="2137527172"/>
          <w:trHeight w:val="14"/>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3"/>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b/>
                <w:bCs/>
                <w:color w:val="000000"/>
                <w:sz w:val="20"/>
                <w:szCs w:val="20"/>
              </w:rPr>
              <w:t>At December 31, 201</w:t>
            </w:r>
            <w:r>
              <w:rPr>
                <w:b/>
                <w:bCs/>
                <w:color w:val="000000"/>
                <w:sz w:val="20"/>
                <w:szCs w:val="20"/>
              </w:rPr>
              <w:t>9</w:t>
            </w:r>
          </w:p>
        </w:tc>
      </w:tr>
      <w:tr w:rsidR="00000000">
        <w:trPr>
          <w:divId w:val="2137527172"/>
          <w:trHeight w:val="47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23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color w:val="000000"/>
                <w:sz w:val="20"/>
                <w:szCs w:val="20"/>
              </w:rPr>
              <w:t>Number of Storage Facilitie</w:t>
            </w:r>
            <w:r>
              <w:rPr>
                <w:color w:val="000000"/>
                <w:sz w:val="20"/>
                <w:szCs w:val="20"/>
              </w:rPr>
              <w:t>s</w:t>
            </w:r>
          </w:p>
        </w:tc>
        <w:tc>
          <w:tcPr>
            <w:tcW w:w="1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color w:val="000000"/>
                <w:sz w:val="20"/>
                <w:szCs w:val="20"/>
              </w:rPr>
              <w:t>Net Rentable Square Feet (in thousands</w:t>
            </w:r>
            <w:r>
              <w:rPr>
                <w:color w:val="000000"/>
                <w:sz w:val="20"/>
                <w:szCs w:val="20"/>
              </w:rPr>
              <w:t>)</w:t>
            </w:r>
          </w:p>
        </w:tc>
      </w:tr>
      <w:tr w:rsidR="00000000">
        <w:trPr>
          <w:divId w:val="2137527172"/>
          <w:trHeight w:val="130"/>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2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Californi</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Souther</w:t>
            </w:r>
            <w:r>
              <w:rPr>
                <w:sz w:val="20"/>
                <w:szCs w:val="20"/>
              </w:rPr>
              <w:t>n</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w:t>
            </w:r>
            <w:r>
              <w:rPr>
                <w:sz w:val="20"/>
                <w:szCs w:val="20"/>
              </w:rPr>
              <w:t>0</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18,35</w:t>
            </w:r>
            <w:r>
              <w:rPr>
                <w:sz w:val="20"/>
                <w:szCs w:val="20"/>
              </w:rPr>
              <w:t>6</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Norther</w:t>
            </w:r>
            <w:r>
              <w:rPr>
                <w:sz w:val="20"/>
                <w:szCs w:val="20"/>
              </w:rPr>
              <w:t>n</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w:t>
            </w:r>
            <w:r>
              <w:rPr>
                <w:sz w:val="20"/>
                <w:szCs w:val="20"/>
              </w:rPr>
              <w:t>9</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11,27</w:t>
            </w:r>
            <w:r>
              <w:rPr>
                <w:sz w:val="20"/>
                <w:szCs w:val="20"/>
              </w:rPr>
              <w:t>1</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Texa</w:t>
            </w:r>
            <w:r>
              <w:rPr>
                <w:sz w:val="20"/>
                <w:szCs w:val="20"/>
              </w:rPr>
              <w:t>s</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w:t>
            </w:r>
            <w:r>
              <w:rPr>
                <w:sz w:val="20"/>
                <w:szCs w:val="20"/>
              </w:rPr>
              <w:t>1</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23,76</w:t>
            </w:r>
            <w:r>
              <w:rPr>
                <w:sz w:val="20"/>
                <w:szCs w:val="20"/>
              </w:rPr>
              <w:t>1</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Florid</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29</w:t>
            </w:r>
            <w:r>
              <w:rPr>
                <w:sz w:val="20"/>
                <w:szCs w:val="20"/>
              </w:rPr>
              <w:t>5</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20,31</w:t>
            </w:r>
            <w:r>
              <w:rPr>
                <w:sz w:val="20"/>
                <w:szCs w:val="20"/>
              </w:rPr>
              <w:t>2</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Illinoi</w:t>
            </w:r>
            <w:r>
              <w:rPr>
                <w:sz w:val="20"/>
                <w:szCs w:val="20"/>
              </w:rPr>
              <w:t>s</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6</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7,95</w:t>
            </w:r>
            <w:r>
              <w:rPr>
                <w:sz w:val="20"/>
                <w:szCs w:val="20"/>
              </w:rPr>
              <w:t>2</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Georgi</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3</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7,62</w:t>
            </w:r>
            <w:r>
              <w:rPr>
                <w:sz w:val="20"/>
                <w:szCs w:val="20"/>
              </w:rPr>
              <w:t>5</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Washingto</w:t>
            </w:r>
            <w:r>
              <w:rPr>
                <w:sz w:val="20"/>
                <w:szCs w:val="20"/>
              </w:rPr>
              <w:t>n</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w:t>
            </w:r>
            <w:r>
              <w:rPr>
                <w:sz w:val="20"/>
                <w:szCs w:val="20"/>
              </w:rPr>
              <w:t>0</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6,96</w:t>
            </w:r>
            <w:r>
              <w:rPr>
                <w:sz w:val="20"/>
                <w:szCs w:val="20"/>
              </w:rPr>
              <w:t>0</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North Carolin</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w:t>
            </w:r>
            <w:r>
              <w:rPr>
                <w:sz w:val="20"/>
                <w:szCs w:val="20"/>
              </w:rPr>
              <w:t>3</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6,82</w:t>
            </w:r>
            <w:r>
              <w:rPr>
                <w:sz w:val="20"/>
                <w:szCs w:val="20"/>
              </w:rPr>
              <w:t>4</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Virgini</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w:t>
            </w:r>
            <w:r>
              <w:rPr>
                <w:sz w:val="20"/>
                <w:szCs w:val="20"/>
              </w:rPr>
              <w:t>4</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6,45</w:t>
            </w:r>
            <w:r>
              <w:rPr>
                <w:sz w:val="20"/>
                <w:szCs w:val="20"/>
              </w:rPr>
              <w:t>5</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Colorad</w:t>
            </w:r>
            <w:r>
              <w:rPr>
                <w:sz w:val="20"/>
                <w:szCs w:val="20"/>
              </w:rPr>
              <w:t>o</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w:t>
            </w:r>
            <w:r>
              <w:rPr>
                <w:sz w:val="20"/>
                <w:szCs w:val="20"/>
              </w:rPr>
              <w:t>5</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5,53</w:t>
            </w:r>
            <w:r>
              <w:rPr>
                <w:sz w:val="20"/>
                <w:szCs w:val="20"/>
              </w:rPr>
              <w:t>2</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New Yor</w:t>
            </w:r>
            <w:r>
              <w:rPr>
                <w:sz w:val="20"/>
                <w:szCs w:val="20"/>
              </w:rPr>
              <w:t>k</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w:t>
            </w:r>
            <w:r>
              <w:rPr>
                <w:sz w:val="20"/>
                <w:szCs w:val="20"/>
              </w:rPr>
              <w:t>7</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4,65</w:t>
            </w:r>
            <w:r>
              <w:rPr>
                <w:sz w:val="20"/>
                <w:szCs w:val="20"/>
              </w:rPr>
              <w:t>0</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Minnesot</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w:t>
            </w:r>
            <w:r>
              <w:rPr>
                <w:sz w:val="20"/>
                <w:szCs w:val="20"/>
              </w:rPr>
              <w:t>7</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4,24</w:t>
            </w:r>
            <w:r>
              <w:rPr>
                <w:sz w:val="20"/>
                <w:szCs w:val="20"/>
              </w:rPr>
              <w:t>9</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New Jerse</w:t>
            </w:r>
            <w:r>
              <w:rPr>
                <w:sz w:val="20"/>
                <w:szCs w:val="20"/>
              </w:rPr>
              <w:t>y</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w:t>
            </w:r>
            <w:r>
              <w:rPr>
                <w:sz w:val="20"/>
                <w:szCs w:val="20"/>
              </w:rPr>
              <w:t>8</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3,86</w:t>
            </w:r>
            <w:r>
              <w:rPr>
                <w:sz w:val="20"/>
                <w:szCs w:val="20"/>
              </w:rPr>
              <w:t>3</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Maryland</w:t>
            </w:r>
            <w:r>
              <w:rPr>
                <w:sz w:val="20"/>
                <w:szCs w:val="20"/>
              </w:rPr>
              <w:t xml:space="preserve"> </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w:t>
            </w:r>
            <w:r>
              <w:rPr>
                <w:sz w:val="20"/>
                <w:szCs w:val="20"/>
              </w:rPr>
              <w:t>2</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3,76</w:t>
            </w:r>
            <w:r>
              <w:rPr>
                <w:sz w:val="20"/>
                <w:szCs w:val="20"/>
              </w:rPr>
              <w:t>1</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South Carolin</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w:t>
            </w:r>
            <w:r>
              <w:rPr>
                <w:sz w:val="20"/>
                <w:szCs w:val="20"/>
              </w:rPr>
              <w:t>3</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3,65</w:t>
            </w:r>
            <w:r>
              <w:rPr>
                <w:sz w:val="20"/>
                <w:szCs w:val="20"/>
              </w:rPr>
              <w:t>4</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Ohi</w:t>
            </w:r>
            <w:r>
              <w:rPr>
                <w:sz w:val="20"/>
                <w:szCs w:val="20"/>
              </w:rPr>
              <w:t>o</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9</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3,19</w:t>
            </w:r>
            <w:r>
              <w:rPr>
                <w:sz w:val="20"/>
                <w:szCs w:val="20"/>
              </w:rPr>
              <w:t>9</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Arizon</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7</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3,10</w:t>
            </w:r>
            <w:r>
              <w:rPr>
                <w:sz w:val="20"/>
                <w:szCs w:val="20"/>
              </w:rPr>
              <w:t>3</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Michiga</w:t>
            </w:r>
            <w:r>
              <w:rPr>
                <w:sz w:val="20"/>
                <w:szCs w:val="20"/>
              </w:rPr>
              <w:t>n</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5</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3,09</w:t>
            </w:r>
            <w:r>
              <w:rPr>
                <w:sz w:val="20"/>
                <w:szCs w:val="20"/>
              </w:rPr>
              <w:t>4</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Indian</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9</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2,45</w:t>
            </w:r>
            <w:r>
              <w:rPr>
                <w:sz w:val="20"/>
                <w:szCs w:val="20"/>
              </w:rPr>
              <w:t>1</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Missour</w:t>
            </w:r>
            <w:r>
              <w:rPr>
                <w:sz w:val="20"/>
                <w:szCs w:val="20"/>
              </w:rPr>
              <w:t>i</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8</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2,23</w:t>
            </w:r>
            <w:r>
              <w:rPr>
                <w:sz w:val="20"/>
                <w:szCs w:val="20"/>
              </w:rPr>
              <w:t>6</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Tennesse</w:t>
            </w:r>
            <w:r>
              <w:rPr>
                <w:sz w:val="20"/>
                <w:szCs w:val="20"/>
              </w:rPr>
              <w:t>e</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5</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2,22</w:t>
            </w:r>
            <w:r>
              <w:rPr>
                <w:sz w:val="20"/>
                <w:szCs w:val="20"/>
              </w:rPr>
              <w:t>8</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Orego</w:t>
            </w:r>
            <w:r>
              <w:rPr>
                <w:sz w:val="20"/>
                <w:szCs w:val="20"/>
              </w:rPr>
              <w:t>n</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9</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2,04</w:t>
            </w:r>
            <w:r>
              <w:rPr>
                <w:sz w:val="20"/>
                <w:szCs w:val="20"/>
              </w:rPr>
              <w:t>0</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Pennsylvani</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8</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1,95</w:t>
            </w:r>
            <w:r>
              <w:rPr>
                <w:sz w:val="20"/>
                <w:szCs w:val="20"/>
              </w:rPr>
              <w:t>7</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Massachusett</w:t>
            </w:r>
            <w:r>
              <w:rPr>
                <w:sz w:val="20"/>
                <w:szCs w:val="20"/>
              </w:rPr>
              <w:t>s</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7</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5</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Nevad</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7</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1,81</w:t>
            </w:r>
            <w:r>
              <w:rPr>
                <w:sz w:val="20"/>
                <w:szCs w:val="20"/>
              </w:rPr>
              <w:t>8</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Oklahom</w:t>
            </w:r>
            <w:r>
              <w:rPr>
                <w:sz w:val="20"/>
                <w:szCs w:val="20"/>
              </w:rPr>
              <w:t>a</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2</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1,53</w:t>
            </w:r>
            <w:r>
              <w:rPr>
                <w:sz w:val="20"/>
                <w:szCs w:val="20"/>
              </w:rPr>
              <w:t>3</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Kansa</w:t>
            </w:r>
            <w:r>
              <w:rPr>
                <w:sz w:val="20"/>
                <w:szCs w:val="20"/>
              </w:rPr>
              <w:t>s</w:t>
            </w:r>
          </w:p>
        </w:tc>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1</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1,26</w:t>
            </w:r>
            <w:r>
              <w:rPr>
                <w:sz w:val="20"/>
                <w:szCs w:val="20"/>
              </w:rPr>
              <w:t>8</w:t>
            </w: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Other states (12 states</w:t>
            </w:r>
            <w:r>
              <w:rPr>
                <w:sz w:val="20"/>
                <w:szCs w:val="20"/>
              </w:rPr>
              <w:t>)</w:t>
            </w:r>
          </w:p>
        </w:tc>
        <w:tc>
          <w:tcPr>
            <w:tcW w:w="123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3</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6,88</w:t>
            </w:r>
            <w:r>
              <w:rPr>
                <w:sz w:val="20"/>
                <w:szCs w:val="20"/>
              </w:rPr>
              <w:t>1</w:t>
            </w:r>
          </w:p>
        </w:tc>
      </w:tr>
      <w:tr w:rsidR="00000000">
        <w:trPr>
          <w:divId w:val="2137527172"/>
          <w:trHeight w:val="101"/>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2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137527172"/>
          <w:trHeight w:val="245"/>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Total (a</w:t>
            </w:r>
            <w:r>
              <w:rPr>
                <w:sz w:val="20"/>
                <w:szCs w:val="20"/>
              </w:rPr>
              <w:t>)</w:t>
            </w:r>
          </w:p>
        </w:tc>
        <w:tc>
          <w:tcPr>
            <w:tcW w:w="123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2,48</w:t>
            </w:r>
            <w:r>
              <w:rPr>
                <w:sz w:val="20"/>
                <w:szCs w:val="20"/>
              </w:rPr>
              <w:t>3</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168,90</w:t>
            </w:r>
            <w:r>
              <w:rPr>
                <w:sz w:val="20"/>
                <w:szCs w:val="20"/>
              </w:rPr>
              <w:t>8</w:t>
            </w:r>
          </w:p>
        </w:tc>
      </w:tr>
      <w:tr w:rsidR="00000000">
        <w:trPr>
          <w:divId w:val="2137527172"/>
          <w:trHeight w:val="101"/>
          <w:jc w:val="center"/>
        </w:trPr>
        <w:tc>
          <w:tcPr>
            <w:tcW w:w="2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23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ind w:left="360" w:hanging="360"/>
        <w:jc w:val="both"/>
        <w:divId w:val="2137527172"/>
        <w:rPr>
          <w:sz w:val="18"/>
          <w:szCs w:val="18"/>
        </w:rPr>
      </w:pPr>
      <w:r>
        <w:rPr>
          <w:sz w:val="18"/>
          <w:szCs w:val="18"/>
        </w:rPr>
        <w:t>(a</w:t>
      </w:r>
      <w:r>
        <w:rPr>
          <w:sz w:val="18"/>
          <w:szCs w:val="18"/>
        </w:rPr>
        <w:t>)</w:t>
      </w:r>
      <w:r>
        <w:rPr>
          <w:sz w:val="18"/>
          <w:szCs w:val="18"/>
        </w:rPr>
        <w:t>See Schedule III: Real Estate and Accumulated Depreciation in the Company’s 2019 financials, for a summary of land, building, accumulated depreciation, square footage, and number of properties by market</w:t>
      </w:r>
      <w:r>
        <w:rPr>
          <w:sz w:val="18"/>
          <w:szCs w:val="18"/>
        </w:rPr>
        <w:t>.</w:t>
      </w:r>
    </w:p>
    <w:p w:rsidR="00000000" w:rsidRDefault="00865332">
      <w:pPr>
        <w:pStyle w:val="a3"/>
        <w:spacing w:before="0" w:beforeAutospacing="0" w:after="0" w:afterAutospacing="0" w:line="259" w:lineRule="auto"/>
        <w:ind w:firstLine="720"/>
        <w:jc w:val="both"/>
        <w:divId w:val="2137527172"/>
        <w:rPr>
          <w:sz w:val="20"/>
          <w:szCs w:val="20"/>
        </w:rPr>
      </w:pPr>
      <w:r>
        <w:rPr>
          <w:sz w:val="20"/>
          <w:szCs w:val="20"/>
        </w:rPr>
        <w:t>We seek to maximize our facilities’ cash flow throug</w:t>
      </w:r>
      <w:r>
        <w:rPr>
          <w:sz w:val="20"/>
          <w:szCs w:val="20"/>
        </w:rPr>
        <w:t>h the regular review and adjustment of rents charged and promotions granted to our existing and new incoming customers, and controlling expenses. For the year ended December 31, 2019, the weighted average occupancy level and the average realized rent per o</w:t>
      </w:r>
      <w:r>
        <w:rPr>
          <w:sz w:val="20"/>
          <w:szCs w:val="20"/>
        </w:rPr>
        <w:t>ccupied square foot for our self-storage facilities were approximately 90.9% and $17.02, respectively.</w:t>
      </w:r>
      <w:r>
        <w:rPr>
          <w:sz w:val="20"/>
          <w:szCs w:val="20"/>
        </w:rPr>
        <w:t xml:space="preserve"> </w:t>
      </w:r>
    </w:p>
    <w:p w:rsidR="00000000" w:rsidRDefault="00865332">
      <w:pPr>
        <w:pStyle w:val="a3"/>
        <w:spacing w:before="0" w:beforeAutospacing="0" w:after="0" w:afterAutospacing="0" w:line="259" w:lineRule="auto"/>
        <w:ind w:firstLine="720"/>
        <w:jc w:val="both"/>
        <w:divId w:val="2137527172"/>
        <w:rPr>
          <w:sz w:val="20"/>
          <w:szCs w:val="20"/>
        </w:rPr>
      </w:pPr>
      <w:r>
        <w:rPr>
          <w:sz w:val="20"/>
          <w:szCs w:val="20"/>
        </w:rPr>
        <w:t>At December 31, 2019, 27 of our facilities with a net book value of $106 million were encumbered by an aggregate of $27 million in mortgage notes payabl</w:t>
      </w:r>
      <w:r>
        <w:rPr>
          <w:sz w:val="20"/>
          <w:szCs w:val="20"/>
        </w:rPr>
        <w:t>e.</w:t>
      </w:r>
      <w:r>
        <w:rPr>
          <w:sz w:val="20"/>
          <w:szCs w:val="20"/>
        </w:rPr>
        <w:t xml:space="preserve"> </w:t>
      </w:r>
    </w:p>
    <w:p w:rsidR="00000000" w:rsidRDefault="00865332">
      <w:pPr>
        <w:pStyle w:val="a3"/>
        <w:spacing w:before="0" w:beforeAutospacing="0" w:after="0" w:afterAutospacing="0" w:line="259" w:lineRule="auto"/>
        <w:ind w:firstLine="720"/>
        <w:jc w:val="both"/>
        <w:divId w:val="2137527172"/>
        <w:rPr>
          <w:sz w:val="20"/>
          <w:szCs w:val="20"/>
        </w:rPr>
      </w:pPr>
      <w:r>
        <w:rPr>
          <w:sz w:val="20"/>
          <w:szCs w:val="20"/>
        </w:rPr>
        <w:t>We have no specific policy as to the maximum size of any one particular self-storage facility. However, no individual facility involves, or is expected to involve, 1% or more of our total assets, gross revenues or net income.</w:t>
      </w:r>
      <w:r>
        <w:rPr>
          <w:sz w:val="20"/>
          <w:szCs w:val="20"/>
        </w:rPr>
        <w:t xml:space="preserve"> </w:t>
      </w:r>
    </w:p>
    <w:p w:rsidR="00000000" w:rsidRDefault="00865332">
      <w:pPr>
        <w:pStyle w:val="a3"/>
        <w:spacing w:before="0" w:beforeAutospacing="0" w:after="0" w:afterAutospacing="0" w:line="259" w:lineRule="auto"/>
        <w:jc w:val="center"/>
        <w:divId w:val="937715776"/>
        <w:rPr>
          <w:sz w:val="20"/>
          <w:szCs w:val="20"/>
        </w:rPr>
      </w:pPr>
      <w:r>
        <w:rPr>
          <w:rStyle w:val="ctheaderfooterpage"/>
          <w:sz w:val="20"/>
          <w:szCs w:val="20"/>
        </w:rPr>
        <w:t>2</w:t>
      </w:r>
      <w:r>
        <w:rPr>
          <w:rStyle w:val="ctheaderfooterpage"/>
          <w:sz w:val="20"/>
          <w:szCs w:val="20"/>
        </w:rPr>
        <w:t>1</w:t>
      </w:r>
    </w:p>
    <w:p w:rsidR="00000000" w:rsidRDefault="00865332">
      <w:pPr>
        <w:spacing w:before="360" w:after="360"/>
        <w:divId w:val="85733193"/>
        <w:rPr>
          <w:rFonts w:eastAsia="Times New Roman"/>
        </w:rPr>
      </w:pPr>
      <w:r>
        <w:rPr>
          <w:rFonts w:eastAsia="Times New Roman"/>
        </w:rPr>
        <w:pict>
          <v:rect id="_x0000_i1045" style="width:0;height:1.5pt" o:hralign="center" o:hrstd="t" o:hr="t" fillcolor="#a0a0a0" stroked="f"/>
        </w:pict>
      </w:r>
    </w:p>
    <w:p w:rsidR="00000000" w:rsidRDefault="00865332">
      <w:pPr>
        <w:pStyle w:val="a3"/>
        <w:spacing w:before="0" w:beforeAutospacing="0" w:after="0" w:afterAutospacing="0" w:line="259" w:lineRule="auto"/>
        <w:ind w:firstLine="720"/>
        <w:jc w:val="both"/>
        <w:divId w:val="362436953"/>
        <w:rPr>
          <w:sz w:val="20"/>
          <w:szCs w:val="20"/>
        </w:rPr>
      </w:pPr>
      <w:r>
        <w:rPr>
          <w:b/>
          <w:bCs/>
          <w:i/>
          <w:iCs/>
          <w:sz w:val="20"/>
          <w:szCs w:val="20"/>
        </w:rPr>
        <w:t>Description of Self-Storage Facilities</w:t>
      </w:r>
      <w:r>
        <w:rPr>
          <w:b/>
          <w:bCs/>
          <w:i/>
          <w:iCs/>
          <w:sz w:val="20"/>
          <w:szCs w:val="20"/>
        </w:rPr>
        <w:t>:</w:t>
      </w:r>
      <w:r>
        <w:rPr>
          <w:i/>
          <w:iCs/>
          <w:sz w:val="20"/>
          <w:szCs w:val="20"/>
        </w:rPr>
        <w:t xml:space="preserve"> </w:t>
      </w:r>
      <w:r>
        <w:rPr>
          <w:sz w:val="20"/>
          <w:szCs w:val="20"/>
        </w:rPr>
        <w:t>Self-storage facilities, which comprise the majority of our investments, offer accessible storage space for personal and business use at a relatively low cost. A user rents a fully enclosed space, securing the space with their lock, which is for the user&amp;a</w:t>
      </w:r>
      <w:r>
        <w:rPr>
          <w:sz w:val="20"/>
          <w:szCs w:val="20"/>
        </w:rPr>
        <w:t xml:space="preserve">pos;s exclusive use and to which only the user has access. Property managers operate the facility and are supervised by district managers. Some self-storage facilities also include rentable uncovered parking areas for vehicle storage. Space is rented on a </w:t>
      </w:r>
      <w:r>
        <w:rPr>
          <w:sz w:val="20"/>
          <w:szCs w:val="20"/>
        </w:rPr>
        <w:t>month-to-month basis and rental rates vary according to the location of the property, the size of the storage space and other characteristics that affect the relative attractiveness of each particular space, such as whether the space has “drive-up” access,</w:t>
      </w:r>
      <w:r>
        <w:rPr>
          <w:sz w:val="20"/>
          <w:szCs w:val="20"/>
        </w:rPr>
        <w:t xml:space="preserve"> its proximity to elevators, or if the space is climate controlled. All of our self-storage facilities are operated under the "Public Storage" brand name</w:t>
      </w:r>
      <w:r>
        <w:rPr>
          <w:sz w:val="20"/>
          <w:szCs w:val="20"/>
        </w:rPr>
        <w:t>.</w:t>
      </w:r>
    </w:p>
    <w:p w:rsidR="00000000" w:rsidRDefault="00865332">
      <w:pPr>
        <w:pStyle w:val="a3"/>
        <w:spacing w:before="0" w:beforeAutospacing="0" w:after="0" w:afterAutospacing="0" w:line="259" w:lineRule="auto"/>
        <w:ind w:firstLine="720"/>
        <w:jc w:val="both"/>
        <w:divId w:val="362436953"/>
        <w:rPr>
          <w:sz w:val="20"/>
          <w:szCs w:val="20"/>
        </w:rPr>
      </w:pPr>
      <w:r>
        <w:rPr>
          <w:sz w:val="20"/>
          <w:szCs w:val="20"/>
        </w:rPr>
        <w:t>Users include individuals from virtually all demographic groups, as well as businesses. Individuals u</w:t>
      </w:r>
      <w:r>
        <w:rPr>
          <w:sz w:val="20"/>
          <w:szCs w:val="20"/>
        </w:rPr>
        <w:t>sually store furniture, household appliances, personal belongings, motor vehicles, boats, campers, motorcycles and other household goods. Businesses normally store excess inventory, business records, seasonal goods, equipment and fixtures</w:t>
      </w:r>
      <w:r>
        <w:rPr>
          <w:sz w:val="20"/>
          <w:szCs w:val="20"/>
        </w:rPr>
        <w:t>.</w:t>
      </w:r>
    </w:p>
    <w:p w:rsidR="00000000" w:rsidRDefault="00865332">
      <w:pPr>
        <w:pStyle w:val="a3"/>
        <w:spacing w:before="0" w:beforeAutospacing="0" w:after="0" w:afterAutospacing="0" w:line="259" w:lineRule="auto"/>
        <w:ind w:firstLine="720"/>
        <w:jc w:val="both"/>
        <w:divId w:val="362436953"/>
        <w:rPr>
          <w:sz w:val="20"/>
          <w:szCs w:val="20"/>
        </w:rPr>
      </w:pPr>
      <w:r>
        <w:rPr>
          <w:sz w:val="20"/>
          <w:szCs w:val="20"/>
        </w:rPr>
        <w:t>The configuratio</w:t>
      </w:r>
      <w:r>
        <w:rPr>
          <w:sz w:val="20"/>
          <w:szCs w:val="20"/>
        </w:rPr>
        <w:t>n of self-storage facilities has evolved over time. The oldest facilities are comprised generally of multiple single-story buildings, and have on average approximately 500 primarily “drive up” spaces per facility, and a small rental office. The most preval</w:t>
      </w:r>
      <w:r>
        <w:rPr>
          <w:sz w:val="20"/>
          <w:szCs w:val="20"/>
        </w:rPr>
        <w:t>ent recently constructed facilities have higher density footprints with large, multi-story buildings with climate control and generally up to 1,000 self-storage spaces, a more imposing and visible retail presence, and a prominent and large rental office de</w:t>
      </w:r>
      <w:r>
        <w:rPr>
          <w:sz w:val="20"/>
          <w:szCs w:val="20"/>
        </w:rPr>
        <w:t>signed to appeal to customers as an attractive and retail-focused “store.” Our self-storage portfolio includes facilities with characteristics of the oldest facilities, characteristics of the most recently constructed facilities, and those with characteris</w:t>
      </w:r>
      <w:r>
        <w:rPr>
          <w:sz w:val="20"/>
          <w:szCs w:val="20"/>
        </w:rPr>
        <w:t>tics of both older and recently constructed facilities. Most spaces have between 25 and 400 square feet and an interior height of approximately eight to 12 feet</w:t>
      </w:r>
      <w:r>
        <w:rPr>
          <w:sz w:val="20"/>
          <w:szCs w:val="20"/>
        </w:rPr>
        <w:t>.</w:t>
      </w:r>
    </w:p>
    <w:p w:rsidR="00000000" w:rsidRDefault="00865332">
      <w:pPr>
        <w:pStyle w:val="a3"/>
        <w:spacing w:before="0" w:beforeAutospacing="0" w:after="0" w:afterAutospacing="0" w:line="259" w:lineRule="auto"/>
        <w:ind w:firstLine="720"/>
        <w:jc w:val="both"/>
        <w:divId w:val="362436953"/>
        <w:rPr>
          <w:sz w:val="20"/>
          <w:szCs w:val="20"/>
        </w:rPr>
      </w:pPr>
      <w:r>
        <w:rPr>
          <w:sz w:val="20"/>
          <w:szCs w:val="20"/>
        </w:rPr>
        <w:t>We experience minor seasonal fluctuations in the occupancy levels of self-storage facilities w</w:t>
      </w:r>
      <w:r>
        <w:rPr>
          <w:sz w:val="20"/>
          <w:szCs w:val="20"/>
        </w:rPr>
        <w:t>ith occupancies generally higher in the summer months than in the winter months. We believe that these fluctuations result in part from increased demand from moving activity during the summer months and incremental demand from college students</w:t>
      </w:r>
      <w:r>
        <w:rPr>
          <w:sz w:val="20"/>
          <w:szCs w:val="20"/>
        </w:rPr>
        <w:t>.</w:t>
      </w:r>
    </w:p>
    <w:p w:rsidR="00000000" w:rsidRDefault="00865332">
      <w:pPr>
        <w:pStyle w:val="a3"/>
        <w:spacing w:before="0" w:beforeAutospacing="0" w:after="0" w:afterAutospacing="0" w:line="259" w:lineRule="auto"/>
        <w:ind w:firstLine="720"/>
        <w:jc w:val="both"/>
        <w:divId w:val="362436953"/>
        <w:rPr>
          <w:sz w:val="20"/>
          <w:szCs w:val="20"/>
        </w:rPr>
      </w:pPr>
      <w:r>
        <w:rPr>
          <w:sz w:val="20"/>
          <w:szCs w:val="20"/>
        </w:rPr>
        <w:t>Our self-st</w:t>
      </w:r>
      <w:r>
        <w:rPr>
          <w:sz w:val="20"/>
          <w:szCs w:val="20"/>
        </w:rPr>
        <w:t>orage facilities are geographically diversified and are located primarily in or near major metropolitan markets in 38 states in the U.S. Generally our self-storage facilities are located in heavily populated areas and close to concentrations of apartment c</w:t>
      </w:r>
      <w:r>
        <w:rPr>
          <w:sz w:val="20"/>
          <w:szCs w:val="20"/>
        </w:rPr>
        <w:t>omplexes, single family residences and commercial developments.</w:t>
      </w:r>
      <w:r>
        <w:rPr>
          <w:sz w:val="20"/>
          <w:szCs w:val="20"/>
        </w:rPr>
        <w:t xml:space="preserve"> </w:t>
      </w:r>
    </w:p>
    <w:p w:rsidR="00000000" w:rsidRDefault="00865332">
      <w:pPr>
        <w:pStyle w:val="a3"/>
        <w:spacing w:before="0" w:beforeAutospacing="0" w:after="0" w:afterAutospacing="0" w:line="259" w:lineRule="auto"/>
        <w:ind w:firstLine="720"/>
        <w:jc w:val="both"/>
        <w:divId w:val="362436953"/>
        <w:rPr>
          <w:sz w:val="20"/>
          <w:szCs w:val="20"/>
        </w:rPr>
      </w:pPr>
      <w:r>
        <w:rPr>
          <w:sz w:val="20"/>
          <w:szCs w:val="20"/>
        </w:rPr>
        <w:t>Competition from other self-storage facilities is significant and affects the occupancy levels, rental rates, rental income and operating expenses of our facilities.</w:t>
      </w:r>
      <w:r>
        <w:rPr>
          <w:sz w:val="20"/>
          <w:szCs w:val="20"/>
        </w:rPr>
        <w:t xml:space="preserve"> </w:t>
      </w:r>
    </w:p>
    <w:p w:rsidR="00000000" w:rsidRDefault="00865332">
      <w:pPr>
        <w:pStyle w:val="a3"/>
        <w:spacing w:before="0" w:beforeAutospacing="0" w:after="0" w:afterAutospacing="0" w:line="259" w:lineRule="auto"/>
        <w:ind w:firstLine="720"/>
        <w:jc w:val="both"/>
        <w:divId w:val="362436953"/>
        <w:rPr>
          <w:sz w:val="20"/>
          <w:szCs w:val="20"/>
        </w:rPr>
      </w:pPr>
      <w:r>
        <w:rPr>
          <w:sz w:val="20"/>
          <w:szCs w:val="20"/>
        </w:rPr>
        <w:t>We believe that self-sto</w:t>
      </w:r>
      <w:r>
        <w:rPr>
          <w:sz w:val="20"/>
          <w:szCs w:val="20"/>
        </w:rPr>
        <w:t>rage facilities, upon achieving stabilized occupancy levels of approximately 90%, have attractive characteristics consisting of high profit margins, a broad tenant base, low levels of capital expenditures to maintain their condition and appearance and exce</w:t>
      </w:r>
      <w:r>
        <w:rPr>
          <w:sz w:val="20"/>
          <w:szCs w:val="20"/>
        </w:rPr>
        <w:t>llent returns on invested capital. Historically, upon reaching stabilization, our U.S. self-storage facilities have generally shown a high degree of stability in generating cash flows.</w:t>
      </w:r>
      <w:r>
        <w:rPr>
          <w:sz w:val="20"/>
          <w:szCs w:val="20"/>
        </w:rPr>
        <w:t xml:space="preserve"> </w:t>
      </w:r>
    </w:p>
    <w:p w:rsidR="00000000" w:rsidRDefault="00865332">
      <w:pPr>
        <w:pStyle w:val="a3"/>
        <w:spacing w:before="0" w:beforeAutospacing="0" w:after="0" w:afterAutospacing="0" w:line="259" w:lineRule="auto"/>
        <w:ind w:firstLine="720"/>
        <w:jc w:val="both"/>
        <w:divId w:val="362436953"/>
        <w:rPr>
          <w:sz w:val="20"/>
          <w:szCs w:val="20"/>
        </w:rPr>
      </w:pPr>
      <w:r>
        <w:rPr>
          <w:b/>
          <w:bCs/>
          <w:i/>
          <w:iCs/>
          <w:sz w:val="20"/>
          <w:szCs w:val="20"/>
        </w:rPr>
        <w:t>Description of Commercial Propertie</w:t>
      </w:r>
      <w:r>
        <w:rPr>
          <w:b/>
          <w:bCs/>
          <w:i/>
          <w:iCs/>
          <w:sz w:val="20"/>
          <w:szCs w:val="20"/>
        </w:rPr>
        <w:t>s</w:t>
      </w:r>
      <w:r>
        <w:rPr>
          <w:sz w:val="20"/>
          <w:szCs w:val="20"/>
        </w:rPr>
        <w:t>: We have an interest in PSB, whic</w:t>
      </w:r>
      <w:r>
        <w:rPr>
          <w:sz w:val="20"/>
          <w:szCs w:val="20"/>
        </w:rPr>
        <w:t>h, as of December 31, 2019, owns and operates approximately 27.6 million rentable square feet of commercial space in six states. At December 31, 2019, the $427.9 million book value and $2.4 billion market value, respectively, of our investment in PSB repre</w:t>
      </w:r>
      <w:r>
        <w:rPr>
          <w:sz w:val="20"/>
          <w:szCs w:val="20"/>
        </w:rPr>
        <w:t>sents approximately 4% and 21%, respectively, of our total book value assets. We also directly own 0.9 million net rentable square feet of commercial space managed primarily by PSB.</w:t>
      </w:r>
      <w:r>
        <w:rPr>
          <w:sz w:val="20"/>
          <w:szCs w:val="20"/>
        </w:rPr>
        <w:t xml:space="preserve"> </w:t>
      </w:r>
    </w:p>
    <w:p w:rsidR="00000000" w:rsidRDefault="00865332">
      <w:pPr>
        <w:pStyle w:val="a3"/>
        <w:spacing w:before="0" w:beforeAutospacing="0" w:after="0" w:afterAutospacing="0" w:line="259" w:lineRule="auto"/>
        <w:ind w:firstLine="720"/>
        <w:jc w:val="both"/>
        <w:divId w:val="362436953"/>
        <w:rPr>
          <w:sz w:val="20"/>
          <w:szCs w:val="20"/>
        </w:rPr>
      </w:pPr>
      <w:r>
        <w:rPr>
          <w:sz w:val="20"/>
          <w:szCs w:val="20"/>
        </w:rPr>
        <w:t>The commercial properties owned by PSB consist primarily of flex, multi-t</w:t>
      </w:r>
      <w:r>
        <w:rPr>
          <w:sz w:val="20"/>
          <w:szCs w:val="20"/>
        </w:rPr>
        <w:t>enant office and industrial space. Flex space is defined as buildings that are configured with a combination of office and warehouse space and can be designed to fit a wide variety of uses (including office, assembly, showroom, laboratory, light manufactur</w:t>
      </w:r>
      <w:r>
        <w:rPr>
          <w:sz w:val="20"/>
          <w:szCs w:val="20"/>
        </w:rPr>
        <w:t>ing and warehouse space).</w:t>
      </w:r>
      <w:r>
        <w:rPr>
          <w:sz w:val="20"/>
          <w:szCs w:val="20"/>
        </w:rPr>
        <w:t xml:space="preserve"> </w:t>
      </w:r>
    </w:p>
    <w:p w:rsidR="00000000" w:rsidRDefault="00865332">
      <w:pPr>
        <w:pStyle w:val="a3"/>
        <w:spacing w:before="0" w:beforeAutospacing="0" w:after="0" w:afterAutospacing="0" w:line="259" w:lineRule="auto"/>
        <w:jc w:val="center"/>
        <w:divId w:val="1552309576"/>
        <w:rPr>
          <w:sz w:val="20"/>
          <w:szCs w:val="20"/>
        </w:rPr>
      </w:pPr>
      <w:r>
        <w:rPr>
          <w:rStyle w:val="ctheaderfooterpage"/>
          <w:sz w:val="20"/>
          <w:szCs w:val="20"/>
        </w:rPr>
        <w:t>2</w:t>
      </w:r>
      <w:r>
        <w:rPr>
          <w:rStyle w:val="ctheaderfooterpage"/>
          <w:sz w:val="20"/>
          <w:szCs w:val="20"/>
        </w:rPr>
        <w:t>2</w:t>
      </w:r>
    </w:p>
    <w:p w:rsidR="00000000" w:rsidRDefault="00865332">
      <w:pPr>
        <w:spacing w:before="360" w:after="360"/>
        <w:divId w:val="757362807"/>
        <w:rPr>
          <w:rFonts w:eastAsia="Times New Roman"/>
        </w:rPr>
      </w:pPr>
      <w:r>
        <w:rPr>
          <w:rFonts w:eastAsia="Times New Roman"/>
        </w:rPr>
        <w:pict>
          <v:rect id="_x0000_i1046" style="width:0;height:1.5pt" o:hralign="center" o:hrstd="t" o:hr="t" fillcolor="#a0a0a0" stroked="f"/>
        </w:pict>
      </w:r>
    </w:p>
    <w:p w:rsidR="00000000" w:rsidRDefault="00865332">
      <w:pPr>
        <w:pStyle w:val="a3"/>
        <w:spacing w:before="0" w:beforeAutospacing="0" w:after="0" w:afterAutospacing="0" w:line="259" w:lineRule="auto"/>
        <w:ind w:firstLine="720"/>
        <w:jc w:val="both"/>
        <w:divId w:val="1030450379"/>
        <w:rPr>
          <w:sz w:val="20"/>
          <w:szCs w:val="20"/>
        </w:rPr>
      </w:pPr>
      <w:r>
        <w:rPr>
          <w:b/>
          <w:bCs/>
          <w:i/>
          <w:iCs/>
          <w:sz w:val="20"/>
          <w:szCs w:val="20"/>
        </w:rPr>
        <w:t>Environmental Matters:</w:t>
      </w:r>
      <w:r>
        <w:rPr>
          <w:b/>
          <w:bCs/>
          <w:i/>
          <w:iCs/>
          <w:sz w:val="20"/>
          <w:szCs w:val="20"/>
        </w:rPr>
        <w:t xml:space="preserve"> </w:t>
      </w:r>
      <w:r>
        <w:rPr>
          <w:sz w:val="20"/>
          <w:szCs w:val="20"/>
        </w:rPr>
        <w:t>We accrue environmental assessments and estimated remediation cost when it is probable that such efforts will be required and the related costs can be reasonably estim</w:t>
      </w:r>
      <w:r>
        <w:rPr>
          <w:sz w:val="20"/>
          <w:szCs w:val="20"/>
        </w:rPr>
        <w:t>ated. Our current practice is to conduct environmental investigations in connection with property acquisitions. Although there can be no assurance, we are not aware of any environmental contamination of any of our facilities, which individually or in the a</w:t>
      </w:r>
      <w:r>
        <w:rPr>
          <w:sz w:val="20"/>
          <w:szCs w:val="20"/>
        </w:rPr>
        <w:t>ggregate would be material to our overall business, financial condition, or results of operations</w:t>
      </w:r>
      <w:r>
        <w:rPr>
          <w:sz w:val="20"/>
          <w:szCs w:val="20"/>
        </w:rPr>
        <w:t>.</w:t>
      </w:r>
    </w:p>
    <w:p w:rsidR="00000000" w:rsidRDefault="00865332">
      <w:pPr>
        <w:pStyle w:val="a3"/>
        <w:spacing w:before="0" w:beforeAutospacing="0" w:after="0" w:afterAutospacing="0" w:line="259" w:lineRule="auto"/>
        <w:jc w:val="both"/>
        <w:divId w:val="1030450379"/>
        <w:rPr>
          <w:sz w:val="20"/>
          <w:szCs w:val="20"/>
        </w:rPr>
      </w:pPr>
      <w:r>
        <w:rPr>
          <w:b/>
          <w:bCs/>
          <w:sz w:val="20"/>
          <w:szCs w:val="20"/>
        </w:rPr>
        <w:t>ITEM 3</w:t>
      </w:r>
      <w:r>
        <w:rPr>
          <w:b/>
          <w:bCs/>
          <w:sz w:val="20"/>
          <w:szCs w:val="20"/>
        </w:rPr>
        <w:t>.</w:t>
      </w:r>
      <w:r>
        <w:rPr>
          <w:b/>
          <w:bCs/>
          <w:sz w:val="20"/>
          <w:szCs w:val="20"/>
          <w:u w:val="single"/>
        </w:rPr>
        <w:t>Legal Proceeding</w:t>
      </w:r>
      <w:r>
        <w:rPr>
          <w:b/>
          <w:bCs/>
          <w:sz w:val="20"/>
          <w:szCs w:val="20"/>
          <w:u w:val="single"/>
        </w:rPr>
        <w:t>s</w:t>
      </w:r>
    </w:p>
    <w:p w:rsidR="00000000" w:rsidRDefault="00865332">
      <w:pPr>
        <w:pStyle w:val="a3"/>
        <w:spacing w:before="0" w:beforeAutospacing="0" w:after="0" w:afterAutospacing="0" w:line="259" w:lineRule="auto"/>
        <w:ind w:firstLine="720"/>
        <w:jc w:val="both"/>
        <w:divId w:val="1030450379"/>
        <w:rPr>
          <w:sz w:val="20"/>
          <w:szCs w:val="20"/>
        </w:rPr>
      </w:pPr>
      <w:r>
        <w:rPr>
          <w:sz w:val="20"/>
          <w:szCs w:val="20"/>
        </w:rPr>
        <w:t>We are subject to contingent losses as a result of being a party to various claims, complaints, and legal proceedings. However, we b</w:t>
      </w:r>
      <w:r>
        <w:rPr>
          <w:sz w:val="20"/>
          <w:szCs w:val="20"/>
        </w:rPr>
        <w:t>elieve that there is a remote likelihood that the resolution of these contingencies will result in a material loss or have a material adverse affect on our financial condition, results of operations or liquidity</w:t>
      </w:r>
      <w:r>
        <w:rPr>
          <w:sz w:val="20"/>
          <w:szCs w:val="20"/>
        </w:rPr>
        <w:t>.</w:t>
      </w:r>
    </w:p>
    <w:p w:rsidR="00000000" w:rsidRDefault="00865332">
      <w:pPr>
        <w:pStyle w:val="a3"/>
        <w:spacing w:before="0" w:beforeAutospacing="0" w:after="0" w:afterAutospacing="0" w:line="259" w:lineRule="auto"/>
        <w:jc w:val="both"/>
        <w:divId w:val="1030450379"/>
        <w:rPr>
          <w:sz w:val="20"/>
          <w:szCs w:val="20"/>
        </w:rPr>
      </w:pPr>
      <w:r>
        <w:rPr>
          <w:b/>
          <w:bCs/>
          <w:sz w:val="20"/>
          <w:szCs w:val="20"/>
        </w:rPr>
        <w:t>ITEM 4</w:t>
      </w:r>
      <w:r>
        <w:rPr>
          <w:b/>
          <w:bCs/>
          <w:sz w:val="20"/>
          <w:szCs w:val="20"/>
        </w:rPr>
        <w:t>.</w:t>
      </w:r>
      <w:r>
        <w:rPr>
          <w:b/>
          <w:bCs/>
          <w:sz w:val="20"/>
          <w:szCs w:val="20"/>
          <w:u w:val="single"/>
        </w:rPr>
        <w:t>Mine Safety Disclosure</w:t>
      </w:r>
      <w:r>
        <w:rPr>
          <w:b/>
          <w:bCs/>
          <w:sz w:val="20"/>
          <w:szCs w:val="20"/>
          <w:u w:val="single"/>
        </w:rPr>
        <w:t>s</w:t>
      </w:r>
    </w:p>
    <w:p w:rsidR="00000000" w:rsidRDefault="00865332">
      <w:pPr>
        <w:pStyle w:val="a3"/>
        <w:spacing w:before="0" w:beforeAutospacing="0" w:after="0" w:afterAutospacing="0" w:line="259" w:lineRule="auto"/>
        <w:ind w:firstLine="720"/>
        <w:jc w:val="both"/>
        <w:divId w:val="1030450379"/>
        <w:rPr>
          <w:sz w:val="20"/>
          <w:szCs w:val="20"/>
        </w:rPr>
      </w:pPr>
      <w:r>
        <w:rPr>
          <w:sz w:val="20"/>
          <w:szCs w:val="20"/>
        </w:rPr>
        <w:t>Not applicab</w:t>
      </w:r>
      <w:r>
        <w:rPr>
          <w:sz w:val="20"/>
          <w:szCs w:val="20"/>
        </w:rPr>
        <w:t>le</w:t>
      </w:r>
      <w:r>
        <w:rPr>
          <w:sz w:val="20"/>
          <w:szCs w:val="20"/>
        </w:rPr>
        <w:t>.</w:t>
      </w:r>
    </w:p>
    <w:p w:rsidR="00000000" w:rsidRDefault="00865332">
      <w:pPr>
        <w:pStyle w:val="a3"/>
        <w:spacing w:before="0" w:beforeAutospacing="0" w:after="0" w:afterAutospacing="0" w:line="259" w:lineRule="auto"/>
        <w:divId w:val="1030450379"/>
        <w:rPr>
          <w:sz w:val="20"/>
          <w:szCs w:val="20"/>
        </w:rPr>
      </w:pPr>
      <w:r>
        <w:rPr>
          <w:b/>
          <w:bCs/>
          <w:sz w:val="20"/>
          <w:szCs w:val="20"/>
          <w:u w:val="single"/>
        </w:rPr>
        <w:br/>
      </w:r>
      <w:r>
        <w:rPr>
          <w:b/>
          <w:bCs/>
          <w:sz w:val="20"/>
          <w:szCs w:val="20"/>
          <w:u w:val="single"/>
        </w:rPr>
        <w:t>‎</w:t>
      </w:r>
      <w:r>
        <w:rPr>
          <w:sz w:val="20"/>
          <w:szCs w:val="20"/>
        </w:rPr>
        <w:t xml:space="preserve"> </w:t>
      </w:r>
    </w:p>
    <w:p w:rsidR="00000000" w:rsidRDefault="00865332">
      <w:pPr>
        <w:pStyle w:val="a3"/>
        <w:spacing w:before="0" w:beforeAutospacing="0" w:after="0" w:afterAutospacing="0" w:line="259" w:lineRule="auto"/>
        <w:jc w:val="center"/>
        <w:divId w:val="1590503380"/>
        <w:rPr>
          <w:sz w:val="20"/>
          <w:szCs w:val="20"/>
        </w:rPr>
      </w:pPr>
      <w:r>
        <w:rPr>
          <w:rStyle w:val="ctheaderfooterpage"/>
          <w:sz w:val="20"/>
          <w:szCs w:val="20"/>
        </w:rPr>
        <w:t>2</w:t>
      </w:r>
      <w:r>
        <w:rPr>
          <w:rStyle w:val="ctheaderfooterpage"/>
          <w:sz w:val="20"/>
          <w:szCs w:val="20"/>
        </w:rPr>
        <w:t>3</w:t>
      </w:r>
    </w:p>
    <w:p w:rsidR="00000000" w:rsidRDefault="00865332">
      <w:pPr>
        <w:spacing w:before="360" w:after="360"/>
        <w:divId w:val="21051834"/>
        <w:rPr>
          <w:rFonts w:eastAsia="Times New Roman"/>
        </w:rPr>
      </w:pPr>
      <w:r>
        <w:rPr>
          <w:rFonts w:eastAsia="Times New Roman"/>
        </w:rPr>
        <w:pict>
          <v:rect id="_x0000_i1047" style="width:0;height:1.5pt" o:hralign="center" o:hrstd="t" o:hr="t" fillcolor="#a0a0a0" stroked="f"/>
        </w:pict>
      </w:r>
    </w:p>
    <w:p w:rsidR="00000000" w:rsidRDefault="00865332">
      <w:pPr>
        <w:pStyle w:val="a3"/>
        <w:spacing w:before="0" w:beforeAutospacing="0" w:after="0" w:afterAutospacing="0" w:line="259" w:lineRule="auto"/>
        <w:jc w:val="center"/>
        <w:divId w:val="60713766"/>
        <w:rPr>
          <w:sz w:val="20"/>
          <w:szCs w:val="20"/>
        </w:rPr>
      </w:pPr>
      <w:r>
        <w:rPr>
          <w:b/>
          <w:bCs/>
          <w:sz w:val="20"/>
          <w:szCs w:val="20"/>
          <w:u w:val="single"/>
        </w:rPr>
        <w:t>PART I</w:t>
      </w:r>
      <w:r>
        <w:rPr>
          <w:b/>
          <w:bCs/>
          <w:sz w:val="20"/>
          <w:szCs w:val="20"/>
          <w:u w:val="single"/>
        </w:rPr>
        <w:t>I</w:t>
      </w:r>
    </w:p>
    <w:p w:rsidR="00000000" w:rsidRDefault="00865332">
      <w:pPr>
        <w:pStyle w:val="a3"/>
        <w:spacing w:before="0" w:beforeAutospacing="0" w:after="0" w:afterAutospacing="0" w:line="259" w:lineRule="auto"/>
        <w:divId w:val="60713766"/>
        <w:rPr>
          <w:sz w:val="20"/>
          <w:szCs w:val="20"/>
        </w:rPr>
      </w:pPr>
      <w:r>
        <w:rPr>
          <w:b/>
          <w:bCs/>
          <w:sz w:val="20"/>
          <w:szCs w:val="20"/>
        </w:rPr>
        <w:t>ITEM 5</w:t>
      </w:r>
      <w:r>
        <w:rPr>
          <w:b/>
          <w:bCs/>
          <w:sz w:val="20"/>
          <w:szCs w:val="20"/>
        </w:rPr>
        <w:t>.</w:t>
      </w:r>
      <w:r>
        <w:rPr>
          <w:b/>
          <w:bCs/>
          <w:sz w:val="20"/>
          <w:szCs w:val="20"/>
          <w:u w:val="single"/>
        </w:rPr>
        <w:t>Market for Registrant’</w:t>
      </w:r>
      <w:r>
        <w:rPr>
          <w:b/>
          <w:bCs/>
          <w:sz w:val="20"/>
          <w:szCs w:val="20"/>
          <w:u w:val="single"/>
        </w:rPr>
        <w:t>s Common Equity, Related Shareholder Matters and Issuer Purchases of Equity Securitie</w:t>
      </w:r>
      <w:r>
        <w:rPr>
          <w:b/>
          <w:bCs/>
          <w:sz w:val="20"/>
          <w:szCs w:val="20"/>
          <w:u w:val="single"/>
        </w:rPr>
        <w:t>s</w:t>
      </w:r>
    </w:p>
    <w:p w:rsidR="00000000" w:rsidRDefault="00865332">
      <w:pPr>
        <w:pStyle w:val="a3"/>
        <w:spacing w:before="0" w:beforeAutospacing="0" w:after="0" w:afterAutospacing="0" w:line="259" w:lineRule="auto"/>
        <w:ind w:firstLine="720"/>
        <w:jc w:val="both"/>
        <w:divId w:val="60713766"/>
        <w:rPr>
          <w:sz w:val="20"/>
          <w:szCs w:val="20"/>
        </w:rPr>
      </w:pPr>
      <w:r>
        <w:rPr>
          <w:sz w:val="20"/>
          <w:szCs w:val="20"/>
        </w:rPr>
        <w:t>Our Common Shares of beneficial interest (the “Common Shares”) (NYSE: PSA) have been listed on the NYSE since October 19, 1984. As of February 21, 2020, there were appro</w:t>
      </w:r>
      <w:r>
        <w:rPr>
          <w:sz w:val="20"/>
          <w:szCs w:val="20"/>
        </w:rPr>
        <w:t>ximately 11,573 holders of record of our Common Shares.</w:t>
      </w:r>
      <w:r>
        <w:rPr>
          <w:sz w:val="20"/>
          <w:szCs w:val="20"/>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2304"/>
        <w:gridCol w:w="1512"/>
        <w:gridCol w:w="1512"/>
        <w:gridCol w:w="1494"/>
        <w:gridCol w:w="1346"/>
      </w:tblGrid>
      <w:tr w:rsidR="00000000">
        <w:trPr>
          <w:divId w:val="60713766"/>
          <w:trHeight w:val="14"/>
          <w:jc w:val="center"/>
        </w:trPr>
        <w:tc>
          <w:tcPr>
            <w:tcW w:w="2304" w:type="dxa"/>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1512"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1512"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1494"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1346"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ind w:firstLine="720"/>
        <w:jc w:val="both"/>
        <w:divId w:val="60713766"/>
        <w:rPr>
          <w:sz w:val="20"/>
          <w:szCs w:val="20"/>
        </w:rPr>
      </w:pPr>
      <w:r>
        <w:rPr>
          <w:sz w:val="20"/>
          <w:szCs w:val="20"/>
        </w:rPr>
        <w:t>Our Board of Trustees has authorized management to repurchase up to 35,000,000 of our common shares on the open market or in privately negotiated transactions. From the inception of the repurch</w:t>
      </w:r>
      <w:r>
        <w:rPr>
          <w:sz w:val="20"/>
          <w:szCs w:val="20"/>
        </w:rPr>
        <w:t>ase program through February 25, 2020, we have repurchased a total of 23,721,916 common shares (all purchased prior to 2010) at an aggregate cost of approximately $679.1 million. Our common share repurchase program does not have an expiration date and ther</w:t>
      </w:r>
      <w:r>
        <w:rPr>
          <w:sz w:val="20"/>
          <w:szCs w:val="20"/>
        </w:rPr>
        <w:t>e are 11,278,084 common shares that may yet be repurchased under our repurchase program as of December 31, 2019. We have no current plans to repurchase shares; however, future levels of common share repurchases will be dependent upon our available capital,</w:t>
      </w:r>
      <w:r>
        <w:rPr>
          <w:sz w:val="20"/>
          <w:szCs w:val="20"/>
        </w:rPr>
        <w:t xml:space="preserve"> investment alternatives, and the trading price of our common shares.</w:t>
      </w:r>
      <w:r>
        <w:rPr>
          <w:sz w:val="20"/>
          <w:szCs w:val="20"/>
        </w:rPr>
        <w:t xml:space="preserve"> </w:t>
      </w:r>
    </w:p>
    <w:p w:rsidR="00000000" w:rsidRDefault="00865332">
      <w:pPr>
        <w:pStyle w:val="a3"/>
        <w:spacing w:before="0" w:beforeAutospacing="0" w:after="0" w:afterAutospacing="0" w:line="259" w:lineRule="auto"/>
        <w:ind w:firstLine="720"/>
        <w:jc w:val="both"/>
        <w:divId w:val="60713766"/>
        <w:rPr>
          <w:sz w:val="20"/>
          <w:szCs w:val="20"/>
        </w:rPr>
      </w:pPr>
      <w:r>
        <w:rPr>
          <w:sz w:val="20"/>
          <w:szCs w:val="20"/>
        </w:rPr>
        <w:t>Refer to Ite</w:t>
      </w:r>
      <w:r>
        <w:rPr>
          <w:sz w:val="20"/>
          <w:szCs w:val="20"/>
        </w:rPr>
        <w:t>m</w:t>
      </w:r>
      <w:r>
        <w:rPr>
          <w:b/>
          <w:bCs/>
          <w:sz w:val="20"/>
          <w:szCs w:val="20"/>
        </w:rPr>
        <w:t xml:space="preserve"> </w:t>
      </w:r>
      <w:r>
        <w:rPr>
          <w:sz w:val="20"/>
          <w:szCs w:val="20"/>
        </w:rPr>
        <w:t>12. “Security Ownership of Certain Beneficial Owners and Management and Related Shareholder Matters” for information about our equity compensation plans</w:t>
      </w:r>
      <w:r>
        <w:rPr>
          <w:sz w:val="20"/>
          <w:szCs w:val="20"/>
        </w:rPr>
        <w:t>.</w:t>
      </w:r>
    </w:p>
    <w:p w:rsidR="00000000" w:rsidRDefault="00865332">
      <w:pPr>
        <w:pStyle w:val="a3"/>
        <w:spacing w:before="0" w:beforeAutospacing="0" w:after="0" w:afterAutospacing="0" w:line="276" w:lineRule="auto"/>
        <w:divId w:val="60713766"/>
        <w:rPr>
          <w:sz w:val="20"/>
          <w:szCs w:val="20"/>
        </w:rPr>
      </w:pPr>
      <w:r>
        <w:rPr>
          <w:b/>
          <w:bCs/>
          <w:sz w:val="20"/>
          <w:szCs w:val="20"/>
        </w:rPr>
        <w:br/>
      </w:r>
      <w:r>
        <w:rPr>
          <w:b/>
          <w:bCs/>
          <w:sz w:val="20"/>
          <w:szCs w:val="20"/>
        </w:rPr>
        <w:t>‎</w:t>
      </w:r>
      <w:r>
        <w:rPr>
          <w:sz w:val="20"/>
          <w:szCs w:val="20"/>
        </w:rPr>
        <w:t xml:space="preserve"> </w:t>
      </w:r>
    </w:p>
    <w:p w:rsidR="00000000" w:rsidRDefault="00865332">
      <w:pPr>
        <w:pStyle w:val="a3"/>
        <w:spacing w:before="0" w:beforeAutospacing="0" w:after="0" w:afterAutospacing="0" w:line="259" w:lineRule="auto"/>
        <w:jc w:val="center"/>
        <w:divId w:val="1061366347"/>
        <w:rPr>
          <w:sz w:val="20"/>
          <w:szCs w:val="20"/>
        </w:rPr>
      </w:pPr>
      <w:r>
        <w:rPr>
          <w:rStyle w:val="ctheaderfooterpage"/>
          <w:sz w:val="20"/>
          <w:szCs w:val="20"/>
        </w:rPr>
        <w:t>2</w:t>
      </w:r>
      <w:r>
        <w:rPr>
          <w:rStyle w:val="ctheaderfooterpage"/>
          <w:sz w:val="20"/>
          <w:szCs w:val="20"/>
        </w:rPr>
        <w:t>4</w:t>
      </w:r>
    </w:p>
    <w:p w:rsidR="00000000" w:rsidRDefault="00865332">
      <w:pPr>
        <w:spacing w:before="360" w:after="360"/>
        <w:divId w:val="99108863"/>
        <w:rPr>
          <w:rFonts w:eastAsia="Times New Roman"/>
        </w:rPr>
      </w:pPr>
      <w:r>
        <w:rPr>
          <w:rFonts w:eastAsia="Times New Roman"/>
        </w:rPr>
        <w:pict>
          <v:rect id="_x0000_i1048" style="width:0;height:1.5pt" o:hralign="center" o:hrstd="t" o:hr="t" fillcolor="#a0a0a0" stroked="f"/>
        </w:pict>
      </w:r>
    </w:p>
    <w:p w:rsidR="00000000" w:rsidRDefault="00865332">
      <w:pPr>
        <w:pStyle w:val="a3"/>
        <w:spacing w:before="0" w:beforeAutospacing="0" w:after="0" w:afterAutospacing="0" w:line="259" w:lineRule="auto"/>
        <w:divId w:val="353386010"/>
        <w:rPr>
          <w:sz w:val="20"/>
          <w:szCs w:val="20"/>
        </w:rPr>
      </w:pPr>
      <w:r>
        <w:rPr>
          <w:b/>
          <w:bCs/>
          <w:sz w:val="20"/>
          <w:szCs w:val="20"/>
        </w:rPr>
        <w:t>ITEM 6</w:t>
      </w:r>
      <w:r>
        <w:rPr>
          <w:b/>
          <w:bCs/>
          <w:sz w:val="20"/>
          <w:szCs w:val="20"/>
        </w:rPr>
        <w:t>.</w:t>
      </w:r>
      <w:r>
        <w:rPr>
          <w:b/>
          <w:bCs/>
          <w:sz w:val="20"/>
          <w:szCs w:val="20"/>
          <w:u w:val="single"/>
        </w:rPr>
        <w:t>Selected Financial Dat</w:t>
      </w:r>
      <w:r>
        <w:rPr>
          <w:b/>
          <w:bCs/>
          <w:sz w:val="20"/>
          <w:szCs w:val="20"/>
          <w:u w:val="single"/>
        </w:rPr>
        <w:t>a</w:t>
      </w:r>
    </w:p>
    <w:tbl>
      <w:tblPr>
        <w:tblW w:w="5000" w:type="pct"/>
        <w:tblCellMar>
          <w:top w:w="15" w:type="dxa"/>
          <w:left w:w="15" w:type="dxa"/>
          <w:bottom w:w="15" w:type="dxa"/>
          <w:right w:w="15" w:type="dxa"/>
        </w:tblCellMar>
        <w:tblLook w:val="04A0" w:firstRow="1" w:lastRow="0" w:firstColumn="1" w:lastColumn="0" w:noHBand="0" w:noVBand="1"/>
      </w:tblPr>
      <w:tblGrid>
        <w:gridCol w:w="2999"/>
        <w:gridCol w:w="100"/>
        <w:gridCol w:w="875"/>
        <w:gridCol w:w="108"/>
        <w:gridCol w:w="100"/>
        <w:gridCol w:w="875"/>
        <w:gridCol w:w="108"/>
        <w:gridCol w:w="100"/>
        <w:gridCol w:w="875"/>
        <w:gridCol w:w="108"/>
        <w:gridCol w:w="100"/>
        <w:gridCol w:w="875"/>
        <w:gridCol w:w="108"/>
        <w:gridCol w:w="100"/>
        <w:gridCol w:w="875"/>
      </w:tblGrid>
      <w:tr w:rsidR="00000000">
        <w:trPr>
          <w:divId w:val="353386010"/>
          <w:trHeight w:val="14"/>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color w:val="000000"/>
                <w:sz w:val="18"/>
                <w:szCs w:val="18"/>
              </w:rPr>
              <w:t>For the year ended December 31</w:t>
            </w:r>
            <w:r>
              <w:rPr>
                <w:color w:val="000000"/>
                <w:sz w:val="18"/>
                <w:szCs w:val="18"/>
              </w:rPr>
              <w:t>,</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color w:val="000000"/>
                <w:sz w:val="18"/>
                <w:szCs w:val="18"/>
              </w:rPr>
              <w:t>201</w:t>
            </w:r>
            <w:r>
              <w:rPr>
                <w:color w:val="000000"/>
                <w:sz w:val="18"/>
                <w:szCs w:val="18"/>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color w:val="000000"/>
                <w:sz w:val="18"/>
                <w:szCs w:val="18"/>
              </w:rPr>
              <w:t>201</w:t>
            </w:r>
            <w:r>
              <w:rPr>
                <w:color w:val="000000"/>
                <w:sz w:val="18"/>
                <w:szCs w:val="18"/>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color w:val="000000"/>
                <w:sz w:val="18"/>
                <w:szCs w:val="18"/>
              </w:rPr>
              <w:t>201</w:t>
            </w:r>
            <w:r>
              <w:rPr>
                <w:color w:val="000000"/>
                <w:sz w:val="18"/>
                <w:szCs w:val="18"/>
              </w:rPr>
              <w:t>7</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color w:val="000000"/>
                <w:sz w:val="18"/>
                <w:szCs w:val="18"/>
              </w:rPr>
              <w:t>201</w:t>
            </w:r>
            <w:r>
              <w:rPr>
                <w:color w:val="000000"/>
                <w:sz w:val="18"/>
                <w:szCs w:val="18"/>
              </w:rPr>
              <w:t>6</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color w:val="000000"/>
                <w:sz w:val="18"/>
                <w:szCs w:val="18"/>
              </w:rPr>
              <w:t>201</w:t>
            </w:r>
            <w:r>
              <w:rPr>
                <w:color w:val="000000"/>
                <w:sz w:val="18"/>
                <w:szCs w:val="18"/>
              </w:rPr>
              <w:t>5</w:t>
            </w:r>
          </w:p>
        </w:tc>
      </w:tr>
      <w:tr w:rsidR="00000000">
        <w:trPr>
          <w:divId w:val="353386010"/>
          <w:trHeight w:val="302"/>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color w:val="000000"/>
                <w:sz w:val="18"/>
                <w:szCs w:val="18"/>
              </w:rPr>
              <w:t>(Amounts in thousands, except share and per share data</w:t>
            </w:r>
            <w:r>
              <w:rPr>
                <w:color w:val="000000"/>
                <w:sz w:val="18"/>
                <w:szCs w:val="18"/>
              </w:rPr>
              <w:t>)</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Revenue</w:t>
            </w:r>
            <w:r>
              <w:rPr>
                <w:color w:val="000000"/>
                <w:sz w:val="18"/>
                <w:szCs w:val="18"/>
              </w:rPr>
              <w:t>s</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2,846,823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2,754,280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2,668,528</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2,560,549</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2,381,696</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18"/>
                <w:szCs w:val="18"/>
              </w:rPr>
            </w:pPr>
            <w:r>
              <w:rPr>
                <w:color w:val="000000"/>
                <w:sz w:val="18"/>
                <w:szCs w:val="18"/>
              </w:rPr>
              <w:t>Expenses</w:t>
            </w:r>
            <w:r>
              <w:rPr>
                <w:color w:val="000000"/>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Cost of operations</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796,783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739,722</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707,978</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669,083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635,502</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Depreciation and amortization</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512,918</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483,646</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454,526</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433,314</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426,008</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General and administrative</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71,983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118,720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82,882</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83,656</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88,177</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Interest expense</w:t>
            </w:r>
            <w:r>
              <w:rPr>
                <w:color w:val="000000"/>
                <w:sz w:val="18"/>
                <w:szCs w:val="18"/>
              </w:rPr>
              <w:t xml:space="preserve"> </w:t>
            </w: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45,641</w:t>
            </w:r>
            <w:r>
              <w:rPr>
                <w:color w:val="000000"/>
                <w:sz w:val="18"/>
                <w:szCs w:val="18"/>
              </w:rPr>
              <w:t>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32,542</w:t>
            </w:r>
            <w:r>
              <w:rPr>
                <w:color w:val="000000"/>
                <w:sz w:val="18"/>
                <w:szCs w:val="18"/>
              </w:rPr>
              <w:t>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12,690</w:t>
            </w:r>
            <w:r>
              <w:rPr>
                <w:color w:val="000000"/>
                <w:sz w:val="18"/>
                <w:szCs w:val="18"/>
              </w:rPr>
              <w:t>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4,210</w:t>
            </w:r>
            <w:r>
              <w:rPr>
                <w:color w:val="000000"/>
                <w:sz w:val="18"/>
                <w:szCs w:val="18"/>
              </w:rPr>
              <w:t>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610</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1,427,325</w:t>
            </w:r>
            <w:r>
              <w:rPr>
                <w:color w:val="000000"/>
                <w:sz w:val="18"/>
                <w:szCs w:val="18"/>
              </w:rPr>
              <w:t>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1,374,630</w:t>
            </w:r>
            <w:r>
              <w:rPr>
                <w:color w:val="000000"/>
                <w:sz w:val="18"/>
                <w:szCs w:val="18"/>
              </w:rPr>
              <w:t>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1,258,076</w:t>
            </w:r>
            <w:r>
              <w:rPr>
                <w:color w:val="000000"/>
                <w:sz w:val="18"/>
                <w:szCs w:val="18"/>
              </w:rPr>
              <w:t>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1,190,263</w:t>
            </w:r>
            <w:r>
              <w:rPr>
                <w:color w:val="000000"/>
                <w:sz w:val="18"/>
                <w:szCs w:val="18"/>
              </w:rPr>
              <w:t>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1,150,297</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Other increase (decrease) to net income</w:t>
            </w:r>
            <w:r>
              <w:rPr>
                <w:color w:val="000000"/>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Interest and other income</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28,436</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26,442</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18,771</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15,138</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16,544</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Equity in earnings of unconsolidated rea</w:t>
            </w:r>
            <w:r>
              <w:rPr>
                <w:color w:val="000000"/>
                <w:sz w:val="18"/>
                <w:szCs w:val="18"/>
              </w:rPr>
              <w:t>l</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color w:val="000000"/>
                <w:sz w:val="18"/>
                <w:szCs w:val="18"/>
              </w:rPr>
              <w:t>estate entities</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69,547</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103,495</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75,655</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56,756</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50,937</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Foreign currency exchange gain (loss</w:t>
            </w:r>
            <w:r>
              <w:rPr>
                <w:color w:val="000000"/>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7,829</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18,117</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(50,045</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17,570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306</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Casualty los</w:t>
            </w:r>
            <w:r>
              <w:rPr>
                <w:color w:val="000000"/>
                <w:sz w:val="18"/>
                <w:szCs w:val="18"/>
              </w:rPr>
              <w:t>s</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(7,789</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Gain on sale of real estat</w:t>
            </w:r>
            <w:r>
              <w:rPr>
                <w:color w:val="000000"/>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341</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37,903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1,421</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689</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18,503</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Gain due to Shurgard public offerin</w:t>
            </w:r>
            <w:r>
              <w:rPr>
                <w:color w:val="000000"/>
                <w:sz w:val="18"/>
                <w:szCs w:val="18"/>
              </w:rPr>
              <w:t>g</w:t>
            </w: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151,616</w:t>
            </w:r>
            <w:r>
              <w:rPr>
                <w:color w:val="000000"/>
                <w:sz w:val="18"/>
                <w:szCs w:val="18"/>
              </w:rPr>
              <w:t>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Net income</w:t>
            </w:r>
            <w:r>
              <w:rPr>
                <w:color w:val="000000"/>
                <w:sz w:val="18"/>
                <w:szCs w:val="18"/>
              </w:rPr>
              <w:t xml:space="preserve"> </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1,525,651</w:t>
            </w:r>
            <w:r>
              <w:rPr>
                <w:color w:val="000000"/>
                <w:sz w:val="18"/>
                <w:szCs w:val="18"/>
              </w:rPr>
              <w:t>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1,717,223</w:t>
            </w:r>
            <w:r>
              <w:rPr>
                <w:color w:val="000000"/>
                <w:sz w:val="18"/>
                <w:szCs w:val="18"/>
              </w:rPr>
              <w:t>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1,448,465</w:t>
            </w:r>
            <w:r>
              <w:rPr>
                <w:color w:val="000000"/>
                <w:sz w:val="18"/>
                <w:szCs w:val="18"/>
              </w:rPr>
              <w:t>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1,460,439</w:t>
            </w:r>
            <w:r>
              <w:rPr>
                <w:color w:val="000000"/>
                <w:sz w:val="18"/>
                <w:szCs w:val="18"/>
              </w:rPr>
              <w:t>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1,317,689</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Net income allocated to noncontrollin</w:t>
            </w:r>
            <w:r>
              <w:rPr>
                <w:color w:val="000000"/>
                <w:sz w:val="18"/>
                <w:szCs w:val="18"/>
              </w:rPr>
              <w:t>g</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equity interests</w:t>
            </w:r>
            <w:r>
              <w:rPr>
                <w:color w:val="000000"/>
                <w:sz w:val="18"/>
                <w:szCs w:val="18"/>
              </w:rPr>
              <w:t xml:space="preserve"> </w:t>
            </w: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(5,117</w:t>
            </w:r>
            <w:r>
              <w:rPr>
                <w:color w:val="000000"/>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(6,192</w:t>
            </w:r>
            <w:r>
              <w:rPr>
                <w:color w:val="000000"/>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(6,248</w:t>
            </w:r>
            <w:r>
              <w:rPr>
                <w:color w:val="000000"/>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(6,863</w:t>
            </w:r>
            <w:r>
              <w:rPr>
                <w:color w:val="000000"/>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(6,445</w:t>
            </w:r>
            <w:r>
              <w:rPr>
                <w:color w:val="000000"/>
                <w:sz w:val="18"/>
                <w:szCs w:val="18"/>
              </w:rPr>
              <w:t>)</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Net income allocable to Public Storag</w:t>
            </w:r>
            <w:r>
              <w:rPr>
                <w:color w:val="000000"/>
                <w:sz w:val="18"/>
                <w:szCs w:val="18"/>
              </w:rPr>
              <w:t>e</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shareholders</w:t>
            </w:r>
            <w:r>
              <w:rPr>
                <w:color w:val="000000"/>
                <w:sz w:val="18"/>
                <w:szCs w:val="18"/>
              </w:rPr>
              <w:t xml:space="preserve"> </w:t>
            </w:r>
          </w:p>
        </w:tc>
        <w:tc>
          <w:tcPr>
            <w:tcW w:w="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1,520,534</w:t>
            </w:r>
            <w:r>
              <w:rPr>
                <w:color w:val="000000"/>
                <w:sz w:val="18"/>
                <w:szCs w:val="18"/>
              </w:rPr>
              <w:t>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1,711,031</w:t>
            </w:r>
            <w:r>
              <w:rPr>
                <w:color w:val="000000"/>
                <w:sz w:val="18"/>
                <w:szCs w:val="18"/>
              </w:rPr>
              <w:t>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1,442,217</w:t>
            </w:r>
            <w:r>
              <w:rPr>
                <w:color w:val="000000"/>
                <w:sz w:val="18"/>
                <w:szCs w:val="18"/>
              </w:rPr>
              <w:t>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1,453,576</w:t>
            </w:r>
            <w:r>
              <w:rPr>
                <w:color w:val="000000"/>
                <w:sz w:val="18"/>
                <w:szCs w:val="18"/>
              </w:rPr>
              <w:t>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1,311,244</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color w:val="000000"/>
                <w:sz w:val="18"/>
                <w:szCs w:val="18"/>
                <w:u w:val="single"/>
              </w:rPr>
              <w:t>Per Common Share</w:t>
            </w:r>
            <w:r>
              <w:rPr>
                <w:b/>
                <w:bCs/>
                <w:color w:val="000000"/>
                <w:sz w:val="18"/>
                <w:szCs w:val="18"/>
                <w:u w:val="single"/>
              </w:rPr>
              <w:t>:</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Distributions</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8.00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8.00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8.00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7.30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6.50</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Net income – Basic</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7.30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8.56</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6.75</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6.84</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6.10</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Net income – Diluted</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7.29</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8.54</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6.73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6.81</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6.07</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Weighted average common shares</w:t>
            </w:r>
            <w:r>
              <w:rPr>
                <w:color w:val="000000"/>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color w:val="000000"/>
                <w:sz w:val="18"/>
                <w:szCs w:val="18"/>
              </w:rPr>
              <w:t>Basic</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174,287</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173,969</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173,613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173,091</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172,699</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color w:val="000000"/>
                <w:sz w:val="18"/>
                <w:szCs w:val="18"/>
              </w:rPr>
              <w:t>Diluted</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174,530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174,297</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174,151</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173,878</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173,510</w:t>
            </w:r>
            <w:r>
              <w:rPr>
                <w:color w:val="000000"/>
                <w:sz w:val="18"/>
                <w:szCs w:val="18"/>
              </w:rPr>
              <w:t> </w:t>
            </w:r>
          </w:p>
        </w:tc>
      </w:tr>
      <w:tr w:rsidR="00000000">
        <w:trPr>
          <w:divId w:val="353386010"/>
          <w:trHeight w:val="245"/>
        </w:trPr>
        <w:tc>
          <w:tcPr>
            <w:tcW w:w="18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59"/>
        </w:trPr>
        <w:tc>
          <w:tcPr>
            <w:tcW w:w="18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color w:val="000000"/>
                <w:sz w:val="18"/>
                <w:szCs w:val="18"/>
                <w:u w:val="single"/>
              </w:rPr>
              <w:t>Balance Sheet Data:</w:t>
            </w:r>
            <w:r>
              <w:rPr>
                <w:b/>
                <w:bCs/>
                <w:color w:val="000000"/>
                <w:sz w:val="18"/>
                <w:szCs w:val="18"/>
                <w:u w:val="single"/>
              </w:rPr>
              <w:t xml:space="preserve"> </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Total assets</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11,365,444</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10,928,270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10,732,892</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10,130,338</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9,778,232</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Total debt</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1,902,493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1,412,283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1,431,322</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390,749</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319,016</w:t>
            </w:r>
            <w:r>
              <w:rPr>
                <w:color w:val="000000"/>
                <w:sz w:val="18"/>
                <w:szCs w:val="18"/>
              </w:rPr>
              <w:t> </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Total preferred equity</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4,065,000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4,025,000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4,025,000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4,367,500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4,055,000</w:t>
            </w:r>
            <w:r>
              <w:rPr>
                <w:color w:val="000000"/>
                <w:sz w:val="18"/>
                <w:szCs w:val="18"/>
              </w:rPr>
              <w:t> </w:t>
            </w:r>
          </w:p>
        </w:tc>
      </w:tr>
      <w:tr w:rsidR="00000000">
        <w:trPr>
          <w:divId w:val="353386010"/>
          <w:trHeight w:val="259"/>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Public Storage shareholders’ equity</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9,062,911</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9,119,478</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8,940,009</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9,411,910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9,170,641</w:t>
            </w:r>
            <w:r>
              <w:rPr>
                <w:color w:val="000000"/>
                <w:sz w:val="18"/>
                <w:szCs w:val="18"/>
              </w:rPr>
              <w:t> </w:t>
            </w:r>
          </w:p>
        </w:tc>
      </w:tr>
      <w:tr w:rsidR="00000000">
        <w:trPr>
          <w:divId w:val="353386010"/>
          <w:trHeight w:val="259"/>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Permanent noncontrolling interests</w:t>
            </w:r>
            <w:r>
              <w:rPr>
                <w:color w:val="000000"/>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color w:val="000000"/>
                <w:sz w:val="18"/>
                <w:szCs w:val="18"/>
              </w:rPr>
              <w:t>equity</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16,756</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25,250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24,360</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29,744</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26,997</w:t>
            </w:r>
            <w:r>
              <w:rPr>
                <w:color w:val="000000"/>
                <w:sz w:val="18"/>
                <w:szCs w:val="18"/>
              </w:rPr>
              <w:t> </w:t>
            </w:r>
          </w:p>
        </w:tc>
      </w:tr>
      <w:tr w:rsidR="00000000">
        <w:trPr>
          <w:divId w:val="353386010"/>
          <w:trHeight w:val="245"/>
        </w:trPr>
        <w:tc>
          <w:tcPr>
            <w:tcW w:w="18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color w:val="000000"/>
                <w:sz w:val="18"/>
                <w:szCs w:val="18"/>
                <w:u w:val="single"/>
              </w:rPr>
              <w:t>Net cash flow</w:t>
            </w:r>
            <w:r>
              <w:rPr>
                <w:b/>
                <w:bCs/>
                <w:color w:val="000000"/>
                <w:sz w:val="18"/>
                <w:szCs w:val="18"/>
                <w:u w:val="single"/>
              </w:rPr>
              <w:t>:</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Provided by operating activities</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2,067,643</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2,063,637</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1,972,889</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1,945,248</w:t>
            </w:r>
            <w:r>
              <w:rPr>
                <w:color w:val="000000"/>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1,748,126</w:t>
            </w:r>
            <w:r>
              <w:rPr>
                <w:color w:val="000000"/>
                <w:sz w:val="18"/>
                <w:szCs w:val="18"/>
              </w:rPr>
              <w:t> </w:t>
            </w:r>
          </w:p>
        </w:tc>
      </w:tr>
      <w:tr w:rsidR="00000000">
        <w:trPr>
          <w:divId w:val="353386010"/>
          <w:trHeight w:val="259"/>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Used in investing activities</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(897,360</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(515,912</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(737,064</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(699,023</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(455,982</w:t>
            </w:r>
            <w:r>
              <w:rPr>
                <w:color w:val="000000"/>
                <w:sz w:val="18"/>
                <w:szCs w:val="18"/>
              </w:rPr>
              <w:t>)</w:t>
            </w:r>
          </w:p>
        </w:tc>
      </w:tr>
      <w:tr w:rsidR="00000000">
        <w:trPr>
          <w:divId w:val="353386010"/>
          <w:trHeight w:val="245"/>
        </w:trPr>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Used in financing activities</w:t>
            </w:r>
            <w:r>
              <w:rPr>
                <w:color w:val="000000"/>
                <w:sz w:val="18"/>
                <w:szCs w:val="18"/>
              </w:rPr>
              <w:t xml:space="preserve">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(1,120,735</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(1,619,588</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(992,219</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(1,148,826</w:t>
            </w:r>
            <w:r>
              <w:rPr>
                <w:color w:val="000000"/>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(1,391,283</w:t>
            </w:r>
            <w:r>
              <w:rPr>
                <w:color w:val="000000"/>
                <w:sz w:val="18"/>
                <w:szCs w:val="18"/>
              </w:rPr>
              <w:t>)</w:t>
            </w:r>
          </w:p>
        </w:tc>
      </w:tr>
    </w:tbl>
    <w:p w:rsidR="00000000" w:rsidRDefault="00865332">
      <w:pPr>
        <w:pStyle w:val="a3"/>
        <w:spacing w:before="0" w:beforeAutospacing="0" w:after="0" w:afterAutospacing="0" w:line="259" w:lineRule="auto"/>
        <w:jc w:val="center"/>
        <w:divId w:val="1965114193"/>
        <w:rPr>
          <w:sz w:val="20"/>
          <w:szCs w:val="20"/>
        </w:rPr>
      </w:pPr>
      <w:r>
        <w:rPr>
          <w:rStyle w:val="ctheaderfooterpage"/>
          <w:sz w:val="20"/>
          <w:szCs w:val="20"/>
        </w:rPr>
        <w:t>2</w:t>
      </w:r>
      <w:r>
        <w:rPr>
          <w:rStyle w:val="ctheaderfooterpage"/>
          <w:sz w:val="20"/>
          <w:szCs w:val="20"/>
        </w:rPr>
        <w:t>5</w:t>
      </w:r>
    </w:p>
    <w:p w:rsidR="00000000" w:rsidRDefault="00865332">
      <w:pPr>
        <w:spacing w:before="360" w:after="360"/>
        <w:divId w:val="274101358"/>
        <w:rPr>
          <w:rFonts w:eastAsia="Times New Roman"/>
        </w:rPr>
      </w:pPr>
      <w:r>
        <w:rPr>
          <w:rFonts w:eastAsia="Times New Roman"/>
        </w:rPr>
        <w:pict>
          <v:rect id="_x0000_i1049" style="width:0;height:1.5pt" o:hralign="center" o:hrstd="t" o:hr="t" fillcolor="#a0a0a0" stroked="f"/>
        </w:pict>
      </w:r>
    </w:p>
    <w:p w:rsidR="00000000" w:rsidRDefault="00865332">
      <w:pPr>
        <w:pStyle w:val="a3"/>
        <w:spacing w:before="0" w:beforeAutospacing="0" w:after="0" w:afterAutospacing="0" w:line="259" w:lineRule="auto"/>
        <w:jc w:val="both"/>
        <w:divId w:val="1509252813"/>
        <w:rPr>
          <w:sz w:val="20"/>
          <w:szCs w:val="20"/>
        </w:rPr>
      </w:pPr>
      <w:r>
        <w:rPr>
          <w:b/>
          <w:bCs/>
          <w:sz w:val="20"/>
          <w:szCs w:val="20"/>
        </w:rPr>
        <w:t>ITEM 7.</w:t>
      </w:r>
      <w:r>
        <w:rPr>
          <w:b/>
          <w:bCs/>
          <w:sz w:val="20"/>
          <w:szCs w:val="20"/>
        </w:rPr>
        <w:t xml:space="preserve"> </w:t>
      </w:r>
      <w:r>
        <w:rPr>
          <w:b/>
          <w:bCs/>
          <w:sz w:val="20"/>
          <w:szCs w:val="20"/>
          <w:u w:val="single"/>
        </w:rPr>
        <w:t>Management’s Discussion and Analysis of Financial Condition and Results of Operation</w:t>
      </w:r>
      <w:r>
        <w:rPr>
          <w:b/>
          <w:bCs/>
          <w:sz w:val="20"/>
          <w:szCs w:val="20"/>
          <w:u w:val="single"/>
        </w:rPr>
        <w:t>s</w:t>
      </w:r>
    </w:p>
    <w:p w:rsidR="00000000" w:rsidRDefault="00865332">
      <w:pPr>
        <w:pStyle w:val="a3"/>
        <w:spacing w:before="0" w:beforeAutospacing="0" w:after="0" w:afterAutospacing="0" w:line="259" w:lineRule="auto"/>
        <w:ind w:firstLine="720"/>
        <w:jc w:val="both"/>
        <w:divId w:val="1509252813"/>
        <w:rPr>
          <w:sz w:val="20"/>
          <w:szCs w:val="20"/>
        </w:rPr>
      </w:pPr>
      <w:r>
        <w:rPr>
          <w:sz w:val="20"/>
          <w:szCs w:val="20"/>
        </w:rPr>
        <w:t>Management’s Discussion and Analysis of Financial Condition and Results of Operations (“MD&amp;A”) should be read in conjunction w</w:t>
      </w:r>
      <w:r>
        <w:rPr>
          <w:sz w:val="20"/>
          <w:szCs w:val="20"/>
        </w:rPr>
        <w:t>ith our financial statements and notes thereto</w:t>
      </w:r>
      <w:r>
        <w:rPr>
          <w:sz w:val="20"/>
          <w:szCs w:val="20"/>
        </w:rPr>
        <w:t>.</w:t>
      </w:r>
    </w:p>
    <w:p w:rsidR="00000000" w:rsidRDefault="00865332">
      <w:pPr>
        <w:pStyle w:val="a3"/>
        <w:spacing w:before="0" w:beforeAutospacing="0" w:after="0" w:afterAutospacing="0" w:line="259" w:lineRule="auto"/>
        <w:jc w:val="both"/>
        <w:divId w:val="1509252813"/>
        <w:rPr>
          <w:sz w:val="20"/>
          <w:szCs w:val="20"/>
        </w:rPr>
      </w:pPr>
      <w:r>
        <w:rPr>
          <w:b/>
          <w:bCs/>
          <w:sz w:val="20"/>
          <w:szCs w:val="20"/>
        </w:rPr>
        <w:t>Critical Accounting Policie</w:t>
      </w:r>
      <w:r>
        <w:rPr>
          <w:b/>
          <w:bCs/>
          <w:sz w:val="20"/>
          <w:szCs w:val="20"/>
        </w:rPr>
        <w:t>s</w:t>
      </w:r>
    </w:p>
    <w:p w:rsidR="00000000" w:rsidRDefault="00865332">
      <w:pPr>
        <w:pStyle w:val="a3"/>
        <w:spacing w:before="0" w:beforeAutospacing="0" w:after="0" w:afterAutospacing="0" w:line="259" w:lineRule="auto"/>
        <w:ind w:firstLine="720"/>
        <w:jc w:val="both"/>
        <w:divId w:val="1509252813"/>
        <w:rPr>
          <w:sz w:val="20"/>
          <w:szCs w:val="20"/>
        </w:rPr>
      </w:pPr>
      <w:r>
        <w:rPr>
          <w:sz w:val="20"/>
          <w:szCs w:val="20"/>
        </w:rPr>
        <w:t>Our MD&amp;A discusses our financial statements, which have been prepared in accordance with U.S. generally accepted accounting principles (“GAAP”), and are affected by our judgments,</w:t>
      </w:r>
      <w:r>
        <w:rPr>
          <w:sz w:val="20"/>
          <w:szCs w:val="20"/>
        </w:rPr>
        <w:t xml:space="preserve"> assumptions and estimates. The notes to our December 31, 2019 financial statements, primarily Note 2, summarize our significant accounting policies.</w:t>
      </w:r>
      <w:r>
        <w:rPr>
          <w:sz w:val="20"/>
          <w:szCs w:val="20"/>
        </w:rPr>
        <w:t xml:space="preserve"> </w:t>
      </w:r>
    </w:p>
    <w:p w:rsidR="00000000" w:rsidRDefault="00865332">
      <w:pPr>
        <w:pStyle w:val="a3"/>
        <w:spacing w:before="0" w:beforeAutospacing="0" w:after="0" w:afterAutospacing="0" w:line="259" w:lineRule="auto"/>
        <w:ind w:firstLine="720"/>
        <w:jc w:val="both"/>
        <w:divId w:val="1509252813"/>
        <w:rPr>
          <w:sz w:val="20"/>
          <w:szCs w:val="20"/>
        </w:rPr>
      </w:pPr>
      <w:r>
        <w:rPr>
          <w:sz w:val="20"/>
          <w:szCs w:val="20"/>
        </w:rPr>
        <w:t>We believe the following are our critical accounting policies, because they have a material impact on the</w:t>
      </w:r>
      <w:r>
        <w:rPr>
          <w:sz w:val="20"/>
          <w:szCs w:val="20"/>
        </w:rPr>
        <w:t xml:space="preserve"> portrayal of our financial condition and results, and they require us to make judgments and estimates about matters that are inherently uncertain</w:t>
      </w:r>
      <w:r>
        <w:rPr>
          <w:sz w:val="20"/>
          <w:szCs w:val="20"/>
        </w:rPr>
        <w:t>.</w:t>
      </w:r>
    </w:p>
    <w:p w:rsidR="00000000" w:rsidRDefault="00865332">
      <w:pPr>
        <w:pStyle w:val="a3"/>
        <w:spacing w:before="0" w:beforeAutospacing="0" w:after="0" w:afterAutospacing="0" w:line="259" w:lineRule="auto"/>
        <w:ind w:firstLine="720"/>
        <w:jc w:val="both"/>
        <w:divId w:val="1509252813"/>
        <w:rPr>
          <w:sz w:val="20"/>
          <w:szCs w:val="20"/>
        </w:rPr>
      </w:pPr>
      <w:r>
        <w:rPr>
          <w:b/>
          <w:bCs/>
          <w:i/>
          <w:iCs/>
          <w:sz w:val="20"/>
          <w:szCs w:val="20"/>
        </w:rPr>
        <w:t>Income Tax Expense</w:t>
      </w:r>
      <w:r>
        <w:rPr>
          <w:b/>
          <w:bCs/>
          <w:i/>
          <w:iCs/>
          <w:sz w:val="20"/>
          <w:szCs w:val="20"/>
        </w:rPr>
        <w:t>:</w:t>
      </w:r>
      <w:r>
        <w:rPr>
          <w:sz w:val="20"/>
          <w:szCs w:val="20"/>
        </w:rPr>
        <w:t xml:space="preserve"> We have elected to be treated as a REIT, as defined in the Internal Revenue Code of 1986</w:t>
      </w:r>
      <w:r>
        <w:rPr>
          <w:sz w:val="20"/>
          <w:szCs w:val="20"/>
        </w:rPr>
        <w:t>, as amended (the “Code”). As a REIT, we do not incur federal income tax on our REIT taxable income that is fully distributed each year (for this purpose, certain distributions paid in a subsequent year may be considered), and if we meet certain organizati</w:t>
      </w:r>
      <w:r>
        <w:rPr>
          <w:sz w:val="20"/>
          <w:szCs w:val="20"/>
        </w:rPr>
        <w:t>onal and operational rules. We believe we have met these REIT requirements for all periods presented herein. Accordingly, we have recorded no federal income tax expense related to our REIT taxable income.</w:t>
      </w:r>
      <w:r>
        <w:rPr>
          <w:sz w:val="20"/>
          <w:szCs w:val="20"/>
        </w:rPr>
        <w:t xml:space="preserve"> </w:t>
      </w:r>
    </w:p>
    <w:p w:rsidR="00000000" w:rsidRDefault="00865332">
      <w:pPr>
        <w:pStyle w:val="a3"/>
        <w:spacing w:before="0" w:beforeAutospacing="0" w:after="0" w:afterAutospacing="0" w:line="259" w:lineRule="auto"/>
        <w:ind w:firstLine="720"/>
        <w:jc w:val="both"/>
        <w:divId w:val="1509252813"/>
        <w:rPr>
          <w:sz w:val="20"/>
          <w:szCs w:val="20"/>
        </w:rPr>
      </w:pPr>
      <w:r>
        <w:rPr>
          <w:sz w:val="20"/>
          <w:szCs w:val="20"/>
        </w:rPr>
        <w:t xml:space="preserve">Our evaluation that we have met the REIT requirements could be incorrect, because compliance with the tax rules requires factual determinations, and circumstances we have not identified could result in noncompliance with the tax requirements in current or </w:t>
      </w:r>
      <w:r>
        <w:rPr>
          <w:sz w:val="20"/>
          <w:szCs w:val="20"/>
        </w:rPr>
        <w:t>prior years. For any taxable year that we fail to qualify as a REIT and for which applicable statutory relief provisions did not apply, we would be taxed at the regular corporate rates on all of our taxable income for at least that year and the ensuing fou</w:t>
      </w:r>
      <w:r>
        <w:rPr>
          <w:sz w:val="20"/>
          <w:szCs w:val="20"/>
        </w:rPr>
        <w:t>r years, we could be subject to penalties and interest, and our net income would be materially different from the amounts estimated in our financial statements.</w:t>
      </w:r>
      <w:r>
        <w:rPr>
          <w:sz w:val="20"/>
          <w:szCs w:val="20"/>
        </w:rPr>
        <w:t xml:space="preserve"> </w:t>
      </w:r>
    </w:p>
    <w:p w:rsidR="00000000" w:rsidRDefault="00865332">
      <w:pPr>
        <w:pStyle w:val="a3"/>
        <w:spacing w:before="0" w:beforeAutospacing="0" w:after="0" w:afterAutospacing="0" w:line="259" w:lineRule="auto"/>
        <w:ind w:firstLine="720"/>
        <w:jc w:val="both"/>
        <w:divId w:val="1509252813"/>
        <w:rPr>
          <w:sz w:val="20"/>
          <w:szCs w:val="20"/>
        </w:rPr>
      </w:pPr>
      <w:r>
        <w:rPr>
          <w:sz w:val="20"/>
          <w:szCs w:val="20"/>
        </w:rPr>
        <w:t xml:space="preserve">In addition, certain of our consolidated corporate subsidiaries have elected to be treated as </w:t>
      </w:r>
      <w:r>
        <w:rPr>
          <w:sz w:val="20"/>
          <w:szCs w:val="20"/>
        </w:rPr>
        <w:t>“taxable REIT subsidiaries” for federal income tax purposes, which are taxable as regular corporations and subject to certain limitations on intercompany transactions. If tax authorities determine that amounts paid by our taxable REIT subsidiaries to us ar</w:t>
      </w:r>
      <w:r>
        <w:rPr>
          <w:sz w:val="20"/>
          <w:szCs w:val="20"/>
        </w:rPr>
        <w:t>e not reasonable compared to similar arrangements among unrelated parties, we could be subject to a 100% penalty tax on the excess payments. Such a penalty tax could have a material adverse impact on our net income</w:t>
      </w:r>
      <w:r>
        <w:rPr>
          <w:sz w:val="20"/>
          <w:szCs w:val="20"/>
        </w:rPr>
        <w:t>.</w:t>
      </w:r>
    </w:p>
    <w:p w:rsidR="00000000" w:rsidRDefault="00865332">
      <w:pPr>
        <w:pStyle w:val="a3"/>
        <w:spacing w:before="0" w:beforeAutospacing="0" w:after="0" w:afterAutospacing="0" w:line="259" w:lineRule="auto"/>
        <w:ind w:firstLine="720"/>
        <w:jc w:val="both"/>
        <w:divId w:val="1509252813"/>
        <w:rPr>
          <w:sz w:val="20"/>
          <w:szCs w:val="20"/>
        </w:rPr>
      </w:pPr>
      <w:r>
        <w:rPr>
          <w:b/>
          <w:bCs/>
          <w:i/>
          <w:iCs/>
          <w:sz w:val="20"/>
          <w:szCs w:val="20"/>
        </w:rPr>
        <w:t>Impairment of Long-Lived Assets</w:t>
      </w:r>
      <w:r>
        <w:rPr>
          <w:b/>
          <w:bCs/>
          <w:i/>
          <w:iCs/>
          <w:sz w:val="20"/>
          <w:szCs w:val="20"/>
        </w:rPr>
        <w:t>:</w:t>
      </w:r>
      <w:r>
        <w:rPr>
          <w:sz w:val="20"/>
          <w:szCs w:val="20"/>
        </w:rPr>
        <w:t xml:space="preserve"> The ana</w:t>
      </w:r>
      <w:r>
        <w:rPr>
          <w:sz w:val="20"/>
          <w:szCs w:val="20"/>
        </w:rPr>
        <w:t>lysis of impairment of our long-lived assets involves identification of indicators of impairment, projections of future operating cash flows, and estimates of fair values, all of which require significant judgment and subjectivity. Others could come to mat</w:t>
      </w:r>
      <w:r>
        <w:rPr>
          <w:sz w:val="20"/>
          <w:szCs w:val="20"/>
        </w:rPr>
        <w:t>erially different conclusions. In addition, we may not have identified all current facts and circumstances that may affect impairment. Any unidentified impairment loss, or change in conclusions, could have a material adverse impact on our net income</w:t>
      </w:r>
      <w:r>
        <w:rPr>
          <w:sz w:val="20"/>
          <w:szCs w:val="20"/>
        </w:rPr>
        <w:t>.</w:t>
      </w:r>
    </w:p>
    <w:p w:rsidR="00000000" w:rsidRDefault="00865332">
      <w:pPr>
        <w:pStyle w:val="a3"/>
        <w:spacing w:before="0" w:beforeAutospacing="0" w:after="0" w:afterAutospacing="0" w:line="259" w:lineRule="auto"/>
        <w:ind w:firstLine="720"/>
        <w:jc w:val="both"/>
        <w:divId w:val="1509252813"/>
        <w:rPr>
          <w:sz w:val="20"/>
          <w:szCs w:val="20"/>
        </w:rPr>
      </w:pPr>
      <w:r>
        <w:rPr>
          <w:b/>
          <w:bCs/>
          <w:i/>
          <w:iCs/>
          <w:sz w:val="20"/>
          <w:szCs w:val="20"/>
        </w:rPr>
        <w:t>Accru</w:t>
      </w:r>
      <w:r>
        <w:rPr>
          <w:b/>
          <w:bCs/>
          <w:i/>
          <w:iCs/>
          <w:sz w:val="20"/>
          <w:szCs w:val="20"/>
        </w:rPr>
        <w:t>al for Uncertain and Contingent Liabilities:</w:t>
      </w:r>
      <w:r>
        <w:rPr>
          <w:b/>
          <w:bCs/>
          <w:i/>
          <w:iCs/>
          <w:sz w:val="20"/>
          <w:szCs w:val="20"/>
        </w:rPr>
        <w:t xml:space="preserve"> </w:t>
      </w:r>
      <w:r>
        <w:rPr>
          <w:sz w:val="20"/>
          <w:szCs w:val="20"/>
        </w:rPr>
        <w:t xml:space="preserve">We accrue for certain contingent and other liabilities that have significant uncertain elements, such as property taxes, workers compensation claims, tenant reinsurance claims, as well as other legal claims and </w:t>
      </w:r>
      <w:r>
        <w:rPr>
          <w:sz w:val="20"/>
          <w:szCs w:val="20"/>
        </w:rPr>
        <w:t>disputes involving customers, employees, governmental agencies and other third parties. We estimate such liabilities based upon many factors such as assumptions of past and future trends and our evaluation of likely outcomes. However, the estimates of know</w:t>
      </w:r>
      <w:r>
        <w:rPr>
          <w:sz w:val="20"/>
          <w:szCs w:val="20"/>
        </w:rPr>
        <w:t>n liabilities could be incorrect or we may not be aware of all such liabilities, in which case our accrued liabilities and net income could be misstated.</w:t>
      </w:r>
      <w:r>
        <w:rPr>
          <w:sz w:val="20"/>
          <w:szCs w:val="20"/>
        </w:rPr>
        <w:t xml:space="preserve"> </w:t>
      </w:r>
    </w:p>
    <w:p w:rsidR="00000000" w:rsidRDefault="00865332">
      <w:pPr>
        <w:pStyle w:val="a3"/>
        <w:spacing w:before="0" w:beforeAutospacing="0" w:after="0" w:afterAutospacing="0" w:line="259" w:lineRule="auto"/>
        <w:ind w:firstLine="720"/>
        <w:jc w:val="both"/>
        <w:divId w:val="1509252813"/>
        <w:rPr>
          <w:sz w:val="20"/>
          <w:szCs w:val="20"/>
        </w:rPr>
      </w:pPr>
      <w:r>
        <w:rPr>
          <w:b/>
          <w:bCs/>
          <w:i/>
          <w:iCs/>
          <w:sz w:val="20"/>
          <w:szCs w:val="20"/>
        </w:rPr>
        <w:t>Allocating Purchase Price for Acquired Real Estate Facilities</w:t>
      </w:r>
      <w:r>
        <w:rPr>
          <w:b/>
          <w:bCs/>
          <w:i/>
          <w:iCs/>
          <w:sz w:val="20"/>
          <w:szCs w:val="20"/>
        </w:rPr>
        <w:t>:</w:t>
      </w:r>
      <w:r>
        <w:rPr>
          <w:b/>
          <w:bCs/>
          <w:sz w:val="20"/>
          <w:szCs w:val="20"/>
        </w:rPr>
        <w:t xml:space="preserve"> </w:t>
      </w:r>
      <w:r>
        <w:rPr>
          <w:sz w:val="20"/>
          <w:szCs w:val="20"/>
        </w:rPr>
        <w:t>We estimate the fair values of land an</w:t>
      </w:r>
      <w:r>
        <w:rPr>
          <w:sz w:val="20"/>
          <w:szCs w:val="20"/>
        </w:rPr>
        <w:t>d buildings for purposes of allocating the aggregate purchase price of acquired properties. The related estimation processes involve significant judgment. We estimate the fair value of acquired buildings by determining the current cost to build new purpose</w:t>
      </w:r>
      <w:r>
        <w:rPr>
          <w:sz w:val="20"/>
          <w:szCs w:val="20"/>
        </w:rPr>
        <w:t>-built self-storage facilities in the same location, and adjusting those costs for the actual age, quality, condition, amenities, and configuration of the buildings acquired. We estimate the fair value of acquired land by considering the most directly comp</w:t>
      </w:r>
      <w:r>
        <w:rPr>
          <w:sz w:val="20"/>
          <w:szCs w:val="20"/>
        </w:rPr>
        <w:t>arable recently transacted land sales (“Land Comps”) and adjusting the</w:t>
      </w:r>
      <w:r>
        <w:rPr>
          <w:sz w:val="20"/>
          <w:szCs w:val="20"/>
        </w:rPr>
        <w:t xml:space="preserve"> </w:t>
      </w:r>
    </w:p>
    <w:p w:rsidR="00000000" w:rsidRDefault="00865332">
      <w:pPr>
        <w:pStyle w:val="a3"/>
        <w:spacing w:before="0" w:beforeAutospacing="0" w:after="0" w:afterAutospacing="0" w:line="259" w:lineRule="auto"/>
        <w:jc w:val="center"/>
        <w:divId w:val="2051762573"/>
        <w:rPr>
          <w:sz w:val="20"/>
          <w:szCs w:val="20"/>
        </w:rPr>
      </w:pPr>
      <w:r>
        <w:rPr>
          <w:rStyle w:val="ctheaderfooterpage"/>
          <w:sz w:val="20"/>
          <w:szCs w:val="20"/>
        </w:rPr>
        <w:t>2</w:t>
      </w:r>
      <w:r>
        <w:rPr>
          <w:rStyle w:val="ctheaderfooterpage"/>
          <w:sz w:val="20"/>
          <w:szCs w:val="20"/>
        </w:rPr>
        <w:t>6</w:t>
      </w:r>
    </w:p>
    <w:p w:rsidR="00000000" w:rsidRDefault="00865332">
      <w:pPr>
        <w:spacing w:before="360" w:after="360"/>
        <w:divId w:val="1709791174"/>
        <w:rPr>
          <w:rFonts w:eastAsia="Times New Roman"/>
        </w:rPr>
      </w:pPr>
      <w:r>
        <w:rPr>
          <w:rFonts w:eastAsia="Times New Roman"/>
        </w:rPr>
        <w:pict>
          <v:rect id="_x0000_i1050" style="width:0;height:1.5pt" o:hralign="center" o:hrstd="t" o:hr="t" fillcolor="#a0a0a0" stroked="f"/>
        </w:pict>
      </w:r>
    </w:p>
    <w:p w:rsidR="00000000" w:rsidRDefault="00865332">
      <w:pPr>
        <w:pStyle w:val="a3"/>
        <w:spacing w:before="0" w:beforeAutospacing="0" w:after="0" w:afterAutospacing="0" w:line="259" w:lineRule="auto"/>
        <w:jc w:val="both"/>
        <w:divId w:val="1880707591"/>
        <w:rPr>
          <w:sz w:val="20"/>
          <w:szCs w:val="20"/>
        </w:rPr>
      </w:pPr>
      <w:r>
        <w:rPr>
          <w:sz w:val="20"/>
          <w:szCs w:val="20"/>
        </w:rPr>
        <w:t>transacted values for differentials to the acquired land such as location quality, parcel size, and date of sale, in order to derive the estimat</w:t>
      </w:r>
      <w:r>
        <w:rPr>
          <w:sz w:val="20"/>
          <w:szCs w:val="20"/>
        </w:rPr>
        <w:t>ed value of the underlying acquired land. These adjustments to the Land Comps require significant judgment, particularly when there is a low volume of Land Comps or the available Land Comps lack similarity to the acquired property in proximity, date of sal</w:t>
      </w:r>
      <w:r>
        <w:rPr>
          <w:sz w:val="20"/>
          <w:szCs w:val="20"/>
        </w:rPr>
        <w:t>e, or location quality. Others could come to materially different conclusions as to the estimated fair values, which would result in different depreciation and amortization expense, gains and losses on sale of real estate assets, as well as the level of la</w:t>
      </w:r>
      <w:r>
        <w:rPr>
          <w:sz w:val="20"/>
          <w:szCs w:val="20"/>
        </w:rPr>
        <w:t>nd and buildings on our balance sheet.</w:t>
      </w:r>
      <w:r>
        <w:rPr>
          <w:sz w:val="20"/>
          <w:szCs w:val="20"/>
        </w:rPr>
        <w:t xml:space="preserve"> </w:t>
      </w:r>
    </w:p>
    <w:p w:rsidR="00000000" w:rsidRDefault="00865332">
      <w:pPr>
        <w:pStyle w:val="a3"/>
        <w:spacing w:before="0" w:beforeAutospacing="0" w:after="0" w:afterAutospacing="0" w:line="259" w:lineRule="auto"/>
        <w:ind w:firstLine="720"/>
        <w:jc w:val="both"/>
        <w:divId w:val="1880707591"/>
        <w:rPr>
          <w:sz w:val="20"/>
          <w:szCs w:val="20"/>
        </w:rPr>
      </w:pPr>
      <w:r>
        <w:rPr>
          <w:b/>
          <w:bCs/>
          <w:sz w:val="20"/>
          <w:szCs w:val="20"/>
        </w:rPr>
        <w:t>Overvie</w:t>
      </w:r>
      <w:r>
        <w:rPr>
          <w:b/>
          <w:bCs/>
          <w:sz w:val="20"/>
          <w:szCs w:val="20"/>
        </w:rPr>
        <w:t>w</w:t>
      </w:r>
    </w:p>
    <w:p w:rsidR="00000000" w:rsidRDefault="00865332">
      <w:pPr>
        <w:pStyle w:val="a3"/>
        <w:spacing w:before="0" w:beforeAutospacing="0" w:after="0" w:afterAutospacing="0" w:line="259" w:lineRule="auto"/>
        <w:ind w:firstLine="720"/>
        <w:jc w:val="both"/>
        <w:divId w:val="1880707591"/>
        <w:rPr>
          <w:sz w:val="20"/>
          <w:szCs w:val="20"/>
        </w:rPr>
      </w:pPr>
      <w:r>
        <w:rPr>
          <w:sz w:val="20"/>
          <w:szCs w:val="20"/>
        </w:rPr>
        <w:t>Our self-storage operations generate most of our net income, and we believe that our earnings growth is most impacted by the level of organic growth in our existing self-storage portfolio. Accordingly, a sig</w:t>
      </w:r>
      <w:r>
        <w:rPr>
          <w:sz w:val="20"/>
          <w:szCs w:val="20"/>
        </w:rPr>
        <w:t>nificant portion of management’s time is devoted to maximizing cash flows from our existing self-storage facilities.</w:t>
      </w:r>
      <w:r>
        <w:rPr>
          <w:sz w:val="20"/>
          <w:szCs w:val="20"/>
        </w:rPr>
        <w:t xml:space="preserve"> </w:t>
      </w:r>
    </w:p>
    <w:p w:rsidR="00000000" w:rsidRDefault="00865332">
      <w:pPr>
        <w:pStyle w:val="a3"/>
        <w:spacing w:before="0" w:beforeAutospacing="0" w:after="0" w:afterAutospacing="0" w:line="259" w:lineRule="auto"/>
        <w:ind w:firstLine="720"/>
        <w:jc w:val="both"/>
        <w:divId w:val="1880707591"/>
        <w:rPr>
          <w:sz w:val="20"/>
          <w:szCs w:val="20"/>
        </w:rPr>
      </w:pPr>
      <w:r>
        <w:rPr>
          <w:sz w:val="20"/>
          <w:szCs w:val="20"/>
        </w:rPr>
        <w:t>Most of our facilities compete with other well-managed and well-located competitors within the local trade area, which is generally a thre</w:t>
      </w:r>
      <w:r>
        <w:rPr>
          <w:sz w:val="20"/>
          <w:szCs w:val="20"/>
        </w:rPr>
        <w:t>e to five mile radius. In addition to local competition, we are subject to general economic conditions, particularly those that affect the spending habits of consumers and moving trends. We believe that our centralized information networks, national teleph</w:t>
      </w:r>
      <w:r>
        <w:rPr>
          <w:sz w:val="20"/>
          <w:szCs w:val="20"/>
        </w:rPr>
        <w:t>one and online reservation system, the brand name “Public Storage,” and our economies of scale enable us to meet such challenges effectively</w:t>
      </w:r>
      <w:r>
        <w:rPr>
          <w:sz w:val="20"/>
          <w:szCs w:val="20"/>
        </w:rPr>
        <w:t>.</w:t>
      </w:r>
    </w:p>
    <w:p w:rsidR="00000000" w:rsidRDefault="00865332">
      <w:pPr>
        <w:pStyle w:val="a3"/>
        <w:spacing w:before="0" w:beforeAutospacing="0" w:after="0" w:afterAutospacing="0" w:line="259" w:lineRule="auto"/>
        <w:ind w:firstLine="720"/>
        <w:jc w:val="both"/>
        <w:divId w:val="1880707591"/>
        <w:rPr>
          <w:sz w:val="20"/>
          <w:szCs w:val="20"/>
        </w:rPr>
      </w:pPr>
      <w:r>
        <w:rPr>
          <w:sz w:val="20"/>
          <w:szCs w:val="20"/>
        </w:rPr>
        <w:t>In the last three years, there has been a marked increase in development of new self-storage facilities in many of</w:t>
      </w:r>
      <w:r>
        <w:rPr>
          <w:sz w:val="20"/>
          <w:szCs w:val="20"/>
        </w:rPr>
        <w:t xml:space="preserve"> the markets where we operate, due to the favorable economics of developing new properties. These newly developed facilities compete with many of the facilities we own, negatively impacting our occupancies, rental rates, and rental growth. This increase in</w:t>
      </w:r>
      <w:r>
        <w:rPr>
          <w:sz w:val="20"/>
          <w:szCs w:val="20"/>
        </w:rPr>
        <w:t xml:space="preserve"> supply has been most notable in Atlanta, Austin, Charlotte, Chicago, Dallas, Denver, Houston, Miami, New York, and Portland.</w:t>
      </w:r>
      <w:r>
        <w:rPr>
          <w:sz w:val="20"/>
          <w:szCs w:val="20"/>
        </w:rPr>
        <w:t xml:space="preserve"> </w:t>
      </w:r>
    </w:p>
    <w:p w:rsidR="00000000" w:rsidRDefault="00865332">
      <w:pPr>
        <w:pStyle w:val="a3"/>
        <w:spacing w:before="0" w:beforeAutospacing="0" w:after="0" w:afterAutospacing="0" w:line="259" w:lineRule="auto"/>
        <w:ind w:firstLine="720"/>
        <w:jc w:val="both"/>
        <w:divId w:val="1880707591"/>
        <w:rPr>
          <w:sz w:val="20"/>
          <w:szCs w:val="20"/>
        </w:rPr>
      </w:pPr>
      <w:r>
        <w:rPr>
          <w:sz w:val="20"/>
          <w:szCs w:val="20"/>
        </w:rPr>
        <w:t xml:space="preserve">The quality of the new supply may also allow these new facilities to compete more effectively with existing self-storage assets. </w:t>
      </w:r>
      <w:r>
        <w:rPr>
          <w:sz w:val="20"/>
          <w:szCs w:val="20"/>
        </w:rPr>
        <w:t>Much of this new supply, including our own, represents “fifth generation” facilities which often have a more fresh and vibrant appearance, more amenities such as climate control, more attractive office configurations, newer elements, and a more imposing an</w:t>
      </w:r>
      <w:r>
        <w:rPr>
          <w:sz w:val="20"/>
          <w:szCs w:val="20"/>
        </w:rPr>
        <w:t>d attractive retail presence as compared to the existing stock of self-storage facilities which were built over the last 50 years.</w:t>
      </w:r>
      <w:r>
        <w:rPr>
          <w:sz w:val="20"/>
          <w:szCs w:val="20"/>
        </w:rPr>
        <w:t xml:space="preserve"> </w:t>
      </w:r>
    </w:p>
    <w:p w:rsidR="00000000" w:rsidRDefault="00865332">
      <w:pPr>
        <w:pStyle w:val="a3"/>
        <w:spacing w:before="0" w:beforeAutospacing="0" w:after="0" w:afterAutospacing="0" w:line="259" w:lineRule="auto"/>
        <w:ind w:firstLine="720"/>
        <w:jc w:val="both"/>
        <w:divId w:val="1880707591"/>
        <w:rPr>
          <w:sz w:val="20"/>
          <w:szCs w:val="20"/>
        </w:rPr>
      </w:pPr>
      <w:r>
        <w:rPr>
          <w:sz w:val="20"/>
          <w:szCs w:val="20"/>
        </w:rPr>
        <w:t>In order to enhance the competitive position of certain of our facilities relative to local competitors (including newly dev</w:t>
      </w:r>
      <w:r>
        <w:rPr>
          <w:sz w:val="20"/>
          <w:szCs w:val="20"/>
        </w:rPr>
        <w:t>eloped “fifth generation” facilities), we have commenced a comprehensive program to rebrand our properties, in order to develop more pronounced, attractive, and clearly identifiable color schemes and signage, as well as to upgrade the configuration and lay</w:t>
      </w:r>
      <w:r>
        <w:rPr>
          <w:sz w:val="20"/>
          <w:szCs w:val="20"/>
        </w:rPr>
        <w:t>out of the offices and other customer zones to improve the customer experience. This program has initially been concentrated in properties located in a limited number of markets. The extent to which we continue this program in additional markets, and the r</w:t>
      </w:r>
      <w:r>
        <w:rPr>
          <w:sz w:val="20"/>
          <w:szCs w:val="20"/>
        </w:rPr>
        <w:t>elative scope of work, will depend in part upon the results of the initial implementation of the program.</w:t>
      </w:r>
      <w:r>
        <w:rPr>
          <w:sz w:val="20"/>
          <w:szCs w:val="20"/>
        </w:rPr>
        <w:t xml:space="preserve"> </w:t>
      </w:r>
    </w:p>
    <w:p w:rsidR="00000000" w:rsidRDefault="00865332">
      <w:pPr>
        <w:pStyle w:val="a3"/>
        <w:spacing w:before="0" w:beforeAutospacing="0" w:after="0" w:afterAutospacing="0" w:line="259" w:lineRule="auto"/>
        <w:ind w:firstLine="720"/>
        <w:jc w:val="both"/>
        <w:divId w:val="1880707591"/>
        <w:rPr>
          <w:sz w:val="20"/>
          <w:szCs w:val="20"/>
        </w:rPr>
      </w:pPr>
      <w:r>
        <w:rPr>
          <w:sz w:val="20"/>
          <w:szCs w:val="20"/>
        </w:rPr>
        <w:t xml:space="preserve">In addition to managing our existing facilities for organic growth, we plan on growing through the acquisition and development of new facilities and </w:t>
      </w:r>
      <w:r>
        <w:rPr>
          <w:sz w:val="20"/>
          <w:szCs w:val="20"/>
        </w:rPr>
        <w:t>expanding our existing self-storage facilities. Since the beginning of 2013 through December 31, 2019, we acquired a total of 340 facilities with 23.8 million net rentable square feet from third parties for approximately $3.1 billion, and we opened newly d</w:t>
      </w:r>
      <w:r>
        <w:rPr>
          <w:sz w:val="20"/>
          <w:szCs w:val="20"/>
        </w:rPr>
        <w:t>eveloped and expanded self-storage space for a total cost of $1.6 billion, adding approximately 15.1 million net rentable square feet.</w:t>
      </w:r>
      <w:r>
        <w:rPr>
          <w:sz w:val="20"/>
          <w:szCs w:val="20"/>
        </w:rPr>
        <w:t xml:space="preserve"> </w:t>
      </w:r>
    </w:p>
    <w:p w:rsidR="00000000" w:rsidRDefault="00865332">
      <w:pPr>
        <w:pStyle w:val="a3"/>
        <w:spacing w:before="0" w:beforeAutospacing="0" w:after="0" w:afterAutospacing="0" w:line="259" w:lineRule="auto"/>
        <w:ind w:firstLine="720"/>
        <w:jc w:val="both"/>
        <w:divId w:val="1880707591"/>
        <w:rPr>
          <w:sz w:val="20"/>
          <w:szCs w:val="20"/>
        </w:rPr>
      </w:pPr>
      <w:r>
        <w:rPr>
          <w:sz w:val="20"/>
          <w:szCs w:val="20"/>
        </w:rPr>
        <w:t>Subsequent to December 31, 2019, we acquired or were under contract to acquire</w:t>
      </w:r>
      <w:r>
        <w:rPr>
          <w:sz w:val="20"/>
          <w:szCs w:val="20"/>
        </w:rPr>
        <w:t xml:space="preserve"> </w:t>
      </w:r>
      <w:r>
        <w:rPr>
          <w:sz w:val="20"/>
          <w:szCs w:val="20"/>
        </w:rPr>
        <w:t>(subject to customary closing conditions)</w:t>
      </w:r>
      <w:r>
        <w:rPr>
          <w:sz w:val="20"/>
          <w:szCs w:val="20"/>
        </w:rPr>
        <w:t xml:space="preserve"> 1</w:t>
      </w:r>
      <w:r>
        <w:rPr>
          <w:sz w:val="20"/>
          <w:szCs w:val="20"/>
        </w:rPr>
        <w:t>4</w:t>
      </w:r>
      <w:r>
        <w:rPr>
          <w:sz w:val="20"/>
          <w:szCs w:val="20"/>
        </w:rPr>
        <w:t> self-storage facilities, with approximately 1.1 million net rentable square feet, for $245.3 million. We will continue to seek to acquire properties; however, there is significant competition to acquire existing facilities and there can be no assurance</w:t>
      </w:r>
      <w:r>
        <w:rPr>
          <w:sz w:val="20"/>
          <w:szCs w:val="20"/>
        </w:rPr>
        <w:t xml:space="preserve"> as to the level of facilities we may acquire.</w:t>
      </w:r>
      <w:r>
        <w:rPr>
          <w:sz w:val="20"/>
          <w:szCs w:val="20"/>
        </w:rPr>
        <w:t xml:space="preserve"> </w:t>
      </w:r>
    </w:p>
    <w:p w:rsidR="00000000" w:rsidRDefault="00865332">
      <w:pPr>
        <w:pStyle w:val="a3"/>
        <w:spacing w:before="0" w:beforeAutospacing="0" w:after="0" w:afterAutospacing="0" w:line="259" w:lineRule="auto"/>
        <w:ind w:firstLine="720"/>
        <w:jc w:val="both"/>
        <w:divId w:val="1880707591"/>
        <w:rPr>
          <w:sz w:val="20"/>
          <w:szCs w:val="20"/>
        </w:rPr>
      </w:pPr>
      <w:r>
        <w:rPr>
          <w:sz w:val="20"/>
          <w:szCs w:val="20"/>
        </w:rPr>
        <w:t xml:space="preserve">At December 31, 2019, we had a development pipeline to develop 12 new self-storage facilities and expand 35 existing self-storage facilities, which will add approximately 4.4 million net rentable square feet </w:t>
      </w:r>
      <w:r>
        <w:rPr>
          <w:sz w:val="20"/>
          <w:szCs w:val="20"/>
        </w:rPr>
        <w:t>at a cost of $619.2 million. We expect to continue to seek additional development projects; however, the level of such activity</w:t>
      </w:r>
      <w:r>
        <w:rPr>
          <w:sz w:val="20"/>
          <w:szCs w:val="20"/>
        </w:rPr>
        <w:t xml:space="preserve"> </w:t>
      </w:r>
    </w:p>
    <w:p w:rsidR="00000000" w:rsidRDefault="00865332">
      <w:pPr>
        <w:pStyle w:val="a3"/>
        <w:spacing w:before="0" w:beforeAutospacing="0" w:after="0" w:afterAutospacing="0" w:line="259" w:lineRule="auto"/>
        <w:jc w:val="center"/>
        <w:divId w:val="3631065"/>
        <w:rPr>
          <w:sz w:val="20"/>
          <w:szCs w:val="20"/>
        </w:rPr>
      </w:pPr>
      <w:r>
        <w:rPr>
          <w:rStyle w:val="ctheaderfooterpage"/>
          <w:sz w:val="20"/>
          <w:szCs w:val="20"/>
        </w:rPr>
        <w:t>2</w:t>
      </w:r>
      <w:r>
        <w:rPr>
          <w:rStyle w:val="ctheaderfooterpage"/>
          <w:sz w:val="20"/>
          <w:szCs w:val="20"/>
        </w:rPr>
        <w:t>7</w:t>
      </w:r>
    </w:p>
    <w:p w:rsidR="00000000" w:rsidRDefault="00865332">
      <w:pPr>
        <w:spacing w:before="360" w:after="360"/>
        <w:divId w:val="212011275"/>
        <w:rPr>
          <w:rFonts w:eastAsia="Times New Roman"/>
        </w:rPr>
      </w:pPr>
      <w:r>
        <w:rPr>
          <w:rFonts w:eastAsia="Times New Roman"/>
        </w:rPr>
        <w:pict>
          <v:rect id="_x0000_i1051" style="width:0;height:1.5pt" o:hralign="center" o:hrstd="t" o:hr="t" fillcolor="#a0a0a0" stroked="f"/>
        </w:pict>
      </w:r>
    </w:p>
    <w:p w:rsidR="00000000" w:rsidRDefault="00865332">
      <w:pPr>
        <w:pStyle w:val="a3"/>
        <w:spacing w:before="0" w:beforeAutospacing="0" w:after="0" w:afterAutospacing="0" w:line="259" w:lineRule="auto"/>
        <w:jc w:val="both"/>
        <w:divId w:val="2004384392"/>
        <w:rPr>
          <w:sz w:val="20"/>
          <w:szCs w:val="20"/>
        </w:rPr>
      </w:pPr>
      <w:r>
        <w:rPr>
          <w:sz w:val="20"/>
          <w:szCs w:val="20"/>
        </w:rPr>
        <w:t xml:space="preserve">may be limited due to various constraints such as difficulty in finding available sites </w:t>
      </w:r>
      <w:r>
        <w:rPr>
          <w:sz w:val="20"/>
          <w:szCs w:val="20"/>
        </w:rPr>
        <w:t>that meet our risk-adjusted yield expectations, as well as challenges in obtaining building permits for self-storage activities in certain municipalities.</w:t>
      </w:r>
      <w:r>
        <w:rPr>
          <w:sz w:val="20"/>
          <w:szCs w:val="20"/>
        </w:rPr>
        <w:t xml:space="preserve"> </w:t>
      </w:r>
    </w:p>
    <w:p w:rsidR="00000000" w:rsidRDefault="00865332">
      <w:pPr>
        <w:pStyle w:val="a3"/>
        <w:spacing w:before="0" w:beforeAutospacing="0" w:after="0" w:afterAutospacing="0" w:line="259" w:lineRule="auto"/>
        <w:ind w:firstLine="720"/>
        <w:jc w:val="both"/>
        <w:divId w:val="2004384392"/>
        <w:rPr>
          <w:sz w:val="20"/>
          <w:szCs w:val="20"/>
        </w:rPr>
      </w:pPr>
      <w:r>
        <w:rPr>
          <w:sz w:val="20"/>
          <w:szCs w:val="20"/>
        </w:rPr>
        <w:t>We believe that our development and redevelopment activities generate favorable risk-adjusted return</w:t>
      </w:r>
      <w:r>
        <w:rPr>
          <w:sz w:val="20"/>
          <w:szCs w:val="20"/>
        </w:rPr>
        <w:t>s over the long run.  However, in the short run, our earnings are diluted during the construction and stabilization period due to the cost of capital to fund the development cost, as well as the related construction and development overhead expenses includ</w:t>
      </w:r>
      <w:r>
        <w:rPr>
          <w:sz w:val="20"/>
          <w:szCs w:val="20"/>
        </w:rPr>
        <w:t>ed in general and administrative expense. We believe the level of dilution incurred in 2019 will continue at similar levels in 2020.</w:t>
      </w:r>
      <w:r>
        <w:rPr>
          <w:sz w:val="20"/>
          <w:szCs w:val="20"/>
        </w:rPr>
        <w:t xml:space="preserve"> </w:t>
      </w:r>
    </w:p>
    <w:p w:rsidR="00000000" w:rsidRDefault="00865332">
      <w:pPr>
        <w:pStyle w:val="a3"/>
        <w:spacing w:before="0" w:beforeAutospacing="0" w:after="0" w:afterAutospacing="0" w:line="259" w:lineRule="auto"/>
        <w:ind w:firstLine="720"/>
        <w:jc w:val="both"/>
        <w:divId w:val="2004384392"/>
        <w:rPr>
          <w:sz w:val="20"/>
          <w:szCs w:val="20"/>
        </w:rPr>
      </w:pPr>
      <w:r>
        <w:rPr>
          <w:sz w:val="20"/>
          <w:szCs w:val="20"/>
        </w:rPr>
        <w:t>On October 15, 2018, Shurgard Self Storage SA (“Shurgard”) completed an initial global offering (the “Offering”) of its co</w:t>
      </w:r>
      <w:r>
        <w:rPr>
          <w:sz w:val="20"/>
          <w:szCs w:val="20"/>
        </w:rPr>
        <w:t>mmon shares, and its shares commenced trading on Euronext Brussels under the “SHUR” symbol. In the Offering, Shurgard issued 25.0 million of its common shares to third parties at a price of €23 per share, for €575 million in gross proceeds. The gross proce</w:t>
      </w:r>
      <w:r>
        <w:rPr>
          <w:sz w:val="20"/>
          <w:szCs w:val="20"/>
        </w:rPr>
        <w:t>eds were used to repay short-term borrowings, invest in real estate assets, and for other corporate purposes. Our equity interest, comprised of a direct and indirect pro-rata ownership interest in 31.3 million shares, decreased from 49% to approximately 35</w:t>
      </w:r>
      <w:r>
        <w:rPr>
          <w:sz w:val="20"/>
          <w:szCs w:val="20"/>
        </w:rPr>
        <w:t>% as a result of the Offering. See “Investment in Shurgard” below for more information.</w:t>
      </w:r>
      <w:r>
        <w:rPr>
          <w:sz w:val="20"/>
          <w:szCs w:val="20"/>
        </w:rPr>
        <w:t xml:space="preserve"> </w:t>
      </w:r>
    </w:p>
    <w:p w:rsidR="00000000" w:rsidRDefault="00865332">
      <w:pPr>
        <w:pStyle w:val="a3"/>
        <w:spacing w:before="0" w:beforeAutospacing="0" w:after="0" w:afterAutospacing="0" w:line="259" w:lineRule="auto"/>
        <w:ind w:firstLine="720"/>
        <w:jc w:val="both"/>
        <w:divId w:val="2004384392"/>
        <w:rPr>
          <w:sz w:val="20"/>
          <w:szCs w:val="20"/>
        </w:rPr>
      </w:pPr>
      <w:r>
        <w:rPr>
          <w:sz w:val="20"/>
          <w:szCs w:val="20"/>
        </w:rPr>
        <w:t>As of December 31, 2019, we expect capital resources over the next year of approximately $1.7 billion, which exceeds our currently identified capital needs of approxim</w:t>
      </w:r>
      <w:r>
        <w:rPr>
          <w:sz w:val="20"/>
          <w:szCs w:val="20"/>
        </w:rPr>
        <w:t>ately $722.6 million. Our expected capital resources include: (i) $409.7 million of cash as of December 31, 2019, (ii) $484.1 million of available borrowing capacity on our revolving line of credit, (iii) $545.2 million in net proceeds from the public issu</w:t>
      </w:r>
      <w:r>
        <w:rPr>
          <w:sz w:val="20"/>
          <w:szCs w:val="20"/>
        </w:rPr>
        <w:t>ance of senior Euro-denominated notes and (iv) approximately $200 million to $250 million of expected retained operating cash flow in the next year. Retained operating cash flow represents our expected cash flow provided by operating activities, less share</w:t>
      </w:r>
      <w:r>
        <w:rPr>
          <w:sz w:val="20"/>
          <w:szCs w:val="20"/>
        </w:rPr>
        <w:t>holder distributions and capital expenditures to maintain our real estate facilities.</w:t>
      </w:r>
      <w:r>
        <w:rPr>
          <w:sz w:val="20"/>
          <w:szCs w:val="20"/>
        </w:rPr>
        <w:t xml:space="preserve"> </w:t>
      </w:r>
    </w:p>
    <w:p w:rsidR="00000000" w:rsidRDefault="00865332">
      <w:pPr>
        <w:pStyle w:val="a3"/>
        <w:spacing w:before="0" w:beforeAutospacing="0" w:after="0" w:afterAutospacing="0" w:line="259" w:lineRule="auto"/>
        <w:ind w:firstLine="720"/>
        <w:jc w:val="both"/>
        <w:divId w:val="2004384392"/>
        <w:rPr>
          <w:sz w:val="20"/>
          <w:szCs w:val="20"/>
        </w:rPr>
      </w:pPr>
      <w:r>
        <w:rPr>
          <w:sz w:val="20"/>
          <w:szCs w:val="20"/>
        </w:rPr>
        <w:t>Our currently identified capital needs consist primarily of $245.3 </w:t>
      </w:r>
      <w:r>
        <w:rPr>
          <w:sz w:val="20"/>
          <w:szCs w:val="20"/>
        </w:rPr>
        <w:t>million in property acquisitions currently under contract and $477.3 million of remaining spending on our current development pipeline, which will be incurred primarily in the next 18 months. We have no substantial principal payments on debt until 2022. We</w:t>
      </w:r>
      <w:r>
        <w:rPr>
          <w:sz w:val="20"/>
          <w:szCs w:val="20"/>
        </w:rPr>
        <w:t xml:space="preserve"> expect our capital needs to increase over the next year as we add projects to our development pipeline and acquire additional properties. Additional potential capital needs could result from various activities including the redemption of outstanding prefe</w:t>
      </w:r>
      <w:r>
        <w:rPr>
          <w:sz w:val="20"/>
          <w:szCs w:val="20"/>
        </w:rPr>
        <w:t>rred securities, repurchases of common stock, or mergers and acquisition activities such as a potential acquisition of National Storage REIT described in Note 15, “Subsequent Events” to our December 31, 2019 financial statements; however, there can be no a</w:t>
      </w:r>
      <w:r>
        <w:rPr>
          <w:sz w:val="20"/>
          <w:szCs w:val="20"/>
        </w:rPr>
        <w:t>ssurance of any such activities transpiring in the near or longer term</w:t>
      </w:r>
      <w:r>
        <w:rPr>
          <w:sz w:val="20"/>
          <w:szCs w:val="20"/>
        </w:rPr>
        <w:t>.</w:t>
      </w:r>
    </w:p>
    <w:p w:rsidR="00000000" w:rsidRDefault="00865332">
      <w:pPr>
        <w:pStyle w:val="a3"/>
        <w:spacing w:before="0" w:beforeAutospacing="0" w:after="0" w:afterAutospacing="0" w:line="259" w:lineRule="auto"/>
        <w:ind w:firstLine="720"/>
        <w:jc w:val="both"/>
        <w:divId w:val="2004384392"/>
        <w:rPr>
          <w:sz w:val="20"/>
          <w:szCs w:val="20"/>
        </w:rPr>
      </w:pPr>
      <w:r>
        <w:rPr>
          <w:sz w:val="20"/>
          <w:szCs w:val="20"/>
        </w:rPr>
        <w:t>See</w:t>
      </w:r>
      <w:r>
        <w:rPr>
          <w:sz w:val="20"/>
          <w:szCs w:val="20"/>
        </w:rPr>
        <w:t xml:space="preserve"> </w:t>
      </w:r>
      <w:r>
        <w:rPr>
          <w:i/>
          <w:iCs/>
          <w:sz w:val="20"/>
          <w:szCs w:val="20"/>
        </w:rPr>
        <w:t>Liquidity and Capital Resource</w:t>
      </w:r>
      <w:r>
        <w:rPr>
          <w:i/>
          <w:iCs/>
          <w:sz w:val="20"/>
          <w:szCs w:val="20"/>
        </w:rPr>
        <w:t>s</w:t>
      </w:r>
      <w:r>
        <w:rPr>
          <w:sz w:val="20"/>
          <w:szCs w:val="20"/>
        </w:rPr>
        <w:t xml:space="preserve"> for further information regarding our capital requirements and anticipated sources of capital to fund such requirements.</w:t>
      </w:r>
      <w:r>
        <w:rPr>
          <w:sz w:val="20"/>
          <w:szCs w:val="20"/>
        </w:rPr>
        <w:t xml:space="preserve"> </w:t>
      </w:r>
    </w:p>
    <w:p w:rsidR="00000000" w:rsidRDefault="00865332">
      <w:pPr>
        <w:pStyle w:val="a3"/>
        <w:spacing w:before="0" w:beforeAutospacing="0" w:after="0" w:afterAutospacing="0" w:line="259" w:lineRule="auto"/>
        <w:divId w:val="1793595764"/>
        <w:rPr>
          <w:sz w:val="20"/>
          <w:szCs w:val="20"/>
        </w:rPr>
      </w:pPr>
      <w:r>
        <w:rPr>
          <w:b/>
          <w:bCs/>
          <w:i/>
          <w:iCs/>
          <w:sz w:val="20"/>
          <w:szCs w:val="20"/>
        </w:rPr>
        <w:t>Results of Operations</w:t>
      </w:r>
      <w:r>
        <w:rPr>
          <w:b/>
          <w:bCs/>
          <w:i/>
          <w:iCs/>
          <w:sz w:val="20"/>
          <w:szCs w:val="20"/>
        </w:rPr>
        <w:t xml:space="preserve"> </w:t>
      </w:r>
    </w:p>
    <w:p w:rsidR="00000000" w:rsidRDefault="00865332">
      <w:pPr>
        <w:pStyle w:val="a3"/>
        <w:spacing w:before="0" w:beforeAutospacing="0" w:after="0" w:afterAutospacing="0" w:line="259" w:lineRule="auto"/>
        <w:jc w:val="both"/>
        <w:divId w:val="2004384392"/>
        <w:rPr>
          <w:sz w:val="20"/>
          <w:szCs w:val="20"/>
        </w:rPr>
      </w:pPr>
      <w:r>
        <w:rPr>
          <w:b/>
          <w:bCs/>
          <w:sz w:val="20"/>
          <w:szCs w:val="20"/>
          <w:u w:val="single"/>
        </w:rPr>
        <w:t>Ope</w:t>
      </w:r>
      <w:r>
        <w:rPr>
          <w:b/>
          <w:bCs/>
          <w:sz w:val="20"/>
          <w:szCs w:val="20"/>
          <w:u w:val="single"/>
        </w:rPr>
        <w:t>rating results for 2019 and 201</w:t>
      </w:r>
      <w:r>
        <w:rPr>
          <w:b/>
          <w:bCs/>
          <w:sz w:val="20"/>
          <w:szCs w:val="20"/>
          <w:u w:val="single"/>
        </w:rPr>
        <w:t>8</w:t>
      </w:r>
    </w:p>
    <w:p w:rsidR="00000000" w:rsidRDefault="00865332">
      <w:pPr>
        <w:pStyle w:val="a3"/>
        <w:spacing w:before="0" w:beforeAutospacing="0" w:after="0" w:afterAutospacing="0" w:line="259" w:lineRule="auto"/>
        <w:ind w:firstLine="720"/>
        <w:jc w:val="both"/>
        <w:divId w:val="2004384392"/>
        <w:rPr>
          <w:sz w:val="20"/>
          <w:szCs w:val="20"/>
        </w:rPr>
      </w:pPr>
      <w:r>
        <w:rPr>
          <w:sz w:val="20"/>
          <w:szCs w:val="20"/>
        </w:rPr>
        <w:t>In 2019, net income allocable to our common shareholders was $1,272.8 million or $7.29 per diluted common share, compared to $1,488.9 million or $8.54 per diluted common share in 2018 representing a decrease of $216.1 milli</w:t>
      </w:r>
      <w:r>
        <w:rPr>
          <w:sz w:val="20"/>
          <w:szCs w:val="20"/>
        </w:rPr>
        <w:t>on or $1.25 per diluted common share. The decrease is due primarily to (i) $183.1 million in aggregate gains due to Shurgard’s initial public offering and the sale of our facility in West London to Shurgard in October 2018, (ii)</w:t>
      </w:r>
      <w:r>
        <w:rPr>
          <w:sz w:val="20"/>
          <w:szCs w:val="20"/>
        </w:rPr>
        <w:t xml:space="preserve"> </w:t>
      </w:r>
      <w:r>
        <w:rPr>
          <w:sz w:val="20"/>
          <w:szCs w:val="20"/>
        </w:rPr>
        <w:t>our $37.7 million equity sh</w:t>
      </w:r>
      <w:r>
        <w:rPr>
          <w:sz w:val="20"/>
          <w:szCs w:val="20"/>
        </w:rPr>
        <w:t>are of gains recorded by PS Business Parks during 2018, (iii)</w:t>
      </w:r>
      <w:r>
        <w:rPr>
          <w:sz w:val="20"/>
          <w:szCs w:val="20"/>
        </w:rPr>
        <w:t xml:space="preserve"> </w:t>
      </w:r>
      <w:r>
        <w:rPr>
          <w:sz w:val="20"/>
          <w:szCs w:val="20"/>
        </w:rPr>
        <w:t>a $10.3 million decrease due to the impact of foreign currency exchange gains associated with our euro denominated debt and (iv) a $32.7 million allocation to our preferred shareholders associat</w:t>
      </w:r>
      <w:r>
        <w:rPr>
          <w:sz w:val="20"/>
          <w:szCs w:val="20"/>
        </w:rPr>
        <w:t>ed with our preferred share redemption activities in 2019. These impacts were offset partially by a $30.1 million increase in self-storage net operating income (described below) and a reduction in general and administrative expense attributable to $30.7 mi</w:t>
      </w:r>
      <w:r>
        <w:rPr>
          <w:sz w:val="20"/>
          <w:szCs w:val="20"/>
        </w:rPr>
        <w:t>llion in incremental share-based compensation expense in 2018 for the planned retirement of our former CEO and CFO</w:t>
      </w:r>
      <w:r>
        <w:rPr>
          <w:sz w:val="20"/>
          <w:szCs w:val="20"/>
        </w:rPr>
        <w:t>.</w:t>
      </w:r>
    </w:p>
    <w:p w:rsidR="00000000" w:rsidRDefault="00865332">
      <w:pPr>
        <w:pStyle w:val="a3"/>
        <w:spacing w:before="0" w:beforeAutospacing="0" w:after="0" w:afterAutospacing="0" w:line="259" w:lineRule="auto"/>
        <w:ind w:firstLine="720"/>
        <w:jc w:val="both"/>
        <w:divId w:val="2004384392"/>
        <w:rPr>
          <w:sz w:val="20"/>
          <w:szCs w:val="20"/>
        </w:rPr>
      </w:pPr>
      <w:r>
        <w:rPr>
          <w:sz w:val="20"/>
          <w:szCs w:val="20"/>
        </w:rPr>
        <w:t>The $30.1 million increase in self-storage net operating income is a result of a $2.6 million increase in our Same Store Facilities and $27.</w:t>
      </w:r>
      <w:r>
        <w:rPr>
          <w:sz w:val="20"/>
          <w:szCs w:val="20"/>
        </w:rPr>
        <w:t>5 million increase in our non-Same Store Facilities. Revenues for the Same Store</w:t>
      </w:r>
      <w:r>
        <w:rPr>
          <w:sz w:val="20"/>
          <w:szCs w:val="20"/>
        </w:rPr>
        <w:t xml:space="preserve"> </w:t>
      </w:r>
    </w:p>
    <w:p w:rsidR="00000000" w:rsidRDefault="00865332">
      <w:pPr>
        <w:pStyle w:val="a3"/>
        <w:spacing w:before="0" w:beforeAutospacing="0" w:after="0" w:afterAutospacing="0" w:line="259" w:lineRule="auto"/>
        <w:jc w:val="center"/>
        <w:divId w:val="1835757773"/>
        <w:rPr>
          <w:sz w:val="20"/>
          <w:szCs w:val="20"/>
        </w:rPr>
      </w:pPr>
      <w:r>
        <w:rPr>
          <w:rStyle w:val="ctheaderfooterpage"/>
          <w:sz w:val="20"/>
          <w:szCs w:val="20"/>
        </w:rPr>
        <w:t>2</w:t>
      </w:r>
      <w:r>
        <w:rPr>
          <w:rStyle w:val="ctheaderfooterpage"/>
          <w:sz w:val="20"/>
          <w:szCs w:val="20"/>
        </w:rPr>
        <w:t>8</w:t>
      </w:r>
    </w:p>
    <w:p w:rsidR="00000000" w:rsidRDefault="00865332">
      <w:pPr>
        <w:spacing w:before="360" w:after="360"/>
        <w:divId w:val="85031951"/>
        <w:rPr>
          <w:rFonts w:eastAsia="Times New Roman"/>
        </w:rPr>
      </w:pPr>
      <w:r>
        <w:rPr>
          <w:rFonts w:eastAsia="Times New Roman"/>
        </w:rPr>
        <w:pict>
          <v:rect id="_x0000_i1052" style="width:0;height:1.5pt" o:hralign="center" o:hrstd="t" o:hr="t" fillcolor="#a0a0a0" stroked="f"/>
        </w:pict>
      </w:r>
    </w:p>
    <w:p w:rsidR="00000000" w:rsidRDefault="00865332">
      <w:pPr>
        <w:pStyle w:val="a3"/>
        <w:spacing w:before="0" w:beforeAutospacing="0" w:after="0" w:afterAutospacing="0" w:line="259" w:lineRule="auto"/>
        <w:jc w:val="both"/>
        <w:divId w:val="4987766"/>
        <w:rPr>
          <w:sz w:val="20"/>
          <w:szCs w:val="20"/>
        </w:rPr>
      </w:pPr>
      <w:r>
        <w:rPr>
          <w:sz w:val="20"/>
          <w:szCs w:val="20"/>
        </w:rPr>
        <w:t>Facilities increased 1.4% or $33.3 million in 2019 as compared to 2018, due primarily to higher realized annual rent per occupied squa</w:t>
      </w:r>
      <w:r>
        <w:rPr>
          <w:sz w:val="20"/>
          <w:szCs w:val="20"/>
        </w:rPr>
        <w:t>re foot. Cost of operations for the Same Store Facilities increased by 5.0% or $30.6 million in 2019 as compared to 2018, due primarily to 47.2% ($15.3 million) increase in marketing expenses and increased property taxes. The increase in net operating inco</w:t>
      </w:r>
      <w:r>
        <w:rPr>
          <w:sz w:val="20"/>
          <w:szCs w:val="20"/>
        </w:rPr>
        <w:t>me of $27.5 million for the non-Same Store Facilities is due primarily to the impact of facilities acquired in 2018 and 2019 and the fill-up of recently developed and expanded facilities</w:t>
      </w:r>
      <w:r>
        <w:rPr>
          <w:sz w:val="20"/>
          <w:szCs w:val="20"/>
        </w:rPr>
        <w:t>.</w:t>
      </w:r>
    </w:p>
    <w:p w:rsidR="00000000" w:rsidRDefault="00865332">
      <w:pPr>
        <w:pStyle w:val="a3"/>
        <w:spacing w:before="0" w:beforeAutospacing="0" w:after="0" w:afterAutospacing="0" w:line="259" w:lineRule="auto"/>
        <w:jc w:val="both"/>
        <w:divId w:val="4987766"/>
        <w:rPr>
          <w:sz w:val="20"/>
          <w:szCs w:val="20"/>
        </w:rPr>
      </w:pPr>
      <w:r>
        <w:rPr>
          <w:b/>
          <w:bCs/>
          <w:sz w:val="20"/>
          <w:szCs w:val="20"/>
          <w:u w:val="single"/>
        </w:rPr>
        <w:t>Operating results for 2018 and 201</w:t>
      </w:r>
      <w:r>
        <w:rPr>
          <w:b/>
          <w:bCs/>
          <w:sz w:val="20"/>
          <w:szCs w:val="20"/>
          <w:u w:val="single"/>
        </w:rPr>
        <w:t>7</w:t>
      </w:r>
    </w:p>
    <w:p w:rsidR="00000000" w:rsidRDefault="00865332">
      <w:pPr>
        <w:pStyle w:val="a3"/>
        <w:spacing w:before="0" w:beforeAutospacing="0" w:after="0" w:afterAutospacing="0" w:line="259" w:lineRule="auto"/>
        <w:ind w:firstLine="720"/>
        <w:jc w:val="both"/>
        <w:divId w:val="4987766"/>
        <w:rPr>
          <w:sz w:val="20"/>
          <w:szCs w:val="20"/>
        </w:rPr>
      </w:pPr>
      <w:r>
        <w:rPr>
          <w:sz w:val="20"/>
          <w:szCs w:val="20"/>
        </w:rPr>
        <w:t>In 2018, net income allocable to</w:t>
      </w:r>
      <w:r>
        <w:rPr>
          <w:sz w:val="20"/>
          <w:szCs w:val="20"/>
        </w:rPr>
        <w:t xml:space="preserve"> our common shareholders was $1,488.9 million or $8.54 per diluted common share, compared to $1,171.6 million or $6.73 per diluted common share in 2017 representing an increase of $317.3 million or $1.81 per diluted common share. The increase is due primar</w:t>
      </w:r>
      <w:r>
        <w:rPr>
          <w:sz w:val="20"/>
          <w:szCs w:val="20"/>
        </w:rPr>
        <w:t>ily to (i) $183.1 million in aggregate gains due to Shurgard’s initial public offering and the sale of our facility in West London to Shurgard, (ii) a $47.1 million increase in self-storage net operating income (described below), (iii) our $37.7 million eq</w:t>
      </w:r>
      <w:r>
        <w:rPr>
          <w:sz w:val="20"/>
          <w:szCs w:val="20"/>
        </w:rPr>
        <w:t>uity share of gains recorded by PS Business Parks in 2018, (iv) a $68.2 million increase due to the impact of foreign currency exchange gains and losses associated with our euro denominated debt, (v) a $29.3 million allocation to preferred shareholders ass</w:t>
      </w:r>
      <w:r>
        <w:rPr>
          <w:sz w:val="20"/>
          <w:szCs w:val="20"/>
        </w:rPr>
        <w:t xml:space="preserve">ociated with preferred share redemptions in 2017 and (vi) a $7.8 million casualty loss and $5.2 million in incremental tenant reinsurance losses related to Hurricanes Harvey and Irma in 2017. These impacts were offset partially by a $36.1 million increase </w:t>
      </w:r>
      <w:r>
        <w:rPr>
          <w:sz w:val="20"/>
          <w:szCs w:val="20"/>
        </w:rPr>
        <w:t>in general and administrative expense due to the acceleration of share-based compensation expense accruals for our former CEO and CFO in 2018 as a result of their retirement on December 31, 2018 and the reversal of share-based compensation accruals forfeit</w:t>
      </w:r>
      <w:r>
        <w:rPr>
          <w:sz w:val="20"/>
          <w:szCs w:val="20"/>
        </w:rPr>
        <w:t>ed by retiring senior executive officers in 2017</w:t>
      </w:r>
      <w:r>
        <w:rPr>
          <w:sz w:val="20"/>
          <w:szCs w:val="20"/>
        </w:rPr>
        <w:t>.</w:t>
      </w:r>
    </w:p>
    <w:p w:rsidR="00000000" w:rsidRDefault="00865332">
      <w:pPr>
        <w:pStyle w:val="a3"/>
        <w:spacing w:before="0" w:beforeAutospacing="0" w:after="0" w:afterAutospacing="0" w:line="259" w:lineRule="auto"/>
        <w:ind w:firstLine="720"/>
        <w:jc w:val="both"/>
        <w:divId w:val="4987766"/>
        <w:rPr>
          <w:sz w:val="20"/>
          <w:szCs w:val="20"/>
        </w:rPr>
      </w:pPr>
      <w:r>
        <w:rPr>
          <w:sz w:val="20"/>
          <w:szCs w:val="20"/>
        </w:rPr>
        <w:t>The $47.1 million increase in self-storage net operating income is a result of a $14.8 million increase in our Same Store Facilities and $32.3 million increase in our non-Same Store Facilities. Revenues for</w:t>
      </w:r>
      <w:r>
        <w:rPr>
          <w:sz w:val="20"/>
          <w:szCs w:val="20"/>
        </w:rPr>
        <w:t xml:space="preserve"> the Same Store Facilities increased 1.4% or $32.5 million in 2018 as compared to 2017, due primarily to higher realized annual rent per occupied square foot. Cost of operations for the Same Store Facilities increased by 3.0% or $17.6 million in 2018 as co</w:t>
      </w:r>
      <w:r>
        <w:rPr>
          <w:sz w:val="20"/>
          <w:szCs w:val="20"/>
        </w:rPr>
        <w:t xml:space="preserve">mpared to 2017, due primarily to increased property taxes. The increase in net operating income of $32.3 million for the non-Same Store Facilities is due primarily to the impact of facilities acquired in 2018 and 2017 and the fill-up of recently developed </w:t>
      </w:r>
      <w:r>
        <w:rPr>
          <w:sz w:val="20"/>
          <w:szCs w:val="20"/>
        </w:rPr>
        <w:t>and expanded facilities</w:t>
      </w:r>
      <w:r>
        <w:rPr>
          <w:sz w:val="20"/>
          <w:szCs w:val="20"/>
        </w:rPr>
        <w:t>.</w:t>
      </w:r>
    </w:p>
    <w:p w:rsidR="00000000" w:rsidRDefault="00865332">
      <w:pPr>
        <w:pStyle w:val="a3"/>
        <w:spacing w:before="0" w:beforeAutospacing="0" w:after="0" w:afterAutospacing="0" w:line="259" w:lineRule="auto"/>
        <w:jc w:val="both"/>
        <w:divId w:val="4987766"/>
        <w:rPr>
          <w:sz w:val="20"/>
          <w:szCs w:val="20"/>
        </w:rPr>
      </w:pPr>
      <w:r>
        <w:rPr>
          <w:b/>
          <w:bCs/>
          <w:sz w:val="20"/>
          <w:szCs w:val="20"/>
          <w:u w:val="single"/>
        </w:rPr>
        <w:t>Funds from Operations and Core Funds from Operation</w:t>
      </w:r>
      <w:r>
        <w:rPr>
          <w:b/>
          <w:bCs/>
          <w:sz w:val="20"/>
          <w:szCs w:val="20"/>
          <w:u w:val="single"/>
        </w:rPr>
        <w:t>s</w:t>
      </w:r>
    </w:p>
    <w:p w:rsidR="00000000" w:rsidRDefault="00865332">
      <w:pPr>
        <w:pStyle w:val="a3"/>
        <w:spacing w:before="0" w:beforeAutospacing="0" w:after="0" w:afterAutospacing="0" w:line="259" w:lineRule="auto"/>
        <w:ind w:firstLine="720"/>
        <w:jc w:val="both"/>
        <w:divId w:val="4987766"/>
        <w:rPr>
          <w:sz w:val="20"/>
          <w:szCs w:val="20"/>
        </w:rPr>
      </w:pPr>
      <w:r>
        <w:rPr>
          <w:sz w:val="20"/>
          <w:szCs w:val="20"/>
        </w:rPr>
        <w:t xml:space="preserve">Funds from Operations (“FFO”) and FFO per share are non-GAAP measures defined by the National Association of Real Estate Investment Trusts and are considered helpful measures of </w:t>
      </w:r>
      <w:r>
        <w:rPr>
          <w:sz w:val="20"/>
          <w:szCs w:val="20"/>
        </w:rPr>
        <w:t>REIT performance by REITs and many REIT analysts. FFO represents GAAP net income before depreciation and amortization, which is excluded because it is based upon historical costs and assumes that building values diminish ratably over time, while we believe</w:t>
      </w:r>
      <w:r>
        <w:rPr>
          <w:sz w:val="20"/>
          <w:szCs w:val="20"/>
        </w:rPr>
        <w:t xml:space="preserve"> that real estate values fluctuate due to market conditions. FFO also excludes gains or losses on sale of real estate assets and real estate impairment charges, which are also based upon historical costs and are impacted by historical depreciation. FFO and</w:t>
      </w:r>
      <w:r>
        <w:rPr>
          <w:sz w:val="20"/>
          <w:szCs w:val="20"/>
        </w:rPr>
        <w:t xml:space="preserve"> FFO per share are not a substitute for net income or earnings per share. FFO is not a substitute for GAAP net cash flow in evaluating our liquidity or ability to pay dividends, because it excludes investing and financing activities presented on our statem</w:t>
      </w:r>
      <w:r>
        <w:rPr>
          <w:sz w:val="20"/>
          <w:szCs w:val="20"/>
        </w:rPr>
        <w:t>ents of cash flows. In addition, other REITs may compute these measures differently, so comparisons among REITs may not be helpful</w:t>
      </w:r>
      <w:r>
        <w:rPr>
          <w:sz w:val="20"/>
          <w:szCs w:val="20"/>
        </w:rPr>
        <w:t>.</w:t>
      </w:r>
    </w:p>
    <w:p w:rsidR="00000000" w:rsidRDefault="00865332">
      <w:pPr>
        <w:pStyle w:val="a3"/>
        <w:spacing w:before="0" w:beforeAutospacing="0" w:after="0" w:afterAutospacing="0" w:line="259" w:lineRule="auto"/>
        <w:ind w:firstLine="720"/>
        <w:jc w:val="both"/>
        <w:divId w:val="4987766"/>
        <w:rPr>
          <w:sz w:val="20"/>
          <w:szCs w:val="20"/>
        </w:rPr>
      </w:pPr>
      <w:r>
        <w:rPr>
          <w:sz w:val="20"/>
          <w:szCs w:val="20"/>
        </w:rPr>
        <w:t>For the year ended December 31, 2019, FFO was $10.58 per diluted common share, as compared to $10.45 and $9.70 per diluted c</w:t>
      </w:r>
      <w:r>
        <w:rPr>
          <w:sz w:val="20"/>
          <w:szCs w:val="20"/>
        </w:rPr>
        <w:t>ommon share for</w:t>
      </w:r>
      <w:r>
        <w:rPr>
          <w:sz w:val="20"/>
          <w:szCs w:val="20"/>
        </w:rPr>
        <w:t xml:space="preserve"> </w:t>
      </w:r>
      <w:r>
        <w:rPr>
          <w:sz w:val="20"/>
          <w:szCs w:val="20"/>
        </w:rPr>
        <w:t>the years ended December 31, 2018 and 2017, respectively,</w:t>
      </w:r>
      <w:r>
        <w:rPr>
          <w:sz w:val="20"/>
          <w:szCs w:val="20"/>
        </w:rPr>
        <w:t xml:space="preserve"> </w:t>
      </w:r>
      <w:r>
        <w:rPr>
          <w:sz w:val="20"/>
          <w:szCs w:val="20"/>
        </w:rPr>
        <w:t>representing an increase in 2019 of 1.2%, or $0.13 per diluted common share, as compared to 2018</w:t>
      </w:r>
      <w:r>
        <w:rPr>
          <w:sz w:val="20"/>
          <w:szCs w:val="20"/>
        </w:rPr>
        <w:t>.</w:t>
      </w:r>
    </w:p>
    <w:p w:rsidR="00000000" w:rsidRDefault="00865332">
      <w:pPr>
        <w:pStyle w:val="a3"/>
        <w:spacing w:before="0" w:beforeAutospacing="0" w:after="0" w:afterAutospacing="0" w:line="259" w:lineRule="auto"/>
        <w:jc w:val="center"/>
        <w:divId w:val="398483046"/>
        <w:rPr>
          <w:sz w:val="20"/>
          <w:szCs w:val="20"/>
        </w:rPr>
      </w:pPr>
      <w:r>
        <w:rPr>
          <w:rStyle w:val="ctheaderfooterpage"/>
          <w:sz w:val="20"/>
          <w:szCs w:val="20"/>
        </w:rPr>
        <w:t>2</w:t>
      </w:r>
      <w:r>
        <w:rPr>
          <w:rStyle w:val="ctheaderfooterpage"/>
          <w:sz w:val="20"/>
          <w:szCs w:val="20"/>
        </w:rPr>
        <w:t>9</w:t>
      </w:r>
    </w:p>
    <w:p w:rsidR="00000000" w:rsidRDefault="00865332">
      <w:pPr>
        <w:spacing w:before="360" w:after="360"/>
        <w:divId w:val="47342193"/>
        <w:rPr>
          <w:rFonts w:eastAsia="Times New Roman"/>
        </w:rPr>
      </w:pPr>
      <w:r>
        <w:rPr>
          <w:rFonts w:eastAsia="Times New Roman"/>
        </w:rPr>
        <w:pict>
          <v:rect id="_x0000_i1053" style="width:0;height:1.5pt" o:hralign="center" o:hrstd="t" o:hr="t" fillcolor="#a0a0a0" stroked="f"/>
        </w:pict>
      </w:r>
    </w:p>
    <w:p w:rsidR="00000000" w:rsidRDefault="00865332">
      <w:pPr>
        <w:pStyle w:val="a3"/>
        <w:spacing w:before="0" w:beforeAutospacing="0" w:after="0" w:afterAutospacing="0" w:line="259" w:lineRule="auto"/>
        <w:ind w:firstLine="720"/>
        <w:jc w:val="both"/>
        <w:divId w:val="1858304314"/>
        <w:rPr>
          <w:sz w:val="20"/>
          <w:szCs w:val="20"/>
        </w:rPr>
      </w:pPr>
      <w:r>
        <w:rPr>
          <w:sz w:val="20"/>
          <w:szCs w:val="20"/>
        </w:rPr>
        <w:t>The following tables reconcile diluted earnings per share to FFO per share and set forth the computation of FFO per share</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536"/>
        <w:gridCol w:w="141"/>
        <w:gridCol w:w="1022"/>
        <w:gridCol w:w="199"/>
        <w:gridCol w:w="141"/>
        <w:gridCol w:w="1013"/>
        <w:gridCol w:w="174"/>
        <w:gridCol w:w="141"/>
        <w:gridCol w:w="939"/>
      </w:tblGrid>
      <w:tr w:rsidR="00000000">
        <w:trPr>
          <w:divId w:val="1858304314"/>
          <w:trHeight w:val="14"/>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58304314"/>
          <w:trHeight w:val="259"/>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58304314"/>
          <w:trHeight w:val="259"/>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r>
      <w:tr w:rsidR="00000000">
        <w:trPr>
          <w:divId w:val="1858304314"/>
          <w:trHeight w:val="259"/>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(Amounts in thousands, except per share data</w:t>
            </w:r>
            <w:r>
              <w:rPr>
                <w:sz w:val="20"/>
                <w:szCs w:val="20"/>
              </w:rPr>
              <w:t>)</w:t>
            </w: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b/>
                <w:bCs/>
                <w:sz w:val="20"/>
                <w:szCs w:val="20"/>
                <w:u w:val="single"/>
              </w:rPr>
              <w:t>Reconciliation of Diluted Earnings per Share t</w:t>
            </w:r>
            <w:r>
              <w:rPr>
                <w:b/>
                <w:bCs/>
                <w:sz w:val="20"/>
                <w:szCs w:val="20"/>
                <w:u w:val="single"/>
              </w:rPr>
              <w:t>o</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left="115"/>
              <w:rPr>
                <w:sz w:val="20"/>
                <w:szCs w:val="20"/>
              </w:rPr>
            </w:pPr>
            <w:r>
              <w:rPr>
                <w:b/>
                <w:bCs/>
                <w:sz w:val="20"/>
                <w:szCs w:val="20"/>
                <w:u w:val="single"/>
              </w:rPr>
              <w:t>FFO per Share</w:t>
            </w:r>
            <w:r>
              <w:rPr>
                <w:b/>
                <w:bCs/>
                <w:sz w:val="20"/>
                <w:szCs w:val="20"/>
                <w:u w:val="single"/>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58304314"/>
          <w:trHeight w:val="11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Diluted Earnings per Shar</w:t>
            </w:r>
            <w:r>
              <w:rPr>
                <w:sz w:val="20"/>
                <w:szCs w:val="20"/>
              </w:rPr>
              <w:t>e</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w:t>
            </w: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7.2</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8.5</w:t>
            </w:r>
            <w:r>
              <w:rPr>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w:t>
            </w: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6.7</w:t>
            </w:r>
            <w:r>
              <w:rPr>
                <w:sz w:val="20"/>
                <w:szCs w:val="20"/>
              </w:rPr>
              <w:t>3</w:t>
            </w: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left="245"/>
              <w:rPr>
                <w:sz w:val="20"/>
                <w:szCs w:val="20"/>
              </w:rPr>
            </w:pPr>
            <w:r>
              <w:rPr>
                <w:sz w:val="20"/>
                <w:szCs w:val="20"/>
              </w:rPr>
              <w:t>Eliminate amounts per share excluded from FFO</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w:t>
            </w:r>
            <w:r>
              <w:rPr>
                <w:sz w:val="20"/>
                <w:szCs w:val="20"/>
              </w:rPr>
              <w:t>0</w:t>
            </w: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Gains on sale of real estate investment</w:t>
            </w:r>
            <w:r>
              <w:rPr>
                <w:sz w:val="20"/>
                <w:szCs w:val="20"/>
              </w:rPr>
              <w:t>s</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and Shurgard IPO, including our equit</w:t>
            </w:r>
            <w:r>
              <w:rPr>
                <w:sz w:val="20"/>
                <w:szCs w:val="20"/>
              </w:rPr>
              <w:t>y</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share from investment</w:t>
            </w:r>
            <w:r>
              <w:rPr>
                <w:sz w:val="20"/>
                <w:szCs w:val="20"/>
              </w:rPr>
              <w:t>s</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(0.03</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(1.30</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(0.03</w:t>
            </w:r>
            <w:r>
              <w:rPr>
                <w:sz w:val="20"/>
                <w:szCs w:val="20"/>
              </w:rPr>
              <w:t>)</w:t>
            </w: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FFO per shar</w:t>
            </w:r>
            <w:r>
              <w:rPr>
                <w:sz w:val="20"/>
                <w:szCs w:val="20"/>
              </w:rPr>
              <w:t>e</w:t>
            </w: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w:t>
            </w:r>
          </w:p>
        </w:tc>
        <w:tc>
          <w:tcPr>
            <w:tcW w:w="6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right="72"/>
              <w:jc w:val="right"/>
              <w:rPr>
                <w:sz w:val="20"/>
                <w:szCs w:val="20"/>
              </w:rPr>
            </w:pPr>
            <w:r>
              <w:rPr>
                <w:sz w:val="20"/>
                <w:szCs w:val="20"/>
              </w:rPr>
              <w:t>10.5</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right="72"/>
              <w:jc w:val="right"/>
              <w:rPr>
                <w:sz w:val="20"/>
                <w:szCs w:val="20"/>
              </w:rPr>
            </w:pPr>
            <w:r>
              <w:rPr>
                <w:sz w:val="20"/>
                <w:szCs w:val="20"/>
              </w:rPr>
              <w:t>10.4</w:t>
            </w:r>
            <w:r>
              <w:rPr>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right="72"/>
              <w:jc w:val="right"/>
              <w:rPr>
                <w:sz w:val="20"/>
                <w:szCs w:val="20"/>
              </w:rPr>
            </w:pPr>
            <w:r>
              <w:rPr>
                <w:sz w:val="20"/>
                <w:szCs w:val="20"/>
              </w:rPr>
              <w:t>9.7</w:t>
            </w:r>
            <w:r>
              <w:rPr>
                <w:sz w:val="20"/>
                <w:szCs w:val="20"/>
              </w:rPr>
              <w:t>0</w:t>
            </w:r>
          </w:p>
        </w:tc>
      </w:tr>
      <w:tr w:rsidR="00000000">
        <w:trPr>
          <w:divId w:val="1858304314"/>
          <w:trHeight w:val="202"/>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58304314"/>
          <w:trHeight w:val="259"/>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b/>
                <w:bCs/>
                <w:sz w:val="20"/>
                <w:szCs w:val="20"/>
                <w:u w:val="single"/>
              </w:rPr>
              <w:t>Computation of FFO per Share</w:t>
            </w:r>
            <w:r>
              <w:rPr>
                <w:b/>
                <w:bCs/>
                <w:sz w:val="20"/>
                <w:szCs w:val="20"/>
                <w:u w:val="single"/>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58304314"/>
          <w:trHeight w:val="11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Net income allocable to common shareholder</w:t>
            </w:r>
            <w:r>
              <w:rPr>
                <w:sz w:val="20"/>
                <w:szCs w:val="20"/>
              </w:rPr>
              <w:t>s</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w:t>
            </w: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1,272,76</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1,488,90</w:t>
            </w:r>
            <w:r>
              <w:rPr>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w:t>
            </w: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1,171,60</w:t>
            </w:r>
            <w:r>
              <w:rPr>
                <w:sz w:val="20"/>
                <w:szCs w:val="20"/>
              </w:rPr>
              <w:t>9</w:t>
            </w: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left="245"/>
              <w:rPr>
                <w:sz w:val="20"/>
                <w:szCs w:val="20"/>
              </w:rPr>
            </w:pPr>
            <w:r>
              <w:rPr>
                <w:sz w:val="20"/>
                <w:szCs w:val="20"/>
              </w:rPr>
              <w:t>Eliminate items excluded from FFO</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511,41</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483,64</w:t>
            </w:r>
            <w:r>
              <w:rPr>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454,52</w:t>
            </w:r>
            <w:r>
              <w:rPr>
                <w:sz w:val="20"/>
                <w:szCs w:val="20"/>
              </w:rPr>
              <w:t>6</w:t>
            </w: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Depreciation from unconsolidate</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real estate investment</w:t>
            </w:r>
            <w:r>
              <w:rPr>
                <w:sz w:val="20"/>
                <w:szCs w:val="20"/>
              </w:rPr>
              <w:t>s</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71,72</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79,86</w:t>
            </w:r>
            <w:r>
              <w:rPr>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71,93</w:t>
            </w:r>
            <w:r>
              <w:rPr>
                <w:sz w:val="20"/>
                <w:szCs w:val="20"/>
              </w:rPr>
              <w:t>1</w:t>
            </w: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Depreciation allocated to noncontrollin</w:t>
            </w:r>
            <w:r>
              <w:rPr>
                <w:sz w:val="20"/>
                <w:szCs w:val="20"/>
              </w:rPr>
              <w:t>g</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interests and restricted share unitholder</w:t>
            </w:r>
            <w:r>
              <w:rPr>
                <w:sz w:val="20"/>
                <w:szCs w:val="20"/>
              </w:rPr>
              <w:t>s</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(4,208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(3,646</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(3,567</w:t>
            </w:r>
            <w:r>
              <w:rPr>
                <w:sz w:val="20"/>
                <w:szCs w:val="20"/>
              </w:rPr>
              <w:t>)</w:t>
            </w: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Gains on sale of real estate investments an</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Shurgard IPO, including our equity shar</w:t>
            </w:r>
            <w:r>
              <w:rPr>
                <w:sz w:val="20"/>
                <w:szCs w:val="20"/>
              </w:rPr>
              <w:t>e</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58304314"/>
          <w:trHeight w:val="245"/>
        </w:trPr>
        <w:tc>
          <w:tcPr>
            <w:tcW w:w="27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from investments and othe</w:t>
            </w:r>
            <w:r>
              <w:rPr>
                <w:sz w:val="20"/>
                <w:szCs w:val="20"/>
              </w:rPr>
              <w:t>r</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(5,896</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(227,332</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(4,908</w:t>
            </w:r>
            <w:r>
              <w:rPr>
                <w:sz w:val="20"/>
                <w:szCs w:val="20"/>
              </w:rPr>
              <w:t>)</w:t>
            </w:r>
          </w:p>
        </w:tc>
      </w:tr>
      <w:tr w:rsidR="00000000">
        <w:trPr>
          <w:divId w:val="1858304314"/>
          <w:trHeight w:val="274"/>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FFO allocable to common shares</w:t>
            </w:r>
            <w:r>
              <w:rPr>
                <w:sz w:val="20"/>
                <w:szCs w:val="20"/>
              </w:rPr>
              <w:t xml:space="preserve"> </w:t>
            </w: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w:t>
            </w:r>
          </w:p>
        </w:tc>
        <w:tc>
          <w:tcPr>
            <w:tcW w:w="6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right="72"/>
              <w:jc w:val="right"/>
              <w:rPr>
                <w:sz w:val="20"/>
                <w:szCs w:val="20"/>
              </w:rPr>
            </w:pPr>
            <w:r>
              <w:rPr>
                <w:sz w:val="20"/>
                <w:szCs w:val="20"/>
              </w:rPr>
              <w:t>1,845,80</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right="72"/>
              <w:jc w:val="right"/>
              <w:rPr>
                <w:sz w:val="20"/>
                <w:szCs w:val="20"/>
              </w:rPr>
            </w:pPr>
            <w:r>
              <w:rPr>
                <w:sz w:val="20"/>
                <w:szCs w:val="20"/>
              </w:rPr>
              <w:t>1,821,43</w:t>
            </w:r>
            <w:r>
              <w:rPr>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right="72"/>
              <w:jc w:val="right"/>
              <w:rPr>
                <w:sz w:val="20"/>
                <w:szCs w:val="20"/>
              </w:rPr>
            </w:pPr>
            <w:r>
              <w:rPr>
                <w:sz w:val="20"/>
                <w:szCs w:val="20"/>
              </w:rPr>
              <w:t>1,689,59</w:t>
            </w:r>
            <w:r>
              <w:rPr>
                <w:sz w:val="20"/>
                <w:szCs w:val="20"/>
              </w:rPr>
              <w:t>1</w:t>
            </w:r>
          </w:p>
        </w:tc>
      </w:tr>
      <w:tr w:rsidR="00000000">
        <w:trPr>
          <w:divId w:val="1858304314"/>
          <w:trHeight w:val="331"/>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Diluted weighted average common shares</w:t>
            </w:r>
            <w:r>
              <w:rPr>
                <w:sz w:val="20"/>
                <w:szCs w:val="20"/>
              </w:rPr>
              <w:t xml:space="preserve"> </w:t>
            </w:r>
          </w:p>
        </w:tc>
        <w:tc>
          <w:tcPr>
            <w:tcW w:w="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1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174,53</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174,29</w:t>
            </w:r>
            <w:r>
              <w:rPr>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174,15</w:t>
            </w:r>
            <w:r>
              <w:rPr>
                <w:sz w:val="20"/>
                <w:szCs w:val="20"/>
              </w:rPr>
              <w:t>1</w:t>
            </w:r>
          </w:p>
        </w:tc>
      </w:tr>
      <w:tr w:rsidR="00000000">
        <w:trPr>
          <w:divId w:val="1858304314"/>
          <w:trHeight w:val="302"/>
        </w:trPr>
        <w:tc>
          <w:tcPr>
            <w:tcW w:w="27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FFO per shar</w:t>
            </w:r>
            <w:r>
              <w:rPr>
                <w:sz w:val="20"/>
                <w:szCs w:val="20"/>
              </w:rPr>
              <w:t>e</w:t>
            </w:r>
          </w:p>
        </w:tc>
        <w:tc>
          <w:tcPr>
            <w:tcW w:w="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w:t>
            </w:r>
          </w:p>
        </w:tc>
        <w:tc>
          <w:tcPr>
            <w:tcW w:w="61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right="72"/>
              <w:jc w:val="right"/>
              <w:rPr>
                <w:sz w:val="20"/>
                <w:szCs w:val="20"/>
              </w:rPr>
            </w:pPr>
            <w:r>
              <w:rPr>
                <w:sz w:val="20"/>
                <w:szCs w:val="20"/>
              </w:rPr>
              <w:t>10.5</w:t>
            </w:r>
            <w:r>
              <w:rPr>
                <w:sz w:val="20"/>
                <w:szCs w:val="20"/>
              </w:rPr>
              <w:t>8</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right="72"/>
              <w:jc w:val="right"/>
              <w:rPr>
                <w:sz w:val="20"/>
                <w:szCs w:val="20"/>
              </w:rPr>
            </w:pPr>
            <w:r>
              <w:rPr>
                <w:sz w:val="20"/>
                <w:szCs w:val="20"/>
              </w:rPr>
              <w:t>10.4</w:t>
            </w:r>
            <w:r>
              <w:rPr>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right="72"/>
              <w:jc w:val="right"/>
              <w:rPr>
                <w:sz w:val="20"/>
                <w:szCs w:val="20"/>
              </w:rPr>
            </w:pPr>
            <w:r>
              <w:rPr>
                <w:sz w:val="20"/>
                <w:szCs w:val="20"/>
              </w:rPr>
              <w:t>9.7</w:t>
            </w:r>
            <w:r>
              <w:rPr>
                <w:sz w:val="20"/>
                <w:szCs w:val="20"/>
              </w:rPr>
              <w:t>0</w:t>
            </w:r>
          </w:p>
        </w:tc>
      </w:tr>
    </w:tbl>
    <w:p w:rsidR="00000000" w:rsidRDefault="00865332">
      <w:pPr>
        <w:pStyle w:val="a3"/>
        <w:spacing w:before="0" w:beforeAutospacing="0" w:after="0" w:afterAutospacing="0" w:line="259" w:lineRule="auto"/>
        <w:ind w:firstLine="720"/>
        <w:jc w:val="both"/>
        <w:divId w:val="1858304314"/>
        <w:rPr>
          <w:sz w:val="20"/>
          <w:szCs w:val="20"/>
        </w:rPr>
      </w:pPr>
      <w:r>
        <w:rPr>
          <w:sz w:val="20"/>
          <w:szCs w:val="20"/>
        </w:rPr>
        <w:t xml:space="preserve">We also present “Core FFO per share,” </w:t>
      </w:r>
      <w:r>
        <w:rPr>
          <w:sz w:val="20"/>
          <w:szCs w:val="20"/>
        </w:rPr>
        <w:t>a non-GAAP measure that represents FFO per share excluding the impact of (i) foreign currency exchange gains and losses, (ii) EITF D-42 charges related to the redemption of preferred securities, (iii) acceleration of accruals or reduction of accruals due t</w:t>
      </w:r>
      <w:r>
        <w:rPr>
          <w:sz w:val="20"/>
          <w:szCs w:val="20"/>
        </w:rPr>
        <w:t>o the departure of senior executives, and (iv) certain other non-cash and/or nonrecurring income or expense items. We review Core FFO per share to evaluate our ongoing operating performance and we believe it is used by investors and REIT analysts in a simi</w:t>
      </w:r>
      <w:r>
        <w:rPr>
          <w:sz w:val="20"/>
          <w:szCs w:val="20"/>
        </w:rPr>
        <w:t>lar manner. However, Core FFO per share is not a substitute for net income per share. Because other REITs may not compute Core FFO per share in the same manner as we do, may not use the same terminology or may not present such a measure, Core FFO per share</w:t>
      </w:r>
      <w:r>
        <w:rPr>
          <w:sz w:val="20"/>
          <w:szCs w:val="20"/>
        </w:rPr>
        <w:t xml:space="preserve"> may not be comparable among REITs</w:t>
      </w:r>
      <w:r>
        <w:rPr>
          <w:sz w:val="20"/>
          <w:szCs w:val="20"/>
        </w:rPr>
        <w:t>.</w:t>
      </w:r>
    </w:p>
    <w:p w:rsidR="00000000" w:rsidRDefault="00865332">
      <w:pPr>
        <w:pStyle w:val="a3"/>
        <w:spacing w:before="0" w:beforeAutospacing="0" w:after="0" w:afterAutospacing="0" w:line="259" w:lineRule="auto"/>
        <w:jc w:val="center"/>
        <w:divId w:val="1397623966"/>
        <w:rPr>
          <w:sz w:val="20"/>
          <w:szCs w:val="20"/>
        </w:rPr>
      </w:pPr>
      <w:r>
        <w:rPr>
          <w:rStyle w:val="ctheaderfooterpage"/>
          <w:sz w:val="20"/>
          <w:szCs w:val="20"/>
        </w:rPr>
        <w:t>3</w:t>
      </w:r>
      <w:r>
        <w:rPr>
          <w:rStyle w:val="ctheaderfooterpage"/>
          <w:sz w:val="20"/>
          <w:szCs w:val="20"/>
        </w:rPr>
        <w:t>0</w:t>
      </w:r>
    </w:p>
    <w:p w:rsidR="00000000" w:rsidRDefault="00865332">
      <w:pPr>
        <w:spacing w:before="360" w:after="360"/>
        <w:divId w:val="563108297"/>
        <w:rPr>
          <w:rFonts w:eastAsia="Times New Roman"/>
        </w:rPr>
      </w:pPr>
      <w:r>
        <w:rPr>
          <w:rFonts w:eastAsia="Times New Roman"/>
        </w:rPr>
        <w:pict>
          <v:rect id="_x0000_i1054" style="width:0;height:1.5pt" o:hralign="center" o:hrstd="t" o:hr="t" fillcolor="#a0a0a0" stroked="f"/>
        </w:pict>
      </w:r>
    </w:p>
    <w:p w:rsidR="00000000" w:rsidRDefault="00865332">
      <w:pPr>
        <w:pStyle w:val="a3"/>
        <w:spacing w:before="0" w:beforeAutospacing="0" w:after="0" w:afterAutospacing="0" w:line="259" w:lineRule="auto"/>
        <w:ind w:firstLine="720"/>
        <w:jc w:val="both"/>
        <w:divId w:val="1258365599"/>
        <w:rPr>
          <w:sz w:val="20"/>
          <w:szCs w:val="20"/>
        </w:rPr>
      </w:pPr>
      <w:r>
        <w:rPr>
          <w:sz w:val="20"/>
          <w:szCs w:val="20"/>
        </w:rPr>
        <w:t>The following table reconciles FFO per share to Core FFO per share</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4"/>
        <w:gridCol w:w="113"/>
        <w:gridCol w:w="2571"/>
        <w:gridCol w:w="104"/>
        <w:gridCol w:w="114"/>
        <w:gridCol w:w="80"/>
        <w:gridCol w:w="114"/>
        <w:gridCol w:w="629"/>
        <w:gridCol w:w="80"/>
        <w:gridCol w:w="114"/>
        <w:gridCol w:w="629"/>
        <w:gridCol w:w="80"/>
        <w:gridCol w:w="878"/>
        <w:gridCol w:w="122"/>
        <w:gridCol w:w="114"/>
        <w:gridCol w:w="629"/>
        <w:gridCol w:w="105"/>
        <w:gridCol w:w="114"/>
        <w:gridCol w:w="629"/>
        <w:gridCol w:w="105"/>
        <w:gridCol w:w="878"/>
      </w:tblGrid>
      <w:tr w:rsidR="00000000">
        <w:trPr>
          <w:divId w:val="1258365599"/>
          <w:trHeight w:val="14"/>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59"/>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258365599"/>
          <w:trHeight w:val="24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Percentag</w:t>
            </w:r>
            <w:r>
              <w:rPr>
                <w:sz w:val="20"/>
                <w:szCs w:val="20"/>
              </w:rPr>
              <w:t>e</w:t>
            </w:r>
          </w:p>
        </w:tc>
      </w:tr>
      <w:tr w:rsidR="00000000">
        <w:trPr>
          <w:divId w:val="1258365599"/>
          <w:trHeight w:val="259"/>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1258365599"/>
          <w:trHeight w:val="11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FFO per share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10.5</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10.4</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10.4</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9.7</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7.7</w:t>
            </w:r>
            <w:r>
              <w:rPr>
                <w:sz w:val="20"/>
                <w:szCs w:val="20"/>
              </w:rPr>
              <w:t>%</w:t>
            </w: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Eliminate the per share impact of item</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excluded from Core FFO, includin</w:t>
            </w:r>
            <w:r>
              <w:rPr>
                <w:sz w:val="20"/>
                <w:szCs w:val="20"/>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our equity share from investments</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Foreign currency exchange (gain) los</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(0.04</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(0.10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(0.10</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0.2</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Application of EITF D-4</w:t>
            </w:r>
            <w:r>
              <w:rPr>
                <w:sz w:val="20"/>
                <w:szCs w:val="20"/>
              </w:rPr>
              <w:t>2</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0.2</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Casualty losses and tenant claims</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due to hurricanes</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0.0</w:t>
            </w:r>
            <w:r>
              <w:rPr>
                <w:color w:val="000000"/>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Shurgard - IPO costs and casualty los</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0.0</w:t>
            </w:r>
            <w:r>
              <w:rPr>
                <w:color w:val="000000"/>
                <w:sz w:val="20"/>
                <w:szCs w:val="20"/>
              </w:rPr>
              <w:t>3</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0.0</w:t>
            </w:r>
            <w:r>
              <w:rPr>
                <w:color w:val="000000"/>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(Forfeiture)/Acceleration of share</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based compensation expense due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to the departure of senior executive</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0.1</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0.1</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(0.03</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Other item</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0.0</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0.0</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58365599"/>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Core FFO per share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10.7</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10.5</w:t>
            </w:r>
            <w:r>
              <w:rPr>
                <w:sz w:val="20"/>
                <w:szCs w:val="20"/>
              </w:rPr>
              <w:t>6</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10.5</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10.2</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w:t>
            </w:r>
            <w:r>
              <w:rPr>
                <w:sz w:val="20"/>
                <w:szCs w:val="20"/>
              </w:rPr>
              <w:t>%</w:t>
            </w:r>
          </w:p>
        </w:tc>
      </w:tr>
    </w:tbl>
    <w:p w:rsidR="00000000" w:rsidRDefault="00865332">
      <w:pPr>
        <w:pStyle w:val="a3"/>
        <w:spacing w:before="0" w:beforeAutospacing="0" w:after="0" w:afterAutospacing="0" w:line="259" w:lineRule="auto"/>
        <w:divId w:val="867258862"/>
        <w:rPr>
          <w:sz w:val="20"/>
          <w:szCs w:val="20"/>
        </w:rPr>
      </w:pPr>
      <w:r>
        <w:rPr>
          <w:b/>
          <w:bCs/>
          <w:sz w:val="20"/>
          <w:szCs w:val="20"/>
        </w:rPr>
        <w:t>Analysis of Net Income by Reportable Segmen</w:t>
      </w:r>
      <w:r>
        <w:rPr>
          <w:b/>
          <w:bCs/>
          <w:sz w:val="20"/>
          <w:szCs w:val="20"/>
        </w:rPr>
        <w:t>t</w:t>
      </w:r>
    </w:p>
    <w:p w:rsidR="00000000" w:rsidRDefault="00865332">
      <w:pPr>
        <w:pStyle w:val="a3"/>
        <w:spacing w:before="0" w:beforeAutospacing="0" w:after="0" w:afterAutospacing="0" w:line="259" w:lineRule="auto"/>
        <w:ind w:firstLine="720"/>
        <w:jc w:val="both"/>
        <w:divId w:val="1258365599"/>
        <w:rPr>
          <w:sz w:val="20"/>
          <w:szCs w:val="20"/>
        </w:rPr>
      </w:pPr>
      <w:r>
        <w:rPr>
          <w:sz w:val="20"/>
          <w:szCs w:val="20"/>
        </w:rPr>
        <w:t>The following discussion and</w:t>
      </w:r>
      <w:r>
        <w:rPr>
          <w:sz w:val="20"/>
          <w:szCs w:val="20"/>
        </w:rPr>
        <w:t xml:space="preserve"> analysis is presented and organized in accordance with Note 11 to our December 31, 2019 financial statements, “Segment Information.” Accordingly, refer to the table presented in Note 11 in order to reconcile such amounts to our total net income and for fu</w:t>
      </w:r>
      <w:r>
        <w:rPr>
          <w:sz w:val="20"/>
          <w:szCs w:val="20"/>
        </w:rPr>
        <w:t>rther information on our reportable segments</w:t>
      </w:r>
      <w:r>
        <w:rPr>
          <w:sz w:val="20"/>
          <w:szCs w:val="20"/>
        </w:rPr>
        <w:t>.</w:t>
      </w:r>
    </w:p>
    <w:p w:rsidR="00000000" w:rsidRDefault="00865332">
      <w:pPr>
        <w:pStyle w:val="a3"/>
        <w:spacing w:before="0" w:beforeAutospacing="0" w:after="0" w:afterAutospacing="0" w:line="259" w:lineRule="auto"/>
        <w:jc w:val="both"/>
        <w:divId w:val="1258365599"/>
        <w:rPr>
          <w:sz w:val="20"/>
          <w:szCs w:val="20"/>
        </w:rPr>
      </w:pPr>
      <w:r>
        <w:rPr>
          <w:b/>
          <w:bCs/>
          <w:sz w:val="20"/>
          <w:szCs w:val="20"/>
          <w:u w:val="single"/>
        </w:rPr>
        <w:t>Self-Storage Operation</w:t>
      </w:r>
      <w:r>
        <w:rPr>
          <w:b/>
          <w:bCs/>
          <w:sz w:val="20"/>
          <w:szCs w:val="20"/>
          <w:u w:val="single"/>
        </w:rPr>
        <w:t>s</w:t>
      </w:r>
    </w:p>
    <w:p w:rsidR="00000000" w:rsidRDefault="00865332">
      <w:pPr>
        <w:pStyle w:val="a3"/>
        <w:spacing w:before="0" w:beforeAutospacing="0" w:after="0" w:afterAutospacing="0" w:line="259" w:lineRule="auto"/>
        <w:ind w:firstLine="720"/>
        <w:jc w:val="both"/>
        <w:divId w:val="1258365599"/>
        <w:rPr>
          <w:sz w:val="20"/>
          <w:szCs w:val="20"/>
        </w:rPr>
      </w:pPr>
      <w:r>
        <w:rPr>
          <w:sz w:val="20"/>
          <w:szCs w:val="20"/>
        </w:rPr>
        <w:t>Our self-storage operations are analyzed in four groups: (i) the 2,159 facilities that we have owned and operated on a stabilized basis since January 1, 2017 (the “Same Store Facilities”</w:t>
      </w:r>
      <w:r>
        <w:rPr>
          <w:sz w:val="20"/>
          <w:szCs w:val="20"/>
        </w:rPr>
        <w:t>), (ii) 103 facilities we acquired after December 31, 2016 (the “Acquired facilities”), (iii) 141 facilities that have been newly developed or expanded, or that we are in the process of expanding at December 31, 2019 (the “Newly developed and expanded faci</w:t>
      </w:r>
      <w:r>
        <w:rPr>
          <w:sz w:val="20"/>
          <w:szCs w:val="20"/>
        </w:rPr>
        <w:t>lities”) and (iv) 80 other facilities, which are otherwise not stabilized with respect to occupancies or rental rates since January 1, 2017 (the “Other non-same store facilities”). See Note 11 to our December 31, 2019 financial statements “Segment Informat</w:t>
      </w:r>
      <w:r>
        <w:rPr>
          <w:sz w:val="20"/>
          <w:szCs w:val="20"/>
        </w:rPr>
        <w:t>ion,” for a reconciliation of the amounts in the tables below to our total net income</w:t>
      </w:r>
      <w:r>
        <w:rPr>
          <w:sz w:val="20"/>
          <w:szCs w:val="20"/>
        </w:rPr>
        <w:t>.</w:t>
      </w:r>
      <w:r>
        <w:rPr>
          <w:sz w:val="20"/>
          <w:szCs w:val="20"/>
        </w:rPr>
        <w:br/>
      </w:r>
      <w:r>
        <w:rPr>
          <w:sz w:val="20"/>
          <w:szCs w:val="20"/>
        </w:rPr>
        <w:t>‎</w:t>
      </w:r>
    </w:p>
    <w:p w:rsidR="00000000" w:rsidRDefault="00865332">
      <w:pPr>
        <w:pStyle w:val="a3"/>
        <w:spacing w:before="0" w:beforeAutospacing="0" w:after="0" w:afterAutospacing="0" w:line="259" w:lineRule="auto"/>
        <w:jc w:val="center"/>
        <w:divId w:val="1275097763"/>
        <w:rPr>
          <w:sz w:val="20"/>
          <w:szCs w:val="20"/>
        </w:rPr>
      </w:pPr>
      <w:r>
        <w:rPr>
          <w:rStyle w:val="ctheaderfooterpage"/>
          <w:sz w:val="20"/>
          <w:szCs w:val="20"/>
        </w:rPr>
        <w:t>3</w:t>
      </w:r>
      <w:r>
        <w:rPr>
          <w:rStyle w:val="ctheaderfooterpage"/>
          <w:sz w:val="20"/>
          <w:szCs w:val="20"/>
        </w:rPr>
        <w:t>1</w:t>
      </w:r>
    </w:p>
    <w:p w:rsidR="00000000" w:rsidRDefault="00865332">
      <w:pPr>
        <w:spacing w:before="360" w:after="360"/>
        <w:divId w:val="2090687417"/>
        <w:rPr>
          <w:rFonts w:eastAsia="Times New Roman"/>
        </w:rPr>
      </w:pPr>
      <w:r>
        <w:rPr>
          <w:rFonts w:eastAsia="Times New Roman"/>
        </w:rPr>
        <w:pict>
          <v:rect id="_x0000_i1055"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807"/>
        <w:gridCol w:w="106"/>
        <w:gridCol w:w="765"/>
        <w:gridCol w:w="97"/>
        <w:gridCol w:w="106"/>
        <w:gridCol w:w="765"/>
        <w:gridCol w:w="97"/>
        <w:gridCol w:w="790"/>
        <w:gridCol w:w="47"/>
        <w:gridCol w:w="106"/>
        <w:gridCol w:w="765"/>
        <w:gridCol w:w="97"/>
        <w:gridCol w:w="106"/>
        <w:gridCol w:w="765"/>
        <w:gridCol w:w="97"/>
        <w:gridCol w:w="790"/>
      </w:tblGrid>
      <w:tr w:rsidR="00000000">
        <w:trPr>
          <w:divId w:val="1410497790"/>
          <w:trHeight w:val="14"/>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Self-Storage Operation</w:t>
            </w:r>
            <w:r>
              <w:rPr>
                <w:b/>
                <w:bCs/>
                <w:sz w:val="18"/>
                <w:szCs w:val="18"/>
              </w:rPr>
              <w:t>s</w:t>
            </w: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Summar</w:t>
            </w:r>
            <w:r>
              <w:rPr>
                <w:b/>
                <w:bCs/>
                <w:sz w:val="18"/>
                <w:szCs w:val="18"/>
              </w:rPr>
              <w:t>y</w:t>
            </w: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Year Ended December 31</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Year Ended December 31</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Percentag</w:t>
            </w:r>
            <w:r>
              <w:rPr>
                <w:sz w:val="18"/>
                <w:szCs w:val="18"/>
              </w:rPr>
              <w:t>e</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Percentag</w:t>
            </w:r>
            <w:r>
              <w:rPr>
                <w:sz w:val="18"/>
                <w:szCs w:val="18"/>
              </w:rPr>
              <w:t>e</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Chang</w:t>
            </w:r>
            <w:r>
              <w:rPr>
                <w:sz w:val="18"/>
                <w:szCs w:val="18"/>
              </w:rPr>
              <w:t>e</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Chang</w:t>
            </w:r>
            <w:r>
              <w:rPr>
                <w:sz w:val="18"/>
                <w:szCs w:val="18"/>
              </w:rPr>
              <w:t>e</w:t>
            </w:r>
          </w:p>
        </w:tc>
      </w:tr>
      <w:tr w:rsidR="00000000">
        <w:trPr>
          <w:divId w:val="1410497790"/>
          <w:trHeight w:val="245"/>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1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(Dollar amounts and square footage in thousands</w:t>
            </w:r>
            <w:r>
              <w:rPr>
                <w:sz w:val="18"/>
                <w:szCs w:val="18"/>
              </w:rPr>
              <w:t>)</w:t>
            </w:r>
          </w:p>
        </w:tc>
      </w:tr>
      <w:tr w:rsidR="00000000">
        <w:trPr>
          <w:divId w:val="1410497790"/>
          <w:trHeight w:val="245"/>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2,394,572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2,361,298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2,361,298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2,328,833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59,206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33,871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74.8</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33,871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5,577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507.3</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150,571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121,694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23.7</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121,694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99,864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21.9</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80,203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80,744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(0.7)</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80,744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78,159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3.3</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2,684,552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2,597,607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3.3</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2,597,607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2,512,433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3.4</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Cost of operations:</w:t>
            </w:r>
            <w:r>
              <w:rPr>
                <w:b/>
                <w:bCs/>
                <w:sz w:val="18"/>
                <w:szCs w:val="18"/>
              </w:rPr>
              <w:t xml:space="preserve"> </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641,918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611,273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5.0</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611,273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593,637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3.0</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22,472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11,810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90.3</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11,810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2,006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488.7</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63,360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47,870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32.4</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47,870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36,810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30.0</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24,829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24,778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24,778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25,180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752,579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695,731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695,731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657,633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5.8</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Net operating income (a)</w:t>
            </w:r>
            <w:r>
              <w:rPr>
                <w:b/>
                <w:bCs/>
                <w:sz w:val="18"/>
                <w:szCs w:val="18"/>
              </w:rPr>
              <w:t>:</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1,752,654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1,750,025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1,750,025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1,735,196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0.9</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36,734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22,061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66.5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22,061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3,571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517.8</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87,211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73,824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18.1</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73,824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63,054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17.1</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55,374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55,966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55,966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52,979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5.6</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Total net operating income</w:t>
            </w:r>
            <w:r>
              <w:rPr>
                <w:sz w:val="18"/>
                <w:szCs w:val="18"/>
              </w:rPr>
              <w:t xml:space="preserve"> </w:t>
            </w: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1,931,973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1,901,876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1,901,876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1,854,800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w:t>
            </w:r>
            <w:r>
              <w:rPr>
                <w:sz w:val="18"/>
                <w:szCs w:val="18"/>
              </w:rPr>
              <w:t>%</w:t>
            </w:r>
          </w:p>
        </w:tc>
      </w:tr>
      <w:tr w:rsidR="00000000">
        <w:trPr>
          <w:divId w:val="1410497790"/>
          <w:trHeight w:val="115"/>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Depreciation and amortization expense</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(389,737</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(382,864</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(382,864</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(382,326</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0.1</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(34,980</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(23,809</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46.9</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(23,809</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(5,668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320.1</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(54,065</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(45,851</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17.9</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(45,851</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(36,848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24.4</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(34,136</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(31,122</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9.7</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(31,122</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(29,684</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4.8</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Total depreciation and</w:t>
            </w:r>
            <w:r>
              <w:rPr>
                <w:sz w:val="18"/>
                <w:szCs w:val="18"/>
              </w:rPr>
              <w:t xml:space="preserve"> </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amortization expens</w:t>
            </w:r>
            <w:r>
              <w:rPr>
                <w:sz w:val="18"/>
                <w:szCs w:val="18"/>
              </w:rPr>
              <w:t>e</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(512,918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(483,646</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6.1</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(483,646</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(454,526</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6.4</w:t>
            </w:r>
            <w:r>
              <w:rPr>
                <w:sz w:val="18"/>
                <w:szCs w:val="18"/>
              </w:rPr>
              <w:t>%</w:t>
            </w:r>
          </w:p>
        </w:tc>
      </w:tr>
      <w:tr w:rsidR="00000000">
        <w:trPr>
          <w:divId w:val="1410497790"/>
          <w:trHeight w:val="115"/>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Net income</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1,362,917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1,367,161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(0.3)</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1,367,161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1,352,870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1,754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(200.3)</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(2,097</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(16.6)</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33,146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27,973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27,973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26,206</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6.7</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21,238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24,844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24,844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23,295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6.6</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Total net incom</w:t>
            </w:r>
            <w:r>
              <w:rPr>
                <w:sz w:val="18"/>
                <w:szCs w:val="18"/>
              </w:rPr>
              <w:t>e</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1,419,055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1,418,230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0.1</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1,418,230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1,400,274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Number of facilities at period end</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2,159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2,159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2,159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2,159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74.6</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73.5</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16.1</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81</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2,483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2,429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2,429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2,387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Net rentable square footage at period end</w:t>
            </w:r>
            <w:r>
              <w:rPr>
                <w:b/>
                <w:bCs/>
                <w:sz w:val="18"/>
                <w:szCs w:val="18"/>
              </w:rPr>
              <w:t>:</w:t>
            </w: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139,315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139,315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139,315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139,315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6,968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3,743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86.2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3,743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2,114</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77.1</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16,533</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12,807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29.1</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12,807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10,608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20.7</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6,092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6,182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6,182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6,125</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0.9</w:t>
            </w:r>
            <w:r>
              <w:rPr>
                <w:sz w:val="18"/>
                <w:szCs w:val="18"/>
              </w:rPr>
              <w:t>%</w:t>
            </w:r>
          </w:p>
        </w:tc>
      </w:tr>
      <w:tr w:rsidR="00000000">
        <w:trPr>
          <w:divId w:val="1410497790"/>
          <w:trHeight w:val="259"/>
        </w:trPr>
        <w:tc>
          <w:tcPr>
            <w:tcW w:w="1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168,908</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162,047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4.2</w:t>
            </w:r>
            <w:r>
              <w:rPr>
                <w:sz w:val="18"/>
                <w:szCs w:val="18"/>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162,047</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158,162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w:t>
            </w:r>
            <w:r>
              <w:rPr>
                <w:sz w:val="18"/>
                <w:szCs w:val="18"/>
              </w:rPr>
              <w:t>%</w:t>
            </w:r>
          </w:p>
        </w:tc>
      </w:tr>
    </w:tbl>
    <w:p w:rsidR="00000000" w:rsidRDefault="00865332">
      <w:pPr>
        <w:pStyle w:val="a3"/>
        <w:spacing w:before="0" w:beforeAutospacing="0" w:after="0" w:afterAutospacing="0" w:line="259" w:lineRule="auto"/>
        <w:jc w:val="center"/>
        <w:divId w:val="1467891312"/>
        <w:rPr>
          <w:sz w:val="20"/>
          <w:szCs w:val="20"/>
        </w:rPr>
      </w:pPr>
      <w:r>
        <w:rPr>
          <w:rStyle w:val="ctheaderfooterpage"/>
          <w:sz w:val="20"/>
          <w:szCs w:val="20"/>
        </w:rPr>
        <w:t>3</w:t>
      </w:r>
      <w:r>
        <w:rPr>
          <w:rStyle w:val="ctheaderfooterpage"/>
          <w:sz w:val="20"/>
          <w:szCs w:val="20"/>
        </w:rPr>
        <w:t>2</w:t>
      </w:r>
    </w:p>
    <w:p w:rsidR="00000000" w:rsidRDefault="00865332">
      <w:pPr>
        <w:spacing w:before="360" w:after="360"/>
        <w:divId w:val="1648126944"/>
        <w:rPr>
          <w:rFonts w:eastAsia="Times New Roman"/>
        </w:rPr>
      </w:pPr>
      <w:r>
        <w:rPr>
          <w:rFonts w:eastAsia="Times New Roman"/>
        </w:rPr>
        <w:pict>
          <v:rect id="_x0000_i1056" style="width:0;height:1.5pt" o:hralign="center" o:hrstd="t" o:hr="t" fillcolor="#a0a0a0" stroked="f"/>
        </w:pict>
      </w:r>
    </w:p>
    <w:p w:rsidR="00000000" w:rsidRDefault="00865332">
      <w:pPr>
        <w:pStyle w:val="a3"/>
        <w:spacing w:before="0" w:beforeAutospacing="0" w:after="0" w:afterAutospacing="0" w:line="259" w:lineRule="auto"/>
        <w:ind w:left="547" w:hanging="360"/>
        <w:jc w:val="both"/>
        <w:divId w:val="390621051"/>
        <w:rPr>
          <w:sz w:val="18"/>
          <w:szCs w:val="18"/>
        </w:rPr>
      </w:pPr>
      <w:r>
        <w:rPr>
          <w:sz w:val="18"/>
          <w:szCs w:val="18"/>
        </w:rPr>
        <w:t>(a</w:t>
      </w:r>
      <w:r>
        <w:rPr>
          <w:sz w:val="18"/>
          <w:szCs w:val="18"/>
        </w:rPr>
        <w:t>)</w:t>
      </w:r>
      <w:r>
        <w:rPr>
          <w:sz w:val="18"/>
          <w:szCs w:val="18"/>
        </w:rPr>
        <w:t>Net operating income or “NOI” is a non-GAAP financial measure that excludes the impact of depreciation and amortization expense, which is based upon historical real estate costs and assumes that building values dimini</w:t>
      </w:r>
      <w:r>
        <w:rPr>
          <w:sz w:val="18"/>
          <w:szCs w:val="18"/>
        </w:rPr>
        <w:t>sh ratably over time, while we believe that real estate values fluctuate due to market conditions. We utilize NOI in determining current property values, evaluating property performance, and in evaluating property operating trends. We believe that investor</w:t>
      </w:r>
      <w:r>
        <w:rPr>
          <w:sz w:val="18"/>
          <w:szCs w:val="18"/>
        </w:rPr>
        <w:t>s and analysts utilize NOI in a similar manner. NOI is not a substitute for net income, operating cash flow, or other related GAAP financial measures, in evaluating our operating results. See Note 11 to our December 31, 2019 financial statements for a reco</w:t>
      </w:r>
      <w:r>
        <w:rPr>
          <w:sz w:val="18"/>
          <w:szCs w:val="18"/>
        </w:rPr>
        <w:t>nciliation of NOI to our total net income for all periods presented</w:t>
      </w:r>
      <w:r>
        <w:rPr>
          <w:sz w:val="18"/>
          <w:szCs w:val="18"/>
        </w:rPr>
        <w:t>.</w:t>
      </w:r>
    </w:p>
    <w:p w:rsidR="00000000" w:rsidRDefault="00865332">
      <w:pPr>
        <w:pStyle w:val="a3"/>
        <w:spacing w:before="0" w:beforeAutospacing="0" w:after="0" w:afterAutospacing="0" w:line="259" w:lineRule="auto"/>
        <w:ind w:firstLine="720"/>
        <w:jc w:val="both"/>
        <w:divId w:val="390621051"/>
        <w:rPr>
          <w:sz w:val="20"/>
          <w:szCs w:val="20"/>
        </w:rPr>
      </w:pPr>
      <w:r>
        <w:rPr>
          <w:sz w:val="20"/>
          <w:szCs w:val="20"/>
        </w:rPr>
        <w:t>Net operating income from our self-storage operations has increased 1.6% in 2019 as compared to 2018 and 2.5% in 2018 as compared to 2017. These increases are due primarily to the acquisi</w:t>
      </w:r>
      <w:r>
        <w:rPr>
          <w:sz w:val="20"/>
          <w:szCs w:val="20"/>
        </w:rPr>
        <w:t>tion and development of new facilities and the fill-up of unstabilized facilities.</w:t>
      </w:r>
      <w:r>
        <w:rPr>
          <w:sz w:val="20"/>
          <w:szCs w:val="20"/>
        </w:rPr>
        <w:t xml:space="preserve"> </w:t>
      </w:r>
    </w:p>
    <w:p w:rsidR="00000000" w:rsidRDefault="00865332">
      <w:pPr>
        <w:pStyle w:val="a3"/>
        <w:spacing w:before="0" w:beforeAutospacing="0" w:after="0" w:afterAutospacing="0" w:line="259" w:lineRule="auto"/>
        <w:ind w:firstLine="720"/>
        <w:jc w:val="both"/>
        <w:divId w:val="390621051"/>
        <w:rPr>
          <w:sz w:val="20"/>
          <w:szCs w:val="20"/>
        </w:rPr>
      </w:pPr>
      <w:r>
        <w:rPr>
          <w:i/>
          <w:iCs/>
          <w:sz w:val="20"/>
          <w:szCs w:val="20"/>
        </w:rPr>
        <w:t>Same Store Facilitie</w:t>
      </w:r>
      <w:r>
        <w:rPr>
          <w:i/>
          <w:iCs/>
          <w:sz w:val="20"/>
          <w:szCs w:val="20"/>
        </w:rPr>
        <w:t>s</w:t>
      </w:r>
    </w:p>
    <w:p w:rsidR="00000000" w:rsidRDefault="00865332">
      <w:pPr>
        <w:pStyle w:val="a3"/>
        <w:spacing w:before="0" w:beforeAutospacing="0" w:after="0" w:afterAutospacing="0" w:line="259" w:lineRule="auto"/>
        <w:ind w:firstLine="720"/>
        <w:jc w:val="both"/>
        <w:divId w:val="390621051"/>
        <w:rPr>
          <w:sz w:val="20"/>
          <w:szCs w:val="20"/>
        </w:rPr>
      </w:pPr>
      <w:r>
        <w:rPr>
          <w:sz w:val="20"/>
          <w:szCs w:val="20"/>
        </w:rPr>
        <w:t>The Same Store Facilities consist of facilities that have been owned and operated on a stabilized level of occupancy, revenues and cost of operations since January 1, 2017.</w:t>
      </w:r>
      <w:r>
        <w:rPr>
          <w:sz w:val="20"/>
          <w:szCs w:val="20"/>
        </w:rPr>
        <w:t xml:space="preserve"> </w:t>
      </w:r>
      <w:r>
        <w:rPr>
          <w:sz w:val="20"/>
          <w:szCs w:val="20"/>
        </w:rPr>
        <w:t>Accordingly, our Same Store Facilities exclude (i) facilities acquired after Decemb</w:t>
      </w:r>
      <w:r>
        <w:rPr>
          <w:sz w:val="20"/>
          <w:szCs w:val="20"/>
        </w:rPr>
        <w:t>er 31, 2016, (ii) newly developed or expanded facilities, (iii) facilities under expansion by December 31, 2019, (iv) facilities whose operating trends are significantly affected by factors such as casualty events, and (v) facilities which were otherwise n</w:t>
      </w:r>
      <w:r>
        <w:rPr>
          <w:sz w:val="20"/>
          <w:szCs w:val="20"/>
        </w:rPr>
        <w:t>ot stabilized at December 31, 2016 (such as recently developed facilities acquired from third parties before December 31, 2016). The composition of our Same Store Facilities allows us to more effectively evaluate the ongoing performance of our self-storage</w:t>
      </w:r>
      <w:r>
        <w:rPr>
          <w:sz w:val="20"/>
          <w:szCs w:val="20"/>
        </w:rPr>
        <w:t xml:space="preserve"> portfolio in 2017, 2018, and 2019 and exclude the impact of fill-up of unstabilized facilities, which can significantly affect operating trends.</w:t>
      </w:r>
      <w:r>
        <w:rPr>
          <w:sz w:val="20"/>
          <w:szCs w:val="20"/>
        </w:rPr>
        <w:t xml:space="preserve"> </w:t>
      </w:r>
      <w:r>
        <w:rPr>
          <w:sz w:val="20"/>
          <w:szCs w:val="20"/>
        </w:rPr>
        <w:t>We believe the Same Store information is used by investors and REIT analysts in a similar manner.</w:t>
      </w:r>
      <w:r>
        <w:rPr>
          <w:sz w:val="20"/>
          <w:szCs w:val="20"/>
        </w:rPr>
        <w:t xml:space="preserve"> </w:t>
      </w:r>
    </w:p>
    <w:p w:rsidR="00000000" w:rsidRDefault="00865332">
      <w:pPr>
        <w:pStyle w:val="a3"/>
        <w:spacing w:before="0" w:beforeAutospacing="0" w:after="0" w:afterAutospacing="0" w:line="259" w:lineRule="auto"/>
        <w:ind w:firstLine="720"/>
        <w:jc w:val="both"/>
        <w:divId w:val="390621051"/>
        <w:rPr>
          <w:sz w:val="20"/>
          <w:szCs w:val="20"/>
        </w:rPr>
      </w:pPr>
      <w:r>
        <w:rPr>
          <w:sz w:val="20"/>
          <w:szCs w:val="20"/>
        </w:rPr>
        <w:t>The followi</w:t>
      </w:r>
      <w:r>
        <w:rPr>
          <w:sz w:val="20"/>
          <w:szCs w:val="20"/>
        </w:rPr>
        <w:t>ng table summarizes the historical operating results of these 2,159 facilities (139.3 million net rentable square feet) that represent approximately 82% of the aggregate net rentable square feet of our U.S. consolidated self-storage portfolio at December 3</w:t>
      </w:r>
      <w:r>
        <w:rPr>
          <w:sz w:val="20"/>
          <w:szCs w:val="20"/>
        </w:rPr>
        <w:t>1, 2019</w:t>
      </w:r>
      <w:r>
        <w:rPr>
          <w:sz w:val="20"/>
          <w:szCs w:val="20"/>
        </w:rPr>
        <w:t>.</w:t>
      </w:r>
    </w:p>
    <w:p w:rsidR="00000000" w:rsidRDefault="00865332">
      <w:pPr>
        <w:pStyle w:val="a3"/>
        <w:spacing w:before="0" w:beforeAutospacing="0" w:after="0" w:afterAutospacing="0" w:line="259" w:lineRule="auto"/>
        <w:jc w:val="center"/>
        <w:divId w:val="1845897083"/>
        <w:rPr>
          <w:sz w:val="20"/>
          <w:szCs w:val="20"/>
        </w:rPr>
      </w:pPr>
      <w:r>
        <w:rPr>
          <w:rStyle w:val="ctheaderfooterpage"/>
          <w:sz w:val="20"/>
          <w:szCs w:val="20"/>
        </w:rPr>
        <w:t>3</w:t>
      </w:r>
      <w:r>
        <w:rPr>
          <w:rStyle w:val="ctheaderfooterpage"/>
          <w:sz w:val="20"/>
          <w:szCs w:val="20"/>
        </w:rPr>
        <w:t>3</w:t>
      </w:r>
    </w:p>
    <w:p w:rsidR="00000000" w:rsidRDefault="00865332">
      <w:pPr>
        <w:spacing w:before="360" w:after="360"/>
        <w:divId w:val="773401022"/>
        <w:rPr>
          <w:rFonts w:eastAsia="Times New Roman"/>
        </w:rPr>
      </w:pPr>
      <w:r>
        <w:rPr>
          <w:rFonts w:eastAsia="Times New Roman"/>
        </w:rPr>
        <w:pict>
          <v:rect id="_x0000_i1057"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231"/>
        <w:gridCol w:w="100"/>
        <w:gridCol w:w="936"/>
        <w:gridCol w:w="23"/>
        <w:gridCol w:w="100"/>
        <w:gridCol w:w="945"/>
        <w:gridCol w:w="23"/>
        <w:gridCol w:w="878"/>
        <w:gridCol w:w="56"/>
        <w:gridCol w:w="100"/>
        <w:gridCol w:w="945"/>
        <w:gridCol w:w="23"/>
        <w:gridCol w:w="100"/>
        <w:gridCol w:w="945"/>
        <w:gridCol w:w="23"/>
        <w:gridCol w:w="878"/>
      </w:tblGrid>
      <w:tr w:rsidR="00000000">
        <w:trPr>
          <w:divId w:val="782650807"/>
          <w:trHeight w:val="14"/>
        </w:trPr>
        <w:tc>
          <w:tcPr>
            <w:tcW w:w="13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749"/>
        </w:trPr>
        <w:tc>
          <w:tcPr>
            <w:tcW w:w="13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b/>
                <w:bCs/>
                <w:sz w:val="20"/>
                <w:szCs w:val="20"/>
              </w:rPr>
              <w:t>Selected Operating Data for the Same Store Facilities (2,159 facilities</w:t>
            </w:r>
            <w:r>
              <w:rPr>
                <w:b/>
                <w:bCs/>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59"/>
        </w:trPr>
        <w:tc>
          <w:tcPr>
            <w:tcW w:w="13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Percentag</w:t>
            </w:r>
            <w:r>
              <w:rPr>
                <w:sz w:val="20"/>
                <w:szCs w:val="20"/>
              </w:rPr>
              <w:t>e</w:t>
            </w:r>
          </w:p>
        </w:tc>
      </w:tr>
      <w:tr w:rsidR="00000000">
        <w:trPr>
          <w:divId w:val="782650807"/>
          <w:trHeight w:val="259"/>
        </w:trPr>
        <w:tc>
          <w:tcPr>
            <w:tcW w:w="13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782650807"/>
          <w:trHeight w:val="72"/>
        </w:trPr>
        <w:tc>
          <w:tcPr>
            <w:tcW w:w="13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80"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782650807"/>
          <w:trHeight w:val="302"/>
        </w:trPr>
        <w:tc>
          <w:tcPr>
            <w:tcW w:w="13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15"/>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(Dollar amounts in thousands, except weighted average amounts</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Revenues</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Rental income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2,290,72</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2,258,09</w:t>
            </w:r>
            <w:r>
              <w:rPr>
                <w:sz w:val="20"/>
                <w:szCs w:val="20"/>
              </w:rPr>
              <w:t>9</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2,258,09</w:t>
            </w:r>
            <w:r>
              <w:rPr>
                <w:sz w:val="20"/>
                <w:szCs w:val="20"/>
              </w:rPr>
              <w:t>9</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2,225,72</w:t>
            </w:r>
            <w:r>
              <w:rPr>
                <w:sz w:val="20"/>
                <w:szCs w:val="20"/>
              </w:rPr>
              <w:t>7</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Late charges an</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administrative fee</w:t>
            </w:r>
            <w:r>
              <w:rPr>
                <w:sz w:val="20"/>
                <w:szCs w:val="20"/>
              </w:rPr>
              <w:t>s</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103,85</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103,19</w:t>
            </w:r>
            <w:r>
              <w:rPr>
                <w:sz w:val="20"/>
                <w:szCs w:val="20"/>
              </w:rPr>
              <w:t>9</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103,19</w:t>
            </w:r>
            <w:r>
              <w:rPr>
                <w:sz w:val="20"/>
                <w:szCs w:val="20"/>
              </w:rPr>
              <w:t>9</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103,10</w:t>
            </w:r>
            <w:r>
              <w:rPr>
                <w:sz w:val="20"/>
                <w:szCs w:val="20"/>
              </w:rPr>
              <w:t>6</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0.1</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Total revenues (a</w:t>
            </w:r>
            <w:r>
              <w:rPr>
                <w:sz w:val="20"/>
                <w:szCs w:val="20"/>
              </w:rPr>
              <w:t>)</w:t>
            </w: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2,394,57</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2,361,29</w:t>
            </w:r>
            <w:r>
              <w:rPr>
                <w:sz w:val="20"/>
                <w:szCs w:val="20"/>
              </w:rPr>
              <w:t>8</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2,361,29</w:t>
            </w:r>
            <w:r>
              <w:rPr>
                <w:sz w:val="20"/>
                <w:szCs w:val="20"/>
              </w:rPr>
              <w:t>8</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2,328,83</w:t>
            </w:r>
            <w:r>
              <w:rPr>
                <w:sz w:val="20"/>
                <w:szCs w:val="20"/>
              </w:rPr>
              <w:t>3</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w:t>
            </w:r>
          </w:p>
        </w:tc>
      </w:tr>
      <w:tr w:rsidR="00000000">
        <w:trPr>
          <w:divId w:val="782650807"/>
          <w:trHeight w:val="158"/>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Property taxe</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233,45</w:t>
            </w:r>
            <w:r>
              <w:rPr>
                <w:sz w:val="20"/>
                <w:szCs w:val="20"/>
              </w:rPr>
              <w:t>3</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223,08</w:t>
            </w:r>
            <w:r>
              <w:rPr>
                <w:sz w:val="20"/>
                <w:szCs w:val="20"/>
              </w:rPr>
              <w:t>8</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4.6</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223,08</w:t>
            </w:r>
            <w:r>
              <w:rPr>
                <w:sz w:val="20"/>
                <w:szCs w:val="20"/>
              </w:rPr>
              <w:t>8</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212,56</w:t>
            </w:r>
            <w:r>
              <w:rPr>
                <w:sz w:val="20"/>
                <w:szCs w:val="20"/>
              </w:rPr>
              <w:t>5</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On-site property manage</w:t>
            </w:r>
            <w:r>
              <w:rPr>
                <w:sz w:val="20"/>
                <w:szCs w:val="20"/>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payrol</w:t>
            </w:r>
            <w:r>
              <w:rPr>
                <w:sz w:val="20"/>
                <w:szCs w:val="20"/>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118,45</w:t>
            </w:r>
            <w:r>
              <w:rPr>
                <w:sz w:val="20"/>
                <w:szCs w:val="20"/>
              </w:rPr>
              <w:t>0</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115,53</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115,53</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114,21</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Supervisory payrol</w:t>
            </w:r>
            <w:r>
              <w:rPr>
                <w:sz w:val="20"/>
                <w:szCs w:val="20"/>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37,77</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37,17</w:t>
            </w:r>
            <w:r>
              <w:rPr>
                <w:sz w:val="20"/>
                <w:szCs w:val="20"/>
              </w:rPr>
              <w:t>9</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37,17</w:t>
            </w:r>
            <w:r>
              <w:rPr>
                <w:sz w:val="20"/>
                <w:szCs w:val="20"/>
              </w:rPr>
              <w:t>9</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40,22</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(7.6)</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Repairs and maintenance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50,03</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48,48</w:t>
            </w:r>
            <w:r>
              <w:rPr>
                <w:sz w:val="20"/>
                <w:szCs w:val="20"/>
              </w:rPr>
              <w:t>8</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48,48</w:t>
            </w:r>
            <w:r>
              <w:rPr>
                <w:sz w:val="20"/>
                <w:szCs w:val="20"/>
              </w:rPr>
              <w:t>8</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48,73</w:t>
            </w:r>
            <w:r>
              <w:rPr>
                <w:sz w:val="20"/>
                <w:szCs w:val="20"/>
              </w:rPr>
              <w:t>5</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(0.5)</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Utilities</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42,20</w:t>
            </w:r>
            <w:r>
              <w:rPr>
                <w:sz w:val="20"/>
                <w:szCs w:val="20"/>
              </w:rPr>
              <w:t>9</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43,45</w:t>
            </w:r>
            <w:r>
              <w:rPr>
                <w:sz w:val="20"/>
                <w:szCs w:val="20"/>
              </w:rPr>
              <w:t>7</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(2.9)</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43,45</w:t>
            </w:r>
            <w:r>
              <w:rPr>
                <w:sz w:val="20"/>
                <w:szCs w:val="20"/>
              </w:rPr>
              <w:t>7</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41,77</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Marketin</w:t>
            </w:r>
            <w:r>
              <w:rPr>
                <w:sz w:val="20"/>
                <w:szCs w:val="20"/>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47,62</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32,34</w:t>
            </w:r>
            <w:r>
              <w:rPr>
                <w:sz w:val="20"/>
                <w:szCs w:val="20"/>
              </w:rPr>
              <w:t>4</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32,34</w:t>
            </w:r>
            <w:r>
              <w:rPr>
                <w:sz w:val="20"/>
                <w:szCs w:val="20"/>
              </w:rPr>
              <w:t>4</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30,25</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Other direct property cost</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63,57</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62,04</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62,04</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59,99</w:t>
            </w:r>
            <w:r>
              <w:rPr>
                <w:sz w:val="20"/>
                <w:szCs w:val="20"/>
              </w:rPr>
              <w:t>0</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Allocated overhea</w:t>
            </w:r>
            <w:r>
              <w:rPr>
                <w:sz w:val="20"/>
                <w:szCs w:val="20"/>
              </w:rPr>
              <w:t>d</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48,80</w:t>
            </w:r>
            <w:r>
              <w:rPr>
                <w:sz w:val="20"/>
                <w:szCs w:val="20"/>
              </w:rPr>
              <w:t>9</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49,14</w:t>
            </w:r>
            <w:r>
              <w:rPr>
                <w:sz w:val="20"/>
                <w:szCs w:val="20"/>
              </w:rPr>
              <w:t>4</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(0.7)</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49,14</w:t>
            </w:r>
            <w:r>
              <w:rPr>
                <w:sz w:val="20"/>
                <w:szCs w:val="20"/>
              </w:rPr>
              <w:t>4</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45,89</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Total cost of operations (a)</w:t>
            </w:r>
            <w:r>
              <w:rPr>
                <w:sz w:val="20"/>
                <w:szCs w:val="20"/>
              </w:rPr>
              <w:t xml:space="preserve"> </w:t>
            </w: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641,91</w:t>
            </w:r>
            <w:r>
              <w:rPr>
                <w:sz w:val="20"/>
                <w:szCs w:val="20"/>
              </w:rPr>
              <w:t>8</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611,27</w:t>
            </w:r>
            <w:r>
              <w:rPr>
                <w:sz w:val="20"/>
                <w:szCs w:val="20"/>
              </w:rPr>
              <w:t>3</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611,27</w:t>
            </w:r>
            <w:r>
              <w:rPr>
                <w:sz w:val="20"/>
                <w:szCs w:val="20"/>
              </w:rPr>
              <w:t>3</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593,63</w:t>
            </w:r>
            <w:r>
              <w:rPr>
                <w:sz w:val="20"/>
                <w:szCs w:val="20"/>
              </w:rPr>
              <w:t>7</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1,752,65</w:t>
            </w:r>
            <w:r>
              <w:rPr>
                <w:sz w:val="20"/>
                <w:szCs w:val="20"/>
              </w:rPr>
              <w:t>4</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1,750,02</w:t>
            </w:r>
            <w:r>
              <w:rPr>
                <w:sz w:val="20"/>
                <w:szCs w:val="20"/>
              </w:rPr>
              <w:t>5</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1,750,02</w:t>
            </w:r>
            <w:r>
              <w:rPr>
                <w:sz w:val="20"/>
                <w:szCs w:val="20"/>
              </w:rPr>
              <w:t>5</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1,735,19</w:t>
            </w:r>
            <w:r>
              <w:rPr>
                <w:sz w:val="20"/>
                <w:szCs w:val="20"/>
              </w:rPr>
              <w:t>6</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0.9</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Depreciation an</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59"/>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amortization expens</w:t>
            </w:r>
            <w:r>
              <w:rPr>
                <w:sz w:val="20"/>
                <w:szCs w:val="20"/>
              </w:rPr>
              <w:t>e</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(389,737</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(382,864</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(382,864</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(382,326</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0.1</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incom</w:t>
            </w:r>
            <w:r>
              <w:rPr>
                <w:sz w:val="20"/>
                <w:szCs w:val="20"/>
              </w:rPr>
              <w:t>e</w:t>
            </w: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1,362,91</w:t>
            </w:r>
            <w:r>
              <w:rPr>
                <w:sz w:val="20"/>
                <w:szCs w:val="20"/>
              </w:rPr>
              <w:t>7</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1,367,16</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(0.3)</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1,367,16</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1,352,87</w:t>
            </w:r>
            <w:r>
              <w:rPr>
                <w:sz w:val="20"/>
                <w:szCs w:val="20"/>
              </w:rPr>
              <w:t>0</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r>
      <w:tr w:rsidR="00000000">
        <w:trPr>
          <w:divId w:val="782650807"/>
          <w:trHeight w:val="158"/>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Gross margin (before depreciatio</w:t>
            </w:r>
            <w:r>
              <w:rPr>
                <w:sz w:val="20"/>
                <w:szCs w:val="20"/>
              </w:rPr>
              <w:t>n</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and amortization expense</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73.2</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74.1</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74.1</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74.5</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(0.5)</w:t>
            </w:r>
            <w:r>
              <w:rPr>
                <w:sz w:val="20"/>
                <w:szCs w:val="20"/>
              </w:rPr>
              <w:t>%</w:t>
            </w:r>
          </w:p>
        </w:tc>
      </w:tr>
      <w:tr w:rsidR="00000000">
        <w:trPr>
          <w:divId w:val="782650807"/>
          <w:trHeight w:val="11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Weighted average for the period</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93.5</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(0.6)</w:t>
            </w:r>
            <w:r>
              <w:rPr>
                <w:sz w:val="20"/>
                <w:szCs w:val="20"/>
              </w:rPr>
              <w:t>%</w:t>
            </w:r>
          </w:p>
        </w:tc>
      </w:tr>
      <w:tr w:rsidR="00000000">
        <w:trPr>
          <w:divId w:val="782650807"/>
          <w:trHeight w:val="11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Realized annual rental income per (b)</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Occupied square foo</w:t>
            </w:r>
            <w:r>
              <w:rPr>
                <w:sz w:val="20"/>
                <w:szCs w:val="20"/>
              </w:rPr>
              <w:t>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17.6</w:t>
            </w:r>
            <w:r>
              <w:rPr>
                <w:sz w:val="20"/>
                <w:szCs w:val="20"/>
              </w:rPr>
              <w:t>0</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17.0</w:t>
            </w:r>
            <w:r>
              <w:rPr>
                <w:sz w:val="20"/>
                <w:szCs w:val="20"/>
              </w:rPr>
              <w:t>5</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w:t>
            </w:r>
            <w:r>
              <w:rPr>
                <w:sz w:val="20"/>
                <w:szCs w:val="20"/>
              </w:rPr>
              <w:t>%</w:t>
            </w: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Available square foo</w:t>
            </w:r>
            <w:r>
              <w:rPr>
                <w:sz w:val="20"/>
                <w:szCs w:val="20"/>
              </w:rPr>
              <w:t>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16.4</w:t>
            </w:r>
            <w:r>
              <w:rPr>
                <w:sz w:val="20"/>
                <w:szCs w:val="20"/>
              </w:rPr>
              <w:t>5</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1</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15.9</w:t>
            </w:r>
            <w:r>
              <w:rPr>
                <w:sz w:val="20"/>
                <w:szCs w:val="20"/>
              </w:rPr>
              <w:t>7</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w:t>
            </w:r>
            <w:r>
              <w:rPr>
                <w:sz w:val="20"/>
                <w:szCs w:val="20"/>
              </w:rPr>
              <w:t>%</w:t>
            </w:r>
          </w:p>
        </w:tc>
      </w:tr>
      <w:tr w:rsidR="00000000">
        <w:trPr>
          <w:divId w:val="782650807"/>
          <w:trHeight w:val="11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At December 31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91.8</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91.3</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91.3</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91.1</w:t>
            </w:r>
            <w:r>
              <w:rPr>
                <w:sz w:val="20"/>
                <w:szCs w:val="20"/>
              </w:rPr>
              <w:t>%</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0.2</w:t>
            </w:r>
            <w:r>
              <w:rPr>
                <w:sz w:val="20"/>
                <w:szCs w:val="20"/>
              </w:rPr>
              <w:t>%</w:t>
            </w:r>
          </w:p>
        </w:tc>
      </w:tr>
      <w:tr w:rsidR="00000000">
        <w:trPr>
          <w:divId w:val="782650807"/>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Annual contract rent pe</w:t>
            </w:r>
            <w:r>
              <w:rPr>
                <w:sz w:val="20"/>
                <w:szCs w:val="20"/>
              </w:rPr>
              <w:t>r</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82650807"/>
          <w:trHeight w:val="245"/>
        </w:trPr>
        <w:tc>
          <w:tcPr>
            <w:tcW w:w="1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occupied square foot (c)</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18.1</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18.0</w:t>
            </w:r>
            <w:r>
              <w:rPr>
                <w:sz w:val="20"/>
                <w:szCs w:val="20"/>
              </w:rPr>
              <w:t>3</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18.0</w:t>
            </w:r>
            <w:r>
              <w:rPr>
                <w:sz w:val="20"/>
                <w:szCs w:val="20"/>
              </w:rPr>
              <w:t>3</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17.8</w:t>
            </w:r>
            <w:r>
              <w:rPr>
                <w:sz w:val="20"/>
                <w:szCs w:val="20"/>
              </w:rPr>
              <w:t>2</w:t>
            </w:r>
          </w:p>
        </w:tc>
        <w:tc>
          <w:tcPr>
            <w:tcW w:w="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w:t>
            </w:r>
          </w:p>
        </w:tc>
      </w:tr>
    </w:tbl>
    <w:p w:rsidR="00000000" w:rsidRDefault="00865332">
      <w:pPr>
        <w:pStyle w:val="a3"/>
        <w:spacing w:before="0" w:beforeAutospacing="0" w:after="0" w:afterAutospacing="0" w:line="259" w:lineRule="auto"/>
        <w:ind w:left="360" w:hanging="360"/>
        <w:jc w:val="both"/>
        <w:divId w:val="782650807"/>
        <w:rPr>
          <w:sz w:val="18"/>
          <w:szCs w:val="18"/>
        </w:rPr>
      </w:pPr>
      <w:r>
        <w:rPr>
          <w:sz w:val="18"/>
          <w:szCs w:val="18"/>
        </w:rPr>
        <w:t>(a</w:t>
      </w:r>
      <w:r>
        <w:rPr>
          <w:sz w:val="18"/>
          <w:szCs w:val="18"/>
        </w:rPr>
        <w:t>)</w:t>
      </w:r>
      <w:r>
        <w:rPr>
          <w:sz w:val="18"/>
          <w:szCs w:val="18"/>
        </w:rPr>
        <w:t>Revenues and cost of operations do not include tenant reinsurance and merchandise sale revenues and expenses generated at the facilities. See “Ancillary Operations” below for more information</w:t>
      </w:r>
      <w:r>
        <w:rPr>
          <w:sz w:val="18"/>
          <w:szCs w:val="18"/>
        </w:rPr>
        <w:t>.</w:t>
      </w:r>
    </w:p>
    <w:p w:rsidR="00000000" w:rsidRDefault="00865332">
      <w:pPr>
        <w:pStyle w:val="a3"/>
        <w:spacing w:before="0" w:beforeAutospacing="0" w:after="0" w:afterAutospacing="0" w:line="259" w:lineRule="auto"/>
        <w:jc w:val="center"/>
        <w:divId w:val="2134446948"/>
        <w:rPr>
          <w:sz w:val="20"/>
          <w:szCs w:val="20"/>
        </w:rPr>
      </w:pPr>
      <w:r>
        <w:rPr>
          <w:rStyle w:val="ctheaderfooterpage"/>
          <w:sz w:val="20"/>
          <w:szCs w:val="20"/>
        </w:rPr>
        <w:t>3</w:t>
      </w:r>
      <w:r>
        <w:rPr>
          <w:rStyle w:val="ctheaderfooterpage"/>
          <w:sz w:val="20"/>
          <w:szCs w:val="20"/>
        </w:rPr>
        <w:t>4</w:t>
      </w:r>
    </w:p>
    <w:p w:rsidR="00000000" w:rsidRDefault="00865332">
      <w:pPr>
        <w:spacing w:before="360" w:after="360"/>
        <w:divId w:val="29765932"/>
        <w:rPr>
          <w:rFonts w:eastAsia="Times New Roman"/>
        </w:rPr>
      </w:pPr>
      <w:r>
        <w:rPr>
          <w:rFonts w:eastAsia="Times New Roman"/>
        </w:rPr>
        <w:pict>
          <v:rect id="_x0000_i1058" style="width:0;height:1.5pt" o:hralign="center" o:hrstd="t" o:hr="t" fillcolor="#a0a0a0" stroked="f"/>
        </w:pict>
      </w:r>
    </w:p>
    <w:p w:rsidR="00000000" w:rsidRDefault="00865332">
      <w:pPr>
        <w:pStyle w:val="a3"/>
        <w:spacing w:before="0" w:beforeAutospacing="0" w:after="0" w:afterAutospacing="0" w:line="259" w:lineRule="auto"/>
        <w:ind w:left="360" w:hanging="360"/>
        <w:jc w:val="both"/>
        <w:divId w:val="244799370"/>
        <w:rPr>
          <w:sz w:val="18"/>
          <w:szCs w:val="18"/>
        </w:rPr>
      </w:pPr>
      <w:r>
        <w:rPr>
          <w:sz w:val="18"/>
          <w:szCs w:val="18"/>
        </w:rPr>
        <w:t>(b</w:t>
      </w:r>
      <w:r>
        <w:rPr>
          <w:sz w:val="18"/>
          <w:szCs w:val="18"/>
        </w:rPr>
        <w:t>)</w:t>
      </w:r>
      <w:r>
        <w:rPr>
          <w:sz w:val="18"/>
          <w:szCs w:val="18"/>
        </w:rPr>
        <w:t>Realized annual rent per occupied square foot is computed by dividing rental income, before late charges and administrative fees, by the weighted average occupied square feet for the period. Realized annual rent per a</w:t>
      </w:r>
      <w:r>
        <w:rPr>
          <w:sz w:val="18"/>
          <w:szCs w:val="18"/>
        </w:rPr>
        <w:t>vailable square foot (“REVPAF”) is computed by dividing rental income, before late charges and administrative fees, by the total available net rentable square feet for the period. These measures exclude late charges and administrative fees in order to prov</w:t>
      </w:r>
      <w:r>
        <w:rPr>
          <w:sz w:val="18"/>
          <w:szCs w:val="18"/>
        </w:rPr>
        <w:t>ide a better measure of our ongoing level of revenue. Late charges are dependent upon the level of delinquency and administrative fees are dependent upon the level of move-ins. In addition, the rates charged for late charges and administrative fees can var</w:t>
      </w:r>
      <w:r>
        <w:rPr>
          <w:sz w:val="18"/>
          <w:szCs w:val="18"/>
        </w:rPr>
        <w:t>y independently from rental rates. These measures take into consideration promotional discounts, which reduce rental income.</w:t>
      </w:r>
      <w:r>
        <w:rPr>
          <w:sz w:val="18"/>
          <w:szCs w:val="18"/>
        </w:rPr>
        <w:t xml:space="preserve"> </w:t>
      </w:r>
    </w:p>
    <w:p w:rsidR="00000000" w:rsidRDefault="00865332">
      <w:pPr>
        <w:pStyle w:val="a3"/>
        <w:spacing w:before="0" w:beforeAutospacing="0" w:after="0" w:afterAutospacing="0" w:line="259" w:lineRule="auto"/>
        <w:ind w:left="360" w:hanging="360"/>
        <w:jc w:val="both"/>
        <w:divId w:val="244799370"/>
        <w:rPr>
          <w:sz w:val="18"/>
          <w:szCs w:val="18"/>
        </w:rPr>
      </w:pPr>
      <w:r>
        <w:rPr>
          <w:sz w:val="18"/>
          <w:szCs w:val="18"/>
        </w:rPr>
        <w:t>(c</w:t>
      </w:r>
      <w:r>
        <w:rPr>
          <w:sz w:val="18"/>
          <w:szCs w:val="18"/>
        </w:rPr>
        <w:t>)</w:t>
      </w:r>
      <w:r>
        <w:rPr>
          <w:sz w:val="18"/>
          <w:szCs w:val="18"/>
        </w:rPr>
        <w:t>Annual contract rent represents the agreed upon monthly rate that is paid by our tenants in place at the time of measurement. C</w:t>
      </w:r>
      <w:r>
        <w:rPr>
          <w:sz w:val="18"/>
          <w:szCs w:val="18"/>
        </w:rPr>
        <w:t>ontract rates are initially set in the lease agreement upon move-in and we adjust them from time to time with notice. Contract rent excludes other fees that are charged on a per-item basis, such as late charges and administrative fees, does not reflect the</w:t>
      </w:r>
      <w:r>
        <w:rPr>
          <w:sz w:val="18"/>
          <w:szCs w:val="18"/>
        </w:rPr>
        <w:t xml:space="preserve"> impact of promotional discounts, and does not reflect the impact of rents that are written off as uncollectible.</w:t>
      </w:r>
      <w:r>
        <w:rPr>
          <w:sz w:val="18"/>
          <w:szCs w:val="18"/>
        </w:rPr>
        <w:t xml:space="preserve"> </w:t>
      </w:r>
    </w:p>
    <w:p w:rsidR="00000000" w:rsidRDefault="00865332">
      <w:pPr>
        <w:pStyle w:val="a3"/>
        <w:spacing w:before="0" w:beforeAutospacing="0" w:after="0" w:afterAutospacing="0" w:line="259" w:lineRule="auto"/>
        <w:jc w:val="both"/>
        <w:divId w:val="244799370"/>
        <w:rPr>
          <w:sz w:val="20"/>
          <w:szCs w:val="20"/>
        </w:rPr>
      </w:pPr>
      <w:r>
        <w:rPr>
          <w:i/>
          <w:iCs/>
          <w:sz w:val="20"/>
          <w:szCs w:val="20"/>
        </w:rPr>
        <w:t>Analysis of Same Store Revenu</w:t>
      </w:r>
      <w:r>
        <w:rPr>
          <w:i/>
          <w:iCs/>
          <w:sz w:val="20"/>
          <w:szCs w:val="20"/>
        </w:rPr>
        <w:t>e</w:t>
      </w:r>
    </w:p>
    <w:p w:rsidR="00000000" w:rsidRDefault="00865332">
      <w:pPr>
        <w:pStyle w:val="a3"/>
        <w:spacing w:before="0" w:beforeAutospacing="0" w:after="0" w:afterAutospacing="0" w:line="259" w:lineRule="auto"/>
        <w:ind w:firstLine="720"/>
        <w:jc w:val="both"/>
        <w:divId w:val="244799370"/>
        <w:rPr>
          <w:sz w:val="20"/>
          <w:szCs w:val="20"/>
        </w:rPr>
      </w:pPr>
      <w:r>
        <w:rPr>
          <w:sz w:val="20"/>
          <w:szCs w:val="20"/>
        </w:rPr>
        <w:t>Revenues generated by our Same Store Facilities increased by 1.4% each in 2019 as compared to 2018 and in 2018</w:t>
      </w:r>
      <w:r>
        <w:rPr>
          <w:sz w:val="20"/>
          <w:szCs w:val="20"/>
        </w:rPr>
        <w:t xml:space="preserve"> as compared to 2017, due primarily to increases of 1.1% and 2.1% in realized annual rent per occupied square foot in 2019 and 2018, respectively, as compared to the previous year.</w:t>
      </w:r>
      <w:r>
        <w:rPr>
          <w:sz w:val="20"/>
          <w:szCs w:val="20"/>
        </w:rPr>
        <w:t xml:space="preserve"> </w:t>
      </w:r>
    </w:p>
    <w:p w:rsidR="00000000" w:rsidRDefault="00865332">
      <w:pPr>
        <w:pStyle w:val="a3"/>
        <w:spacing w:before="0" w:beforeAutospacing="0" w:after="0" w:afterAutospacing="0" w:line="259" w:lineRule="auto"/>
        <w:ind w:firstLine="720"/>
        <w:jc w:val="both"/>
        <w:divId w:val="244799370"/>
        <w:rPr>
          <w:sz w:val="20"/>
          <w:szCs w:val="20"/>
        </w:rPr>
      </w:pPr>
      <w:r>
        <w:rPr>
          <w:sz w:val="20"/>
          <w:szCs w:val="20"/>
        </w:rPr>
        <w:t xml:space="preserve">Same Store revenue growth is lower than long-term historical averages due </w:t>
      </w:r>
      <w:r>
        <w:rPr>
          <w:sz w:val="20"/>
          <w:szCs w:val="20"/>
        </w:rPr>
        <w:t>to softness in demand for our storage space, which has led to lower move-in rental rates for new tenants (see below). We attribute some of this softness to local economic conditions and, in some markets most notably Atlanta, Austin, Charlotte, Chicago, Dal</w:t>
      </w:r>
      <w:r>
        <w:rPr>
          <w:sz w:val="20"/>
          <w:szCs w:val="20"/>
        </w:rPr>
        <w:t>las, Denver, Houston, Miami, New York and Portland, increased supply of newly constructed self-storage facilities</w:t>
      </w:r>
      <w:r>
        <w:rPr>
          <w:sz w:val="20"/>
          <w:szCs w:val="20"/>
        </w:rPr>
        <w:t>.</w:t>
      </w:r>
    </w:p>
    <w:p w:rsidR="00000000" w:rsidRDefault="00865332">
      <w:pPr>
        <w:pStyle w:val="a3"/>
        <w:spacing w:before="0" w:beforeAutospacing="0" w:after="0" w:afterAutospacing="0" w:line="259" w:lineRule="auto"/>
        <w:ind w:firstLine="720"/>
        <w:jc w:val="both"/>
        <w:divId w:val="244799370"/>
        <w:rPr>
          <w:sz w:val="20"/>
          <w:szCs w:val="20"/>
        </w:rPr>
      </w:pPr>
      <w:r>
        <w:rPr>
          <w:sz w:val="20"/>
          <w:szCs w:val="20"/>
        </w:rPr>
        <w:t>Same Store weighted average square foot occupancy remained strong at 93.5%, 93.1% and 93.7% during 2019, 2018 and 2017.</w:t>
      </w:r>
      <w:r>
        <w:rPr>
          <w:sz w:val="20"/>
          <w:szCs w:val="20"/>
        </w:rPr>
        <w:t xml:space="preserve"> </w:t>
      </w:r>
    </w:p>
    <w:p w:rsidR="00000000" w:rsidRDefault="00865332">
      <w:pPr>
        <w:pStyle w:val="a3"/>
        <w:spacing w:before="0" w:beforeAutospacing="0" w:after="0" w:afterAutospacing="0" w:line="259" w:lineRule="auto"/>
        <w:ind w:firstLine="720"/>
        <w:jc w:val="both"/>
        <w:divId w:val="244799370"/>
        <w:rPr>
          <w:sz w:val="20"/>
          <w:szCs w:val="20"/>
        </w:rPr>
      </w:pPr>
      <w:r>
        <w:rPr>
          <w:sz w:val="20"/>
          <w:szCs w:val="20"/>
        </w:rPr>
        <w:t>We believe that high</w:t>
      </w:r>
      <w:r>
        <w:rPr>
          <w:sz w:val="20"/>
          <w:szCs w:val="20"/>
        </w:rPr>
        <w:t xml:space="preserve"> occupancies help maximize our rental income. We seek to maintain a weighted average square foot occupancy level of at least 90%, by regularly adjusting the rental rates and promotions offered to attract new tenants as well as adjusting our marketing effor</w:t>
      </w:r>
      <w:r>
        <w:rPr>
          <w:sz w:val="20"/>
          <w:szCs w:val="20"/>
        </w:rPr>
        <w:t>ts on the Internet and other channels in order to generate sufficient move-in volume to replace tenants that vacate</w:t>
      </w:r>
      <w:r>
        <w:rPr>
          <w:sz w:val="20"/>
          <w:szCs w:val="20"/>
        </w:rPr>
        <w:t>.</w:t>
      </w:r>
    </w:p>
    <w:p w:rsidR="00000000" w:rsidRDefault="00865332">
      <w:pPr>
        <w:pStyle w:val="a3"/>
        <w:spacing w:before="0" w:beforeAutospacing="0" w:after="0" w:afterAutospacing="0" w:line="259" w:lineRule="auto"/>
        <w:ind w:firstLine="634"/>
        <w:jc w:val="both"/>
        <w:divId w:val="244799370"/>
        <w:rPr>
          <w:sz w:val="20"/>
          <w:szCs w:val="20"/>
        </w:rPr>
      </w:pPr>
      <w:r>
        <w:rPr>
          <w:sz w:val="20"/>
          <w:szCs w:val="20"/>
        </w:rPr>
        <w:t>Annual contract rent per foot for customers moving in was $13.63, $14.09, and $14.54 in 2019, 2018, and 2017, respectively, and the related</w:t>
      </w:r>
      <w:r>
        <w:rPr>
          <w:sz w:val="20"/>
          <w:szCs w:val="20"/>
        </w:rPr>
        <w:t xml:space="preserve"> square footage for the space they moved into was 102.7 million, 104.4 million, and 109.4 million, respectively. Annual contract rent per foot for customers moving out was $16.12, $16.19, and $16.01 in 2019, 2018, and 2017, respectively, and the related sq</w:t>
      </w:r>
      <w:r>
        <w:rPr>
          <w:sz w:val="20"/>
          <w:szCs w:val="20"/>
        </w:rPr>
        <w:t>uare footage for the space they moved out of was 102.1 million, 104.1 million, and 111.1 million, respectively.</w:t>
      </w:r>
      <w:r>
        <w:rPr>
          <w:sz w:val="20"/>
          <w:szCs w:val="20"/>
        </w:rPr>
        <w:t xml:space="preserve"> </w:t>
      </w:r>
    </w:p>
    <w:p w:rsidR="00000000" w:rsidRDefault="00865332">
      <w:pPr>
        <w:pStyle w:val="a3"/>
        <w:spacing w:before="0" w:beforeAutospacing="0" w:after="0" w:afterAutospacing="0" w:line="259" w:lineRule="auto"/>
        <w:ind w:firstLine="720"/>
        <w:jc w:val="both"/>
        <w:divId w:val="244799370"/>
        <w:rPr>
          <w:sz w:val="20"/>
          <w:szCs w:val="20"/>
        </w:rPr>
      </w:pPr>
      <w:r>
        <w:rPr>
          <w:sz w:val="20"/>
          <w:szCs w:val="20"/>
        </w:rPr>
        <w:t>In order to stimulate move-in volume, we often give promotional discounts, generally in the form of a “$1.00 rent for the first month” offer. P</w:t>
      </w:r>
      <w:r>
        <w:rPr>
          <w:sz w:val="20"/>
          <w:szCs w:val="20"/>
        </w:rPr>
        <w:t>romotional discounts, based upon the move-in contractual rates for the related promotional period, totaled $77.4 million, $81.6 million, and $86.9 million for 2019, 2018, and 2017, respectively</w:t>
      </w:r>
      <w:r>
        <w:rPr>
          <w:sz w:val="20"/>
          <w:szCs w:val="20"/>
        </w:rPr>
        <w:t>.</w:t>
      </w:r>
    </w:p>
    <w:p w:rsidR="00000000" w:rsidRDefault="00865332">
      <w:pPr>
        <w:pStyle w:val="a3"/>
        <w:spacing w:before="0" w:beforeAutospacing="0" w:after="0" w:afterAutospacing="0" w:line="259" w:lineRule="auto"/>
        <w:ind w:firstLine="720"/>
        <w:jc w:val="both"/>
        <w:divId w:val="244799370"/>
        <w:rPr>
          <w:sz w:val="20"/>
          <w:szCs w:val="20"/>
        </w:rPr>
      </w:pPr>
      <w:r>
        <w:rPr>
          <w:sz w:val="20"/>
          <w:szCs w:val="20"/>
        </w:rPr>
        <w:t>Demand is higher in the summer months than in the winter mont</w:t>
      </w:r>
      <w:r>
        <w:rPr>
          <w:sz w:val="20"/>
          <w:szCs w:val="20"/>
        </w:rPr>
        <w:t>hs and, as a result, rental rates charged to new tenants are typically higher in the summer months than in the winter months. Demand fluctuates due to various local and regional factors, including the overall economy. Demand into our system is also impacte</w:t>
      </w:r>
      <w:r>
        <w:rPr>
          <w:sz w:val="20"/>
          <w:szCs w:val="20"/>
        </w:rPr>
        <w:t>d by new supply of self-storage space as well as alternatives to self-storage.</w:t>
      </w:r>
      <w:r>
        <w:rPr>
          <w:sz w:val="20"/>
          <w:szCs w:val="20"/>
        </w:rPr>
        <w:t xml:space="preserve"> </w:t>
      </w:r>
    </w:p>
    <w:p w:rsidR="00000000" w:rsidRDefault="00865332">
      <w:pPr>
        <w:pStyle w:val="a3"/>
        <w:spacing w:before="0" w:beforeAutospacing="0" w:after="0" w:afterAutospacing="0" w:line="259" w:lineRule="auto"/>
        <w:ind w:firstLine="720"/>
        <w:jc w:val="both"/>
        <w:divId w:val="244799370"/>
        <w:rPr>
          <w:sz w:val="20"/>
          <w:szCs w:val="20"/>
        </w:rPr>
      </w:pPr>
      <w:r>
        <w:rPr>
          <w:sz w:val="20"/>
          <w:szCs w:val="20"/>
        </w:rPr>
        <w:t>We typically increase rental rates to our long-term tenants (generally, those that have been with us for at least a year) once per year. As a result, the number of long-term te</w:t>
      </w:r>
      <w:r>
        <w:rPr>
          <w:sz w:val="20"/>
          <w:szCs w:val="20"/>
        </w:rPr>
        <w:t>nants we have in our facilities is an important factor in our revenue growth. The level of rate increases to long-term tenants is based upon balancing the additional revenue from the increase against the negative impact of incremental move-outs</w:t>
      </w:r>
      <w:r>
        <w:rPr>
          <w:sz w:val="20"/>
          <w:szCs w:val="20"/>
        </w:rPr>
        <w:t>.</w:t>
      </w:r>
    </w:p>
    <w:p w:rsidR="00000000" w:rsidRDefault="00865332">
      <w:pPr>
        <w:pStyle w:val="a3"/>
        <w:spacing w:before="0" w:beforeAutospacing="0" w:after="0" w:afterAutospacing="0" w:line="259" w:lineRule="auto"/>
        <w:ind w:firstLine="634"/>
        <w:jc w:val="both"/>
        <w:divId w:val="244799370"/>
        <w:rPr>
          <w:sz w:val="20"/>
          <w:szCs w:val="20"/>
        </w:rPr>
      </w:pPr>
      <w:r>
        <w:rPr>
          <w:sz w:val="20"/>
          <w:szCs w:val="20"/>
        </w:rPr>
        <w:t>Throughout</w:t>
      </w:r>
      <w:r>
        <w:rPr>
          <w:sz w:val="20"/>
          <w:szCs w:val="20"/>
        </w:rPr>
        <w:t xml:space="preserve"> 2018 and 2019, we have had an increased average length of stay and fewer move-outs. The increased average length of stay contributed to an increased beneficial effect of rent increases to existing tenants, due to more long-term customers that were eligibl</w:t>
      </w:r>
      <w:r>
        <w:rPr>
          <w:sz w:val="20"/>
          <w:szCs w:val="20"/>
        </w:rPr>
        <w:t>e for rate increases. However, this was offset partially by the impact of</w:t>
      </w:r>
      <w:r>
        <w:rPr>
          <w:sz w:val="20"/>
          <w:szCs w:val="20"/>
        </w:rPr>
        <w:t xml:space="preserve"> </w:t>
      </w:r>
    </w:p>
    <w:p w:rsidR="00000000" w:rsidRDefault="00865332">
      <w:pPr>
        <w:pStyle w:val="a3"/>
        <w:spacing w:before="0" w:beforeAutospacing="0" w:after="0" w:afterAutospacing="0" w:line="259" w:lineRule="auto"/>
        <w:jc w:val="center"/>
        <w:divId w:val="1932199340"/>
        <w:rPr>
          <w:sz w:val="20"/>
          <w:szCs w:val="20"/>
        </w:rPr>
      </w:pPr>
      <w:r>
        <w:rPr>
          <w:rStyle w:val="ctheaderfooterpage"/>
          <w:sz w:val="20"/>
          <w:szCs w:val="20"/>
        </w:rPr>
        <w:t>3</w:t>
      </w:r>
      <w:r>
        <w:rPr>
          <w:rStyle w:val="ctheaderfooterpage"/>
          <w:sz w:val="20"/>
          <w:szCs w:val="20"/>
        </w:rPr>
        <w:t>5</w:t>
      </w:r>
    </w:p>
    <w:p w:rsidR="00000000" w:rsidRDefault="00865332">
      <w:pPr>
        <w:spacing w:before="360" w:after="360"/>
        <w:divId w:val="410397196"/>
        <w:rPr>
          <w:rFonts w:eastAsia="Times New Roman"/>
        </w:rPr>
      </w:pPr>
      <w:r>
        <w:rPr>
          <w:rFonts w:eastAsia="Times New Roman"/>
        </w:rPr>
        <w:pict>
          <v:rect id="_x0000_i1059" style="width:0;height:1.5pt" o:hralign="center" o:hrstd="t" o:hr="t" fillcolor="#a0a0a0" stroked="f"/>
        </w:pict>
      </w:r>
    </w:p>
    <w:p w:rsidR="00000000" w:rsidRDefault="00865332">
      <w:pPr>
        <w:pStyle w:val="a3"/>
        <w:spacing w:before="0" w:beforeAutospacing="0" w:after="0" w:afterAutospacing="0" w:line="259" w:lineRule="auto"/>
        <w:jc w:val="both"/>
        <w:divId w:val="904608447"/>
        <w:rPr>
          <w:sz w:val="20"/>
          <w:szCs w:val="20"/>
        </w:rPr>
      </w:pPr>
      <w:r>
        <w:rPr>
          <w:sz w:val="20"/>
          <w:szCs w:val="20"/>
        </w:rPr>
        <w:t xml:space="preserve">lower move-in rates and resulting increased “rent roll down” for new tenants relative to existing tenants that moved out. The extent to which </w:t>
      </w:r>
      <w:r>
        <w:rPr>
          <w:sz w:val="20"/>
          <w:szCs w:val="20"/>
        </w:rPr>
        <w:t>the net positive impact of these trends will continue in 2020 is uncertain at this time.</w:t>
      </w:r>
      <w:r>
        <w:rPr>
          <w:sz w:val="20"/>
          <w:szCs w:val="20"/>
        </w:rPr>
        <w:t xml:space="preserve"> </w:t>
      </w:r>
    </w:p>
    <w:p w:rsidR="00000000" w:rsidRDefault="00865332">
      <w:pPr>
        <w:pStyle w:val="a3"/>
        <w:spacing w:before="0" w:beforeAutospacing="0" w:after="0" w:afterAutospacing="0" w:line="259" w:lineRule="auto"/>
        <w:ind w:firstLine="720"/>
        <w:jc w:val="both"/>
        <w:divId w:val="904608447"/>
        <w:rPr>
          <w:sz w:val="20"/>
          <w:szCs w:val="20"/>
        </w:rPr>
      </w:pPr>
      <w:r>
        <w:rPr>
          <w:sz w:val="20"/>
          <w:szCs w:val="20"/>
        </w:rPr>
        <w:t>We believe that the current trends in move-in, move-out, in place contractual rents and occupancy levels are consistent with continued moderate revenue growth in 2020</w:t>
      </w:r>
      <w:r>
        <w:rPr>
          <w:sz w:val="20"/>
          <w:szCs w:val="20"/>
        </w:rPr>
        <w:t>, with rental growth in 2020 coming primarily from continued annual rent increases to existing tenants.</w:t>
      </w:r>
      <w:r>
        <w:rPr>
          <w:sz w:val="20"/>
          <w:szCs w:val="20"/>
        </w:rPr>
        <w:t xml:space="preserve"> </w:t>
      </w:r>
    </w:p>
    <w:p w:rsidR="00000000" w:rsidRDefault="00865332">
      <w:pPr>
        <w:pStyle w:val="a3"/>
        <w:spacing w:before="0" w:beforeAutospacing="0" w:after="0" w:afterAutospacing="0" w:line="259" w:lineRule="auto"/>
        <w:ind w:firstLine="720"/>
        <w:jc w:val="both"/>
        <w:divId w:val="904608447"/>
        <w:rPr>
          <w:sz w:val="20"/>
          <w:szCs w:val="20"/>
        </w:rPr>
      </w:pPr>
      <w:r>
        <w:rPr>
          <w:sz w:val="20"/>
          <w:szCs w:val="20"/>
        </w:rPr>
        <w:t>However, such short-term current trends can be limited in their ability to suggest future revenue growth. Other factors affecting revenue growth can be volatile and hard to predict, such as (i) the level of consumer demand, (ii) competition from newly deve</w:t>
      </w:r>
      <w:r>
        <w:rPr>
          <w:sz w:val="20"/>
          <w:szCs w:val="20"/>
        </w:rPr>
        <w:t>loped and existing facilities, (iii) the length of stay of our existing customers, and (iv) local and state laws and regulations that can limit, and have limited, the rents we can charge to new tenants or the extent to which we can increase rents to existi</w:t>
      </w:r>
      <w:r>
        <w:rPr>
          <w:sz w:val="20"/>
          <w:szCs w:val="20"/>
        </w:rPr>
        <w:t>ng tenants.</w:t>
      </w:r>
      <w:r>
        <w:rPr>
          <w:sz w:val="20"/>
          <w:szCs w:val="20"/>
        </w:rPr>
        <w:t xml:space="preserve"> </w:t>
      </w:r>
    </w:p>
    <w:p w:rsidR="00000000" w:rsidRDefault="00865332">
      <w:pPr>
        <w:pStyle w:val="a3"/>
        <w:spacing w:before="0" w:beforeAutospacing="0" w:after="0" w:afterAutospacing="0" w:line="259" w:lineRule="auto"/>
        <w:ind w:firstLine="720"/>
        <w:jc w:val="both"/>
        <w:divId w:val="904608447"/>
        <w:rPr>
          <w:sz w:val="20"/>
          <w:szCs w:val="20"/>
        </w:rPr>
      </w:pPr>
      <w:r>
        <w:rPr>
          <w:sz w:val="20"/>
          <w:szCs w:val="20"/>
        </w:rPr>
        <w:t>We are continuing to take a number of actions to improve demand into our system, including increasing marketing spend on the Internet and offering lower rental rates to new customers</w:t>
      </w:r>
      <w:r>
        <w:rPr>
          <w:sz w:val="20"/>
          <w:szCs w:val="20"/>
        </w:rPr>
        <w:t>.</w:t>
      </w:r>
    </w:p>
    <w:p w:rsidR="00000000" w:rsidRDefault="00865332">
      <w:pPr>
        <w:pStyle w:val="a3"/>
        <w:spacing w:before="0" w:beforeAutospacing="0" w:after="0" w:afterAutospacing="0" w:line="276" w:lineRule="auto"/>
        <w:divId w:val="904608447"/>
        <w:rPr>
          <w:sz w:val="20"/>
          <w:szCs w:val="20"/>
        </w:rPr>
      </w:pPr>
      <w:r>
        <w:rPr>
          <w:i/>
          <w:iCs/>
          <w:sz w:val="20"/>
          <w:szCs w:val="20"/>
        </w:rPr>
        <w:t>Analysis of Same Store Cost of Operations</w:t>
      </w:r>
      <w:r>
        <w:rPr>
          <w:i/>
          <w:iCs/>
          <w:sz w:val="20"/>
          <w:szCs w:val="20"/>
        </w:rPr>
        <w:t xml:space="preserve"> </w:t>
      </w:r>
    </w:p>
    <w:p w:rsidR="00000000" w:rsidRDefault="00865332">
      <w:pPr>
        <w:pStyle w:val="a3"/>
        <w:spacing w:before="0" w:beforeAutospacing="0" w:after="0" w:afterAutospacing="0" w:line="259" w:lineRule="auto"/>
        <w:ind w:left="86" w:firstLine="634"/>
        <w:jc w:val="both"/>
        <w:divId w:val="904608447"/>
        <w:rPr>
          <w:sz w:val="20"/>
          <w:szCs w:val="20"/>
        </w:rPr>
      </w:pPr>
      <w:r>
        <w:rPr>
          <w:sz w:val="20"/>
          <w:szCs w:val="20"/>
        </w:rPr>
        <w:t>Cost of operatio</w:t>
      </w:r>
      <w:r>
        <w:rPr>
          <w:sz w:val="20"/>
          <w:szCs w:val="20"/>
        </w:rPr>
        <w:t>ns (excluding depreciation and amortization) increased 5.0% in 2019 as compared to 2018, and 3.0% in 2018 as compared to 2017, due primarily to increased property tax and marketing expense.</w:t>
      </w:r>
      <w:r>
        <w:rPr>
          <w:sz w:val="20"/>
          <w:szCs w:val="20"/>
        </w:rPr>
        <w:t xml:space="preserve"> </w:t>
      </w:r>
    </w:p>
    <w:p w:rsidR="00000000" w:rsidRDefault="00865332">
      <w:pPr>
        <w:pStyle w:val="a3"/>
        <w:spacing w:before="0" w:beforeAutospacing="0" w:after="0" w:afterAutospacing="0" w:line="259" w:lineRule="auto"/>
        <w:ind w:left="86" w:firstLine="634"/>
        <w:jc w:val="both"/>
        <w:divId w:val="904608447"/>
        <w:rPr>
          <w:sz w:val="20"/>
          <w:szCs w:val="20"/>
        </w:rPr>
      </w:pPr>
      <w:r>
        <w:rPr>
          <w:sz w:val="20"/>
          <w:szCs w:val="20"/>
        </w:rPr>
        <w:t xml:space="preserve">Property tax expense increased 4.6% in 2019 as compared to 2018, </w:t>
      </w:r>
      <w:r>
        <w:rPr>
          <w:sz w:val="20"/>
          <w:szCs w:val="20"/>
        </w:rPr>
        <w:t>and 5.0% in 2018 as compared to 2017. We expect property tax expense growth of approximately 5.0% in 2020 due primarily to higher assessed values (excluding the potential impact of the California initiative noted below) and, to a lesser extent, increased t</w:t>
      </w:r>
      <w:r>
        <w:rPr>
          <w:sz w:val="20"/>
          <w:szCs w:val="20"/>
        </w:rPr>
        <w:t>ax rates.</w:t>
      </w:r>
      <w:r>
        <w:rPr>
          <w:sz w:val="20"/>
          <w:szCs w:val="20"/>
        </w:rPr>
        <w:t xml:space="preserve"> </w:t>
      </w:r>
    </w:p>
    <w:p w:rsidR="00000000" w:rsidRDefault="00865332">
      <w:pPr>
        <w:pStyle w:val="a3"/>
        <w:spacing w:before="0" w:beforeAutospacing="0" w:after="0" w:afterAutospacing="0" w:line="259" w:lineRule="auto"/>
        <w:ind w:left="86" w:firstLine="634"/>
        <w:jc w:val="both"/>
        <w:divId w:val="904608447"/>
        <w:rPr>
          <w:sz w:val="20"/>
          <w:szCs w:val="20"/>
        </w:rPr>
      </w:pPr>
      <w:r>
        <w:rPr>
          <w:sz w:val="20"/>
          <w:szCs w:val="20"/>
        </w:rPr>
        <w:t>As a result of Proposition 13, which limits increases in assessed values to 2% per year, the assessed value and property taxes we pay in California is less than it would be if the properties were assessed at current values. An initiative on Cali</w:t>
      </w:r>
      <w:r>
        <w:rPr>
          <w:sz w:val="20"/>
          <w:szCs w:val="20"/>
        </w:rPr>
        <w:t>fornia’s November 2020 statewide ballot, if approved by voters, could result in the reassessment of our California properties and substantially increase our property tax expense. It is uncertain (i) whether an initiative will pass, and (ii) if it does pass</w:t>
      </w:r>
      <w:r>
        <w:rPr>
          <w:sz w:val="20"/>
          <w:szCs w:val="20"/>
        </w:rPr>
        <w:t>, the timing and level of the reassessment and related property tax increases. See “Risk Factors – We have exposure to increased property tax in California” for further information such as our aggregate net operating income and property tax expense in Cali</w:t>
      </w:r>
      <w:r>
        <w:rPr>
          <w:sz w:val="20"/>
          <w:szCs w:val="20"/>
        </w:rPr>
        <w:t>fornia.</w:t>
      </w:r>
      <w:r>
        <w:rPr>
          <w:sz w:val="20"/>
          <w:szCs w:val="20"/>
        </w:rPr>
        <w:t xml:space="preserve"> </w:t>
      </w:r>
    </w:p>
    <w:p w:rsidR="00000000" w:rsidRDefault="00865332">
      <w:pPr>
        <w:pStyle w:val="a3"/>
        <w:spacing w:before="0" w:beforeAutospacing="0" w:after="0" w:afterAutospacing="0" w:line="259" w:lineRule="auto"/>
        <w:ind w:left="86" w:firstLine="634"/>
        <w:jc w:val="both"/>
        <w:divId w:val="904608447"/>
        <w:rPr>
          <w:sz w:val="20"/>
          <w:szCs w:val="20"/>
        </w:rPr>
      </w:pPr>
      <w:r>
        <w:rPr>
          <w:sz w:val="20"/>
          <w:szCs w:val="20"/>
        </w:rPr>
        <w:t>On-site property manager payroll expense increased 2.5% in 2019 as compared to 2018 and 1.2% in 2018 as compared to 2017. These increases were due primarily to higher wage rates, offset partially by lower hours worked in 2018. We have been impacte</w:t>
      </w:r>
      <w:r>
        <w:rPr>
          <w:sz w:val="20"/>
          <w:szCs w:val="20"/>
        </w:rPr>
        <w:t>d by a tight labor market across the country, as well as increases in minimum wages in certain jurisdictions. We expect continued wage rate increases in 2020 due to tighter labor markets.</w:t>
      </w:r>
      <w:r>
        <w:rPr>
          <w:sz w:val="20"/>
          <w:szCs w:val="20"/>
        </w:rPr>
        <w:t xml:space="preserve"> </w:t>
      </w:r>
    </w:p>
    <w:p w:rsidR="00000000" w:rsidRDefault="00865332">
      <w:pPr>
        <w:pStyle w:val="a3"/>
        <w:spacing w:before="0" w:beforeAutospacing="0" w:after="0" w:afterAutospacing="0" w:line="259" w:lineRule="auto"/>
        <w:ind w:left="86" w:firstLine="634"/>
        <w:jc w:val="both"/>
        <w:divId w:val="904608447"/>
        <w:rPr>
          <w:sz w:val="20"/>
          <w:szCs w:val="20"/>
        </w:rPr>
      </w:pPr>
      <w:r>
        <w:rPr>
          <w:sz w:val="20"/>
          <w:szCs w:val="20"/>
        </w:rPr>
        <w:t xml:space="preserve">Supervisory payroll expense, which represents compensation paid to </w:t>
      </w:r>
      <w:r>
        <w:rPr>
          <w:sz w:val="20"/>
          <w:szCs w:val="20"/>
        </w:rPr>
        <w:t>the management personnel who directly and indirectly supervise the on-site property managers, increased 1.6% in 2019 as compared to 2018 due primarily to higher wage rates and decreased 7.6% in 2018 as compared to 2017 due to reductions in headcount offset</w:t>
      </w:r>
      <w:r>
        <w:rPr>
          <w:sz w:val="20"/>
          <w:szCs w:val="20"/>
        </w:rPr>
        <w:t xml:space="preserve"> by higher wage rates. We expect inflationary increases in wage rates and increased headcount in 2020.</w:t>
      </w:r>
      <w:r>
        <w:rPr>
          <w:sz w:val="20"/>
          <w:szCs w:val="20"/>
        </w:rPr>
        <w:t xml:space="preserve"> </w:t>
      </w:r>
    </w:p>
    <w:p w:rsidR="00000000" w:rsidRDefault="00865332">
      <w:pPr>
        <w:pStyle w:val="a3"/>
        <w:spacing w:before="0" w:beforeAutospacing="0" w:after="0" w:afterAutospacing="0" w:line="259" w:lineRule="auto"/>
        <w:ind w:firstLine="720"/>
        <w:jc w:val="both"/>
        <w:divId w:val="904608447"/>
        <w:rPr>
          <w:sz w:val="20"/>
          <w:szCs w:val="20"/>
        </w:rPr>
      </w:pPr>
      <w:r>
        <w:rPr>
          <w:sz w:val="20"/>
          <w:szCs w:val="20"/>
        </w:rPr>
        <w:t xml:space="preserve">Repairs and maintenance expense increased 3.2% in 2019 as compared to 2018 and decreased 0.5% in 2018 as compared to 2017. Repair and maintenance costs </w:t>
      </w:r>
      <w:r>
        <w:rPr>
          <w:sz w:val="20"/>
          <w:szCs w:val="20"/>
        </w:rPr>
        <w:t>include snow removal expense totaling $4.0 million, $3.6 million, and $3.1 million in 2019, 2018, and 2017, respectively. Excluding snow removal costs, repairs and maintenance increased 2.6% in 2019 as compared to 2018 and decreased 1.7% in 2018 as compare</w:t>
      </w:r>
      <w:r>
        <w:rPr>
          <w:sz w:val="20"/>
          <w:szCs w:val="20"/>
        </w:rPr>
        <w:t>d to 2017</w:t>
      </w:r>
      <w:r>
        <w:rPr>
          <w:sz w:val="20"/>
          <w:szCs w:val="20"/>
        </w:rPr>
        <w:t>.</w:t>
      </w:r>
    </w:p>
    <w:p w:rsidR="00000000" w:rsidRDefault="00865332">
      <w:pPr>
        <w:pStyle w:val="a3"/>
        <w:spacing w:before="0" w:beforeAutospacing="0" w:after="0" w:afterAutospacing="0" w:line="259" w:lineRule="auto"/>
        <w:ind w:firstLine="720"/>
        <w:jc w:val="both"/>
        <w:divId w:val="904608447"/>
        <w:rPr>
          <w:sz w:val="20"/>
          <w:szCs w:val="20"/>
        </w:rPr>
      </w:pPr>
      <w:r>
        <w:rPr>
          <w:sz w:val="20"/>
          <w:szCs w:val="20"/>
        </w:rPr>
        <w:t>Repairs and maintenance expense levels are dependent upon many factors such as (i) sporadic occurrences such as accidents, damage, and equipment malfunctions, (ii) short-term local supply and demand factors for material and labor, and (iii) weat</w:t>
      </w:r>
      <w:r>
        <w:rPr>
          <w:sz w:val="20"/>
          <w:szCs w:val="20"/>
        </w:rPr>
        <w:t>her conditions, which can impact costs such as snow removal, roof repairs, and HVAC maintenance and repairs. Accordingly, it is difficult to estimate future repairs and maintenance expense</w:t>
      </w:r>
      <w:r>
        <w:rPr>
          <w:sz w:val="20"/>
          <w:szCs w:val="20"/>
        </w:rPr>
        <w:t>.</w:t>
      </w:r>
    </w:p>
    <w:p w:rsidR="00000000" w:rsidRDefault="00865332">
      <w:pPr>
        <w:pStyle w:val="a3"/>
        <w:spacing w:before="0" w:beforeAutospacing="0" w:after="0" w:afterAutospacing="0" w:line="259" w:lineRule="auto"/>
        <w:jc w:val="center"/>
        <w:divId w:val="1576237240"/>
        <w:rPr>
          <w:sz w:val="20"/>
          <w:szCs w:val="20"/>
        </w:rPr>
      </w:pPr>
      <w:r>
        <w:rPr>
          <w:rStyle w:val="ctheaderfooterpage"/>
          <w:sz w:val="20"/>
          <w:szCs w:val="20"/>
        </w:rPr>
        <w:t>3</w:t>
      </w:r>
      <w:r>
        <w:rPr>
          <w:rStyle w:val="ctheaderfooterpage"/>
          <w:sz w:val="20"/>
          <w:szCs w:val="20"/>
        </w:rPr>
        <w:t>6</w:t>
      </w:r>
    </w:p>
    <w:p w:rsidR="00000000" w:rsidRDefault="00865332">
      <w:pPr>
        <w:spacing w:before="360" w:after="360"/>
        <w:divId w:val="1216812495"/>
        <w:rPr>
          <w:rFonts w:eastAsia="Times New Roman"/>
        </w:rPr>
      </w:pPr>
      <w:r>
        <w:rPr>
          <w:rFonts w:eastAsia="Times New Roman"/>
        </w:rPr>
        <w:pict>
          <v:rect id="_x0000_i1060" style="width:0;height:1.5pt" o:hralign="center" o:hrstd="t" o:hr="t" fillcolor="#a0a0a0" stroked="f"/>
        </w:pict>
      </w:r>
    </w:p>
    <w:p w:rsidR="00000000" w:rsidRDefault="00865332">
      <w:pPr>
        <w:pStyle w:val="a3"/>
        <w:spacing w:before="0" w:beforeAutospacing="0" w:after="0" w:afterAutospacing="0" w:line="259" w:lineRule="auto"/>
        <w:ind w:left="86" w:firstLine="634"/>
        <w:jc w:val="both"/>
        <w:divId w:val="1078794820"/>
        <w:rPr>
          <w:sz w:val="20"/>
          <w:szCs w:val="20"/>
        </w:rPr>
      </w:pPr>
      <w:r>
        <w:rPr>
          <w:sz w:val="20"/>
          <w:szCs w:val="20"/>
        </w:rPr>
        <w:t xml:space="preserve">Our utility expenses are comprised primarily of electricity costs, which are dependent upon energy prices and usage levels. Changes in usage levels are driven primarily by weather and temperature. Utility expense decreased 2.9% in 2019 as compared to 2018 </w:t>
      </w:r>
      <w:r>
        <w:rPr>
          <w:sz w:val="20"/>
          <w:szCs w:val="20"/>
        </w:rPr>
        <w:t>and increased 4.0% in 2018 as compared to 2017. It is difficult to estimate future utility costs, because weather, temperature, and energy prices are volatile and not predictable. We are making investments in energy saving technology such as solar power an</w:t>
      </w:r>
      <w:r>
        <w:rPr>
          <w:sz w:val="20"/>
          <w:szCs w:val="20"/>
        </w:rPr>
        <w:t>d LED lights which should generate favorable returns on investment in the form of lower utility usage. However, the actual reduction experienced in 2020 will be relatively modest, based upon the expected level of and timing of such investments</w:t>
      </w:r>
      <w:r>
        <w:rPr>
          <w:sz w:val="20"/>
          <w:szCs w:val="20"/>
        </w:rPr>
        <w:t>.</w:t>
      </w:r>
    </w:p>
    <w:p w:rsidR="00000000" w:rsidRDefault="00865332">
      <w:pPr>
        <w:pStyle w:val="a3"/>
        <w:spacing w:before="0" w:beforeAutospacing="0" w:after="0" w:afterAutospacing="0" w:line="259" w:lineRule="auto"/>
        <w:ind w:left="86" w:firstLine="634"/>
        <w:jc w:val="both"/>
        <w:divId w:val="1078794820"/>
        <w:rPr>
          <w:sz w:val="20"/>
          <w:szCs w:val="20"/>
        </w:rPr>
      </w:pPr>
      <w:r>
        <w:rPr>
          <w:sz w:val="20"/>
          <w:szCs w:val="20"/>
        </w:rPr>
        <w:t>Marketing e</w:t>
      </w:r>
      <w:r>
        <w:rPr>
          <w:sz w:val="20"/>
          <w:szCs w:val="20"/>
        </w:rPr>
        <w:t>xpense is comprised principally of Internet advertising and the operating costs of our telephone reservation center. Internet advertising expense, comprised primarily of keyword search fees assessed on a “per click” basis, varies based upon demand for self</w:t>
      </w:r>
      <w:r>
        <w:rPr>
          <w:sz w:val="20"/>
          <w:szCs w:val="20"/>
        </w:rPr>
        <w:t xml:space="preserve">-storage space, the quantity of people inquiring about self-storage through online search, occupancy levels, the number and aggressiveness of bidding competitors and other factors. These factors are volatile; accordingly, Internet advertising can increase </w:t>
      </w:r>
      <w:r>
        <w:rPr>
          <w:sz w:val="20"/>
          <w:szCs w:val="20"/>
        </w:rPr>
        <w:t>or decrease significantly in the short-term. Marketing expense increased 47.2% in 2019 as compared to 2018 and 6.9% in 2018 as compared to 2017. These increases are due primarily to higher Internet advertising spending, as we have sought to attract more cu</w:t>
      </w:r>
      <w:r>
        <w:rPr>
          <w:sz w:val="20"/>
          <w:szCs w:val="20"/>
        </w:rPr>
        <w:t>stomers for our space and cost per click for keyword search terms increased due to more keyword bidding competition from existing self-storage owners and operators, including owners of newly developed facilities and nontraditional storage providers. We exp</w:t>
      </w:r>
      <w:r>
        <w:rPr>
          <w:sz w:val="20"/>
          <w:szCs w:val="20"/>
        </w:rPr>
        <w:t>ect continued increases in 2020.</w:t>
      </w:r>
      <w:r>
        <w:rPr>
          <w:sz w:val="20"/>
          <w:szCs w:val="20"/>
        </w:rPr>
        <w:t xml:space="preserve"> </w:t>
      </w:r>
    </w:p>
    <w:p w:rsidR="00000000" w:rsidRDefault="00865332">
      <w:pPr>
        <w:pStyle w:val="a3"/>
        <w:spacing w:before="0" w:beforeAutospacing="0" w:after="0" w:afterAutospacing="0" w:line="259" w:lineRule="auto"/>
        <w:ind w:left="86" w:firstLine="634"/>
        <w:jc w:val="both"/>
        <w:divId w:val="1078794820"/>
        <w:rPr>
          <w:sz w:val="20"/>
          <w:szCs w:val="20"/>
        </w:rPr>
      </w:pPr>
      <w:r>
        <w:rPr>
          <w:sz w:val="20"/>
          <w:szCs w:val="20"/>
        </w:rPr>
        <w:t>Other direct property costs include administrative expenses specific to each self-storage facility, such as property insurance, telephone and data communication lines, business license costs, bank charges related to proces</w:t>
      </w:r>
      <w:r>
        <w:rPr>
          <w:sz w:val="20"/>
          <w:szCs w:val="20"/>
        </w:rPr>
        <w:t>sing the facilities’ cash receipts, tenant mailings, credit card fees, and the cost of operating each property’s rental office. These costs increased 2.5% in 2019 as compared to 2018 and 3.4% in 2018 as compared to 2017. We continue to experience increased</w:t>
      </w:r>
      <w:r>
        <w:rPr>
          <w:sz w:val="20"/>
          <w:szCs w:val="20"/>
        </w:rPr>
        <w:t xml:space="preserve"> credit card fees due to a long-term trend of more customers paying with credit cards rather than cash, checks, or other methods of payment with lower transaction costs. We expect inflationary increases in other direct property costs in 2020.</w:t>
      </w:r>
      <w:r>
        <w:rPr>
          <w:sz w:val="20"/>
          <w:szCs w:val="20"/>
        </w:rPr>
        <w:t xml:space="preserve"> </w:t>
      </w:r>
    </w:p>
    <w:p w:rsidR="00000000" w:rsidRDefault="00865332">
      <w:pPr>
        <w:pStyle w:val="a3"/>
        <w:spacing w:before="0" w:beforeAutospacing="0" w:after="0" w:afterAutospacing="0" w:line="259" w:lineRule="auto"/>
        <w:ind w:left="86" w:firstLine="634"/>
        <w:jc w:val="both"/>
        <w:divId w:val="1078794820"/>
        <w:rPr>
          <w:sz w:val="20"/>
          <w:szCs w:val="20"/>
        </w:rPr>
      </w:pPr>
      <w:r>
        <w:rPr>
          <w:sz w:val="20"/>
          <w:szCs w:val="20"/>
        </w:rPr>
        <w:t>Allocated ov</w:t>
      </w:r>
      <w:r>
        <w:rPr>
          <w:sz w:val="20"/>
          <w:szCs w:val="20"/>
        </w:rPr>
        <w:t>erhead represents administrative expenses for shared general corporate functions to the extent their efforts are devoted to self-storage operations. Such functions include information technology support, hardware, and software, as well as centralized admin</w:t>
      </w:r>
      <w:r>
        <w:rPr>
          <w:sz w:val="20"/>
          <w:szCs w:val="20"/>
        </w:rPr>
        <w:t>istration of payroll, benefits, training, repairs and maintenance, customer service, pricing and marketing, operational accounting and finance, and legal costs. These amounts also include the costs of senior executives responsible for these processes (othe</w:t>
      </w:r>
      <w:r>
        <w:rPr>
          <w:sz w:val="20"/>
          <w:szCs w:val="20"/>
        </w:rPr>
        <w:t>r than our Chief Executive Officer and Chief Financial Officer, which are included in general and administrative expense). Allocated overhead decreased 0.7% in 2019 as compared to 2018 and increased 7.1% in 2018 as compared to 2017. The increase in 2018 as</w:t>
      </w:r>
      <w:r>
        <w:rPr>
          <w:sz w:val="20"/>
          <w:szCs w:val="20"/>
        </w:rPr>
        <w:t xml:space="preserve"> compared to 2017 was due to increased headcount and information technology expenses. We expect minimal increases in allocated overhead in 2020.</w:t>
      </w:r>
      <w:r>
        <w:rPr>
          <w:sz w:val="20"/>
          <w:szCs w:val="20"/>
        </w:rPr>
        <w:t xml:space="preserve"> </w:t>
      </w:r>
    </w:p>
    <w:p w:rsidR="00000000" w:rsidRDefault="00865332">
      <w:pPr>
        <w:pStyle w:val="a3"/>
        <w:spacing w:before="0" w:beforeAutospacing="0" w:after="0" w:afterAutospacing="0" w:line="259" w:lineRule="auto"/>
        <w:jc w:val="both"/>
        <w:divId w:val="1078794820"/>
        <w:rPr>
          <w:sz w:val="20"/>
          <w:szCs w:val="20"/>
        </w:rPr>
      </w:pPr>
      <w:r>
        <w:rPr>
          <w:i/>
          <w:iCs/>
          <w:sz w:val="20"/>
          <w:szCs w:val="20"/>
          <w:u w:val="single"/>
        </w:rPr>
        <w:t>Analysis of Same Store Depreciation and Amortizatio</w:t>
      </w:r>
      <w:r>
        <w:rPr>
          <w:i/>
          <w:iCs/>
          <w:sz w:val="20"/>
          <w:szCs w:val="20"/>
          <w:u w:val="single"/>
        </w:rPr>
        <w:t>n</w:t>
      </w:r>
    </w:p>
    <w:p w:rsidR="00000000" w:rsidRDefault="00865332">
      <w:pPr>
        <w:pStyle w:val="a3"/>
        <w:spacing w:before="0" w:beforeAutospacing="0" w:after="0" w:afterAutospacing="0" w:line="259" w:lineRule="auto"/>
        <w:ind w:left="86" w:firstLine="634"/>
        <w:jc w:val="both"/>
        <w:divId w:val="1078794820"/>
        <w:rPr>
          <w:sz w:val="20"/>
          <w:szCs w:val="20"/>
        </w:rPr>
      </w:pPr>
      <w:r>
        <w:rPr>
          <w:sz w:val="20"/>
          <w:szCs w:val="20"/>
        </w:rPr>
        <w:t>Depreciation and amortization for Same Store Facilities i</w:t>
      </w:r>
      <w:r>
        <w:rPr>
          <w:sz w:val="20"/>
          <w:szCs w:val="20"/>
        </w:rPr>
        <w:t>ncreased 1.8% in 2019 as compared to 2018 and 0.1% in 2018 as compared to 2017. We expect modest increases in depreciation expense in 2020 due to elevated levels of capital expenditures.</w:t>
      </w:r>
      <w:r>
        <w:rPr>
          <w:sz w:val="20"/>
          <w:szCs w:val="20"/>
        </w:rPr>
        <w:t xml:space="preserve"> </w:t>
      </w:r>
    </w:p>
    <w:p w:rsidR="00000000" w:rsidRDefault="00865332">
      <w:pPr>
        <w:pStyle w:val="a3"/>
        <w:spacing w:before="0" w:beforeAutospacing="0" w:after="0" w:afterAutospacing="0" w:line="259" w:lineRule="auto"/>
        <w:jc w:val="both"/>
        <w:divId w:val="1078794820"/>
        <w:rPr>
          <w:sz w:val="20"/>
          <w:szCs w:val="20"/>
        </w:rPr>
      </w:pPr>
      <w:r>
        <w:rPr>
          <w:i/>
          <w:iCs/>
          <w:sz w:val="20"/>
          <w:szCs w:val="20"/>
          <w:u w:val="single"/>
        </w:rPr>
        <w:t>Quarterly Financial Dat</w:t>
      </w:r>
      <w:r>
        <w:rPr>
          <w:i/>
          <w:iCs/>
          <w:sz w:val="20"/>
          <w:szCs w:val="20"/>
          <w:u w:val="single"/>
        </w:rPr>
        <w:t>a</w:t>
      </w:r>
    </w:p>
    <w:p w:rsidR="00000000" w:rsidRDefault="00865332">
      <w:pPr>
        <w:pStyle w:val="a3"/>
        <w:spacing w:before="0" w:beforeAutospacing="0" w:after="0" w:afterAutospacing="0" w:line="259" w:lineRule="auto"/>
        <w:ind w:firstLine="720"/>
        <w:jc w:val="both"/>
        <w:divId w:val="1078794820"/>
        <w:rPr>
          <w:sz w:val="20"/>
          <w:szCs w:val="20"/>
        </w:rPr>
      </w:pPr>
      <w:r>
        <w:rPr>
          <w:sz w:val="20"/>
          <w:szCs w:val="20"/>
        </w:rPr>
        <w:t>The following table summarizes selected quarterly financial data with respect to the Same Store Facilities</w:t>
      </w:r>
      <w:r>
        <w:rPr>
          <w:sz w:val="20"/>
          <w:szCs w:val="20"/>
        </w:rPr>
        <w:t>:</w:t>
      </w:r>
    </w:p>
    <w:p w:rsidR="00000000" w:rsidRDefault="00865332">
      <w:pPr>
        <w:pStyle w:val="a3"/>
        <w:spacing w:before="0" w:beforeAutospacing="0" w:after="0" w:afterAutospacing="0" w:line="276" w:lineRule="auto"/>
        <w:divId w:val="1078794820"/>
        <w:rPr>
          <w:sz w:val="20"/>
          <w:szCs w:val="20"/>
        </w:rPr>
      </w:pPr>
      <w:r>
        <w:rPr>
          <w:sz w:val="20"/>
          <w:szCs w:val="20"/>
        </w:rPr>
        <w:br/>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720253793"/>
        <w:rPr>
          <w:sz w:val="20"/>
          <w:szCs w:val="20"/>
        </w:rPr>
      </w:pPr>
      <w:r>
        <w:rPr>
          <w:rStyle w:val="ctheaderfooterpage"/>
          <w:sz w:val="20"/>
          <w:szCs w:val="20"/>
        </w:rPr>
        <w:t>3</w:t>
      </w:r>
      <w:r>
        <w:rPr>
          <w:rStyle w:val="ctheaderfooterpage"/>
          <w:sz w:val="20"/>
          <w:szCs w:val="20"/>
        </w:rPr>
        <w:t>7</w:t>
      </w:r>
    </w:p>
    <w:p w:rsidR="00000000" w:rsidRDefault="00865332">
      <w:pPr>
        <w:spacing w:before="360" w:after="360"/>
        <w:divId w:val="620498479"/>
        <w:rPr>
          <w:rFonts w:eastAsia="Times New Roman"/>
        </w:rPr>
      </w:pPr>
      <w:r>
        <w:rPr>
          <w:rFonts w:eastAsia="Times New Roman"/>
        </w:rPr>
        <w:pict>
          <v:rect id="_x0000_i1061"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1455"/>
        <w:gridCol w:w="192"/>
        <w:gridCol w:w="1014"/>
        <w:gridCol w:w="174"/>
        <w:gridCol w:w="191"/>
        <w:gridCol w:w="1013"/>
        <w:gridCol w:w="174"/>
        <w:gridCol w:w="191"/>
        <w:gridCol w:w="1013"/>
        <w:gridCol w:w="174"/>
        <w:gridCol w:w="191"/>
        <w:gridCol w:w="1013"/>
        <w:gridCol w:w="174"/>
        <w:gridCol w:w="191"/>
        <w:gridCol w:w="1146"/>
      </w:tblGrid>
      <w:tr w:rsidR="00000000">
        <w:trPr>
          <w:divId w:val="990060763"/>
          <w:trHeight w:val="14"/>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For the Quarter Ende</w:t>
            </w:r>
            <w:r>
              <w:rPr>
                <w:sz w:val="20"/>
                <w:szCs w:val="20"/>
              </w:rPr>
              <w:t>d</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March 3</w:t>
            </w:r>
            <w:r>
              <w:rPr>
                <w:sz w:val="20"/>
                <w:szCs w:val="20"/>
              </w:rPr>
              <w:t>1</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June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September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December 3</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Entire Yea</w:t>
            </w:r>
            <w:r>
              <w:rPr>
                <w:sz w:val="20"/>
                <w:szCs w:val="20"/>
              </w:rPr>
              <w:t>r</w:t>
            </w:r>
          </w:p>
        </w:tc>
      </w:tr>
      <w:tr w:rsidR="00000000">
        <w:trPr>
          <w:divId w:val="990060763"/>
          <w:trHeight w:val="43"/>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4"/>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(Amounts in thousands, except for per square foot amounts</w:t>
            </w:r>
            <w:r>
              <w:rPr>
                <w:sz w:val="20"/>
                <w:szCs w:val="20"/>
              </w:rPr>
              <w:t>)</w:t>
            </w:r>
          </w:p>
        </w:tc>
      </w:tr>
      <w:tr w:rsidR="00000000">
        <w:trPr>
          <w:divId w:val="990060763"/>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Total revenues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586,00</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599,24</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611,22</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598,09</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2,394,57</w:t>
            </w:r>
            <w:r>
              <w:rPr>
                <w:color w:val="000000"/>
                <w:sz w:val="20"/>
                <w:szCs w:val="20"/>
              </w:rPr>
              <w:t>2</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577,31</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587,79</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604,70</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591,49</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2,361,29</w:t>
            </w:r>
            <w:r>
              <w:rPr>
                <w:color w:val="000000"/>
                <w:sz w:val="20"/>
                <w:szCs w:val="20"/>
              </w:rPr>
              <w:t>8</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566,13</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579,44</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598,40</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584,85</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2,328,83</w:t>
            </w:r>
            <w:r>
              <w:rPr>
                <w:color w:val="000000"/>
                <w:sz w:val="20"/>
                <w:szCs w:val="20"/>
              </w:rPr>
              <w:t>3</w:t>
            </w:r>
          </w:p>
        </w:tc>
      </w:tr>
      <w:tr w:rsidR="00000000">
        <w:trPr>
          <w:divId w:val="990060763"/>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Total cost of operations</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168,35</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166,91</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170,86</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135,78</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641,91</w:t>
            </w:r>
            <w:r>
              <w:rPr>
                <w:color w:val="000000"/>
                <w:sz w:val="20"/>
                <w:szCs w:val="20"/>
              </w:rPr>
              <w:t>8</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162,03</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158,85</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160,54</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129,83</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611,27</w:t>
            </w:r>
            <w:r>
              <w:rPr>
                <w:color w:val="000000"/>
                <w:sz w:val="20"/>
                <w:szCs w:val="20"/>
              </w:rPr>
              <w:t>3</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156,85</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155,23</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156,39</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125,15</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593,63</w:t>
            </w:r>
            <w:r>
              <w:rPr>
                <w:color w:val="000000"/>
                <w:sz w:val="20"/>
                <w:szCs w:val="20"/>
              </w:rPr>
              <w:t>7</w:t>
            </w:r>
          </w:p>
        </w:tc>
      </w:tr>
      <w:tr w:rsidR="00000000">
        <w:trPr>
          <w:divId w:val="990060763"/>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Property taxes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64,94</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65,67</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65,45</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37,38</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233,45</w:t>
            </w:r>
            <w:r>
              <w:rPr>
                <w:color w:val="000000"/>
                <w:sz w:val="20"/>
                <w:szCs w:val="20"/>
              </w:rPr>
              <w:t>3</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61,85</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62,57</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62,37</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36,28</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223,08</w:t>
            </w:r>
            <w:r>
              <w:rPr>
                <w:color w:val="000000"/>
                <w:sz w:val="20"/>
                <w:szCs w:val="20"/>
              </w:rPr>
              <w:t>8</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59,21</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59,57</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59,14</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34,62</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212,56</w:t>
            </w:r>
            <w:r>
              <w:rPr>
                <w:color w:val="000000"/>
                <w:sz w:val="20"/>
                <w:szCs w:val="20"/>
              </w:rPr>
              <w:t>5</w:t>
            </w:r>
          </w:p>
        </w:tc>
      </w:tr>
      <w:tr w:rsidR="00000000">
        <w:trPr>
          <w:divId w:val="990060763"/>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Repairs and maintenance</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13,36</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11,68</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12,78</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12,19</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50,03</w:t>
            </w:r>
            <w:r>
              <w:rPr>
                <w:color w:val="000000"/>
                <w:sz w:val="20"/>
                <w:szCs w:val="20"/>
              </w:rPr>
              <w:t>2</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12,12</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12,08</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11,85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12,42</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48,48</w:t>
            </w:r>
            <w:r>
              <w:rPr>
                <w:color w:val="000000"/>
                <w:sz w:val="20"/>
                <w:szCs w:val="20"/>
              </w:rPr>
              <w:t>8</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12,17</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11,95</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12,00</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12,60</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48,73</w:t>
            </w:r>
            <w:r>
              <w:rPr>
                <w:color w:val="000000"/>
                <w:sz w:val="20"/>
                <w:szCs w:val="20"/>
              </w:rPr>
              <w:t>5</w:t>
            </w:r>
          </w:p>
        </w:tc>
      </w:tr>
      <w:tr w:rsidR="00000000">
        <w:trPr>
          <w:divId w:val="990060763"/>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45"/>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Marketing</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8,75</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12,08</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13,93</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12,85</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47,62</w:t>
            </w:r>
            <w:r>
              <w:rPr>
                <w:color w:val="000000"/>
                <w:sz w:val="20"/>
                <w:szCs w:val="20"/>
              </w:rPr>
              <w:t>2</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6,85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8,09</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8,22</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9,17</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32,34</w:t>
            </w:r>
            <w:r>
              <w:rPr>
                <w:color w:val="000000"/>
                <w:sz w:val="20"/>
                <w:szCs w:val="20"/>
              </w:rPr>
              <w:t>4</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7,17</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8,57</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7,34</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7,15</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30,25</w:t>
            </w:r>
            <w:r>
              <w:rPr>
                <w:color w:val="000000"/>
                <w:sz w:val="20"/>
                <w:szCs w:val="20"/>
              </w:rPr>
              <w:t>1</w:t>
            </w:r>
          </w:p>
        </w:tc>
      </w:tr>
      <w:tr w:rsidR="00000000">
        <w:trPr>
          <w:divId w:val="990060763"/>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REVPAF</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16.0</w:t>
            </w:r>
            <w:r>
              <w:rPr>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16.4</w:t>
            </w:r>
            <w:r>
              <w:rPr>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16.7</w:t>
            </w:r>
            <w:r>
              <w:rPr>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16.4</w:t>
            </w:r>
            <w:r>
              <w:rPr>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16.4</w:t>
            </w:r>
            <w:r>
              <w:rPr>
                <w:sz w:val="20"/>
                <w:szCs w:val="20"/>
              </w:rPr>
              <w:t>5</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15.8</w:t>
            </w:r>
            <w:r>
              <w:rPr>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16.1</w:t>
            </w:r>
            <w:r>
              <w:rPr>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16.6</w:t>
            </w:r>
            <w:r>
              <w:rPr>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1</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15.5</w:t>
            </w:r>
            <w:r>
              <w:rPr>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15.9</w:t>
            </w:r>
            <w:r>
              <w:rPr>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16.4</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16.0</w:t>
            </w:r>
            <w:r>
              <w:rPr>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15.9</w:t>
            </w:r>
            <w:r>
              <w:rPr>
                <w:sz w:val="20"/>
                <w:szCs w:val="20"/>
              </w:rPr>
              <w:t>7</w:t>
            </w:r>
          </w:p>
        </w:tc>
      </w:tr>
      <w:tr w:rsidR="00000000">
        <w:trPr>
          <w:divId w:val="990060763"/>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45"/>
        </w:trPr>
        <w:tc>
          <w:tcPr>
            <w:tcW w:w="0" w:type="pct"/>
            <w:gridSpan w:val="1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Weighted average realized annual rent per occupied square foot</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17.3</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17.8</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17.6</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17.6</w:t>
            </w:r>
            <w:r>
              <w:rPr>
                <w:color w:val="000000"/>
                <w:sz w:val="20"/>
                <w:szCs w:val="20"/>
              </w:rPr>
              <w:t>0</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17.1</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17.2</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17.6</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17.4</w:t>
            </w:r>
            <w:r>
              <w:rPr>
                <w:color w:val="000000"/>
                <w:sz w:val="20"/>
                <w:szCs w:val="20"/>
              </w:rPr>
              <w:t>1</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16.7</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16.8</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17.3</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17.2</w:t>
            </w:r>
            <w:r>
              <w:rPr>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17.0</w:t>
            </w:r>
            <w:r>
              <w:rPr>
                <w:sz w:val="20"/>
                <w:szCs w:val="20"/>
              </w:rPr>
              <w:t>5</w:t>
            </w:r>
          </w:p>
        </w:tc>
      </w:tr>
      <w:tr w:rsidR="00000000">
        <w:trPr>
          <w:divId w:val="990060763"/>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245"/>
        </w:trPr>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Weighted average occupancy levels for the period</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92.5</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94.0</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94.2</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93.1</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93.5</w:t>
            </w:r>
            <w:r>
              <w:rPr>
                <w:color w:val="000000"/>
                <w:sz w:val="20"/>
                <w:szCs w:val="20"/>
              </w:rPr>
              <w:t>%</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92.1</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93.8</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93.8</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92.5</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93.1</w:t>
            </w:r>
            <w:r>
              <w:rPr>
                <w:color w:val="000000"/>
                <w:sz w:val="20"/>
                <w:szCs w:val="20"/>
              </w:rPr>
              <w:t>%</w:t>
            </w:r>
          </w:p>
        </w:tc>
      </w:tr>
      <w:tr w:rsidR="00000000">
        <w:trPr>
          <w:divId w:val="990060763"/>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w:t>
            </w:r>
            <w:r>
              <w:rPr>
                <w:sz w:val="20"/>
                <w:szCs w:val="20"/>
              </w:rPr>
              <w:t>7</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92.9</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94.4</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94.4</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92.8</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93.7</w:t>
            </w:r>
            <w:r>
              <w:rPr>
                <w:sz w:val="20"/>
                <w:szCs w:val="20"/>
              </w:rPr>
              <w:t>%</w:t>
            </w:r>
          </w:p>
        </w:tc>
      </w:tr>
    </w:tbl>
    <w:p w:rsidR="00000000" w:rsidRDefault="00865332">
      <w:pPr>
        <w:pStyle w:val="a3"/>
        <w:spacing w:before="0" w:beforeAutospacing="0" w:after="0" w:afterAutospacing="0" w:line="276" w:lineRule="auto"/>
        <w:divId w:val="990060763"/>
        <w:rPr>
          <w:sz w:val="20"/>
          <w:szCs w:val="20"/>
        </w:rPr>
      </w:pPr>
      <w:r>
        <w:rPr>
          <w:b/>
          <w:bCs/>
          <w:sz w:val="20"/>
          <w:szCs w:val="20"/>
          <w:u w:val="single"/>
        </w:rPr>
        <w:br/>
      </w:r>
      <w:r>
        <w:rPr>
          <w:b/>
          <w:bCs/>
          <w:sz w:val="20"/>
          <w:szCs w:val="20"/>
          <w:u w:val="single"/>
        </w:rPr>
        <w:t>‎</w:t>
      </w:r>
      <w:r>
        <w:rPr>
          <w:sz w:val="20"/>
          <w:szCs w:val="20"/>
        </w:rPr>
        <w:t xml:space="preserve"> </w:t>
      </w:r>
    </w:p>
    <w:p w:rsidR="00000000" w:rsidRDefault="00865332">
      <w:pPr>
        <w:pStyle w:val="a3"/>
        <w:spacing w:before="0" w:beforeAutospacing="0" w:after="0" w:afterAutospacing="0" w:line="259" w:lineRule="auto"/>
        <w:jc w:val="center"/>
        <w:divId w:val="2053309081"/>
        <w:rPr>
          <w:sz w:val="20"/>
          <w:szCs w:val="20"/>
        </w:rPr>
      </w:pPr>
      <w:r>
        <w:rPr>
          <w:rStyle w:val="ctheaderfooterpage"/>
          <w:sz w:val="20"/>
          <w:szCs w:val="20"/>
        </w:rPr>
        <w:t>3</w:t>
      </w:r>
      <w:r>
        <w:rPr>
          <w:rStyle w:val="ctheaderfooterpage"/>
          <w:sz w:val="20"/>
          <w:szCs w:val="20"/>
        </w:rPr>
        <w:t>8</w:t>
      </w:r>
    </w:p>
    <w:p w:rsidR="00000000" w:rsidRDefault="00865332">
      <w:pPr>
        <w:spacing w:before="360" w:after="360"/>
        <w:divId w:val="567960167"/>
        <w:rPr>
          <w:rFonts w:eastAsia="Times New Roman"/>
        </w:rPr>
      </w:pPr>
      <w:r>
        <w:rPr>
          <w:rFonts w:eastAsia="Times New Roman"/>
        </w:rPr>
        <w:pict>
          <v:rect id="_x0000_i1062" style="width:0;height:1.5pt" o:hralign="center" o:hrstd="t" o:hr="t" fillcolor="#a0a0a0" stroked="f"/>
        </w:pict>
      </w:r>
    </w:p>
    <w:p w:rsidR="00000000" w:rsidRDefault="00865332">
      <w:pPr>
        <w:pStyle w:val="a3"/>
        <w:spacing w:before="0" w:beforeAutospacing="0" w:after="0" w:afterAutospacing="0" w:line="259" w:lineRule="auto"/>
        <w:jc w:val="both"/>
        <w:divId w:val="1483079798"/>
        <w:rPr>
          <w:sz w:val="20"/>
          <w:szCs w:val="20"/>
        </w:rPr>
      </w:pPr>
      <w:r>
        <w:rPr>
          <w:b/>
          <w:bCs/>
          <w:sz w:val="20"/>
          <w:szCs w:val="20"/>
          <w:u w:val="single"/>
        </w:rPr>
        <w:t>Analysis of Market Trend</w:t>
      </w:r>
      <w:r>
        <w:rPr>
          <w:b/>
          <w:bCs/>
          <w:sz w:val="20"/>
          <w:szCs w:val="20"/>
          <w:u w:val="single"/>
        </w:rPr>
        <w:t>s</w:t>
      </w:r>
    </w:p>
    <w:p w:rsidR="00000000" w:rsidRDefault="00865332">
      <w:pPr>
        <w:pStyle w:val="a3"/>
        <w:spacing w:before="0" w:beforeAutospacing="0" w:after="0" w:afterAutospacing="0" w:line="259" w:lineRule="auto"/>
        <w:ind w:firstLine="720"/>
        <w:jc w:val="both"/>
        <w:divId w:val="1483079798"/>
        <w:rPr>
          <w:sz w:val="20"/>
          <w:szCs w:val="20"/>
        </w:rPr>
      </w:pPr>
      <w:r>
        <w:rPr>
          <w:sz w:val="20"/>
          <w:szCs w:val="20"/>
        </w:rPr>
        <w:t>The following table sets forth selected market trends in our Same Store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28"/>
        <w:gridCol w:w="119"/>
        <w:gridCol w:w="873"/>
        <w:gridCol w:w="111"/>
        <w:gridCol w:w="119"/>
        <w:gridCol w:w="873"/>
        <w:gridCol w:w="112"/>
        <w:gridCol w:w="650"/>
        <w:gridCol w:w="112"/>
        <w:gridCol w:w="120"/>
        <w:gridCol w:w="873"/>
        <w:gridCol w:w="106"/>
        <w:gridCol w:w="120"/>
        <w:gridCol w:w="873"/>
        <w:gridCol w:w="106"/>
        <w:gridCol w:w="611"/>
      </w:tblGrid>
      <w:tr w:rsidR="00000000">
        <w:trPr>
          <w:divId w:val="1483079798"/>
          <w:trHeight w:val="14"/>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83079798"/>
          <w:trHeight w:val="475"/>
        </w:trPr>
        <w:tc>
          <w:tcPr>
            <w:tcW w:w="0" w:type="pct"/>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b/>
                <w:bCs/>
                <w:sz w:val="20"/>
                <w:szCs w:val="20"/>
              </w:rPr>
              <w:t>Same Store Facilities Operating Trends by Marke</w:t>
            </w:r>
            <w:r>
              <w:rPr>
                <w:b/>
                <w:bCs/>
                <w:sz w:val="20"/>
                <w:szCs w:val="20"/>
              </w:rPr>
              <w:t>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83079798"/>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1483079798"/>
          <w:trHeight w:val="245"/>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1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(Amounts in thousands, except for weighted average data</w:t>
            </w:r>
            <w:r>
              <w:rPr>
                <w:sz w:val="20"/>
                <w:szCs w:val="20"/>
              </w:rPr>
              <w:t>)</w:t>
            </w:r>
          </w:p>
        </w:tc>
      </w:tr>
      <w:tr w:rsidR="00000000">
        <w:trPr>
          <w:divId w:val="1483079798"/>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Market (number of facilities,</w:t>
            </w:r>
            <w:r>
              <w:rPr>
                <w:sz w:val="20"/>
                <w:szCs w:val="20"/>
              </w:rPr>
              <w:t xml:space="preserve"> </w:t>
            </w: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483079798"/>
          <w:trHeight w:val="245"/>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left="115"/>
              <w:rPr>
                <w:sz w:val="20"/>
                <w:szCs w:val="20"/>
              </w:rPr>
            </w:pPr>
            <w:r>
              <w:rPr>
                <w:sz w:val="20"/>
                <w:szCs w:val="20"/>
              </w:rPr>
              <w:t>square footage in millions</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Revenues</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Los Angeles (204, 14.1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362,05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352,67</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352,67</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340,98</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San Francisco (127, 7.9</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203,19</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199,16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199,16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194,61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New York (86, 6.0</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151,52</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148,67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148,67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144,87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Washington DC (88, 5.4</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113,60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110,64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110,64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110,67</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(0.0)</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Seattle-Tacoma (83, 5.5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107,63</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106,26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106,26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104,39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Miami (81, 5.7</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112,73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114,42</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114,42</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113,71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0.6</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Atlanta (98, 6.4</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85,88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84,45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84,45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82,66</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Chicago (128, 8.1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118,29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117,09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117,09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119,85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(2.3)</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Dallas-Ft. Worth (98, 6.2</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82,28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83,15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83,15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85,56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(2.8)</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Orlando-Daytona (69, 4.3</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60,64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59,90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59,90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57,62</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3.9</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Houston (78, 5.3</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67,96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71,26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71,26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70,80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0.7</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Philadelphia (56, 3.5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59,12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56,74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56,74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55,06</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w:t>
            </w:r>
            <w:r>
              <w:rPr>
                <w:sz w:val="20"/>
                <w:szCs w:val="20"/>
              </w:rPr>
              <w:t>%</w:t>
            </w:r>
          </w:p>
        </w:tc>
      </w:tr>
      <w:tr w:rsidR="00000000">
        <w:trPr>
          <w:divId w:val="1483079798"/>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Tampa (50, 3.3</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46,08</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46,37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46,37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45,75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West Palm Beach (37, 2.4</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43,95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43,63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43,63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42,90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w:t>
            </w:r>
            <w:r>
              <w:rPr>
                <w:sz w:val="20"/>
                <w:szCs w:val="20"/>
              </w:rPr>
              <w:t>%</w:t>
            </w:r>
          </w:p>
        </w:tc>
      </w:tr>
      <w:tr w:rsidR="00000000">
        <w:trPr>
          <w:divId w:val="1483079798"/>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Portland (42, 2.2</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40,16</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40,62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40,62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41,09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(1.2)</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All other markets (834, 53.0</w:t>
            </w:r>
            <w:r>
              <w:rPr>
                <w:sz w:val="20"/>
                <w:szCs w:val="20"/>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739,42</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726,21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726,21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718,24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Total revenues</w:t>
            </w:r>
            <w:r>
              <w:rPr>
                <w:sz w:val="20"/>
                <w:szCs w:val="20"/>
              </w:rPr>
              <w:t xml:space="preserve"> </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2,394,57</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2,361,29</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2,361,29</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2,328,83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operating income</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298,72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292,28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292,28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283,33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163,87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162,20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162,20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159,26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107,99</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107,35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107,35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104,81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84,32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82,74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82,74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83,45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(0.8)</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84,31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83,37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83,37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82,63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0.9</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84,26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87,27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87,27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87,22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0.1</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63,63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62,51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62,51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61,09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63,22</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64,90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64,90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70,14</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(7.5)</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56,62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58,46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58,46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61,33</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(4.7)</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44,11</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44,06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44,06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42,46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3.8</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42,38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47,07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47,07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46,47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41,77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40,09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40,09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39,18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32,41</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33,37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33,37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33,04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32,19</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32,39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32,39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31,70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Portlan</w:t>
            </w:r>
            <w:r>
              <w:rPr>
                <w:sz w:val="20"/>
                <w:szCs w:val="20"/>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30,51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31,54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31,54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32,19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(2.0)</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522,27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520,35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520,35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516,83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0.7</w:t>
            </w:r>
            <w:r>
              <w:rPr>
                <w:sz w:val="20"/>
                <w:szCs w:val="20"/>
              </w:rPr>
              <w:t>%</w:t>
            </w:r>
          </w:p>
        </w:tc>
      </w:tr>
      <w:tr w:rsidR="00000000">
        <w:trPr>
          <w:divId w:val="1483079798"/>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Total net operating income</w:t>
            </w:r>
            <w:r>
              <w:rPr>
                <w:sz w:val="20"/>
                <w:szCs w:val="20"/>
              </w:rPr>
              <w:t xml:space="preserve"> </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1,752,65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1,750,02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1,750,02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1,735,19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0.9</w:t>
            </w:r>
            <w:r>
              <w:rPr>
                <w:sz w:val="20"/>
                <w:szCs w:val="20"/>
              </w:rPr>
              <w:t>%</w:t>
            </w:r>
          </w:p>
        </w:tc>
      </w:tr>
    </w:tbl>
    <w:p w:rsidR="00000000" w:rsidRDefault="00865332">
      <w:pPr>
        <w:pStyle w:val="a3"/>
        <w:spacing w:before="0" w:beforeAutospacing="0" w:after="0" w:afterAutospacing="0" w:line="259" w:lineRule="auto"/>
        <w:divId w:val="1483079798"/>
        <w:rPr>
          <w:sz w:val="20"/>
          <w:szCs w:val="20"/>
        </w:rPr>
      </w:pPr>
      <w:r>
        <w:rPr>
          <w:sz w:val="20"/>
          <w:szCs w:val="20"/>
        </w:rPr>
        <w:br/>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1182090142"/>
        <w:rPr>
          <w:sz w:val="20"/>
          <w:szCs w:val="20"/>
        </w:rPr>
      </w:pPr>
      <w:r>
        <w:rPr>
          <w:rStyle w:val="ctheaderfooterpage"/>
          <w:sz w:val="20"/>
          <w:szCs w:val="20"/>
        </w:rPr>
        <w:t>3</w:t>
      </w:r>
      <w:r>
        <w:rPr>
          <w:rStyle w:val="ctheaderfooterpage"/>
          <w:sz w:val="20"/>
          <w:szCs w:val="20"/>
        </w:rPr>
        <w:t>9</w:t>
      </w:r>
    </w:p>
    <w:p w:rsidR="00000000" w:rsidRDefault="00865332">
      <w:pPr>
        <w:spacing w:before="360" w:after="360"/>
        <w:divId w:val="587009940"/>
        <w:rPr>
          <w:rFonts w:eastAsia="Times New Roman"/>
        </w:rPr>
      </w:pPr>
      <w:r>
        <w:rPr>
          <w:rFonts w:eastAsia="Times New Roman"/>
        </w:rPr>
        <w:pict>
          <v:rect id="_x0000_i1063"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39"/>
        <w:gridCol w:w="123"/>
        <w:gridCol w:w="865"/>
        <w:gridCol w:w="115"/>
        <w:gridCol w:w="123"/>
        <w:gridCol w:w="865"/>
        <w:gridCol w:w="115"/>
        <w:gridCol w:w="611"/>
        <w:gridCol w:w="115"/>
        <w:gridCol w:w="123"/>
        <w:gridCol w:w="874"/>
        <w:gridCol w:w="115"/>
        <w:gridCol w:w="123"/>
        <w:gridCol w:w="874"/>
        <w:gridCol w:w="115"/>
        <w:gridCol w:w="611"/>
      </w:tblGrid>
      <w:tr w:rsidR="00000000">
        <w:trPr>
          <w:divId w:val="1458908795"/>
          <w:trHeight w:val="14"/>
        </w:trPr>
        <w:tc>
          <w:tcPr>
            <w:tcW w:w="1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58908795"/>
          <w:trHeight w:val="475"/>
        </w:trPr>
        <w:tc>
          <w:tcPr>
            <w:tcW w:w="0" w:type="pct"/>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458908795"/>
          <w:trHeight w:val="245"/>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sz w:val="20"/>
                <w:szCs w:val="20"/>
              </w:rPr>
              <w:t>Weighted average square foot</w:t>
            </w:r>
            <w:r>
              <w:rPr>
                <w:sz w:val="20"/>
                <w:szCs w:val="20"/>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sz w:val="20"/>
                <w:szCs w:val="20"/>
              </w:rPr>
              <w:t>occupancy</w:t>
            </w:r>
            <w:r>
              <w:rPr>
                <w:sz w:val="20"/>
                <w:szCs w:val="20"/>
              </w:rPr>
              <w:t>:</w:t>
            </w:r>
          </w:p>
        </w:tc>
        <w:tc>
          <w:tcPr>
            <w:tcW w:w="0" w:type="pct"/>
            <w:gridSpan w:val="1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95.2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95.0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95.0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95.5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(0.5)</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95.2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(0.8)</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0.0</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(0.3)</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(1.2)</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(0.7)</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(0.3)</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(1.6)</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95.0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(0.5)</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89.7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95.3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0.3</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(1.2)</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Portlan</w:t>
            </w:r>
            <w:r>
              <w:rPr>
                <w:sz w:val="20"/>
                <w:szCs w:val="20"/>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95.3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(1.4)</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(0.5)</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Total weighted averag</w:t>
            </w:r>
            <w:r>
              <w:rPr>
                <w:sz w:val="20"/>
                <w:szCs w:val="20"/>
              </w:rPr>
              <w:t>e</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58908795"/>
          <w:trHeight w:val="245"/>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(0.6)</w:t>
            </w:r>
            <w:r>
              <w:rPr>
                <w:sz w:val="20"/>
                <w:szCs w:val="20"/>
              </w:rPr>
              <w:t>%</w:t>
            </w:r>
          </w:p>
        </w:tc>
      </w:tr>
      <w:tr w:rsidR="00000000">
        <w:trPr>
          <w:divId w:val="1458908795"/>
          <w:trHeight w:val="202"/>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Realized annual rent per</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sz w:val="20"/>
                <w:szCs w:val="20"/>
              </w:rPr>
              <w:t>occupied square foot</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25.4</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24.4</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21.2</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21.2</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20.6</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20.6</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20.3</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13.4</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(1.5)</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13.6</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(1.2)</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4.4</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13.7</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Portlan</w:t>
            </w:r>
            <w:r>
              <w:rPr>
                <w:sz w:val="20"/>
                <w:szCs w:val="20"/>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18.6</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0.4</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14.0</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14.0</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w:t>
            </w:r>
            <w:r>
              <w:rPr>
                <w:sz w:val="20"/>
                <w:szCs w:val="20"/>
              </w:rPr>
              <w:t>%</w:t>
            </w:r>
          </w:p>
        </w:tc>
      </w:tr>
      <w:tr w:rsidR="00000000">
        <w:trPr>
          <w:divId w:val="145890879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Total realized rent pe</w:t>
            </w:r>
            <w:r>
              <w:rPr>
                <w:sz w:val="20"/>
                <w:szCs w:val="20"/>
              </w:rPr>
              <w:t>r</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58908795"/>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occupied square foo</w:t>
            </w:r>
            <w:r>
              <w:rPr>
                <w:sz w:val="20"/>
                <w:szCs w:val="20"/>
              </w:rPr>
              <w:t>t</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w:t>
            </w:r>
            <w:r>
              <w:rPr>
                <w:sz w:val="20"/>
                <w:szCs w:val="20"/>
              </w:rPr>
              <w:t>%</w:t>
            </w:r>
          </w:p>
        </w:tc>
      </w:tr>
    </w:tbl>
    <w:p w:rsidR="00000000" w:rsidRDefault="00865332">
      <w:pPr>
        <w:pStyle w:val="a3"/>
        <w:spacing w:before="0" w:beforeAutospacing="0" w:after="0" w:afterAutospacing="0" w:line="276" w:lineRule="auto"/>
        <w:divId w:val="1458908795"/>
        <w:rPr>
          <w:sz w:val="20"/>
          <w:szCs w:val="20"/>
        </w:rPr>
      </w:pPr>
      <w:r>
        <w:rPr>
          <w:sz w:val="20"/>
          <w:szCs w:val="20"/>
        </w:rPr>
        <w:br/>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1029187218"/>
        <w:rPr>
          <w:sz w:val="20"/>
          <w:szCs w:val="20"/>
        </w:rPr>
      </w:pPr>
      <w:r>
        <w:rPr>
          <w:rStyle w:val="ctheaderfooterpage"/>
          <w:sz w:val="20"/>
          <w:szCs w:val="20"/>
        </w:rPr>
        <w:t>4</w:t>
      </w:r>
      <w:r>
        <w:rPr>
          <w:rStyle w:val="ctheaderfooterpage"/>
          <w:sz w:val="20"/>
          <w:szCs w:val="20"/>
        </w:rPr>
        <w:t>0</w:t>
      </w:r>
    </w:p>
    <w:p w:rsidR="00000000" w:rsidRDefault="00865332">
      <w:pPr>
        <w:spacing w:before="360" w:after="360"/>
        <w:divId w:val="1338001574"/>
        <w:rPr>
          <w:rFonts w:eastAsia="Times New Roman"/>
        </w:rPr>
      </w:pPr>
      <w:r>
        <w:rPr>
          <w:rFonts w:eastAsia="Times New Roman"/>
        </w:rPr>
        <w:pict>
          <v:rect id="_x0000_i1064"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39"/>
        <w:gridCol w:w="123"/>
        <w:gridCol w:w="865"/>
        <w:gridCol w:w="115"/>
        <w:gridCol w:w="123"/>
        <w:gridCol w:w="865"/>
        <w:gridCol w:w="115"/>
        <w:gridCol w:w="611"/>
        <w:gridCol w:w="115"/>
        <w:gridCol w:w="123"/>
        <w:gridCol w:w="874"/>
        <w:gridCol w:w="115"/>
        <w:gridCol w:w="123"/>
        <w:gridCol w:w="874"/>
        <w:gridCol w:w="115"/>
        <w:gridCol w:w="611"/>
      </w:tblGrid>
      <w:tr w:rsidR="00000000">
        <w:trPr>
          <w:divId w:val="259530341"/>
          <w:trHeight w:val="14"/>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59530341"/>
          <w:trHeight w:val="677"/>
        </w:trPr>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59530341"/>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REVPAF</w:t>
            </w:r>
            <w:r>
              <w:rPr>
                <w:sz w:val="20"/>
                <w:szCs w:val="20"/>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24.8</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3.6</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24.6</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24.6</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0.7</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19.1</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19.1</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0.6</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13.8</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13.8</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(2.5)</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12.6</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12.6</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(2.8)</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12.6</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0.6</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13.0</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Portlan</w:t>
            </w:r>
            <w:r>
              <w:rPr>
                <w:sz w:val="20"/>
                <w:szCs w:val="20"/>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13.2</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13.0</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13.0</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w:t>
            </w:r>
          </w:p>
        </w:tc>
      </w:tr>
      <w:tr w:rsidR="00000000">
        <w:trPr>
          <w:divId w:val="259530341"/>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Total REVPAF</w:t>
            </w:r>
            <w:r>
              <w:rPr>
                <w:sz w:val="20"/>
                <w:szCs w:val="20"/>
              </w:rPr>
              <w:t xml:space="preserve"> </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w:t>
            </w:r>
            <w:r>
              <w:rPr>
                <w:sz w:val="20"/>
                <w:szCs w:val="20"/>
              </w:rPr>
              <w:t>%</w:t>
            </w:r>
          </w:p>
        </w:tc>
      </w:tr>
    </w:tbl>
    <w:p w:rsidR="00000000" w:rsidRDefault="00865332">
      <w:pPr>
        <w:pStyle w:val="a3"/>
        <w:spacing w:before="0" w:beforeAutospacing="0" w:after="0" w:afterAutospacing="0" w:line="259" w:lineRule="auto"/>
        <w:ind w:firstLine="720"/>
        <w:jc w:val="both"/>
        <w:divId w:val="259530341"/>
        <w:rPr>
          <w:sz w:val="20"/>
          <w:szCs w:val="20"/>
        </w:rPr>
      </w:pPr>
      <w:r>
        <w:rPr>
          <w:sz w:val="20"/>
          <w:szCs w:val="20"/>
        </w:rPr>
        <w:t>We believe that our geographic diversification and scale across substantially all major metropolitan markets in the U.S. pr</w:t>
      </w:r>
      <w:r>
        <w:rPr>
          <w:sz w:val="20"/>
          <w:szCs w:val="20"/>
        </w:rPr>
        <w:t>ovides some insulation from localized economic effects and enhances the stability of our cash flows. It is difficult to predict localized trends in short-term self-storage demand and operating results. Over the long run, we believe that markets that experi</w:t>
      </w:r>
      <w:r>
        <w:rPr>
          <w:sz w:val="20"/>
          <w:szCs w:val="20"/>
        </w:rPr>
        <w:t>ence population growth, high employment, and otherwise exhibit economic strength and consistency will outperform markets that do not exhibit these characteristics</w:t>
      </w:r>
      <w:r>
        <w:rPr>
          <w:sz w:val="20"/>
          <w:szCs w:val="20"/>
        </w:rPr>
        <w:t>.</w:t>
      </w:r>
    </w:p>
    <w:p w:rsidR="00000000" w:rsidRDefault="00865332">
      <w:pPr>
        <w:pStyle w:val="a3"/>
        <w:spacing w:before="0" w:beforeAutospacing="0" w:after="0" w:afterAutospacing="0" w:line="259" w:lineRule="auto"/>
        <w:ind w:firstLine="720"/>
        <w:jc w:val="both"/>
        <w:divId w:val="259530341"/>
        <w:rPr>
          <w:sz w:val="20"/>
          <w:szCs w:val="20"/>
        </w:rPr>
      </w:pPr>
      <w:r>
        <w:rPr>
          <w:b/>
          <w:bCs/>
          <w:i/>
          <w:iCs/>
          <w:sz w:val="20"/>
          <w:szCs w:val="20"/>
          <w:u w:val="single"/>
        </w:rPr>
        <w:t>Acquired Facilitie</w:t>
      </w:r>
      <w:r>
        <w:rPr>
          <w:b/>
          <w:bCs/>
          <w:i/>
          <w:iCs/>
          <w:sz w:val="20"/>
          <w:szCs w:val="20"/>
          <w:u w:val="single"/>
        </w:rPr>
        <w:t>s</w:t>
      </w:r>
    </w:p>
    <w:p w:rsidR="00000000" w:rsidRDefault="00865332">
      <w:pPr>
        <w:pStyle w:val="a3"/>
        <w:spacing w:before="0" w:beforeAutospacing="0" w:after="0" w:afterAutospacing="0" w:line="259" w:lineRule="auto"/>
        <w:ind w:firstLine="720"/>
        <w:jc w:val="both"/>
        <w:divId w:val="259530341"/>
        <w:rPr>
          <w:sz w:val="20"/>
          <w:szCs w:val="20"/>
        </w:rPr>
      </w:pPr>
      <w:r>
        <w:rPr>
          <w:sz w:val="20"/>
          <w:szCs w:val="20"/>
        </w:rPr>
        <w:t>The Acquired Facilities represent 103 facilities that we acquired in 201</w:t>
      </w:r>
      <w:r>
        <w:rPr>
          <w:sz w:val="20"/>
          <w:szCs w:val="20"/>
        </w:rPr>
        <w:t>7, 2018, and 2019. As a result of the stabilization process and timing of when these facilities were acquired, year-over-year changes can be significant</w:t>
      </w:r>
      <w:r>
        <w:rPr>
          <w:sz w:val="20"/>
          <w:szCs w:val="20"/>
        </w:rPr>
        <w:t>.</w:t>
      </w:r>
    </w:p>
    <w:p w:rsidR="00000000" w:rsidRDefault="00865332">
      <w:pPr>
        <w:pStyle w:val="a3"/>
        <w:spacing w:before="0" w:beforeAutospacing="0" w:after="0" w:afterAutospacing="0" w:line="259" w:lineRule="auto"/>
        <w:ind w:firstLine="720"/>
        <w:jc w:val="both"/>
        <w:divId w:val="259530341"/>
        <w:rPr>
          <w:sz w:val="20"/>
          <w:szCs w:val="20"/>
        </w:rPr>
      </w:pPr>
      <w:r>
        <w:rPr>
          <w:sz w:val="20"/>
          <w:szCs w:val="20"/>
        </w:rPr>
        <w:t>The following table summarizes operating data with respect to the Acquired Facilities</w:t>
      </w:r>
      <w:r>
        <w:rPr>
          <w:sz w:val="20"/>
          <w:szCs w:val="20"/>
        </w:rPr>
        <w:t>:</w:t>
      </w:r>
      <w:r>
        <w:rPr>
          <w:sz w:val="20"/>
          <w:szCs w:val="20"/>
        </w:rPr>
        <w:br/>
      </w:r>
      <w:r>
        <w:rPr>
          <w:sz w:val="20"/>
          <w:szCs w:val="20"/>
        </w:rPr>
        <w:t>‎</w:t>
      </w:r>
    </w:p>
    <w:p w:rsidR="00000000" w:rsidRDefault="00865332">
      <w:pPr>
        <w:pStyle w:val="a3"/>
        <w:spacing w:before="0" w:beforeAutospacing="0" w:after="0" w:afterAutospacing="0" w:line="259" w:lineRule="auto"/>
        <w:jc w:val="center"/>
        <w:divId w:val="518129954"/>
        <w:rPr>
          <w:sz w:val="20"/>
          <w:szCs w:val="20"/>
        </w:rPr>
      </w:pPr>
      <w:r>
        <w:rPr>
          <w:rStyle w:val="ctheaderfooterpage"/>
          <w:sz w:val="20"/>
          <w:szCs w:val="20"/>
        </w:rPr>
        <w:t>4</w:t>
      </w:r>
      <w:r>
        <w:rPr>
          <w:rStyle w:val="ctheaderfooterpage"/>
          <w:sz w:val="20"/>
          <w:szCs w:val="20"/>
        </w:rPr>
        <w:t>1</w:t>
      </w:r>
    </w:p>
    <w:p w:rsidR="00000000" w:rsidRDefault="00865332">
      <w:pPr>
        <w:spacing w:before="360" w:after="360"/>
        <w:divId w:val="1529176548"/>
        <w:rPr>
          <w:rFonts w:eastAsia="Times New Roman"/>
        </w:rPr>
      </w:pPr>
      <w:r>
        <w:rPr>
          <w:rFonts w:eastAsia="Times New Roman"/>
        </w:rPr>
        <w:pict>
          <v:rect id="_x0000_i1065"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29"/>
        <w:gridCol w:w="108"/>
        <w:gridCol w:w="932"/>
        <w:gridCol w:w="100"/>
        <w:gridCol w:w="108"/>
        <w:gridCol w:w="716"/>
        <w:gridCol w:w="100"/>
        <w:gridCol w:w="108"/>
        <w:gridCol w:w="708"/>
        <w:gridCol w:w="75"/>
        <w:gridCol w:w="108"/>
        <w:gridCol w:w="758"/>
        <w:gridCol w:w="100"/>
        <w:gridCol w:w="108"/>
        <w:gridCol w:w="758"/>
        <w:gridCol w:w="100"/>
        <w:gridCol w:w="108"/>
        <w:gridCol w:w="782"/>
      </w:tblGrid>
      <w:tr w:rsidR="00000000">
        <w:trPr>
          <w:divId w:val="1777289939"/>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ACQUIRED FACILITIES</w:t>
            </w:r>
            <w:r>
              <w:rPr>
                <w:b/>
                <w:bCs/>
                <w:sz w:val="20"/>
                <w:szCs w:val="20"/>
              </w:rPr>
              <w:t xml:space="preserve"> </w:t>
            </w: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Change (a</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30,47</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28,70</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1,76</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28,70</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5,57</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23,12</w:t>
            </w:r>
            <w:r>
              <w:rPr>
                <w:sz w:val="20"/>
                <w:szCs w:val="20"/>
              </w:rPr>
              <w:t>7</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16,02</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5,16</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10,86</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5,16</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5,16</w:t>
            </w:r>
            <w:r>
              <w:rPr>
                <w:sz w:val="20"/>
                <w:szCs w:val="20"/>
              </w:rPr>
              <w:t>7</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12,70</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12,70</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59,20</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33,87</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25,33</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33,87</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5,57</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28,29</w:t>
            </w:r>
            <w:r>
              <w:rPr>
                <w:sz w:val="20"/>
                <w:szCs w:val="20"/>
              </w:rPr>
              <w:t>4</w:t>
            </w:r>
          </w:p>
        </w:tc>
      </w:tr>
      <w:tr w:rsidR="00000000">
        <w:trPr>
          <w:divId w:val="1777289939"/>
          <w:trHeight w:val="101"/>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10,20</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9,66</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53</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9,66</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2,00</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7,66</w:t>
            </w:r>
            <w:r>
              <w:rPr>
                <w:sz w:val="20"/>
                <w:szCs w:val="20"/>
              </w:rPr>
              <w:t>3</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7,19</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5,05</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2,14</w:t>
            </w:r>
            <w:r>
              <w:rPr>
                <w:sz w:val="20"/>
                <w:szCs w:val="20"/>
              </w:rPr>
              <w:t>1</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5,07</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5,07</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22,47</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11,81</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10,66</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11,81</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2,00</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9,80</w:t>
            </w:r>
            <w:r>
              <w:rPr>
                <w:sz w:val="20"/>
                <w:szCs w:val="20"/>
              </w:rPr>
              <w:t>4</w:t>
            </w:r>
          </w:p>
        </w:tc>
      </w:tr>
      <w:tr w:rsidR="00000000">
        <w:trPr>
          <w:divId w:val="1777289939"/>
          <w:trHeight w:val="101"/>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Net operating income</w:t>
            </w:r>
            <w:r>
              <w:rPr>
                <w:b/>
                <w:bCs/>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20,27</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19,03</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1,23</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19,03</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3,57</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15,46</w:t>
            </w:r>
            <w:r>
              <w:rPr>
                <w:sz w:val="20"/>
                <w:szCs w:val="20"/>
              </w:rPr>
              <w:t>4</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8,83</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3,02</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5,80</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3,02</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3,02</w:t>
            </w:r>
            <w:r>
              <w:rPr>
                <w:sz w:val="20"/>
                <w:szCs w:val="20"/>
              </w:rPr>
              <w:t>6</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7,63</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7,63</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36,73</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22,06</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14,67</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22,06</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3,57</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18,49</w:t>
            </w:r>
            <w:r>
              <w:rPr>
                <w:sz w:val="20"/>
                <w:szCs w:val="20"/>
              </w:rPr>
              <w:t>0</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Depreciation an</w:t>
            </w:r>
            <w:r>
              <w:rPr>
                <w:sz w:val="20"/>
                <w:szCs w:val="20"/>
              </w:rPr>
              <w:t>d</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(34,980</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(23,809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(11,171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(23,809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(5,668</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(18,141</w:t>
            </w: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Net income (loss</w:t>
            </w:r>
            <w:r>
              <w:rPr>
                <w:sz w:val="20"/>
                <w:szCs w:val="20"/>
              </w:rPr>
              <w:t>)</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1,75</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(1,748</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3,50</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(1,748</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(2,097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w:t>
            </w:r>
            <w:r>
              <w:rPr>
                <w:sz w:val="20"/>
                <w:szCs w:val="20"/>
              </w:rPr>
              <w:t>9</w:t>
            </w:r>
          </w:p>
        </w:tc>
      </w:tr>
      <w:tr w:rsidR="00000000">
        <w:trPr>
          <w:divId w:val="1777289939"/>
          <w:trHeight w:val="101"/>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u w:val="single"/>
              </w:rPr>
              <w:t>At December 31</w:t>
            </w:r>
            <w:r>
              <w:rPr>
                <w:sz w:val="20"/>
                <w:szCs w:val="20"/>
                <w:u w:val="single"/>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89.4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(1.7)</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87.2</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w:t>
            </w: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82.6</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79.6</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3.8</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79.6</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ascii="Calibri" w:hAnsi="Calibri" w:cs="Calibri"/>
                <w:sz w:val="22"/>
                <w:szCs w:val="22"/>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73.6</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ascii="Calibri" w:hAnsi="Calibri" w:cs="Calibri"/>
                <w:sz w:val="22"/>
                <w:szCs w:val="22"/>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ascii="Calibri" w:hAnsi="Calibri" w:cs="Calibri"/>
                <w:sz w:val="22"/>
                <w:szCs w:val="22"/>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ascii="Calibri" w:hAnsi="Calibri" w:cs="Calibri"/>
                <w:sz w:val="22"/>
                <w:szCs w:val="22"/>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80.7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85.9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(6.1)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85.9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87.2</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(1.5)</w:t>
            </w:r>
            <w:r>
              <w:rPr>
                <w:sz w:val="20"/>
                <w:szCs w:val="20"/>
              </w:rPr>
              <w:t>%</w:t>
            </w:r>
          </w:p>
        </w:tc>
      </w:tr>
      <w:tr w:rsidR="00000000">
        <w:trPr>
          <w:divId w:val="1777289939"/>
          <w:trHeight w:val="302"/>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Annual contract rent pe</w:t>
            </w:r>
            <w:r>
              <w:rPr>
                <w:sz w:val="20"/>
                <w:szCs w:val="20"/>
              </w:rPr>
              <w:t>r</w:t>
            </w: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occupied square foot</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15.4</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14.8</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14.8</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14.6</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11.9</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11.1</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7.9</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11.1</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12.2</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13.3</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13.3</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13.3</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14.6</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(8.8)</w:t>
            </w:r>
            <w:r>
              <w:rPr>
                <w:sz w:val="20"/>
                <w:szCs w:val="20"/>
              </w:rPr>
              <w:t>%</w:t>
            </w:r>
          </w:p>
        </w:tc>
      </w:tr>
      <w:tr w:rsidR="00000000">
        <w:trPr>
          <w:divId w:val="1777289939"/>
          <w:trHeight w:val="302"/>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5</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5</w:t>
            </w:r>
          </w:p>
        </w:tc>
      </w:tr>
      <w:tr w:rsidR="00000000">
        <w:trPr>
          <w:divId w:val="1777289939"/>
          <w:trHeight w:val="259"/>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rentable square feet (in thousands)</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2,20</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2,11</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2,11</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2,11</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9</w:t>
            </w:r>
          </w:p>
        </w:tc>
      </w:tr>
      <w:tr w:rsidR="00000000">
        <w:trPr>
          <w:divId w:val="1777289939"/>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3,13</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3,13</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77289939"/>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6,96</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3,74</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3,22</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3,74</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2,11</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9</w:t>
            </w:r>
          </w:p>
        </w:tc>
      </w:tr>
    </w:tbl>
    <w:p w:rsidR="00000000" w:rsidRDefault="00865332">
      <w:pPr>
        <w:divId w:val="1777289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537"/>
        <w:gridCol w:w="108"/>
        <w:gridCol w:w="932"/>
        <w:gridCol w:w="100"/>
        <w:gridCol w:w="108"/>
        <w:gridCol w:w="724"/>
        <w:gridCol w:w="100"/>
        <w:gridCol w:w="108"/>
        <w:gridCol w:w="716"/>
        <w:gridCol w:w="75"/>
        <w:gridCol w:w="108"/>
        <w:gridCol w:w="758"/>
        <w:gridCol w:w="100"/>
        <w:gridCol w:w="108"/>
        <w:gridCol w:w="758"/>
        <w:gridCol w:w="100"/>
        <w:gridCol w:w="108"/>
        <w:gridCol w:w="758"/>
      </w:tblGrid>
      <w:tr w:rsidR="00000000">
        <w:trPr>
          <w:divId w:val="1777289939"/>
          <w:trHeight w:val="14"/>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326786125"/>
        <w:rPr>
          <w:sz w:val="20"/>
          <w:szCs w:val="20"/>
        </w:rPr>
      </w:pPr>
      <w:r>
        <w:rPr>
          <w:rStyle w:val="ctheaderfooterpage"/>
          <w:sz w:val="20"/>
          <w:szCs w:val="20"/>
        </w:rPr>
        <w:t>4</w:t>
      </w:r>
      <w:r>
        <w:rPr>
          <w:rStyle w:val="ctheaderfooterpage"/>
          <w:sz w:val="20"/>
          <w:szCs w:val="20"/>
        </w:rPr>
        <w:t>2</w:t>
      </w:r>
    </w:p>
    <w:p w:rsidR="00000000" w:rsidRDefault="00865332">
      <w:pPr>
        <w:spacing w:before="360" w:after="360"/>
        <w:divId w:val="608855224"/>
        <w:rPr>
          <w:rFonts w:eastAsia="Times New Roman"/>
        </w:rPr>
      </w:pPr>
      <w:r>
        <w:rPr>
          <w:rFonts w:eastAsia="Times New Roman"/>
        </w:rPr>
        <w:pict>
          <v:rect id="_x0000_i1066"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37"/>
        <w:gridCol w:w="108"/>
        <w:gridCol w:w="932"/>
        <w:gridCol w:w="100"/>
        <w:gridCol w:w="108"/>
        <w:gridCol w:w="724"/>
        <w:gridCol w:w="100"/>
        <w:gridCol w:w="108"/>
        <w:gridCol w:w="716"/>
        <w:gridCol w:w="75"/>
        <w:gridCol w:w="108"/>
        <w:gridCol w:w="758"/>
        <w:gridCol w:w="100"/>
        <w:gridCol w:w="108"/>
        <w:gridCol w:w="758"/>
        <w:gridCol w:w="100"/>
        <w:gridCol w:w="108"/>
        <w:gridCol w:w="758"/>
      </w:tblGrid>
      <w:tr w:rsidR="00000000">
        <w:trPr>
          <w:divId w:val="1042482662"/>
          <w:trHeight w:val="749"/>
        </w:trPr>
        <w:tc>
          <w:tcPr>
            <w:tcW w:w="152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b/>
                <w:bCs/>
                <w:sz w:val="20"/>
                <w:szCs w:val="20"/>
              </w:rPr>
              <w:t>ACQUIRED FACILITIES (Continued</w:t>
            </w:r>
            <w:r>
              <w:rPr>
                <w:b/>
                <w:bCs/>
                <w:sz w:val="20"/>
                <w:szCs w:val="20"/>
              </w:rPr>
              <w:t>)</w:t>
            </w: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December 31</w:t>
            </w:r>
            <w:r>
              <w:rPr>
                <w:sz w:val="20"/>
                <w:szCs w:val="20"/>
              </w:rPr>
              <w:t>,</w:t>
            </w:r>
            <w:r>
              <w:rPr>
                <w:sz w:val="20"/>
                <w:szCs w:val="20"/>
              </w:rPr>
              <w:br/>
            </w:r>
            <w:r>
              <w:rPr>
                <w:sz w:val="20"/>
                <w:szCs w:val="20"/>
              </w:rPr>
              <w:t>‎</w:t>
            </w:r>
            <w:r>
              <w:rPr>
                <w:sz w:val="20"/>
                <w:szCs w:val="20"/>
              </w:rPr>
              <w:t>201</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2482662"/>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Costs to acquire (in thousands)</w:t>
            </w:r>
            <w:r>
              <w:rPr>
                <w:sz w:val="20"/>
                <w:szCs w:val="20"/>
              </w:rPr>
              <w:t>:</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2482662"/>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2017 Acquisitions (c</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291,32</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2482662"/>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181,02</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2482662"/>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429,85</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2482662"/>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902,19</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ind w:left="1080" w:hanging="360"/>
        <w:jc w:val="both"/>
        <w:divId w:val="1042482662"/>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w:t>
      </w:r>
    </w:p>
    <w:p w:rsidR="00000000" w:rsidRDefault="00865332">
      <w:pPr>
        <w:pStyle w:val="a3"/>
        <w:spacing w:before="0" w:beforeAutospacing="0" w:after="0" w:afterAutospacing="0" w:line="259" w:lineRule="auto"/>
        <w:ind w:left="1080" w:hanging="360"/>
        <w:jc w:val="both"/>
        <w:divId w:val="1042482662"/>
        <w:rPr>
          <w:sz w:val="18"/>
          <w:szCs w:val="18"/>
        </w:rPr>
      </w:pPr>
      <w:r>
        <w:rPr>
          <w:sz w:val="18"/>
          <w:szCs w:val="18"/>
        </w:rPr>
        <w:t>(b</w:t>
      </w:r>
      <w:r>
        <w:rPr>
          <w:sz w:val="18"/>
          <w:szCs w:val="18"/>
        </w:rPr>
        <w:t>)</w:t>
      </w:r>
      <w:r>
        <w:rPr>
          <w:sz w:val="18"/>
          <w:szCs w:val="18"/>
        </w:rPr>
        <w:t>Revenues and cost of operations do not inclu</w:t>
      </w:r>
      <w:r>
        <w:rPr>
          <w:sz w:val="18"/>
          <w:szCs w:val="18"/>
        </w:rPr>
        <w:t>de tenant reinsurance and merchandise sale revenues and expenses generated at the facilities. See “Ancillary Operations” below for more information</w:t>
      </w:r>
      <w:r>
        <w:rPr>
          <w:sz w:val="18"/>
          <w:szCs w:val="18"/>
        </w:rPr>
        <w:t>.</w:t>
      </w:r>
    </w:p>
    <w:p w:rsidR="00000000" w:rsidRDefault="00865332">
      <w:pPr>
        <w:pStyle w:val="a3"/>
        <w:spacing w:before="0" w:beforeAutospacing="0" w:after="0" w:afterAutospacing="0" w:line="259" w:lineRule="auto"/>
        <w:ind w:left="1080" w:hanging="360"/>
        <w:jc w:val="both"/>
        <w:divId w:val="1042482662"/>
        <w:rPr>
          <w:sz w:val="18"/>
          <w:szCs w:val="18"/>
        </w:rPr>
      </w:pPr>
      <w:r>
        <w:rPr>
          <w:sz w:val="18"/>
          <w:szCs w:val="18"/>
        </w:rPr>
        <w:t>(c</w:t>
      </w:r>
      <w:r>
        <w:rPr>
          <w:sz w:val="18"/>
          <w:szCs w:val="18"/>
        </w:rPr>
        <w:t>)</w:t>
      </w:r>
      <w:r>
        <w:rPr>
          <w:sz w:val="18"/>
          <w:szCs w:val="18"/>
        </w:rPr>
        <w:t>Acquisition costs includes i) $149.8 million paid for 22 facilities acquired from third parties, ii) $13</w:t>
      </w:r>
      <w:r>
        <w:rPr>
          <w:sz w:val="18"/>
          <w:szCs w:val="18"/>
        </w:rPr>
        <w:t>5.5 million cash paid for the remaining 74.25% interest we did not own in 12 stabilized properties owned by a legacy institutional partnership and iii) the $6.3 million historical book value of our existing investment in the legacy institutional partnershi</w:t>
      </w:r>
      <w:r>
        <w:rPr>
          <w:sz w:val="18"/>
          <w:szCs w:val="18"/>
        </w:rPr>
        <w:t>p</w:t>
      </w:r>
      <w:r>
        <w:rPr>
          <w:sz w:val="18"/>
          <w:szCs w:val="18"/>
        </w:rPr>
        <w:t>.</w:t>
      </w:r>
    </w:p>
    <w:p w:rsidR="00000000" w:rsidRDefault="00865332">
      <w:pPr>
        <w:pStyle w:val="a3"/>
        <w:spacing w:before="0" w:beforeAutospacing="0" w:after="0" w:afterAutospacing="0" w:line="259" w:lineRule="auto"/>
        <w:ind w:firstLine="720"/>
        <w:jc w:val="both"/>
        <w:divId w:val="1042482662"/>
        <w:rPr>
          <w:sz w:val="20"/>
          <w:szCs w:val="20"/>
        </w:rPr>
      </w:pPr>
      <w:r>
        <w:rPr>
          <w:sz w:val="20"/>
          <w:szCs w:val="20"/>
        </w:rPr>
        <w:t xml:space="preserve">We believe that our economies of scale in marketing and operations allows us to generate higher net operating income from newly acquired facilities than was achieved by the previous owners. </w:t>
      </w:r>
      <w:r>
        <w:rPr>
          <w:sz w:val="20"/>
          <w:szCs w:val="20"/>
        </w:rPr>
        <w:t xml:space="preserve">However, it can take 24 or more months for us to fully achieve the higher net operating income and the ultimate levels of net operating income to be achieved can be affected by changes in general economic conditions. As a result, there can be no assurance </w:t>
      </w:r>
      <w:r>
        <w:rPr>
          <w:sz w:val="20"/>
          <w:szCs w:val="20"/>
        </w:rPr>
        <w:t>that we will achieve our expectations with respect to these newly acquired facilities.</w:t>
      </w:r>
      <w:r>
        <w:rPr>
          <w:sz w:val="20"/>
          <w:szCs w:val="20"/>
        </w:rPr>
        <w:t xml:space="preserve"> </w:t>
      </w:r>
    </w:p>
    <w:p w:rsidR="00000000" w:rsidRDefault="00865332">
      <w:pPr>
        <w:pStyle w:val="a3"/>
        <w:spacing w:before="0" w:beforeAutospacing="0" w:after="0" w:afterAutospacing="0" w:line="259" w:lineRule="auto"/>
        <w:ind w:firstLine="720"/>
        <w:jc w:val="both"/>
        <w:divId w:val="1042482662"/>
        <w:rPr>
          <w:sz w:val="20"/>
          <w:szCs w:val="20"/>
        </w:rPr>
      </w:pPr>
      <w:r>
        <w:rPr>
          <w:sz w:val="20"/>
          <w:szCs w:val="20"/>
        </w:rPr>
        <w:t>The facilities included above under “2017 acquisitions,” “2018 acquisitions,” and “2019 acquisitions” have an aggregate of approximately 7.0 million net rentable square</w:t>
      </w:r>
      <w:r>
        <w:rPr>
          <w:sz w:val="20"/>
          <w:szCs w:val="20"/>
        </w:rPr>
        <w:t xml:space="preserve"> feet, including 0.9 million in Texas, 0.8 million in Virginia, 0.6 million in each of Florida and Minnesota, 0.4 million in each of Georgia, Indiana, North Carolina and South Carolina, 0.3 million in each of Nebraska and Ohio, 0.2 million in each of Calif</w:t>
      </w:r>
      <w:r>
        <w:rPr>
          <w:sz w:val="20"/>
          <w:szCs w:val="20"/>
        </w:rPr>
        <w:t>ornia, Kentucky, Massachusetts, New York, Tennessee and Washington, and 0.7 million in other states</w:t>
      </w:r>
      <w:r>
        <w:rPr>
          <w:sz w:val="20"/>
          <w:szCs w:val="20"/>
        </w:rPr>
        <w:t>.</w:t>
      </w:r>
    </w:p>
    <w:p w:rsidR="00000000" w:rsidRDefault="00865332">
      <w:pPr>
        <w:pStyle w:val="a3"/>
        <w:spacing w:before="0" w:beforeAutospacing="0" w:after="0" w:afterAutospacing="0" w:line="259" w:lineRule="auto"/>
        <w:ind w:firstLine="720"/>
        <w:jc w:val="both"/>
        <w:divId w:val="1042482662"/>
        <w:rPr>
          <w:sz w:val="20"/>
          <w:szCs w:val="20"/>
        </w:rPr>
      </w:pPr>
      <w:r>
        <w:rPr>
          <w:sz w:val="20"/>
          <w:szCs w:val="20"/>
        </w:rPr>
        <w:t>For 2019, the weighted average annualized yield on cost, based upon net operating income, for (i) the 22 facilities acquired in 2017 from third parties was</w:t>
      </w:r>
      <w:r>
        <w:rPr>
          <w:sz w:val="20"/>
          <w:szCs w:val="20"/>
        </w:rPr>
        <w:t xml:space="preserve"> 6.1%, (ii) the 12 stabilized facilities owned by a legacy institutional partnership, with respect to the 74.25% interest we acquired was 6.1%, and (iii) the 25 properties acquired in 2018 was 4.9%. The yield for the facilities acquired in 2019 is not mean</w:t>
      </w:r>
      <w:r>
        <w:rPr>
          <w:sz w:val="20"/>
          <w:szCs w:val="20"/>
        </w:rPr>
        <w:t>ingful due to our limited ownership period.</w:t>
      </w:r>
      <w:r>
        <w:rPr>
          <w:sz w:val="20"/>
          <w:szCs w:val="20"/>
        </w:rPr>
        <w:t xml:space="preserve"> </w:t>
      </w:r>
    </w:p>
    <w:p w:rsidR="00000000" w:rsidRDefault="00865332">
      <w:pPr>
        <w:pStyle w:val="a3"/>
        <w:spacing w:before="0" w:beforeAutospacing="0" w:after="0" w:afterAutospacing="0" w:line="259" w:lineRule="auto"/>
        <w:ind w:firstLine="720"/>
        <w:jc w:val="both"/>
        <w:divId w:val="1042482662"/>
        <w:rPr>
          <w:sz w:val="20"/>
          <w:szCs w:val="20"/>
        </w:rPr>
      </w:pPr>
      <w:r>
        <w:rPr>
          <w:sz w:val="20"/>
          <w:szCs w:val="20"/>
        </w:rPr>
        <w:t>Subsequent to December 31, 2019, we acquired or were under contract to acquire 14 self-storage facilities (four in Ohio, three in California, two each in New York and Tennessee and one each i</w:t>
      </w:r>
      <w:r>
        <w:rPr>
          <w:sz w:val="20"/>
          <w:szCs w:val="20"/>
        </w:rPr>
        <w:t>n</w:t>
      </w:r>
      <w:r>
        <w:rPr>
          <w:sz w:val="20"/>
          <w:szCs w:val="20"/>
        </w:rPr>
        <w:t xml:space="preserve"> Indian</w:t>
      </w:r>
      <w:r>
        <w:rPr>
          <w:sz w:val="20"/>
          <w:szCs w:val="20"/>
        </w:rPr>
        <w:t>a</w:t>
      </w:r>
      <w:r>
        <w:rPr>
          <w:sz w:val="20"/>
          <w:szCs w:val="20"/>
        </w:rPr>
        <w:t>, Massachusetts, and Nebraska) with 1.1 million net rent</w:t>
      </w:r>
      <w:r>
        <w:rPr>
          <w:sz w:val="20"/>
          <w:szCs w:val="20"/>
        </w:rPr>
        <w:t>able square feet, for $245.3 million</w:t>
      </w:r>
      <w:r>
        <w:rPr>
          <w:sz w:val="20"/>
          <w:szCs w:val="20"/>
        </w:rPr>
        <w:t>.</w:t>
      </w:r>
    </w:p>
    <w:p w:rsidR="00000000" w:rsidRDefault="00865332">
      <w:pPr>
        <w:pStyle w:val="a3"/>
        <w:spacing w:before="0" w:beforeAutospacing="0" w:after="0" w:afterAutospacing="0" w:line="259" w:lineRule="auto"/>
        <w:jc w:val="both"/>
        <w:divId w:val="1042482662"/>
        <w:rPr>
          <w:sz w:val="20"/>
          <w:szCs w:val="20"/>
        </w:rPr>
      </w:pPr>
      <w:r>
        <w:rPr>
          <w:i/>
          <w:iCs/>
          <w:sz w:val="20"/>
          <w:szCs w:val="20"/>
          <w:u w:val="single"/>
        </w:rPr>
        <w:t>Analysis of Depreciation and Amortization of Acquired Facilities</w:t>
      </w:r>
      <w:r>
        <w:rPr>
          <w:i/>
          <w:iCs/>
          <w:sz w:val="20"/>
          <w:szCs w:val="20"/>
          <w:u w:val="single"/>
        </w:rPr>
        <w:t xml:space="preserve"> </w:t>
      </w:r>
    </w:p>
    <w:p w:rsidR="00000000" w:rsidRDefault="00865332">
      <w:pPr>
        <w:pStyle w:val="a3"/>
        <w:spacing w:before="0" w:beforeAutospacing="0" w:after="0" w:afterAutospacing="0" w:line="259" w:lineRule="auto"/>
        <w:ind w:firstLine="720"/>
        <w:jc w:val="both"/>
        <w:divId w:val="1042482662"/>
        <w:rPr>
          <w:sz w:val="20"/>
          <w:szCs w:val="20"/>
        </w:rPr>
      </w:pPr>
      <w:r>
        <w:rPr>
          <w:sz w:val="20"/>
          <w:szCs w:val="20"/>
        </w:rPr>
        <w:t>Depreciation and amortization with respect to the Acquired Facilities totaled $35.0 million, $23.8 million and $5.7 million for 2019, 2018, and 2017, re</w:t>
      </w:r>
      <w:r>
        <w:rPr>
          <w:sz w:val="20"/>
          <w:szCs w:val="20"/>
        </w:rPr>
        <w:t xml:space="preserve">spectively. These amounts include (i) depreciation of the acquired buildings, which is recorded generally on a straight line basis over a 25 year period, and (ii) amortization of cost allocated to the tenants in place upon acquisition of a facility, which </w:t>
      </w:r>
      <w:r>
        <w:rPr>
          <w:sz w:val="20"/>
          <w:szCs w:val="20"/>
        </w:rPr>
        <w:t>is recorded based upon the benefit of such existing tenants to each period and thus is highest when the facility is first acquired and declines as such tenants vacate. With respect to the Acquired Facilities owned at December 31, 2019, depreciation of buil</w:t>
      </w:r>
      <w:r>
        <w:rPr>
          <w:sz w:val="20"/>
          <w:szCs w:val="20"/>
        </w:rPr>
        <w:t>dings and amortization of tenant intangibles is expected to aggregate approximately $36.2 million in the year ending December 31, 2020. There will be additional depreciation and amortization of tenant intangibles with respect to new buildings that are acqu</w:t>
      </w:r>
      <w:r>
        <w:rPr>
          <w:sz w:val="20"/>
          <w:szCs w:val="20"/>
        </w:rPr>
        <w:t>ired in 2020.</w:t>
      </w:r>
      <w:r>
        <w:rPr>
          <w:sz w:val="20"/>
          <w:szCs w:val="20"/>
        </w:rPr>
        <w:t xml:space="preserve"> </w:t>
      </w:r>
    </w:p>
    <w:p w:rsidR="00000000" w:rsidRDefault="00865332">
      <w:pPr>
        <w:pStyle w:val="a3"/>
        <w:spacing w:before="0" w:beforeAutospacing="0" w:after="0" w:afterAutospacing="0" w:line="276" w:lineRule="auto"/>
        <w:divId w:val="1042482662"/>
        <w:rPr>
          <w:sz w:val="20"/>
          <w:szCs w:val="20"/>
        </w:rPr>
      </w:pPr>
      <w:r>
        <w:rPr>
          <w:b/>
          <w:bCs/>
          <w:i/>
          <w:iCs/>
          <w:sz w:val="20"/>
          <w:szCs w:val="20"/>
          <w:u w:val="single"/>
        </w:rPr>
        <w:br/>
      </w:r>
      <w:r>
        <w:rPr>
          <w:b/>
          <w:bCs/>
          <w:i/>
          <w:iCs/>
          <w:sz w:val="20"/>
          <w:szCs w:val="20"/>
          <w:u w:val="single"/>
        </w:rPr>
        <w:t>‎</w:t>
      </w:r>
      <w:r>
        <w:rPr>
          <w:sz w:val="20"/>
          <w:szCs w:val="20"/>
        </w:rPr>
        <w:t xml:space="preserve"> </w:t>
      </w:r>
    </w:p>
    <w:p w:rsidR="00000000" w:rsidRDefault="00865332">
      <w:pPr>
        <w:pStyle w:val="a3"/>
        <w:spacing w:before="0" w:beforeAutospacing="0" w:after="0" w:afterAutospacing="0" w:line="259" w:lineRule="auto"/>
        <w:jc w:val="center"/>
        <w:divId w:val="1078020616"/>
        <w:rPr>
          <w:sz w:val="20"/>
          <w:szCs w:val="20"/>
        </w:rPr>
      </w:pPr>
      <w:r>
        <w:rPr>
          <w:rStyle w:val="ctheaderfooterpage"/>
          <w:sz w:val="20"/>
          <w:szCs w:val="20"/>
        </w:rPr>
        <w:t>4</w:t>
      </w:r>
      <w:r>
        <w:rPr>
          <w:rStyle w:val="ctheaderfooterpage"/>
          <w:sz w:val="20"/>
          <w:szCs w:val="20"/>
        </w:rPr>
        <w:t>3</w:t>
      </w:r>
    </w:p>
    <w:p w:rsidR="00000000" w:rsidRDefault="00865332">
      <w:pPr>
        <w:spacing w:before="360" w:after="360"/>
        <w:divId w:val="1142036430"/>
        <w:rPr>
          <w:rFonts w:eastAsia="Times New Roman"/>
        </w:rPr>
      </w:pPr>
      <w:r>
        <w:rPr>
          <w:rFonts w:eastAsia="Times New Roman"/>
        </w:rPr>
        <w:pict>
          <v:rect id="_x0000_i1067" style="width:0;height:1.5pt" o:hralign="center" o:hrstd="t" o:hr="t" fillcolor="#a0a0a0" stroked="f"/>
        </w:pict>
      </w:r>
    </w:p>
    <w:p w:rsidR="00000000" w:rsidRDefault="00865332">
      <w:pPr>
        <w:pStyle w:val="a3"/>
        <w:spacing w:before="0" w:beforeAutospacing="0" w:after="0" w:afterAutospacing="0" w:line="259" w:lineRule="auto"/>
        <w:jc w:val="both"/>
        <w:divId w:val="1790390793"/>
        <w:rPr>
          <w:sz w:val="20"/>
          <w:szCs w:val="20"/>
        </w:rPr>
      </w:pPr>
      <w:r>
        <w:rPr>
          <w:b/>
          <w:bCs/>
          <w:i/>
          <w:iCs/>
          <w:sz w:val="20"/>
          <w:szCs w:val="20"/>
          <w:u w:val="single"/>
        </w:rPr>
        <w:t>Developed and Expanded Facilities</w:t>
      </w:r>
      <w:r>
        <w:rPr>
          <w:b/>
          <w:bCs/>
          <w:i/>
          <w:iCs/>
          <w:sz w:val="20"/>
          <w:szCs w:val="20"/>
          <w:u w:val="single"/>
        </w:rPr>
        <w:t xml:space="preserve"> </w:t>
      </w:r>
    </w:p>
    <w:p w:rsidR="00000000" w:rsidRDefault="00865332">
      <w:pPr>
        <w:pStyle w:val="a3"/>
        <w:spacing w:before="0" w:beforeAutospacing="0" w:after="0" w:afterAutospacing="0" w:line="259" w:lineRule="auto"/>
        <w:ind w:firstLine="720"/>
        <w:jc w:val="both"/>
        <w:divId w:val="1790390793"/>
        <w:rPr>
          <w:sz w:val="20"/>
          <w:szCs w:val="20"/>
        </w:rPr>
      </w:pPr>
      <w:r>
        <w:rPr>
          <w:sz w:val="20"/>
          <w:szCs w:val="20"/>
        </w:rPr>
        <w:t>The developed and expanded facilities include 81 facilities that were developed on new sites since January 1, 2013, and 60 facilities subject to expansion of their</w:t>
      </w:r>
      <w:r>
        <w:rPr>
          <w:sz w:val="20"/>
          <w:szCs w:val="20"/>
        </w:rPr>
        <w:t xml:space="preserve"> net rentable square footage. Of these expansions, 49 are completed at December 31, 2019 and 11 are currently in process at December 31, 2019.</w:t>
      </w:r>
      <w:r>
        <w:rPr>
          <w:sz w:val="20"/>
          <w:szCs w:val="20"/>
        </w:rPr>
        <w:t xml:space="preserve"> </w:t>
      </w:r>
    </w:p>
    <w:p w:rsidR="00000000" w:rsidRDefault="00865332">
      <w:pPr>
        <w:pStyle w:val="a3"/>
        <w:spacing w:before="0" w:beforeAutospacing="0" w:after="0" w:afterAutospacing="0" w:line="259" w:lineRule="auto"/>
        <w:ind w:firstLine="720"/>
        <w:jc w:val="both"/>
        <w:divId w:val="1790390793"/>
        <w:rPr>
          <w:sz w:val="20"/>
          <w:szCs w:val="20"/>
        </w:rPr>
      </w:pPr>
      <w:r>
        <w:rPr>
          <w:sz w:val="20"/>
          <w:szCs w:val="20"/>
        </w:rPr>
        <w:t>The following table summarizes operating data with respect to the Developed and Expanded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32"/>
        <w:gridCol w:w="107"/>
        <w:gridCol w:w="933"/>
        <w:gridCol w:w="99"/>
        <w:gridCol w:w="108"/>
        <w:gridCol w:w="723"/>
        <w:gridCol w:w="100"/>
        <w:gridCol w:w="108"/>
        <w:gridCol w:w="708"/>
        <w:gridCol w:w="75"/>
        <w:gridCol w:w="108"/>
        <w:gridCol w:w="749"/>
        <w:gridCol w:w="100"/>
        <w:gridCol w:w="108"/>
        <w:gridCol w:w="749"/>
        <w:gridCol w:w="100"/>
        <w:gridCol w:w="108"/>
        <w:gridCol w:w="791"/>
      </w:tblGrid>
      <w:tr w:rsidR="00000000">
        <w:trPr>
          <w:divId w:val="1790390793"/>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0" w:type="pct"/>
            <w:gridSpan w:val="9"/>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FACILITIES</w:t>
            </w:r>
            <w:r>
              <w:rPr>
                <w:b/>
                <w:bCs/>
                <w:sz w:val="20"/>
                <w:szCs w:val="20"/>
              </w:rPr>
              <w:t xml:space="preserve"> </w:t>
            </w: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Change (a</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28,33</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26,72</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1,60</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26,72</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24,91</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1,81</w:t>
            </w:r>
            <w:r>
              <w:rPr>
                <w:sz w:val="20"/>
                <w:szCs w:val="20"/>
              </w:rPr>
              <w:t>5</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43,35</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34,23</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9,12</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34,23</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17,39</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16,84</w:t>
            </w:r>
            <w:r>
              <w:rPr>
                <w:sz w:val="20"/>
                <w:szCs w:val="20"/>
              </w:rPr>
              <w:t>2</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15,23</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3,39</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11,83</w:t>
            </w:r>
            <w:r>
              <w:rPr>
                <w:sz w:val="20"/>
                <w:szCs w:val="20"/>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3,39</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3,39</w:t>
            </w:r>
            <w:r>
              <w:rPr>
                <w:sz w:val="20"/>
                <w:szCs w:val="20"/>
              </w:rPr>
              <w:t>2</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49,21</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41,87</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7,33</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41,87</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41,77</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w:t>
            </w:r>
            <w:r>
              <w:rPr>
                <w:sz w:val="20"/>
                <w:szCs w:val="20"/>
              </w:rPr>
              <w:t>6</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14,43</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15,46</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(1,027</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15,46</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15,79</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(325</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150,57</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121,69</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28,87</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121,69</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99,86</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21,83</w:t>
            </w:r>
            <w:r>
              <w:rPr>
                <w:sz w:val="20"/>
                <w:szCs w:val="20"/>
              </w:rPr>
              <w:t>0</w:t>
            </w:r>
          </w:p>
        </w:tc>
      </w:tr>
      <w:tr w:rsidR="00000000">
        <w:trPr>
          <w:divId w:val="1790390793"/>
          <w:trHeight w:val="101"/>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8,28</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8,03</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8,03</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8,09</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(62</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18,18</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17,98</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17,98</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11,43</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6,55</w:t>
            </w:r>
            <w:r>
              <w:rPr>
                <w:sz w:val="20"/>
                <w:szCs w:val="20"/>
              </w:rPr>
              <w:t>1</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11,19</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4,13</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7,05</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4,13</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4,13</w:t>
            </w:r>
            <w:r>
              <w:rPr>
                <w:sz w:val="20"/>
                <w:szCs w:val="20"/>
              </w:rPr>
              <w:t>6</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21,57</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13,75</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7,82</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13,75</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13,42</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w:t>
            </w:r>
            <w:r>
              <w:rPr>
                <w:sz w:val="20"/>
                <w:szCs w:val="20"/>
              </w:rPr>
              <w:t>9</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4,11</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3,96</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3,96</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3,85</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w:t>
            </w:r>
            <w:r>
              <w:rPr>
                <w:sz w:val="20"/>
                <w:szCs w:val="20"/>
              </w:rPr>
              <w:t>6</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63,36</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47,87</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15,49</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47,87</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36,81</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11,06</w:t>
            </w:r>
            <w:r>
              <w:rPr>
                <w:sz w:val="20"/>
                <w:szCs w:val="20"/>
              </w:rPr>
              <w:t>0</w:t>
            </w:r>
          </w:p>
        </w:tc>
      </w:tr>
      <w:tr w:rsidR="00000000">
        <w:trPr>
          <w:divId w:val="1790390793"/>
          <w:trHeight w:val="101"/>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Net operating income</w:t>
            </w:r>
            <w:r>
              <w:rPr>
                <w:b/>
                <w:bCs/>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20,04</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18,69</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1,35</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18,69</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16,81</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7</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25,17</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16,24</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8,92</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16,24</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5,95</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10,29</w:t>
            </w:r>
            <w:r>
              <w:rPr>
                <w:sz w:val="20"/>
                <w:szCs w:val="20"/>
              </w:rPr>
              <w:t>1</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4,03</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(744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4,77</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(744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(744</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27,63</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28,12</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(488</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28,12</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28,34</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(223</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10,32</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11,50</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(1,178</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11,50</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11,93</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(431</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87,21</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73,82</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13,38</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73,82</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63,05</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10,77</w:t>
            </w:r>
            <w:r>
              <w:rPr>
                <w:sz w:val="20"/>
                <w:szCs w:val="20"/>
              </w:rPr>
              <w:t>0</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Depreciation an</w:t>
            </w:r>
            <w:r>
              <w:rPr>
                <w:sz w:val="20"/>
                <w:szCs w:val="20"/>
              </w:rPr>
              <w:t>d</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(54,065</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(45,851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(8,214</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(45,851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(36,848</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(9,003</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Net incom</w:t>
            </w:r>
            <w:r>
              <w:rPr>
                <w:sz w:val="20"/>
                <w:szCs w:val="20"/>
              </w:rPr>
              <w:t>e</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33,14</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27,97</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5,17</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27,97</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26,20</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1,76</w:t>
            </w:r>
            <w:r>
              <w:rPr>
                <w:sz w:val="20"/>
                <w:szCs w:val="20"/>
              </w:rPr>
              <w:t>7</w:t>
            </w:r>
          </w:p>
        </w:tc>
      </w:tr>
      <w:tr w:rsidR="00000000">
        <w:trPr>
          <w:divId w:val="1790390793"/>
          <w:trHeight w:val="101"/>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u w:val="single"/>
              </w:rPr>
              <w:t>At December 31</w:t>
            </w:r>
            <w:r>
              <w:rPr>
                <w:sz w:val="20"/>
                <w:szCs w:val="20"/>
                <w:u w:val="single"/>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89.9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89.9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88.9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78.4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73.5</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6.7</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73.5</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52.3</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40.5</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56.7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34.7</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62.5</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67.0</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(6.7)</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67.0</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66.4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0.9</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83.1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88.1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(5.7)</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88.1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88.4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(0.3)</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(0.3)</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66.4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5.3</w:t>
            </w:r>
            <w:r>
              <w:rPr>
                <w:sz w:val="20"/>
                <w:szCs w:val="20"/>
              </w:rPr>
              <w:t>%</w:t>
            </w:r>
          </w:p>
        </w:tc>
      </w:tr>
      <w:tr w:rsidR="00000000">
        <w:trPr>
          <w:divId w:val="1790390793"/>
          <w:trHeight w:val="302"/>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Annual contract rent per occupied square foot</w:t>
            </w:r>
            <w:r>
              <w:rPr>
                <w:sz w:val="20"/>
                <w:szCs w:val="20"/>
              </w:rPr>
              <w:t>:</w:t>
            </w: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16.5</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15.6</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5.8</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15.6</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14.9</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4.8</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13.7</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12.2</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11.6</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12.2</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12.1</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12.0</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13.0</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15.4</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(15.6)</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15.4</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15.7</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(2.1)</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21.9</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22.2</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(1.5)</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22.2</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21.9</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w:t>
            </w:r>
          </w:p>
        </w:tc>
      </w:tr>
      <w:tr w:rsidR="00000000">
        <w:trPr>
          <w:divId w:val="1790390793"/>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14.0</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(2.4)</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15.0</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(4.1)</w:t>
            </w:r>
            <w:r>
              <w:rPr>
                <w:sz w:val="20"/>
                <w:szCs w:val="20"/>
              </w:rPr>
              <w:t>%</w:t>
            </w:r>
          </w:p>
        </w:tc>
      </w:tr>
    </w:tbl>
    <w:p w:rsidR="00000000" w:rsidRDefault="00865332">
      <w:pPr>
        <w:divId w:val="17903907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534"/>
        <w:gridCol w:w="109"/>
        <w:gridCol w:w="935"/>
        <w:gridCol w:w="100"/>
        <w:gridCol w:w="108"/>
        <w:gridCol w:w="716"/>
        <w:gridCol w:w="100"/>
        <w:gridCol w:w="108"/>
        <w:gridCol w:w="708"/>
        <w:gridCol w:w="75"/>
        <w:gridCol w:w="108"/>
        <w:gridCol w:w="749"/>
        <w:gridCol w:w="100"/>
        <w:gridCol w:w="108"/>
        <w:gridCol w:w="749"/>
        <w:gridCol w:w="100"/>
        <w:gridCol w:w="108"/>
        <w:gridCol w:w="791"/>
      </w:tblGrid>
      <w:tr w:rsidR="00000000">
        <w:trPr>
          <w:divId w:val="1790390793"/>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708456188"/>
        <w:rPr>
          <w:sz w:val="20"/>
          <w:szCs w:val="20"/>
        </w:rPr>
      </w:pPr>
      <w:r>
        <w:rPr>
          <w:rStyle w:val="ctheaderfooterpage"/>
          <w:sz w:val="20"/>
          <w:szCs w:val="20"/>
        </w:rPr>
        <w:t>4</w:t>
      </w:r>
      <w:r>
        <w:rPr>
          <w:rStyle w:val="ctheaderfooterpage"/>
          <w:sz w:val="20"/>
          <w:szCs w:val="20"/>
        </w:rPr>
        <w:t>4</w:t>
      </w:r>
    </w:p>
    <w:p w:rsidR="00000000" w:rsidRDefault="00865332">
      <w:pPr>
        <w:spacing w:before="360" w:after="360"/>
        <w:divId w:val="378096408"/>
        <w:rPr>
          <w:rFonts w:eastAsia="Times New Roman"/>
        </w:rPr>
      </w:pPr>
      <w:r>
        <w:rPr>
          <w:rFonts w:eastAsia="Times New Roman"/>
        </w:rPr>
        <w:pict>
          <v:rect id="_x0000_i1068"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34"/>
        <w:gridCol w:w="109"/>
        <w:gridCol w:w="935"/>
        <w:gridCol w:w="100"/>
        <w:gridCol w:w="108"/>
        <w:gridCol w:w="716"/>
        <w:gridCol w:w="100"/>
        <w:gridCol w:w="108"/>
        <w:gridCol w:w="708"/>
        <w:gridCol w:w="75"/>
        <w:gridCol w:w="108"/>
        <w:gridCol w:w="749"/>
        <w:gridCol w:w="100"/>
        <w:gridCol w:w="108"/>
        <w:gridCol w:w="749"/>
        <w:gridCol w:w="100"/>
        <w:gridCol w:w="108"/>
        <w:gridCol w:w="791"/>
      </w:tblGrid>
      <w:tr w:rsidR="00000000">
        <w:trPr>
          <w:divId w:val="1315599941"/>
          <w:trHeight w:val="245"/>
        </w:trPr>
        <w:tc>
          <w:tcPr>
            <w:tcW w:w="0" w:type="pct"/>
            <w:gridSpan w:val="9"/>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b/>
                <w:bCs/>
                <w:sz w:val="20"/>
                <w:szCs w:val="20"/>
              </w:rPr>
              <w:t>FACILITIES (Continued</w:t>
            </w:r>
            <w:r>
              <w:rPr>
                <w:b/>
                <w:bCs/>
                <w:sz w:val="20"/>
                <w:szCs w:val="20"/>
              </w:rPr>
              <w:t>)</w:t>
            </w: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Change (a</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(Amounts in thousands, except for number of facilities</w:t>
            </w:r>
            <w:r>
              <w:rPr>
                <w:sz w:val="20"/>
                <w:szCs w:val="20"/>
              </w:rPr>
              <w:t>)</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8</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w:t>
            </w:r>
            <w:r>
              <w:rPr>
                <w:sz w:val="20"/>
                <w:szCs w:val="20"/>
              </w:rPr>
              <w:t>8</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88"/>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rentable square feet (c)</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4,18</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4,18</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4,18</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4,18</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3,12</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1,95</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1,17</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1,95</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1,95</w:t>
            </w:r>
            <w:r>
              <w:rPr>
                <w:sz w:val="20"/>
                <w:szCs w:val="20"/>
              </w:rPr>
              <w:t>4</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6,62</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4,04</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2,57</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4,04</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3,77</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w:t>
            </w:r>
            <w:r>
              <w:rPr>
                <w:sz w:val="20"/>
                <w:szCs w:val="20"/>
              </w:rPr>
              <w:t>3</w:t>
            </w:r>
          </w:p>
        </w:tc>
      </w:tr>
      <w:tr w:rsidR="00000000">
        <w:trPr>
          <w:divId w:val="1315599941"/>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72</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74</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(20</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74</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77</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(28</w:t>
            </w:r>
            <w:r>
              <w:rPr>
                <w:sz w:val="20"/>
                <w:szCs w:val="20"/>
              </w:rPr>
              <w:t>)</w:t>
            </w:r>
          </w:p>
        </w:tc>
      </w:tr>
      <w:tr w:rsidR="00000000">
        <w:trPr>
          <w:divId w:val="1315599941"/>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16,53</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12,80</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3,72</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12,80</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10,60</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2,19</w:t>
            </w:r>
            <w:r>
              <w:rPr>
                <w:sz w:val="20"/>
                <w:szCs w:val="20"/>
              </w:rPr>
              <w:t>9</w:t>
            </w:r>
          </w:p>
        </w:tc>
      </w:tr>
      <w:tr w:rsidR="00000000">
        <w:trPr>
          <w:divId w:val="1315599941"/>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73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December 31</w:t>
            </w:r>
            <w:r>
              <w:rPr>
                <w:sz w:val="20"/>
                <w:szCs w:val="20"/>
              </w:rPr>
              <w:t>,</w:t>
            </w:r>
            <w:r>
              <w:rPr>
                <w:sz w:val="20"/>
                <w:szCs w:val="20"/>
              </w:rPr>
              <w:br/>
            </w:r>
            <w:r>
              <w:rPr>
                <w:sz w:val="20"/>
                <w:szCs w:val="20"/>
              </w:rPr>
              <w:t>‎</w:t>
            </w:r>
            <w:r>
              <w:rPr>
                <w:sz w:val="20"/>
                <w:szCs w:val="20"/>
              </w:rPr>
              <w:t>201</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Costs to develop</w:t>
            </w:r>
            <w:r>
              <w:rPr>
                <w:sz w:val="20"/>
                <w:szCs w:val="20"/>
              </w:rPr>
              <w:t>:</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188,04</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497,45</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412,57</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Completed Expansions (d</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381,94</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Expansions in process (e</w:t>
            </w:r>
            <w:r>
              <w:rPr>
                <w:sz w:val="20"/>
                <w:szCs w:val="20"/>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15599941"/>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5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1,480,01</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ind w:left="1080" w:hanging="360"/>
        <w:jc w:val="both"/>
        <w:divId w:val="1315599941"/>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 xml:space="preserve"> </w:t>
      </w:r>
    </w:p>
    <w:p w:rsidR="00000000" w:rsidRDefault="00865332">
      <w:pPr>
        <w:pStyle w:val="a3"/>
        <w:spacing w:before="0" w:beforeAutospacing="0" w:after="0" w:afterAutospacing="0" w:line="259" w:lineRule="auto"/>
        <w:ind w:left="1080" w:hanging="360"/>
        <w:jc w:val="both"/>
        <w:divId w:val="1315599941"/>
        <w:rPr>
          <w:sz w:val="18"/>
          <w:szCs w:val="18"/>
        </w:rPr>
      </w:pPr>
      <w:r>
        <w:rPr>
          <w:sz w:val="18"/>
          <w:szCs w:val="18"/>
        </w:rPr>
        <w:t>(b</w:t>
      </w:r>
      <w:r>
        <w:rPr>
          <w:sz w:val="18"/>
          <w:szCs w:val="18"/>
        </w:rPr>
        <w:t>)</w:t>
      </w:r>
      <w:r>
        <w:rPr>
          <w:sz w:val="18"/>
          <w:szCs w:val="18"/>
        </w:rPr>
        <w:t>Revenues and cost of operations do not incl</w:t>
      </w:r>
      <w:r>
        <w:rPr>
          <w:sz w:val="18"/>
          <w:szCs w:val="18"/>
        </w:rPr>
        <w:t>ude tenant reinsurance and merchandise sale revenues and expenses generated at the facilities. See “Ancillary Operations” below for more information</w:t>
      </w:r>
      <w:r>
        <w:rPr>
          <w:sz w:val="18"/>
          <w:szCs w:val="18"/>
        </w:rPr>
        <w:t>.</w:t>
      </w:r>
    </w:p>
    <w:p w:rsidR="00000000" w:rsidRDefault="00865332">
      <w:pPr>
        <w:pStyle w:val="a3"/>
        <w:spacing w:before="0" w:beforeAutospacing="0" w:after="0" w:afterAutospacing="0" w:line="259" w:lineRule="auto"/>
        <w:ind w:left="1080" w:hanging="360"/>
        <w:jc w:val="both"/>
        <w:divId w:val="1315599941"/>
        <w:rPr>
          <w:sz w:val="18"/>
          <w:szCs w:val="18"/>
        </w:rPr>
      </w:pPr>
      <w:r>
        <w:rPr>
          <w:sz w:val="18"/>
          <w:szCs w:val="18"/>
        </w:rPr>
        <w:t>(c</w:t>
      </w:r>
      <w:r>
        <w:rPr>
          <w:sz w:val="18"/>
          <w:szCs w:val="18"/>
        </w:rPr>
        <w:t>)</w:t>
      </w:r>
      <w:r>
        <w:rPr>
          <w:sz w:val="18"/>
          <w:szCs w:val="18"/>
        </w:rPr>
        <w:t xml:space="preserve">The facilities included above have an aggregate of approximately 16.5 million net rentable square feet </w:t>
      </w:r>
      <w:r>
        <w:rPr>
          <w:sz w:val="18"/>
          <w:szCs w:val="18"/>
        </w:rPr>
        <w:t>at December 31, 2019, including 6.5 million in Texas, 2.4 million in California, 1.7 million in Florida, 1.5 million in Colorado, 0.9 million in Minnesota, 0.7 million in Washington, 0.6 million in North Carolina, 0.4 million in Arizona, 0.3 million each i</w:t>
      </w:r>
      <w:r>
        <w:rPr>
          <w:sz w:val="18"/>
          <w:szCs w:val="18"/>
        </w:rPr>
        <w:t>n Georgia and Michigan, and 1.2 million in other states</w:t>
      </w:r>
      <w:r>
        <w:rPr>
          <w:sz w:val="18"/>
          <w:szCs w:val="18"/>
        </w:rPr>
        <w:t>.</w:t>
      </w:r>
    </w:p>
    <w:p w:rsidR="00000000" w:rsidRDefault="00865332">
      <w:pPr>
        <w:pStyle w:val="a3"/>
        <w:spacing w:before="0" w:beforeAutospacing="0" w:after="0" w:afterAutospacing="0" w:line="259" w:lineRule="auto"/>
        <w:ind w:left="1080" w:hanging="360"/>
        <w:jc w:val="both"/>
        <w:divId w:val="1315599941"/>
        <w:rPr>
          <w:sz w:val="18"/>
          <w:szCs w:val="18"/>
        </w:rPr>
      </w:pPr>
      <w:r>
        <w:rPr>
          <w:sz w:val="18"/>
          <w:szCs w:val="18"/>
        </w:rPr>
        <w:t>(d</w:t>
      </w:r>
      <w:r>
        <w:rPr>
          <w:sz w:val="18"/>
          <w:szCs w:val="18"/>
        </w:rPr>
        <w:t>)</w:t>
      </w:r>
      <w:r>
        <w:rPr>
          <w:sz w:val="18"/>
          <w:szCs w:val="18"/>
        </w:rPr>
        <w:t>These amounts only include the direct cost incurred to expand and renovate these facilities, and do not include (i) the original cost to develop or acquire the facility or (ii) the lost revenue on</w:t>
      </w:r>
      <w:r>
        <w:rPr>
          <w:sz w:val="18"/>
          <w:szCs w:val="18"/>
        </w:rPr>
        <w:t xml:space="preserve"> space demolished during the construction and fill-up period.</w:t>
      </w:r>
      <w:r>
        <w:rPr>
          <w:sz w:val="18"/>
          <w:szCs w:val="18"/>
        </w:rPr>
        <w:t xml:space="preserve"> </w:t>
      </w:r>
    </w:p>
    <w:p w:rsidR="00000000" w:rsidRDefault="00865332">
      <w:pPr>
        <w:pStyle w:val="a3"/>
        <w:spacing w:before="0" w:beforeAutospacing="0" w:after="0" w:afterAutospacing="0" w:line="259" w:lineRule="auto"/>
        <w:ind w:left="1080" w:hanging="360"/>
        <w:jc w:val="both"/>
        <w:divId w:val="1315599941"/>
        <w:rPr>
          <w:sz w:val="18"/>
          <w:szCs w:val="18"/>
        </w:rPr>
      </w:pPr>
      <w:r>
        <w:rPr>
          <w:sz w:val="18"/>
          <w:szCs w:val="18"/>
        </w:rPr>
        <w:t>(e</w:t>
      </w:r>
      <w:r>
        <w:rPr>
          <w:sz w:val="18"/>
          <w:szCs w:val="18"/>
        </w:rPr>
        <w:t>)</w:t>
      </w:r>
      <w:r>
        <w:rPr>
          <w:sz w:val="18"/>
          <w:szCs w:val="18"/>
        </w:rPr>
        <w:t>We have a development pipeline to add 3.1 million net rentable square feet by expanding existing facilities at an aggregate cost of approximately $410.5 million, not including (i) the origin</w:t>
      </w:r>
      <w:r>
        <w:rPr>
          <w:sz w:val="18"/>
          <w:szCs w:val="18"/>
        </w:rPr>
        <w:t>al cost to develop or acquire the facility or (ii) the lost revenue on space demolished during the construction and fill-up period.</w:t>
      </w:r>
      <w:r>
        <w:rPr>
          <w:sz w:val="18"/>
          <w:szCs w:val="18"/>
        </w:rPr>
        <w:t xml:space="preserve"> </w:t>
      </w:r>
    </w:p>
    <w:p w:rsidR="00000000" w:rsidRDefault="00865332">
      <w:pPr>
        <w:pStyle w:val="a3"/>
        <w:spacing w:before="0" w:beforeAutospacing="0" w:after="0" w:afterAutospacing="0" w:line="259" w:lineRule="auto"/>
        <w:ind w:firstLine="720"/>
        <w:jc w:val="both"/>
        <w:divId w:val="1315599941"/>
        <w:rPr>
          <w:sz w:val="20"/>
          <w:szCs w:val="20"/>
        </w:rPr>
      </w:pPr>
      <w:r>
        <w:rPr>
          <w:sz w:val="20"/>
          <w:szCs w:val="20"/>
        </w:rPr>
        <w:t>It typically takes at least three to four years for a newly developed or expanded self-storage facility to stabilize with r</w:t>
      </w:r>
      <w:r>
        <w:rPr>
          <w:sz w:val="20"/>
          <w:szCs w:val="20"/>
        </w:rPr>
        <w:t>espect to revenues. Physical occupancy can be achieved as early as two to three years following completion of the development or expansion, through offering lower rental rates during fill-up. As a result, even after achieving</w:t>
      </w:r>
      <w:r>
        <w:rPr>
          <w:sz w:val="20"/>
          <w:szCs w:val="20"/>
        </w:rPr>
        <w:t xml:space="preserve"> </w:t>
      </w:r>
    </w:p>
    <w:p w:rsidR="00000000" w:rsidRDefault="00865332">
      <w:pPr>
        <w:pStyle w:val="a3"/>
        <w:spacing w:before="0" w:beforeAutospacing="0" w:after="0" w:afterAutospacing="0" w:line="259" w:lineRule="auto"/>
        <w:jc w:val="center"/>
        <w:divId w:val="1669820516"/>
        <w:rPr>
          <w:sz w:val="20"/>
          <w:szCs w:val="20"/>
        </w:rPr>
      </w:pPr>
      <w:r>
        <w:rPr>
          <w:rStyle w:val="ctheaderfooterpage"/>
          <w:sz w:val="20"/>
          <w:szCs w:val="20"/>
        </w:rPr>
        <w:t>4</w:t>
      </w:r>
      <w:r>
        <w:rPr>
          <w:rStyle w:val="ctheaderfooterpage"/>
          <w:sz w:val="20"/>
          <w:szCs w:val="20"/>
        </w:rPr>
        <w:t>5</w:t>
      </w:r>
    </w:p>
    <w:p w:rsidR="00000000" w:rsidRDefault="00865332">
      <w:pPr>
        <w:spacing w:before="360" w:after="360"/>
        <w:divId w:val="1232471449"/>
        <w:rPr>
          <w:rFonts w:eastAsia="Times New Roman"/>
        </w:rPr>
      </w:pPr>
      <w:r>
        <w:rPr>
          <w:rFonts w:eastAsia="Times New Roman"/>
        </w:rPr>
        <w:pict>
          <v:rect id="_x0000_i1069" style="width:0;height:1.5pt" o:hralign="center" o:hrstd="t" o:hr="t" fillcolor="#a0a0a0" stroked="f"/>
        </w:pict>
      </w:r>
    </w:p>
    <w:p w:rsidR="00000000" w:rsidRDefault="00865332">
      <w:pPr>
        <w:pStyle w:val="a3"/>
        <w:spacing w:before="0" w:beforeAutospacing="0" w:after="0" w:afterAutospacing="0" w:line="259" w:lineRule="auto"/>
        <w:jc w:val="both"/>
        <w:divId w:val="1389763253"/>
        <w:rPr>
          <w:sz w:val="20"/>
          <w:szCs w:val="20"/>
        </w:rPr>
      </w:pPr>
      <w:r>
        <w:rPr>
          <w:sz w:val="20"/>
          <w:szCs w:val="20"/>
        </w:rPr>
        <w:t>high occupancy, there can still be a period of elevated revenue growth as the tenant base matures and higher rental rates are achieved. Our earnings are diluted during the construction and stabilization period due to the cost of capital to fund t</w:t>
      </w:r>
      <w:r>
        <w:rPr>
          <w:sz w:val="20"/>
          <w:szCs w:val="20"/>
        </w:rPr>
        <w:t>he development cost, as well as the related construction and development overhead expenses in general and administrative expense. Despite this short-term dilution, we believe that our development and expansion activities generate favorable risk-adjusted re</w:t>
      </w:r>
      <w:r>
        <w:rPr>
          <w:sz w:val="20"/>
          <w:szCs w:val="20"/>
        </w:rPr>
        <w:t>turns over the long run</w:t>
      </w:r>
      <w:r>
        <w:rPr>
          <w:sz w:val="20"/>
          <w:szCs w:val="20"/>
        </w:rPr>
        <w:t>.</w:t>
      </w:r>
    </w:p>
    <w:p w:rsidR="00000000" w:rsidRDefault="00865332">
      <w:pPr>
        <w:pStyle w:val="a3"/>
        <w:spacing w:before="0" w:beforeAutospacing="0" w:after="0" w:afterAutospacing="0" w:line="259" w:lineRule="auto"/>
        <w:jc w:val="both"/>
        <w:divId w:val="1389763253"/>
        <w:rPr>
          <w:sz w:val="20"/>
          <w:szCs w:val="20"/>
        </w:rPr>
      </w:pPr>
      <w:r>
        <w:rPr>
          <w:i/>
          <w:iCs/>
          <w:sz w:val="20"/>
          <w:szCs w:val="20"/>
          <w:u w:val="single"/>
        </w:rPr>
        <w:t>Newly Developed Facilities</w:t>
      </w:r>
      <w:r>
        <w:rPr>
          <w:i/>
          <w:iCs/>
          <w:sz w:val="20"/>
          <w:szCs w:val="20"/>
          <w:u w:val="single"/>
        </w:rPr>
        <w:t xml:space="preserve"> </w:t>
      </w:r>
    </w:p>
    <w:p w:rsidR="00000000" w:rsidRDefault="00865332">
      <w:pPr>
        <w:pStyle w:val="a3"/>
        <w:spacing w:before="0" w:beforeAutospacing="0" w:after="0" w:afterAutospacing="0" w:line="259" w:lineRule="auto"/>
        <w:ind w:firstLine="720"/>
        <w:jc w:val="both"/>
        <w:divId w:val="1389763253"/>
        <w:rPr>
          <w:sz w:val="20"/>
          <w:szCs w:val="20"/>
        </w:rPr>
      </w:pPr>
      <w:r>
        <w:rPr>
          <w:sz w:val="20"/>
          <w:szCs w:val="20"/>
        </w:rPr>
        <w:t xml:space="preserve">The facilities included under “Developed in 2013-2015” </w:t>
      </w:r>
      <w:r>
        <w:rPr>
          <w:sz w:val="20"/>
          <w:szCs w:val="20"/>
        </w:rPr>
        <w:t>were opened in 2013, 2014, and 2015, and we believe they have reached stabilization at December 31, 2019. The annualized yield on cost, based upon the net operating income for 2019 was 10.7%.</w:t>
      </w:r>
      <w:r>
        <w:rPr>
          <w:sz w:val="20"/>
          <w:szCs w:val="20"/>
        </w:rPr>
        <w:t xml:space="preserve"> </w:t>
      </w:r>
    </w:p>
    <w:p w:rsidR="00000000" w:rsidRDefault="00865332">
      <w:pPr>
        <w:pStyle w:val="a3"/>
        <w:spacing w:before="0" w:beforeAutospacing="0" w:after="0" w:afterAutospacing="0" w:line="259" w:lineRule="auto"/>
        <w:ind w:firstLine="720"/>
        <w:jc w:val="both"/>
        <w:divId w:val="1389763253"/>
        <w:rPr>
          <w:sz w:val="20"/>
          <w:szCs w:val="20"/>
        </w:rPr>
      </w:pPr>
      <w:r>
        <w:rPr>
          <w:sz w:val="20"/>
          <w:szCs w:val="20"/>
        </w:rPr>
        <w:t xml:space="preserve">The facilities included under “Developed in 2016 and 2017” and </w:t>
      </w:r>
      <w:r>
        <w:rPr>
          <w:sz w:val="20"/>
          <w:szCs w:val="20"/>
        </w:rPr>
        <w:t>“Developed in 2018 and 2019” are not stabilized with respect to occupancy or revenues at December 31, 2019, and we expect continued growth in these facilities throughout 2020 and beyond as they continue to stabilize. The annualized yields that may be achie</w:t>
      </w:r>
      <w:r>
        <w:rPr>
          <w:sz w:val="20"/>
          <w:szCs w:val="20"/>
        </w:rPr>
        <w:t>ved on these facilities upon stabilization will depend on many factors, including local and current market conditions in the vicinity of each property such as consumer demand and the level of new and existing supply. Accordingly, the 10.7% yield achieved o</w:t>
      </w:r>
      <w:r>
        <w:rPr>
          <w:sz w:val="20"/>
          <w:szCs w:val="20"/>
        </w:rPr>
        <w:t>n the facilities under “Developed in 2013 - 2015” may not be indicative of the yield on cost to be achieved on these facilities.</w:t>
      </w:r>
      <w:r>
        <w:rPr>
          <w:sz w:val="20"/>
          <w:szCs w:val="20"/>
        </w:rPr>
        <w:t xml:space="preserve"> </w:t>
      </w:r>
    </w:p>
    <w:p w:rsidR="00000000" w:rsidRDefault="00865332">
      <w:pPr>
        <w:pStyle w:val="a3"/>
        <w:spacing w:before="0" w:beforeAutospacing="0" w:after="0" w:afterAutospacing="0" w:line="259" w:lineRule="auto"/>
        <w:ind w:firstLine="720"/>
        <w:jc w:val="both"/>
        <w:divId w:val="1389763253"/>
        <w:rPr>
          <w:sz w:val="20"/>
          <w:szCs w:val="20"/>
        </w:rPr>
      </w:pPr>
      <w:r>
        <w:rPr>
          <w:sz w:val="20"/>
          <w:szCs w:val="20"/>
        </w:rPr>
        <w:t>We have 12 additional newly developed facilities in process, which will have a total of 1.3 million net rentable square feet o</w:t>
      </w:r>
      <w:r>
        <w:rPr>
          <w:sz w:val="20"/>
          <w:szCs w:val="20"/>
        </w:rPr>
        <w:t>f storage space and have an aggregate development cost totaling approximately $208.7 million. We expect these facilities to open over the next 18 months.</w:t>
      </w:r>
      <w:r>
        <w:rPr>
          <w:sz w:val="20"/>
          <w:szCs w:val="20"/>
        </w:rPr>
        <w:t xml:space="preserve"> </w:t>
      </w:r>
    </w:p>
    <w:p w:rsidR="00000000" w:rsidRDefault="00865332">
      <w:pPr>
        <w:pStyle w:val="a3"/>
        <w:spacing w:before="0" w:beforeAutospacing="0" w:after="0" w:afterAutospacing="0" w:line="259" w:lineRule="auto"/>
        <w:jc w:val="both"/>
        <w:divId w:val="1389763253"/>
        <w:rPr>
          <w:sz w:val="20"/>
          <w:szCs w:val="20"/>
        </w:rPr>
      </w:pPr>
      <w:r>
        <w:rPr>
          <w:i/>
          <w:iCs/>
          <w:sz w:val="20"/>
          <w:szCs w:val="20"/>
          <w:u w:val="single"/>
        </w:rPr>
        <w:t>Expansions of Existing Facilities</w:t>
      </w:r>
      <w:r>
        <w:rPr>
          <w:i/>
          <w:iCs/>
          <w:sz w:val="20"/>
          <w:szCs w:val="20"/>
          <w:u w:val="single"/>
        </w:rPr>
        <w:t xml:space="preserve"> </w:t>
      </w:r>
    </w:p>
    <w:p w:rsidR="00000000" w:rsidRDefault="00865332">
      <w:pPr>
        <w:pStyle w:val="a3"/>
        <w:spacing w:before="0" w:beforeAutospacing="0" w:after="0" w:afterAutospacing="0" w:line="259" w:lineRule="auto"/>
        <w:ind w:firstLine="720"/>
        <w:jc w:val="both"/>
        <w:divId w:val="1389763253"/>
        <w:rPr>
          <w:sz w:val="20"/>
          <w:szCs w:val="20"/>
        </w:rPr>
      </w:pPr>
      <w:r>
        <w:rPr>
          <w:sz w:val="20"/>
          <w:szCs w:val="20"/>
        </w:rPr>
        <w:t>The expansion of an existing facility involves the construction of</w:t>
      </w:r>
      <w:r>
        <w:rPr>
          <w:sz w:val="20"/>
          <w:szCs w:val="20"/>
        </w:rPr>
        <w:t xml:space="preserve"> new space on an existing facility, either on existing unused land or through the demolition of existing buildings in order to facilitate densification. The construction costs for an expanded facility may include, in addition to adding space, adding amenit</w:t>
      </w:r>
      <w:r>
        <w:rPr>
          <w:sz w:val="20"/>
          <w:szCs w:val="20"/>
        </w:rPr>
        <w:t>ies such as climate control to existing space, improving the visual appeal of the facility, and to a much lesser extent, the replacement of existing doors, roofs, and HVAC.</w:t>
      </w:r>
      <w:r>
        <w:rPr>
          <w:sz w:val="20"/>
          <w:szCs w:val="20"/>
        </w:rPr>
        <w:t xml:space="preserve"> </w:t>
      </w:r>
    </w:p>
    <w:p w:rsidR="00000000" w:rsidRDefault="00865332">
      <w:pPr>
        <w:pStyle w:val="a3"/>
        <w:spacing w:before="0" w:beforeAutospacing="0" w:after="0" w:afterAutospacing="0" w:line="259" w:lineRule="auto"/>
        <w:ind w:firstLine="720"/>
        <w:jc w:val="both"/>
        <w:divId w:val="1389763253"/>
        <w:rPr>
          <w:sz w:val="20"/>
          <w:szCs w:val="20"/>
        </w:rPr>
      </w:pPr>
      <w:r>
        <w:rPr>
          <w:sz w:val="20"/>
          <w:szCs w:val="20"/>
        </w:rPr>
        <w:t>The return profile on the expansion of existing facilities differs from a new faci</w:t>
      </w:r>
      <w:r>
        <w:rPr>
          <w:sz w:val="20"/>
          <w:szCs w:val="20"/>
        </w:rPr>
        <w:t xml:space="preserve">lity, due to a lack of land cost, and there can be less cash flow risk because we have more direct knowledge of the local demand for space on the site as compared to a new facility. However, expansions involve the demolition of existing revenue-generating </w:t>
      </w:r>
      <w:r>
        <w:rPr>
          <w:sz w:val="20"/>
          <w:szCs w:val="20"/>
        </w:rPr>
        <w:t>space with the loss of the related revenues during the construction and fill-up period.</w:t>
      </w:r>
      <w:r>
        <w:rPr>
          <w:sz w:val="20"/>
          <w:szCs w:val="20"/>
        </w:rPr>
        <w:t xml:space="preserve"> </w:t>
      </w:r>
    </w:p>
    <w:p w:rsidR="00000000" w:rsidRDefault="00865332">
      <w:pPr>
        <w:pStyle w:val="a3"/>
        <w:spacing w:before="0" w:beforeAutospacing="0" w:after="0" w:afterAutospacing="0" w:line="259" w:lineRule="auto"/>
        <w:ind w:firstLine="720"/>
        <w:jc w:val="both"/>
        <w:divId w:val="1389763253"/>
        <w:rPr>
          <w:sz w:val="20"/>
          <w:szCs w:val="20"/>
        </w:rPr>
      </w:pPr>
      <w:r>
        <w:rPr>
          <w:sz w:val="20"/>
          <w:szCs w:val="20"/>
        </w:rPr>
        <w:t>The facilities under “completed expansions” represent those facilities where the expansions have been completed at December 31, 2019. We incurred a total of $381.9 mil</w:t>
      </w:r>
      <w:r>
        <w:rPr>
          <w:sz w:val="20"/>
          <w:szCs w:val="20"/>
        </w:rPr>
        <w:t>lion in direct cost to expand these facilities, demolished a total of 1.0 million net rentable square feet of storage space, and built a total of 4.3 million net rentable square feet of new storage space.</w:t>
      </w:r>
      <w:r>
        <w:rPr>
          <w:sz w:val="20"/>
          <w:szCs w:val="20"/>
        </w:rPr>
        <w:t xml:space="preserve"> </w:t>
      </w:r>
    </w:p>
    <w:p w:rsidR="00000000" w:rsidRDefault="00865332">
      <w:pPr>
        <w:pStyle w:val="a3"/>
        <w:spacing w:before="0" w:beforeAutospacing="0" w:after="0" w:afterAutospacing="0" w:line="259" w:lineRule="auto"/>
        <w:ind w:firstLine="720"/>
        <w:jc w:val="both"/>
        <w:divId w:val="1389763253"/>
        <w:rPr>
          <w:sz w:val="20"/>
          <w:szCs w:val="20"/>
        </w:rPr>
      </w:pPr>
      <w:r>
        <w:rPr>
          <w:sz w:val="20"/>
          <w:szCs w:val="20"/>
        </w:rPr>
        <w:t>The facilities under “expansions in process” repre</w:t>
      </w:r>
      <w:r>
        <w:rPr>
          <w:sz w:val="20"/>
          <w:szCs w:val="20"/>
        </w:rPr>
        <w:t>sent those facilities where development is in process at December 31, 2019. We have a pipeline to add a total of 3.1 million net rentable square feet of storage space by expanding existing self-storage facilities for an aggregate direct development cost of</w:t>
      </w:r>
      <w:r>
        <w:rPr>
          <w:sz w:val="20"/>
          <w:szCs w:val="20"/>
        </w:rPr>
        <w:t xml:space="preserve"> $410.5 million. We have already demolished 0.1 million net rentable square feet of space in connection with our expansion projects, and expect to demolish an additional 0.4 million net rentable square feet</w:t>
      </w:r>
      <w:r>
        <w:rPr>
          <w:sz w:val="20"/>
          <w:szCs w:val="20"/>
        </w:rPr>
        <w:t>.</w:t>
      </w:r>
    </w:p>
    <w:p w:rsidR="00000000" w:rsidRDefault="00865332">
      <w:pPr>
        <w:pStyle w:val="a3"/>
        <w:spacing w:before="0" w:beforeAutospacing="0" w:after="0" w:afterAutospacing="0" w:line="259" w:lineRule="auto"/>
        <w:jc w:val="both"/>
        <w:divId w:val="1389763253"/>
        <w:rPr>
          <w:sz w:val="20"/>
          <w:szCs w:val="20"/>
        </w:rPr>
      </w:pPr>
      <w:r>
        <w:rPr>
          <w:i/>
          <w:iCs/>
          <w:sz w:val="20"/>
          <w:szCs w:val="20"/>
          <w:u w:val="single"/>
        </w:rPr>
        <w:t>Analysis of Depreciation and Amortization of Dev</w:t>
      </w:r>
      <w:r>
        <w:rPr>
          <w:i/>
          <w:iCs/>
          <w:sz w:val="20"/>
          <w:szCs w:val="20"/>
          <w:u w:val="single"/>
        </w:rPr>
        <w:t>eloped and Expanded Facilities</w:t>
      </w:r>
      <w:r>
        <w:rPr>
          <w:i/>
          <w:iCs/>
          <w:sz w:val="20"/>
          <w:szCs w:val="20"/>
          <w:u w:val="single"/>
        </w:rPr>
        <w:t xml:space="preserve"> </w:t>
      </w:r>
    </w:p>
    <w:p w:rsidR="00000000" w:rsidRDefault="00865332">
      <w:pPr>
        <w:pStyle w:val="a3"/>
        <w:spacing w:before="0" w:beforeAutospacing="0" w:after="0" w:afterAutospacing="0" w:line="259" w:lineRule="auto"/>
        <w:ind w:firstLine="720"/>
        <w:jc w:val="both"/>
        <w:divId w:val="1389763253"/>
        <w:rPr>
          <w:sz w:val="20"/>
          <w:szCs w:val="20"/>
        </w:rPr>
      </w:pPr>
      <w:r>
        <w:rPr>
          <w:sz w:val="20"/>
          <w:szCs w:val="20"/>
        </w:rPr>
        <w:t>Depreciation and amortization with respect to the Developed and Expanded Facilities totaled $54.1 million, $45.9 million and $36.8 million for 2019, 2018, and 2017, respectively. These amounts represent depreciation of the d</w:t>
      </w:r>
      <w:r>
        <w:rPr>
          <w:sz w:val="20"/>
          <w:szCs w:val="20"/>
        </w:rPr>
        <w:t>eveloped buildings and, in the case of the expanded facilities, the legacy depreciation on the existing buildings. With respect to the Developed and Expanded Facilities completed at December 31, 2019, depreciation of buildings is</w:t>
      </w:r>
      <w:r>
        <w:rPr>
          <w:sz w:val="20"/>
          <w:szCs w:val="20"/>
        </w:rPr>
        <w:t xml:space="preserve"> </w:t>
      </w:r>
    </w:p>
    <w:p w:rsidR="00000000" w:rsidRDefault="00865332">
      <w:pPr>
        <w:pStyle w:val="a3"/>
        <w:spacing w:before="0" w:beforeAutospacing="0" w:after="0" w:afterAutospacing="0" w:line="259" w:lineRule="auto"/>
        <w:jc w:val="center"/>
        <w:divId w:val="335956996"/>
        <w:rPr>
          <w:sz w:val="20"/>
          <w:szCs w:val="20"/>
        </w:rPr>
      </w:pPr>
      <w:r>
        <w:rPr>
          <w:rStyle w:val="ctheaderfooterpage"/>
          <w:sz w:val="20"/>
          <w:szCs w:val="20"/>
        </w:rPr>
        <w:t>4</w:t>
      </w:r>
      <w:r>
        <w:rPr>
          <w:rStyle w:val="ctheaderfooterpage"/>
          <w:sz w:val="20"/>
          <w:szCs w:val="20"/>
        </w:rPr>
        <w:t>6</w:t>
      </w:r>
    </w:p>
    <w:p w:rsidR="00000000" w:rsidRDefault="00865332">
      <w:pPr>
        <w:spacing w:before="360" w:after="360"/>
        <w:divId w:val="1284263470"/>
        <w:rPr>
          <w:rFonts w:eastAsia="Times New Roman"/>
        </w:rPr>
      </w:pPr>
      <w:r>
        <w:rPr>
          <w:rFonts w:eastAsia="Times New Roman"/>
        </w:rPr>
        <w:pict>
          <v:rect id="_x0000_i1070" style="width:0;height:1.5pt" o:hralign="center" o:hrstd="t" o:hr="t" fillcolor="#a0a0a0" stroked="f"/>
        </w:pict>
      </w:r>
    </w:p>
    <w:p w:rsidR="00000000" w:rsidRDefault="00865332">
      <w:pPr>
        <w:pStyle w:val="a3"/>
        <w:spacing w:before="0" w:beforeAutospacing="0" w:after="0" w:afterAutospacing="0" w:line="259" w:lineRule="auto"/>
        <w:jc w:val="both"/>
        <w:divId w:val="1695694266"/>
        <w:rPr>
          <w:sz w:val="20"/>
          <w:szCs w:val="20"/>
        </w:rPr>
      </w:pPr>
      <w:r>
        <w:rPr>
          <w:sz w:val="20"/>
          <w:szCs w:val="20"/>
        </w:rPr>
        <w:t>expected to aggregate approximately $62.1 million in 2020. There will be additional depreciation of new buildings that are developed or expanded in 2020.</w:t>
      </w:r>
      <w:r>
        <w:rPr>
          <w:sz w:val="20"/>
          <w:szCs w:val="20"/>
        </w:rPr>
        <w:t xml:space="preserve"> </w:t>
      </w:r>
    </w:p>
    <w:p w:rsidR="00000000" w:rsidRDefault="00865332">
      <w:pPr>
        <w:pStyle w:val="a3"/>
        <w:spacing w:before="0" w:beforeAutospacing="0" w:after="0" w:afterAutospacing="0" w:line="259" w:lineRule="auto"/>
        <w:jc w:val="both"/>
        <w:divId w:val="1695694266"/>
        <w:rPr>
          <w:sz w:val="20"/>
          <w:szCs w:val="20"/>
        </w:rPr>
      </w:pPr>
      <w:r>
        <w:rPr>
          <w:b/>
          <w:bCs/>
          <w:i/>
          <w:iCs/>
          <w:sz w:val="20"/>
          <w:szCs w:val="20"/>
          <w:u w:val="single"/>
        </w:rPr>
        <w:t>Other non-same store facilities</w:t>
      </w:r>
      <w:r>
        <w:rPr>
          <w:b/>
          <w:bCs/>
          <w:i/>
          <w:iCs/>
          <w:sz w:val="20"/>
          <w:szCs w:val="20"/>
          <w:u w:val="single"/>
        </w:rPr>
        <w:t xml:space="preserve"> </w:t>
      </w:r>
    </w:p>
    <w:p w:rsidR="00000000" w:rsidRDefault="00865332">
      <w:pPr>
        <w:pStyle w:val="a3"/>
        <w:spacing w:before="0" w:beforeAutospacing="0" w:after="0" w:afterAutospacing="0" w:line="259" w:lineRule="auto"/>
        <w:ind w:firstLine="720"/>
        <w:jc w:val="both"/>
        <w:divId w:val="1695694266"/>
        <w:rPr>
          <w:sz w:val="20"/>
          <w:szCs w:val="20"/>
        </w:rPr>
      </w:pPr>
      <w:r>
        <w:rPr>
          <w:sz w:val="20"/>
          <w:szCs w:val="20"/>
        </w:rPr>
        <w:t>The “Other non-same store facilities” represent facili</w:t>
      </w:r>
      <w:r>
        <w:rPr>
          <w:sz w:val="20"/>
          <w:szCs w:val="20"/>
        </w:rPr>
        <w:t>ties which, while not newly acquired, developed, or expanded, are not fully stabilized since January 1, 2017, due primarily to casualty events such as hurricanes, floods, and fires, as well as facilities acquired from third parties prior to January 1, 2017</w:t>
      </w:r>
      <w:r>
        <w:rPr>
          <w:sz w:val="20"/>
          <w:szCs w:val="20"/>
        </w:rPr>
        <w:t xml:space="preserve"> that were recently developed or expanded by the previous owner.</w:t>
      </w:r>
      <w:r>
        <w:rPr>
          <w:sz w:val="20"/>
          <w:szCs w:val="20"/>
        </w:rPr>
        <w:t xml:space="preserve"> </w:t>
      </w:r>
    </w:p>
    <w:p w:rsidR="00000000" w:rsidRDefault="00865332">
      <w:pPr>
        <w:pStyle w:val="a3"/>
        <w:spacing w:before="0" w:beforeAutospacing="0" w:after="0" w:afterAutospacing="0" w:line="259" w:lineRule="auto"/>
        <w:ind w:firstLine="720"/>
        <w:jc w:val="both"/>
        <w:divId w:val="1695694266"/>
        <w:rPr>
          <w:sz w:val="20"/>
          <w:szCs w:val="20"/>
        </w:rPr>
      </w:pPr>
      <w:r>
        <w:rPr>
          <w:sz w:val="20"/>
          <w:szCs w:val="20"/>
        </w:rPr>
        <w:t>The Other non-same store facilities have an aggregate of 6.1 million net rentable square feet, including 1.1 million in Texas, 0.8 million in Oklahoma, 0.7 million in California, 0.6 million</w:t>
      </w:r>
      <w:r>
        <w:rPr>
          <w:sz w:val="20"/>
          <w:szCs w:val="20"/>
        </w:rPr>
        <w:t xml:space="preserve"> in each of Florida, Ohio and South Carolina, 0.4 million in each of New York and Washington, 0.3 million in Tennessee, and 0.6 million in other states</w:t>
      </w:r>
      <w:r>
        <w:rPr>
          <w:sz w:val="20"/>
          <w:szCs w:val="20"/>
        </w:rPr>
        <w:t>.</w:t>
      </w:r>
    </w:p>
    <w:p w:rsidR="00000000" w:rsidRDefault="00865332">
      <w:pPr>
        <w:pStyle w:val="a3"/>
        <w:spacing w:before="0" w:beforeAutospacing="0" w:after="0" w:afterAutospacing="0" w:line="259" w:lineRule="auto"/>
        <w:ind w:firstLine="720"/>
        <w:jc w:val="both"/>
        <w:divId w:val="1695694266"/>
        <w:rPr>
          <w:sz w:val="20"/>
          <w:szCs w:val="20"/>
        </w:rPr>
      </w:pPr>
      <w:r>
        <w:rPr>
          <w:sz w:val="20"/>
          <w:szCs w:val="20"/>
        </w:rPr>
        <w:t xml:space="preserve">The net operating income for these facilities increased from $53.0 million in 2017 to $56.0 million in </w:t>
      </w:r>
      <w:r>
        <w:rPr>
          <w:sz w:val="20"/>
          <w:szCs w:val="20"/>
        </w:rPr>
        <w:t>2018 and decreased from $56.0 million in 2018 to $55.4 million in 2019. During 2019, 2018, and 2017, the average occupancy for these facilities totaled 88.8%, 88.1%, and 87.7%, respectively, and the realized rent per occupied square feet totaled $14.20, $1</w:t>
      </w:r>
      <w:r>
        <w:rPr>
          <w:sz w:val="20"/>
          <w:szCs w:val="20"/>
        </w:rPr>
        <w:t>4.39, and $14.20, respectively.</w:t>
      </w:r>
      <w:r>
        <w:rPr>
          <w:sz w:val="20"/>
          <w:szCs w:val="20"/>
        </w:rPr>
        <w:t xml:space="preserve"> </w:t>
      </w:r>
    </w:p>
    <w:p w:rsidR="00000000" w:rsidRDefault="00865332">
      <w:pPr>
        <w:pStyle w:val="a3"/>
        <w:spacing w:before="0" w:beforeAutospacing="0" w:after="0" w:afterAutospacing="0" w:line="259" w:lineRule="auto"/>
        <w:ind w:firstLine="720"/>
        <w:jc w:val="both"/>
        <w:divId w:val="1695694266"/>
        <w:rPr>
          <w:sz w:val="20"/>
          <w:szCs w:val="20"/>
        </w:rPr>
      </w:pPr>
      <w:r>
        <w:rPr>
          <w:sz w:val="20"/>
          <w:szCs w:val="20"/>
        </w:rPr>
        <w:t>Over the longer term, we expect the growth in operations of these facilities to be similar to that of our Same Store facilities. However, in the short run, year over year comparisons will vary due to the impact of the under</w:t>
      </w:r>
      <w:r>
        <w:rPr>
          <w:sz w:val="20"/>
          <w:szCs w:val="20"/>
        </w:rPr>
        <w:t>lying events which resulted in these facilities being classified as non-same store.</w:t>
      </w:r>
      <w:r>
        <w:rPr>
          <w:sz w:val="20"/>
          <w:szCs w:val="20"/>
        </w:rPr>
        <w:t xml:space="preserve"> </w:t>
      </w:r>
    </w:p>
    <w:p w:rsidR="00000000" w:rsidRDefault="00865332">
      <w:pPr>
        <w:pStyle w:val="a3"/>
        <w:spacing w:before="0" w:beforeAutospacing="0" w:after="0" w:afterAutospacing="0" w:line="259" w:lineRule="auto"/>
        <w:ind w:firstLine="720"/>
        <w:jc w:val="both"/>
        <w:divId w:val="1695694266"/>
        <w:rPr>
          <w:sz w:val="20"/>
          <w:szCs w:val="20"/>
        </w:rPr>
      </w:pPr>
      <w:r>
        <w:rPr>
          <w:sz w:val="20"/>
          <w:szCs w:val="20"/>
        </w:rPr>
        <w:t>Depreciation and amortization with respect to the other non-same store facilities totaled $34.1 million, $31.1 million and $29.7 million for 2019, 2018, and 2017, respecti</w:t>
      </w:r>
      <w:r>
        <w:rPr>
          <w:sz w:val="20"/>
          <w:szCs w:val="20"/>
        </w:rPr>
        <w:t>vely. We expect depreciation for these facilities to in 2020 to approximate the depreciation incurred in 2019.</w:t>
      </w:r>
      <w:r>
        <w:rPr>
          <w:sz w:val="20"/>
          <w:szCs w:val="20"/>
        </w:rPr>
        <w:t xml:space="preserve"> </w:t>
      </w:r>
    </w:p>
    <w:p w:rsidR="00000000" w:rsidRDefault="00865332">
      <w:pPr>
        <w:pStyle w:val="a3"/>
        <w:spacing w:before="0" w:beforeAutospacing="0" w:after="0" w:afterAutospacing="0" w:line="259" w:lineRule="auto"/>
        <w:jc w:val="both"/>
        <w:divId w:val="1695694266"/>
        <w:rPr>
          <w:sz w:val="20"/>
          <w:szCs w:val="20"/>
        </w:rPr>
      </w:pPr>
      <w:r>
        <w:rPr>
          <w:b/>
          <w:bCs/>
          <w:sz w:val="20"/>
          <w:szCs w:val="20"/>
          <w:u w:val="single"/>
        </w:rPr>
        <w:t>Ancillary Operation</w:t>
      </w:r>
      <w:r>
        <w:rPr>
          <w:b/>
          <w:bCs/>
          <w:sz w:val="20"/>
          <w:szCs w:val="20"/>
          <w:u w:val="single"/>
        </w:rPr>
        <w:t>s</w:t>
      </w:r>
    </w:p>
    <w:p w:rsidR="00000000" w:rsidRDefault="00865332">
      <w:pPr>
        <w:pStyle w:val="a3"/>
        <w:spacing w:before="0" w:beforeAutospacing="0" w:after="0" w:afterAutospacing="0" w:line="259" w:lineRule="auto"/>
        <w:ind w:firstLine="720"/>
        <w:jc w:val="both"/>
        <w:divId w:val="1695694266"/>
        <w:rPr>
          <w:sz w:val="20"/>
          <w:szCs w:val="20"/>
        </w:rPr>
      </w:pPr>
      <w:r>
        <w:rPr>
          <w:sz w:val="20"/>
          <w:szCs w:val="20"/>
        </w:rPr>
        <w:t xml:space="preserve">Ancillary revenues and expenses include amounts associated with the reinsurance of policies against losses to goods stored </w:t>
      </w:r>
      <w:r>
        <w:rPr>
          <w:sz w:val="20"/>
          <w:szCs w:val="20"/>
        </w:rPr>
        <w:t>by tenants in our self-storage facilities in the U.S. and the sale of merchandise at our self-storage facilities. The following table sets forth our ancillary operations</w:t>
      </w:r>
      <w:r>
        <w:rPr>
          <w:sz w:val="20"/>
          <w:szCs w:val="20"/>
        </w:rPr>
        <w:t>:</w:t>
      </w:r>
    </w:p>
    <w:p w:rsidR="00000000" w:rsidRDefault="00865332">
      <w:pPr>
        <w:pStyle w:val="a3"/>
        <w:spacing w:before="0" w:beforeAutospacing="0" w:after="0" w:afterAutospacing="0" w:line="259" w:lineRule="auto"/>
        <w:jc w:val="center"/>
        <w:divId w:val="579369206"/>
        <w:rPr>
          <w:sz w:val="20"/>
          <w:szCs w:val="20"/>
        </w:rPr>
      </w:pPr>
      <w:r>
        <w:rPr>
          <w:rStyle w:val="ctheaderfooterpage"/>
          <w:sz w:val="20"/>
          <w:szCs w:val="20"/>
        </w:rPr>
        <w:t>4</w:t>
      </w:r>
      <w:r>
        <w:rPr>
          <w:rStyle w:val="ctheaderfooterpage"/>
          <w:sz w:val="20"/>
          <w:szCs w:val="20"/>
        </w:rPr>
        <w:t>7</w:t>
      </w:r>
    </w:p>
    <w:p w:rsidR="00000000" w:rsidRDefault="00865332">
      <w:pPr>
        <w:spacing w:before="360" w:after="360"/>
        <w:divId w:val="750468723"/>
        <w:rPr>
          <w:rFonts w:eastAsia="Times New Roman"/>
        </w:rPr>
      </w:pPr>
      <w:r>
        <w:rPr>
          <w:rFonts w:eastAsia="Times New Roman"/>
        </w:rPr>
        <w:pict>
          <v:rect id="_x0000_i1071"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51"/>
        <w:gridCol w:w="117"/>
        <w:gridCol w:w="750"/>
        <w:gridCol w:w="109"/>
        <w:gridCol w:w="117"/>
        <w:gridCol w:w="750"/>
        <w:gridCol w:w="109"/>
        <w:gridCol w:w="117"/>
        <w:gridCol w:w="749"/>
        <w:gridCol w:w="108"/>
        <w:gridCol w:w="116"/>
        <w:gridCol w:w="816"/>
        <w:gridCol w:w="58"/>
        <w:gridCol w:w="116"/>
        <w:gridCol w:w="816"/>
        <w:gridCol w:w="108"/>
        <w:gridCol w:w="116"/>
        <w:gridCol w:w="683"/>
      </w:tblGrid>
      <w:tr w:rsidR="00000000">
        <w:trPr>
          <w:divId w:val="146557393"/>
          <w:trHeight w:val="14"/>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6557393"/>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146557393"/>
          <w:trHeight w:val="230"/>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Revenues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6557393"/>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Tenant reinsurance premiums</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131,91</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125,57</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6,33</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125,57</w:t>
            </w:r>
            <w:r>
              <w:rPr>
                <w:sz w:val="20"/>
                <w:szCs w:val="20"/>
              </w:rPr>
              <w:t>5</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122,85</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2,72</w:t>
            </w:r>
            <w:r>
              <w:rPr>
                <w:sz w:val="20"/>
                <w:szCs w:val="20"/>
              </w:rPr>
              <w:t>3</w:t>
            </w: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30,35</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31,09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(740</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31,09</w:t>
            </w:r>
            <w:r>
              <w:rPr>
                <w:sz w:val="20"/>
                <w:szCs w:val="20"/>
              </w:rPr>
              <w:t>8</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33,24</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(2,145</w:t>
            </w:r>
            <w:r>
              <w:rPr>
                <w:sz w:val="20"/>
                <w:szCs w:val="20"/>
              </w:rPr>
              <w:t>)</w:t>
            </w: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Total revenues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162,27</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156,67</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5,59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156,67</w:t>
            </w:r>
            <w:r>
              <w:rPr>
                <w:sz w:val="20"/>
                <w:szCs w:val="20"/>
              </w:rPr>
              <w:t>3</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156,09</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57</w:t>
            </w:r>
            <w:r>
              <w:rPr>
                <w:sz w:val="20"/>
                <w:szCs w:val="20"/>
              </w:rPr>
              <w:t>8</w:t>
            </w:r>
          </w:p>
        </w:tc>
      </w:tr>
      <w:tr w:rsidR="00000000">
        <w:trPr>
          <w:divId w:val="146557393"/>
          <w:trHeight w:val="187"/>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26,20</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25,64</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55</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25,64</w:t>
            </w:r>
            <w:r>
              <w:rPr>
                <w:sz w:val="20"/>
                <w:szCs w:val="20"/>
              </w:rPr>
              <w:t>6</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30,55</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(4,908</w:t>
            </w:r>
            <w:r>
              <w:rPr>
                <w:sz w:val="20"/>
                <w:szCs w:val="20"/>
              </w:rPr>
              <w:t>)</w:t>
            </w: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18,00</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18,34</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(343</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18,34</w:t>
            </w:r>
            <w:r>
              <w:rPr>
                <w:sz w:val="20"/>
                <w:szCs w:val="20"/>
              </w:rPr>
              <w:t>5</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19,79</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(1,446</w:t>
            </w:r>
            <w:r>
              <w:rPr>
                <w:sz w:val="20"/>
                <w:szCs w:val="20"/>
              </w:rPr>
              <w:t>)</w:t>
            </w: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Total cost of operations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44,20</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43,99</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43,99</w:t>
            </w:r>
            <w:r>
              <w:rPr>
                <w:sz w:val="20"/>
                <w:szCs w:val="20"/>
              </w:rPr>
              <w:t>1</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50,34</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(6,354</w:t>
            </w:r>
            <w:r>
              <w:rPr>
                <w:sz w:val="20"/>
                <w:szCs w:val="20"/>
              </w:rPr>
              <w:t>)</w:t>
            </w:r>
          </w:p>
        </w:tc>
      </w:tr>
      <w:tr w:rsidR="00000000">
        <w:trPr>
          <w:divId w:val="146557393"/>
          <w:trHeight w:val="187"/>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operating incom</w:t>
            </w:r>
            <w:r>
              <w:rPr>
                <w:sz w:val="20"/>
                <w:szCs w:val="20"/>
              </w:rPr>
              <w:t>e</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105,71</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99,92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5,78</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99,92</w:t>
            </w:r>
            <w:r>
              <w:rPr>
                <w:sz w:val="20"/>
                <w:szCs w:val="20"/>
              </w:rPr>
              <w:t>9</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92,29</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7,63</w:t>
            </w:r>
            <w:r>
              <w:rPr>
                <w:sz w:val="20"/>
                <w:szCs w:val="20"/>
              </w:rPr>
              <w:t>1</w:t>
            </w: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12,35</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12,75</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(397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12,75</w:t>
            </w:r>
            <w:r>
              <w:rPr>
                <w:sz w:val="20"/>
                <w:szCs w:val="20"/>
              </w:rPr>
              <w:t>3</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13,45</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(699</w:t>
            </w:r>
            <w:r>
              <w:rPr>
                <w:sz w:val="20"/>
                <w:szCs w:val="20"/>
              </w:rPr>
              <w:t>)</w:t>
            </w: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46557393"/>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Total net operating incom</w:t>
            </w:r>
            <w:r>
              <w:rPr>
                <w:sz w:val="20"/>
                <w:szCs w:val="20"/>
              </w:rPr>
              <w:t>e</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118,06</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112,68</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5,38</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112,68</w:t>
            </w:r>
            <w:r>
              <w:rPr>
                <w:sz w:val="20"/>
                <w:szCs w:val="20"/>
              </w:rPr>
              <w:t>2</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105,75</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6,93</w:t>
            </w:r>
            <w:r>
              <w:rPr>
                <w:sz w:val="20"/>
                <w:szCs w:val="20"/>
              </w:rPr>
              <w:t>2</w:t>
            </w:r>
          </w:p>
        </w:tc>
      </w:tr>
    </w:tbl>
    <w:p w:rsidR="00000000" w:rsidRDefault="00865332">
      <w:pPr>
        <w:pStyle w:val="a3"/>
        <w:spacing w:before="0" w:beforeAutospacing="0" w:after="0" w:afterAutospacing="0" w:line="259" w:lineRule="auto"/>
        <w:ind w:firstLine="720"/>
        <w:jc w:val="both"/>
        <w:divId w:val="146557393"/>
        <w:rPr>
          <w:sz w:val="20"/>
          <w:szCs w:val="20"/>
        </w:rPr>
      </w:pPr>
      <w:r>
        <w:rPr>
          <w:b/>
          <w:bCs/>
          <w:i/>
          <w:iCs/>
          <w:sz w:val="20"/>
          <w:szCs w:val="20"/>
        </w:rPr>
        <w:t>Tenant reinsurance operations</w:t>
      </w:r>
      <w:r>
        <w:rPr>
          <w:b/>
          <w:bCs/>
          <w:i/>
          <w:iCs/>
          <w:sz w:val="20"/>
          <w:szCs w:val="20"/>
        </w:rPr>
        <w:t>:</w:t>
      </w:r>
      <w:r>
        <w:rPr>
          <w:i/>
          <w:iCs/>
          <w:sz w:val="20"/>
          <w:szCs w:val="20"/>
        </w:rPr>
        <w:t xml:space="preserve"> </w:t>
      </w:r>
      <w:r>
        <w:rPr>
          <w:sz w:val="20"/>
          <w:szCs w:val="20"/>
        </w:rPr>
        <w:t>Our</w:t>
      </w:r>
      <w:r>
        <w:rPr>
          <w:sz w:val="20"/>
          <w:szCs w:val="20"/>
        </w:rPr>
        <w:t xml:space="preserve"> </w:t>
      </w:r>
      <w:r>
        <w:rPr>
          <w:sz w:val="20"/>
          <w:szCs w:val="20"/>
        </w:rPr>
        <w:t xml:space="preserve">customers have the option of purchasing insurance from a non-affiliated insurance company to cover certain losses to their goods stored at our facilities. A wholly-owned, consolidated subsidiary of Public Storage fully reinsures such policies, and thereby </w:t>
      </w:r>
      <w:r>
        <w:rPr>
          <w:sz w:val="20"/>
          <w:szCs w:val="20"/>
        </w:rPr>
        <w:t>assumes all risk of losses under these policies from the insurance company. The subsidiary receives reinsurance premiums, substantially equal to the premiums collected from our tenants, from the non-affiliated insurance company. Such reinsurance premiums a</w:t>
      </w:r>
      <w:r>
        <w:rPr>
          <w:sz w:val="20"/>
          <w:szCs w:val="20"/>
        </w:rPr>
        <w:t>re shown as “Tenant reinsurance premiums” in the above table.</w:t>
      </w:r>
      <w:r>
        <w:rPr>
          <w:sz w:val="20"/>
          <w:szCs w:val="20"/>
        </w:rPr>
        <w:t xml:space="preserve"> </w:t>
      </w:r>
    </w:p>
    <w:p w:rsidR="00000000" w:rsidRDefault="00865332">
      <w:pPr>
        <w:pStyle w:val="a3"/>
        <w:spacing w:before="0" w:beforeAutospacing="0" w:after="0" w:afterAutospacing="0" w:line="259" w:lineRule="auto"/>
        <w:ind w:firstLine="720"/>
        <w:jc w:val="both"/>
        <w:divId w:val="146557393"/>
        <w:rPr>
          <w:sz w:val="20"/>
          <w:szCs w:val="20"/>
        </w:rPr>
      </w:pPr>
      <w:r>
        <w:rPr>
          <w:sz w:val="20"/>
          <w:szCs w:val="20"/>
        </w:rPr>
        <w:t>The subsidiary pays a fee to Public Storage to assist with the administration of the program and to allow the insurance to be marketed to our tenants. This fee represents a substantial amount o</w:t>
      </w:r>
      <w:r>
        <w:rPr>
          <w:sz w:val="20"/>
          <w:szCs w:val="20"/>
        </w:rPr>
        <w:t>f the reinsurance premiums received by our subsidiary. The fee is eliminated in consolidation and is therefore not shown in the above table.</w:t>
      </w:r>
      <w:r>
        <w:rPr>
          <w:sz w:val="20"/>
          <w:szCs w:val="20"/>
        </w:rPr>
        <w:t xml:space="preserve"> </w:t>
      </w:r>
    </w:p>
    <w:p w:rsidR="00000000" w:rsidRDefault="00865332">
      <w:pPr>
        <w:pStyle w:val="a3"/>
        <w:spacing w:before="0" w:beforeAutospacing="0" w:after="0" w:afterAutospacing="0" w:line="259" w:lineRule="auto"/>
        <w:ind w:firstLine="720"/>
        <w:jc w:val="both"/>
        <w:divId w:val="146557393"/>
        <w:rPr>
          <w:sz w:val="20"/>
          <w:szCs w:val="20"/>
        </w:rPr>
      </w:pPr>
      <w:r>
        <w:rPr>
          <w:sz w:val="20"/>
          <w:szCs w:val="20"/>
        </w:rPr>
        <w:t>Tenant reinsurance revenue increased $2.7 million or 2.2% from $122.9 million in 2017 to $125.6 million in 2018, a</w:t>
      </w:r>
      <w:r>
        <w:rPr>
          <w:sz w:val="20"/>
          <w:szCs w:val="20"/>
        </w:rPr>
        <w:t>nd $6.3 million or 5.0% from $125.6 million in 2018 to $131.9 million in 2019. These increases are due primarily to an increase in our tenant base with respect to acquired, newly developed, and expanded facilities. Tenant reinsurance revenue with respect t</w:t>
      </w:r>
      <w:r>
        <w:rPr>
          <w:sz w:val="20"/>
          <w:szCs w:val="20"/>
        </w:rPr>
        <w:t>o the Same Store Facilities decreased $0.2 million or 0.2% from $109.3 million in 2017 to $109.1 million in 2018, and increased $2.0 million or 1.8% from $109.1 million in 2018 to $111.1 million in 2019.</w:t>
      </w:r>
      <w:r>
        <w:rPr>
          <w:sz w:val="20"/>
          <w:szCs w:val="20"/>
        </w:rPr>
        <w:t xml:space="preserve"> </w:t>
      </w:r>
    </w:p>
    <w:p w:rsidR="00000000" w:rsidRDefault="00865332">
      <w:pPr>
        <w:pStyle w:val="a3"/>
        <w:spacing w:before="0" w:beforeAutospacing="0" w:after="0" w:afterAutospacing="0" w:line="259" w:lineRule="auto"/>
        <w:ind w:firstLine="720"/>
        <w:jc w:val="both"/>
        <w:divId w:val="146557393"/>
        <w:rPr>
          <w:sz w:val="20"/>
          <w:szCs w:val="20"/>
        </w:rPr>
      </w:pPr>
      <w:r>
        <w:rPr>
          <w:sz w:val="20"/>
          <w:szCs w:val="20"/>
        </w:rPr>
        <w:t>We expect future growth will come primarily from cu</w:t>
      </w:r>
      <w:r>
        <w:rPr>
          <w:sz w:val="20"/>
          <w:szCs w:val="20"/>
        </w:rPr>
        <w:t>stomers of newly acquired and developed facilities, as well as additional tenants at our existing unstabilized self-storage facilities.</w:t>
      </w:r>
      <w:r>
        <w:rPr>
          <w:sz w:val="20"/>
          <w:szCs w:val="20"/>
        </w:rPr>
        <w:t xml:space="preserve"> </w:t>
      </w:r>
    </w:p>
    <w:p w:rsidR="00000000" w:rsidRDefault="00865332">
      <w:pPr>
        <w:pStyle w:val="a3"/>
        <w:spacing w:before="0" w:beforeAutospacing="0" w:after="0" w:afterAutospacing="0" w:line="259" w:lineRule="auto"/>
        <w:ind w:firstLine="720"/>
        <w:jc w:val="both"/>
        <w:divId w:val="146557393"/>
        <w:rPr>
          <w:sz w:val="20"/>
          <w:szCs w:val="20"/>
        </w:rPr>
      </w:pPr>
      <w:r>
        <w:rPr>
          <w:sz w:val="20"/>
          <w:szCs w:val="20"/>
        </w:rPr>
        <w:t xml:space="preserve">Cost of operations primarily includes claims paid that are not covered by our outside third-party insurers, as well as </w:t>
      </w:r>
      <w:r>
        <w:rPr>
          <w:sz w:val="20"/>
          <w:szCs w:val="20"/>
        </w:rPr>
        <w:t>claims adjustment expenses. Claims expenses vary based upon the level of insured tenants, and the level of events affecting claims at particular properties (such as burglary) as well as catastrophic weather events affecting multiple properties such as hurr</w:t>
      </w:r>
      <w:r>
        <w:rPr>
          <w:sz w:val="20"/>
          <w:szCs w:val="20"/>
        </w:rPr>
        <w:t>icanes and floods. Cost of operations were $26.2 million in 2019, $25.6 million in 2018, and $30.6 million in 2017. Amounts for 2017 includes the impact of Hurricanes Harvey and Irma.</w:t>
      </w:r>
      <w:r>
        <w:rPr>
          <w:sz w:val="20"/>
          <w:szCs w:val="20"/>
        </w:rPr>
        <w:t xml:space="preserve"> </w:t>
      </w:r>
    </w:p>
    <w:p w:rsidR="00000000" w:rsidRDefault="00865332">
      <w:pPr>
        <w:pStyle w:val="a3"/>
        <w:spacing w:before="0" w:beforeAutospacing="0" w:after="0" w:afterAutospacing="0" w:line="259" w:lineRule="auto"/>
        <w:ind w:firstLine="720"/>
        <w:jc w:val="both"/>
        <w:divId w:val="146557393"/>
        <w:rPr>
          <w:sz w:val="20"/>
          <w:szCs w:val="20"/>
        </w:rPr>
      </w:pPr>
      <w:r>
        <w:rPr>
          <w:b/>
          <w:bCs/>
          <w:i/>
          <w:iCs/>
          <w:sz w:val="20"/>
          <w:szCs w:val="20"/>
        </w:rPr>
        <w:t>Merchandise sales</w:t>
      </w:r>
      <w:r>
        <w:rPr>
          <w:b/>
          <w:bCs/>
          <w:i/>
          <w:iCs/>
          <w:sz w:val="20"/>
          <w:szCs w:val="20"/>
        </w:rPr>
        <w:t>:</w:t>
      </w:r>
      <w:r>
        <w:rPr>
          <w:i/>
          <w:iCs/>
          <w:sz w:val="20"/>
          <w:szCs w:val="20"/>
        </w:rPr>
        <w:t xml:space="preserve"> </w:t>
      </w:r>
      <w:r>
        <w:rPr>
          <w:sz w:val="20"/>
          <w:szCs w:val="20"/>
        </w:rPr>
        <w:t>We sell locks, boxes, and packing supplies at our se</w:t>
      </w:r>
      <w:r>
        <w:rPr>
          <w:sz w:val="20"/>
          <w:szCs w:val="20"/>
        </w:rPr>
        <w:t>lf-storage facilities and the level of sales of these items is primarily impacted by the level of move-ins and other customer traffic at our self-storage facilities. We do not expect any significant changes in revenues or profitability from our merchandise</w:t>
      </w:r>
      <w:r>
        <w:rPr>
          <w:sz w:val="20"/>
          <w:szCs w:val="20"/>
        </w:rPr>
        <w:t xml:space="preserve"> sales in 2020</w:t>
      </w:r>
      <w:r>
        <w:rPr>
          <w:sz w:val="20"/>
          <w:szCs w:val="20"/>
        </w:rPr>
        <w:t>.</w:t>
      </w:r>
    </w:p>
    <w:p w:rsidR="00000000" w:rsidRDefault="00865332">
      <w:pPr>
        <w:pStyle w:val="a3"/>
        <w:spacing w:before="0" w:beforeAutospacing="0" w:after="0" w:afterAutospacing="0" w:line="259" w:lineRule="auto"/>
        <w:jc w:val="center"/>
        <w:divId w:val="1842547336"/>
        <w:rPr>
          <w:sz w:val="20"/>
          <w:szCs w:val="20"/>
        </w:rPr>
      </w:pPr>
      <w:r>
        <w:rPr>
          <w:rStyle w:val="ctheaderfooterpage"/>
          <w:sz w:val="20"/>
          <w:szCs w:val="20"/>
        </w:rPr>
        <w:t>4</w:t>
      </w:r>
      <w:r>
        <w:rPr>
          <w:rStyle w:val="ctheaderfooterpage"/>
          <w:sz w:val="20"/>
          <w:szCs w:val="20"/>
        </w:rPr>
        <w:t>8</w:t>
      </w:r>
    </w:p>
    <w:p w:rsidR="00000000" w:rsidRDefault="00865332">
      <w:pPr>
        <w:spacing w:before="360" w:after="360"/>
        <w:divId w:val="162935915"/>
        <w:rPr>
          <w:rFonts w:eastAsia="Times New Roman"/>
        </w:rPr>
      </w:pPr>
      <w:r>
        <w:rPr>
          <w:rFonts w:eastAsia="Times New Roman"/>
        </w:rPr>
        <w:pict>
          <v:rect id="_x0000_i1072" style="width:0;height:1.5pt" o:hralign="center" o:hrstd="t" o:hr="t" fillcolor="#a0a0a0" stroked="f"/>
        </w:pict>
      </w:r>
    </w:p>
    <w:p w:rsidR="00000000" w:rsidRDefault="00865332">
      <w:pPr>
        <w:pStyle w:val="a3"/>
        <w:spacing w:before="0" w:beforeAutospacing="0" w:after="0" w:afterAutospacing="0" w:line="259" w:lineRule="auto"/>
        <w:jc w:val="both"/>
        <w:divId w:val="1217813553"/>
        <w:rPr>
          <w:sz w:val="20"/>
          <w:szCs w:val="20"/>
        </w:rPr>
      </w:pPr>
      <w:r>
        <w:rPr>
          <w:b/>
          <w:bCs/>
          <w:i/>
          <w:iCs/>
          <w:sz w:val="20"/>
          <w:szCs w:val="20"/>
          <w:u w:val="single"/>
        </w:rPr>
        <w:t>Equity in earnings of unconsolidated real estate entitie</w:t>
      </w:r>
      <w:r>
        <w:rPr>
          <w:b/>
          <w:bCs/>
          <w:i/>
          <w:iCs/>
          <w:sz w:val="20"/>
          <w:szCs w:val="20"/>
          <w:u w:val="single"/>
        </w:rPr>
        <w:t>s</w:t>
      </w:r>
    </w:p>
    <w:p w:rsidR="00000000" w:rsidRDefault="00865332">
      <w:pPr>
        <w:pStyle w:val="a3"/>
        <w:spacing w:before="0" w:beforeAutospacing="0" w:after="0" w:afterAutospacing="0" w:line="259" w:lineRule="auto"/>
        <w:ind w:firstLine="720"/>
        <w:jc w:val="both"/>
        <w:divId w:val="1217813553"/>
        <w:rPr>
          <w:sz w:val="20"/>
          <w:szCs w:val="20"/>
        </w:rPr>
      </w:pPr>
      <w:r>
        <w:rPr>
          <w:sz w:val="20"/>
          <w:szCs w:val="20"/>
        </w:rPr>
        <w:t>At December 31, 2019, we have equity investments in PSB and Shurgard which we account for on the equity method and record our pro-rata share o</w:t>
      </w:r>
      <w:r>
        <w:rPr>
          <w:sz w:val="20"/>
          <w:szCs w:val="20"/>
        </w:rPr>
        <w:t>f the net income of these entities for each period.</w:t>
      </w:r>
      <w:r>
        <w:rPr>
          <w:sz w:val="20"/>
          <w:szCs w:val="20"/>
        </w:rPr>
        <w:t xml:space="preserve"> </w:t>
      </w:r>
      <w:r>
        <w:rPr>
          <w:sz w:val="20"/>
          <w:szCs w:val="20"/>
        </w:rPr>
        <w:t>The following table, and the discussion below, sets forth the significant components of our equity in earnings of unconsolidated real estate entities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051"/>
        <w:gridCol w:w="157"/>
        <w:gridCol w:w="158"/>
        <w:gridCol w:w="806"/>
        <w:gridCol w:w="141"/>
        <w:gridCol w:w="158"/>
        <w:gridCol w:w="806"/>
        <w:gridCol w:w="141"/>
        <w:gridCol w:w="158"/>
        <w:gridCol w:w="723"/>
        <w:gridCol w:w="91"/>
        <w:gridCol w:w="158"/>
        <w:gridCol w:w="723"/>
        <w:gridCol w:w="141"/>
        <w:gridCol w:w="158"/>
        <w:gridCol w:w="723"/>
        <w:gridCol w:w="141"/>
        <w:gridCol w:w="158"/>
        <w:gridCol w:w="714"/>
      </w:tblGrid>
      <w:tr w:rsidR="00000000">
        <w:trPr>
          <w:divId w:val="1217813553"/>
          <w:trHeight w:val="14"/>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17813553"/>
          <w:trHeight w:val="259"/>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17813553"/>
          <w:trHeight w:val="245"/>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217813553"/>
          <w:trHeight w:val="259"/>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1217813553"/>
          <w:trHeight w:val="230"/>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1217813553"/>
          <w:trHeight w:val="259"/>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Equity in earnings</w:t>
            </w:r>
            <w:r>
              <w:rPr>
                <w:sz w:val="20"/>
                <w:szCs w:val="20"/>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17813553"/>
          <w:trHeight w:val="259"/>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PSB</w:t>
            </w:r>
            <w:r>
              <w:rPr>
                <w:sz w:val="20"/>
                <w:szCs w:val="20"/>
              </w:rPr>
              <w:t xml:space="preserve">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54,09</w:t>
            </w:r>
            <w:r>
              <w:rPr>
                <w:sz w:val="20"/>
                <w:szCs w:val="20"/>
              </w:rPr>
              <w:t>0</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89,36</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(35,272</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89,36</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46,54</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42,81</w:t>
            </w:r>
            <w:r>
              <w:rPr>
                <w:sz w:val="20"/>
                <w:szCs w:val="20"/>
              </w:rPr>
              <w:t>8</w:t>
            </w:r>
          </w:p>
        </w:tc>
      </w:tr>
      <w:tr w:rsidR="00000000">
        <w:trPr>
          <w:divId w:val="1217813553"/>
          <w:trHeight w:val="259"/>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Shurgar</w:t>
            </w:r>
            <w:r>
              <w:rPr>
                <w:sz w:val="20"/>
                <w:szCs w:val="20"/>
              </w:rPr>
              <w:t>d</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15,45</w:t>
            </w:r>
            <w:r>
              <w:rPr>
                <w:sz w:val="20"/>
                <w:szCs w:val="20"/>
              </w:rPr>
              <w:t>7</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14,13</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1,32</w:t>
            </w:r>
            <w:r>
              <w:rPr>
                <w:sz w:val="20"/>
                <w:szCs w:val="20"/>
              </w:rPr>
              <w:t>4</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14,13</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25,94</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(11,815</w:t>
            </w:r>
            <w:r>
              <w:rPr>
                <w:sz w:val="20"/>
                <w:szCs w:val="20"/>
              </w:rPr>
              <w:t>)</w:t>
            </w:r>
          </w:p>
        </w:tc>
      </w:tr>
      <w:tr w:rsidR="00000000">
        <w:trPr>
          <w:divId w:val="1217813553"/>
          <w:trHeight w:val="259"/>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Legacy Institutional</w:t>
            </w:r>
            <w:r>
              <w:rPr>
                <w:sz w:val="20"/>
                <w:szCs w:val="20"/>
              </w:rPr>
              <w:t xml:space="preserve">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17813553"/>
          <w:trHeight w:val="259"/>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Partnership (a)</w:t>
            </w:r>
            <w:r>
              <w:rPr>
                <w:sz w:val="20"/>
                <w:szCs w:val="20"/>
              </w:rPr>
              <w:t xml:space="preserve">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3,16</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(3,163</w:t>
            </w:r>
            <w:r>
              <w:rPr>
                <w:sz w:val="20"/>
                <w:szCs w:val="20"/>
              </w:rPr>
              <w:t>)</w:t>
            </w:r>
          </w:p>
        </w:tc>
      </w:tr>
      <w:tr w:rsidR="00000000">
        <w:trPr>
          <w:divId w:val="1217813553"/>
          <w:trHeight w:val="259"/>
        </w:trPr>
        <w:tc>
          <w:tcPr>
            <w:tcW w:w="1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Total equity in earnings</w:t>
            </w:r>
            <w:r>
              <w:rPr>
                <w:sz w:val="20"/>
                <w:szCs w:val="20"/>
              </w:rPr>
              <w:t xml:space="preserve">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69,54</w:t>
            </w:r>
            <w:r>
              <w:rPr>
                <w:sz w:val="20"/>
                <w:szCs w:val="20"/>
              </w:rPr>
              <w:t>7</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103,49</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(33,948</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103,49</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75,65</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27,84</w:t>
            </w:r>
            <w:r>
              <w:rPr>
                <w:sz w:val="20"/>
                <w:szCs w:val="20"/>
              </w:rPr>
              <w:t>0</w:t>
            </w:r>
          </w:p>
        </w:tc>
      </w:tr>
    </w:tbl>
    <w:p w:rsidR="00000000" w:rsidRDefault="00865332">
      <w:pPr>
        <w:pStyle w:val="a3"/>
        <w:spacing w:before="0" w:beforeAutospacing="0" w:after="0" w:afterAutospacing="0" w:line="259" w:lineRule="auto"/>
        <w:ind w:left="1080" w:hanging="360"/>
        <w:jc w:val="both"/>
        <w:divId w:val="1217813553"/>
        <w:rPr>
          <w:sz w:val="20"/>
          <w:szCs w:val="20"/>
        </w:rPr>
      </w:pPr>
      <w:r>
        <w:rPr>
          <w:sz w:val="20"/>
          <w:szCs w:val="20"/>
        </w:rPr>
        <w:t>(a</w:t>
      </w:r>
      <w:r>
        <w:rPr>
          <w:sz w:val="20"/>
          <w:szCs w:val="20"/>
        </w:rPr>
        <w:t>)</w:t>
      </w:r>
      <w:r>
        <w:rPr>
          <w:sz w:val="20"/>
          <w:szCs w:val="20"/>
        </w:rPr>
        <w:t>This represents our equity earnings in a legacy institutional partnership. On December 31, 2017, we acquired the 74.25% interest that we did not own in this partnership for $135.5 million. As a result, no further equity earnings will be recorded.</w:t>
      </w:r>
      <w:r>
        <w:rPr>
          <w:sz w:val="20"/>
          <w:szCs w:val="20"/>
        </w:rPr>
        <w:t xml:space="preserve"> </w:t>
      </w:r>
    </w:p>
    <w:p w:rsidR="00000000" w:rsidRDefault="00865332">
      <w:pPr>
        <w:pStyle w:val="a3"/>
        <w:spacing w:before="0" w:beforeAutospacing="0" w:after="0" w:afterAutospacing="0" w:line="259" w:lineRule="auto"/>
        <w:ind w:firstLine="720"/>
        <w:jc w:val="both"/>
        <w:divId w:val="1217813553"/>
        <w:rPr>
          <w:sz w:val="20"/>
          <w:szCs w:val="20"/>
        </w:rPr>
      </w:pPr>
      <w:r>
        <w:rPr>
          <w:b/>
          <w:bCs/>
          <w:i/>
          <w:iCs/>
          <w:sz w:val="20"/>
          <w:szCs w:val="20"/>
        </w:rPr>
        <w:t>Investme</w:t>
      </w:r>
      <w:r>
        <w:rPr>
          <w:b/>
          <w:bCs/>
          <w:i/>
          <w:iCs/>
          <w:sz w:val="20"/>
          <w:szCs w:val="20"/>
        </w:rPr>
        <w:t>nt in PSB</w:t>
      </w:r>
      <w:r>
        <w:rPr>
          <w:b/>
          <w:bCs/>
          <w:i/>
          <w:iCs/>
          <w:sz w:val="20"/>
          <w:szCs w:val="20"/>
        </w:rPr>
        <w:t>:</w:t>
      </w:r>
      <w:r>
        <w:rPr>
          <w:i/>
          <w:iCs/>
          <w:sz w:val="20"/>
          <w:szCs w:val="20"/>
        </w:rPr>
        <w:t xml:space="preserve"> </w:t>
      </w:r>
      <w:r>
        <w:rPr>
          <w:sz w:val="20"/>
          <w:szCs w:val="20"/>
        </w:rPr>
        <w:t>Throughout all periods presented, we owned 7,158,354 shares of PS Business Parks, Inc. (“PSB”) common stock and 7,305,355 limited partnership units in an operating partnership controlled by PSB, representing an aggregate approximately 42% common</w:t>
      </w:r>
      <w:r>
        <w:rPr>
          <w:sz w:val="20"/>
          <w:szCs w:val="20"/>
        </w:rPr>
        <w:t xml:space="preserve"> equity interest. The limited partnership units are convertible at our option, subject to certain conditions, on a one-for-one basis into PSB common stock.</w:t>
      </w:r>
      <w:r>
        <w:rPr>
          <w:sz w:val="20"/>
          <w:szCs w:val="20"/>
        </w:rPr>
        <w:t xml:space="preserve"> </w:t>
      </w:r>
    </w:p>
    <w:p w:rsidR="00000000" w:rsidRDefault="00865332">
      <w:pPr>
        <w:pStyle w:val="a3"/>
        <w:spacing w:before="0" w:beforeAutospacing="0" w:after="0" w:afterAutospacing="0" w:line="259" w:lineRule="auto"/>
        <w:ind w:firstLine="720"/>
        <w:jc w:val="both"/>
        <w:divId w:val="1217813553"/>
        <w:rPr>
          <w:sz w:val="20"/>
          <w:szCs w:val="20"/>
        </w:rPr>
      </w:pPr>
      <w:r>
        <w:rPr>
          <w:sz w:val="20"/>
          <w:szCs w:val="20"/>
        </w:rPr>
        <w:t>At December 31, 2019, PSB wholly-owned approximately 27.6 million rentable square feet of commercia</w:t>
      </w:r>
      <w:r>
        <w:rPr>
          <w:sz w:val="20"/>
          <w:szCs w:val="20"/>
        </w:rPr>
        <w:t>l space</w:t>
      </w:r>
      <w:r>
        <w:rPr>
          <w:sz w:val="20"/>
          <w:szCs w:val="20"/>
        </w:rPr>
        <w:t xml:space="preserve"> </w:t>
      </w:r>
      <w:r>
        <w:rPr>
          <w:sz w:val="20"/>
          <w:szCs w:val="20"/>
        </w:rPr>
        <w:t>and had a 95% interest in a 395-unit apartment comple</w:t>
      </w:r>
      <w:r>
        <w:rPr>
          <w:sz w:val="20"/>
          <w:szCs w:val="20"/>
        </w:rPr>
        <w:t>x</w:t>
      </w:r>
      <w:r>
        <w:rPr>
          <w:sz w:val="20"/>
          <w:szCs w:val="20"/>
        </w:rPr>
        <w:t>. PSB also manages commercial space that we own pursuant to property management agreements.</w:t>
      </w:r>
      <w:r>
        <w:rPr>
          <w:sz w:val="20"/>
          <w:szCs w:val="20"/>
        </w:rPr>
        <w:t xml:space="preserve"> </w:t>
      </w:r>
    </w:p>
    <w:p w:rsidR="00000000" w:rsidRDefault="00865332">
      <w:pPr>
        <w:pStyle w:val="a3"/>
        <w:spacing w:before="0" w:beforeAutospacing="0" w:after="0" w:afterAutospacing="0" w:line="259" w:lineRule="auto"/>
        <w:ind w:firstLine="720"/>
        <w:jc w:val="both"/>
        <w:divId w:val="1217813553"/>
        <w:rPr>
          <w:sz w:val="20"/>
          <w:szCs w:val="20"/>
        </w:rPr>
      </w:pPr>
      <w:r>
        <w:rPr>
          <w:sz w:val="20"/>
          <w:szCs w:val="20"/>
        </w:rPr>
        <w:t>Equity in earnings from PSB totaled $54.1 million, $89.4 million, and $46.5 million for 2019, 2018, a</w:t>
      </w:r>
      <w:r>
        <w:rPr>
          <w:sz w:val="20"/>
          <w:szCs w:val="20"/>
        </w:rPr>
        <w:t xml:space="preserve">nd 2017, respectively. Included in these amounts are i) our equity share of gains on sale of real estate totaling $4.4 million, $37.7 million and $3.1 million for 2019, 2018, and 2017, respectively, and ii) our equity share of preferred redemption charges </w:t>
      </w:r>
      <w:r>
        <w:rPr>
          <w:sz w:val="20"/>
          <w:szCs w:val="20"/>
        </w:rPr>
        <w:t>totaling $4.6 million and $4.5 million for 2019 and 2017, respectively.</w:t>
      </w:r>
      <w:r>
        <w:rPr>
          <w:sz w:val="20"/>
          <w:szCs w:val="20"/>
        </w:rPr>
        <w:t xml:space="preserve"> </w:t>
      </w:r>
    </w:p>
    <w:p w:rsidR="00000000" w:rsidRDefault="00865332">
      <w:pPr>
        <w:pStyle w:val="a3"/>
        <w:spacing w:before="0" w:beforeAutospacing="0" w:after="0" w:afterAutospacing="0" w:line="259" w:lineRule="auto"/>
        <w:ind w:firstLine="720"/>
        <w:jc w:val="both"/>
        <w:divId w:val="1217813553"/>
        <w:rPr>
          <w:sz w:val="20"/>
          <w:szCs w:val="20"/>
        </w:rPr>
      </w:pPr>
      <w:r>
        <w:rPr>
          <w:sz w:val="20"/>
          <w:szCs w:val="20"/>
        </w:rPr>
        <w:t>Equity in earnings from PSB, excluding the aforementioned real estate gains and preferred redemption charges, increased $2.6 million in 2019 as compared to 2018 and $3.7 million in 20</w:t>
      </w:r>
      <w:r>
        <w:rPr>
          <w:sz w:val="20"/>
          <w:szCs w:val="20"/>
        </w:rPr>
        <w:t xml:space="preserve">18 as compared to 2017 due primarily to improved property operations. See Note 4 to our December 31, 2019 financial statements for further discussion regarding PSB. PSB’s filings and selected financial information that can be accessed through the SEC, and </w:t>
      </w:r>
      <w:r>
        <w:rPr>
          <w:sz w:val="20"/>
          <w:szCs w:val="20"/>
        </w:rPr>
        <w:t>on PSB’s website, www.psbusinessparks.com. Information on this website is not incorporated by reference herein and is not a part of this Annual Report on Form 10-K.</w:t>
      </w:r>
      <w:r>
        <w:rPr>
          <w:sz w:val="20"/>
          <w:szCs w:val="20"/>
        </w:rPr>
        <w:t xml:space="preserve"> </w:t>
      </w:r>
    </w:p>
    <w:p w:rsidR="00000000" w:rsidRDefault="00865332">
      <w:pPr>
        <w:pStyle w:val="a3"/>
        <w:spacing w:before="0" w:beforeAutospacing="0" w:after="0" w:afterAutospacing="0" w:line="259" w:lineRule="auto"/>
        <w:ind w:firstLine="720"/>
        <w:jc w:val="both"/>
        <w:divId w:val="1217813553"/>
        <w:rPr>
          <w:sz w:val="20"/>
          <w:szCs w:val="20"/>
        </w:rPr>
      </w:pPr>
      <w:r>
        <w:rPr>
          <w:b/>
          <w:bCs/>
          <w:i/>
          <w:iCs/>
          <w:sz w:val="20"/>
          <w:szCs w:val="20"/>
        </w:rPr>
        <w:t>Investment in Shurgard</w:t>
      </w:r>
      <w:r>
        <w:rPr>
          <w:b/>
          <w:bCs/>
          <w:i/>
          <w:iCs/>
          <w:sz w:val="20"/>
          <w:szCs w:val="20"/>
        </w:rPr>
        <w:t>:</w:t>
      </w:r>
      <w:r>
        <w:rPr>
          <w:sz w:val="20"/>
          <w:szCs w:val="20"/>
        </w:rPr>
        <w:t xml:space="preserve"> Throughout all periods presented, we effectively owned, directly a</w:t>
      </w:r>
      <w:r>
        <w:rPr>
          <w:sz w:val="20"/>
          <w:szCs w:val="20"/>
        </w:rPr>
        <w:t>nd indirectl</w:t>
      </w:r>
      <w:r>
        <w:rPr>
          <w:sz w:val="20"/>
          <w:szCs w:val="20"/>
        </w:rPr>
        <w:t>y</w:t>
      </w:r>
      <w:r>
        <w:rPr>
          <w:sz w:val="20"/>
          <w:szCs w:val="20"/>
        </w:rPr>
        <w:t xml:space="preserve"> 31.3 million Shurgard common shares. On</w:t>
      </w:r>
      <w:r>
        <w:rPr>
          <w:sz w:val="20"/>
          <w:szCs w:val="20"/>
        </w:rPr>
        <w:t xml:space="preserve"> </w:t>
      </w:r>
      <w:r>
        <w:rPr>
          <w:color w:val="000000"/>
          <w:sz w:val="20"/>
          <w:szCs w:val="20"/>
        </w:rPr>
        <w:t>October 15, 2018, Shurgard completed an initial global offering (the “Offering”), issuing 25.0 million of its common shares to third parties at a price of €23 per share (€575 million in gross proceeds),</w:t>
      </w:r>
      <w:r>
        <w:rPr>
          <w:color w:val="000000"/>
          <w:sz w:val="20"/>
          <w:szCs w:val="20"/>
        </w:rPr>
        <w:t xml:space="preserve"> reducing our ownership interest from 49% to approximately 35%. Following the Offering, Shurgard’s shares trade on Euronext Brussels under the “SHUR” symbol.</w:t>
      </w:r>
      <w:r>
        <w:rPr>
          <w:color w:val="000000"/>
          <w:sz w:val="20"/>
          <w:szCs w:val="20"/>
        </w:rPr>
        <w:t xml:space="preserve"> </w:t>
      </w:r>
      <w:r>
        <w:rPr>
          <w:sz w:val="20"/>
          <w:szCs w:val="20"/>
        </w:rPr>
        <w:t xml:space="preserve">While we did not sell any shares in the Offering, and have no current plans to do so, we recorded </w:t>
      </w:r>
      <w:r>
        <w:rPr>
          <w:sz w:val="20"/>
          <w:szCs w:val="20"/>
        </w:rPr>
        <w:t>a gain on disposition in 2018 totaling $151.6 million as if we had sold a proportionate share of our investment in Shurgard</w:t>
      </w:r>
      <w:r>
        <w:rPr>
          <w:sz w:val="20"/>
          <w:szCs w:val="20"/>
        </w:rPr>
        <w:t>.</w:t>
      </w:r>
    </w:p>
    <w:p w:rsidR="00000000" w:rsidRDefault="00865332">
      <w:pPr>
        <w:pStyle w:val="a3"/>
        <w:spacing w:before="0" w:beforeAutospacing="0" w:after="0" w:afterAutospacing="0" w:line="259" w:lineRule="auto"/>
        <w:ind w:firstLine="720"/>
        <w:jc w:val="both"/>
        <w:divId w:val="1217813553"/>
        <w:rPr>
          <w:sz w:val="20"/>
          <w:szCs w:val="20"/>
        </w:rPr>
      </w:pPr>
      <w:r>
        <w:rPr>
          <w:sz w:val="20"/>
          <w:szCs w:val="20"/>
        </w:rPr>
        <w:t>At December 31, 2019, Shurgard owned 234 self-storage facilities with approximately 13 million net rentable square feet. Shurgard p</w:t>
      </w:r>
      <w:r>
        <w:rPr>
          <w:sz w:val="20"/>
          <w:szCs w:val="20"/>
        </w:rPr>
        <w:t>ays us license fees for use of the “Shurgard” trademark, as described in more detail in Note 4 to our December 31, 2019 financial statements.</w:t>
      </w:r>
      <w:r>
        <w:rPr>
          <w:sz w:val="20"/>
          <w:szCs w:val="20"/>
        </w:rPr>
        <w:t xml:space="preserve"> </w:t>
      </w:r>
    </w:p>
    <w:p w:rsidR="00000000" w:rsidRDefault="00865332">
      <w:pPr>
        <w:pStyle w:val="a3"/>
        <w:spacing w:before="0" w:beforeAutospacing="0" w:after="0" w:afterAutospacing="0" w:line="259" w:lineRule="auto"/>
        <w:jc w:val="center"/>
        <w:divId w:val="1651791646"/>
        <w:rPr>
          <w:sz w:val="20"/>
          <w:szCs w:val="20"/>
        </w:rPr>
      </w:pPr>
      <w:r>
        <w:rPr>
          <w:rStyle w:val="ctheaderfooterpage"/>
          <w:sz w:val="20"/>
          <w:szCs w:val="20"/>
        </w:rPr>
        <w:t>4</w:t>
      </w:r>
      <w:r>
        <w:rPr>
          <w:rStyle w:val="ctheaderfooterpage"/>
          <w:sz w:val="20"/>
          <w:szCs w:val="20"/>
        </w:rPr>
        <w:t>9</w:t>
      </w:r>
    </w:p>
    <w:p w:rsidR="00000000" w:rsidRDefault="00865332">
      <w:pPr>
        <w:spacing w:before="360" w:after="360"/>
        <w:divId w:val="804084337"/>
        <w:rPr>
          <w:rFonts w:eastAsia="Times New Roman"/>
        </w:rPr>
      </w:pPr>
      <w:r>
        <w:rPr>
          <w:rFonts w:eastAsia="Times New Roman"/>
        </w:rPr>
        <w:pict>
          <v:rect id="_x0000_i1073" style="width:0;height:1.5pt" o:hralign="center" o:hrstd="t" o:hr="t" fillcolor="#a0a0a0" stroked="f"/>
        </w:pict>
      </w:r>
    </w:p>
    <w:p w:rsidR="00000000" w:rsidRDefault="00865332">
      <w:pPr>
        <w:pStyle w:val="a3"/>
        <w:spacing w:before="0" w:beforeAutospacing="0" w:after="0" w:afterAutospacing="0" w:line="259" w:lineRule="auto"/>
        <w:ind w:firstLine="720"/>
        <w:jc w:val="both"/>
        <w:divId w:val="1239750290"/>
        <w:rPr>
          <w:sz w:val="20"/>
          <w:szCs w:val="20"/>
        </w:rPr>
      </w:pPr>
      <w:r>
        <w:rPr>
          <w:sz w:val="20"/>
          <w:szCs w:val="20"/>
        </w:rPr>
        <w:t>Shurgard paid</w:t>
      </w:r>
      <w:r>
        <w:rPr>
          <w:sz w:val="20"/>
          <w:szCs w:val="20"/>
        </w:rPr>
        <w:t xml:space="preserve"> </w:t>
      </w:r>
      <w:r>
        <w:rPr>
          <w:sz w:val="20"/>
          <w:szCs w:val="20"/>
        </w:rPr>
        <w:t>€0.67</w:t>
      </w:r>
      <w:r>
        <w:rPr>
          <w:sz w:val="20"/>
          <w:szCs w:val="20"/>
        </w:rPr>
        <w:t xml:space="preserve"> </w:t>
      </w:r>
      <w:r>
        <w:rPr>
          <w:sz w:val="20"/>
          <w:szCs w:val="20"/>
        </w:rPr>
        <w:t>per shar</w:t>
      </w:r>
      <w:r>
        <w:rPr>
          <w:sz w:val="20"/>
          <w:szCs w:val="20"/>
        </w:rPr>
        <w:t>e</w:t>
      </w:r>
      <w:r>
        <w:rPr>
          <w:sz w:val="20"/>
          <w:szCs w:val="20"/>
        </w:rPr>
        <w:t xml:space="preserve"> in dividends to its shareholders during 2019</w:t>
      </w:r>
      <w:r>
        <w:rPr>
          <w:sz w:val="20"/>
          <w:szCs w:val="20"/>
        </w:rPr>
        <w:t>, of which our share totaled $23.1 million. During 2018, Shurgard paid a cash d</w:t>
      </w:r>
      <w:r>
        <w:rPr>
          <w:sz w:val="20"/>
          <w:szCs w:val="20"/>
        </w:rPr>
        <w:t>i</w:t>
      </w:r>
      <w:r>
        <w:rPr>
          <w:sz w:val="20"/>
          <w:szCs w:val="20"/>
        </w:rPr>
        <w:t>vidend totaling $296.7 million to its shareholders at the time, of which our 49% equity share was</w:t>
      </w:r>
      <w:r>
        <w:rPr>
          <w:sz w:val="20"/>
          <w:szCs w:val="20"/>
        </w:rPr>
        <w:t xml:space="preserve"> </w:t>
      </w:r>
      <w:r>
        <w:rPr>
          <w:sz w:val="20"/>
          <w:szCs w:val="20"/>
        </w:rPr>
        <w:t>$145.4 millio</w:t>
      </w:r>
      <w:r>
        <w:rPr>
          <w:sz w:val="20"/>
          <w:szCs w:val="20"/>
        </w:rPr>
        <w:t>n</w:t>
      </w:r>
      <w:r>
        <w:rPr>
          <w:sz w:val="20"/>
          <w:szCs w:val="20"/>
        </w:rPr>
        <w:t>.</w:t>
      </w:r>
    </w:p>
    <w:p w:rsidR="00000000" w:rsidRDefault="00865332">
      <w:pPr>
        <w:pStyle w:val="a3"/>
        <w:spacing w:before="0" w:beforeAutospacing="0" w:after="0" w:afterAutospacing="0" w:line="259" w:lineRule="auto"/>
        <w:ind w:firstLine="720"/>
        <w:jc w:val="both"/>
        <w:divId w:val="1239750290"/>
        <w:rPr>
          <w:sz w:val="20"/>
          <w:szCs w:val="20"/>
        </w:rPr>
      </w:pPr>
      <w:r>
        <w:rPr>
          <w:sz w:val="20"/>
          <w:szCs w:val="20"/>
        </w:rPr>
        <w:t>In 2019, 2018, and 2017, Shurgard acquired three facilities, e</w:t>
      </w:r>
      <w:r>
        <w:rPr>
          <w:sz w:val="20"/>
          <w:szCs w:val="20"/>
        </w:rPr>
        <w:t>ight facilities, and one facility, respectively, for an aggregate cost of $17.6 million, $114.5 million, and $15.5 million, respectively. In each of 2019, 2018, and 2017, Shurgard opened two newly developed facilities at an aggregate cost totaling $22.2 mi</w:t>
      </w:r>
      <w:r>
        <w:rPr>
          <w:sz w:val="20"/>
          <w:szCs w:val="20"/>
        </w:rPr>
        <w:t>llion, $19.6 million, and $28.8 million, respectively.</w:t>
      </w:r>
      <w:r>
        <w:rPr>
          <w:sz w:val="20"/>
          <w:szCs w:val="20"/>
        </w:rPr>
        <w:t xml:space="preserve"> </w:t>
      </w:r>
    </w:p>
    <w:p w:rsidR="00000000" w:rsidRDefault="00865332">
      <w:pPr>
        <w:pStyle w:val="a3"/>
        <w:spacing w:before="0" w:beforeAutospacing="0" w:after="0" w:afterAutospacing="0" w:line="259" w:lineRule="auto"/>
        <w:ind w:firstLine="720"/>
        <w:jc w:val="both"/>
        <w:divId w:val="1239750290"/>
        <w:rPr>
          <w:sz w:val="20"/>
          <w:szCs w:val="20"/>
        </w:rPr>
      </w:pPr>
      <w:r>
        <w:rPr>
          <w:sz w:val="20"/>
          <w:szCs w:val="20"/>
        </w:rPr>
        <w:t>Our equity in earnings from Shurgard totaled $15.5 million, $14.1 million, and $25.9 million for 2019, 2018, and 2017, respectively. The increase of $1.4 million from 2018 to 2019 is due to (i) a $10.</w:t>
      </w:r>
      <w:r>
        <w:rPr>
          <w:sz w:val="20"/>
          <w:szCs w:val="20"/>
        </w:rPr>
        <w:t>1 million decrease in our equity share of depreciation expense, (ii) a $5.2 million decrease in our equity share of costs due to a casualty loss occurring in 2018 and the costs of the Offering, offset partially by (iii) a reduced average equity ownership i</w:t>
      </w:r>
      <w:r>
        <w:rPr>
          <w:sz w:val="20"/>
          <w:szCs w:val="20"/>
        </w:rPr>
        <w:t>nterest during 2019 due to the Offering as well as approximately $220 million in uninvested offering proceeds at December 31, 2019, and (iv) a 5.2% reduction in average exchange rates of the U.S. Dollar to the Euro. The $11.8 million decrease in 2018 as co</w:t>
      </w:r>
      <w:r>
        <w:rPr>
          <w:sz w:val="20"/>
          <w:szCs w:val="20"/>
        </w:rPr>
        <w:t>mpared to 2017 is due primarily to a $6.9 million increase in our equity share of depreciation expense as well as the aforementioned casualty loss in 2018 and costs of the Offering.</w:t>
      </w:r>
      <w:r>
        <w:rPr>
          <w:sz w:val="20"/>
          <w:szCs w:val="20"/>
        </w:rPr>
        <w:t xml:space="preserve"> </w:t>
      </w:r>
    </w:p>
    <w:p w:rsidR="00000000" w:rsidRDefault="00865332">
      <w:pPr>
        <w:pStyle w:val="a3"/>
        <w:spacing w:before="0" w:beforeAutospacing="0" w:after="0" w:afterAutospacing="0" w:line="259" w:lineRule="auto"/>
        <w:ind w:firstLine="720"/>
        <w:jc w:val="both"/>
        <w:divId w:val="1239750290"/>
        <w:rPr>
          <w:sz w:val="20"/>
          <w:szCs w:val="20"/>
        </w:rPr>
      </w:pPr>
      <w:r>
        <w:rPr>
          <w:sz w:val="20"/>
          <w:szCs w:val="20"/>
        </w:rPr>
        <w:t xml:space="preserve">Our future earnings from Shurgard will also be affected by (i) the operating results of its existing facilities, (ii) the level of development and acquisition activities, (iii) the income tax rates applicable in the various European jurisdictions in which </w:t>
      </w:r>
      <w:r>
        <w:rPr>
          <w:sz w:val="20"/>
          <w:szCs w:val="20"/>
        </w:rPr>
        <w:t>Shurgard operates, and (iv) the exchange rate between the U.S. Dollar and currencies in the countries in which Shurgard conducts its business (principally the Euro).</w:t>
      </w:r>
      <w:r>
        <w:rPr>
          <w:sz w:val="20"/>
          <w:szCs w:val="20"/>
        </w:rPr>
        <w:t xml:space="preserve"> </w:t>
      </w:r>
      <w:r>
        <w:rPr>
          <w:sz w:val="20"/>
          <w:szCs w:val="20"/>
        </w:rPr>
        <w:t xml:space="preserve">Shurgard expects to distribute a substantial portion of its earnings to its shareholders, </w:t>
      </w:r>
      <w:r>
        <w:rPr>
          <w:sz w:val="20"/>
          <w:szCs w:val="20"/>
        </w:rPr>
        <w:t>which will result in reduced cash available to reinvest in real estate. The level of equity income in the near term will also depend on the portion of the proceeds of the Offering which remain uninvested</w:t>
      </w:r>
      <w:r>
        <w:rPr>
          <w:sz w:val="20"/>
          <w:szCs w:val="20"/>
        </w:rPr>
        <w:t>.</w:t>
      </w:r>
    </w:p>
    <w:p w:rsidR="00000000" w:rsidRDefault="00865332">
      <w:pPr>
        <w:pStyle w:val="a3"/>
        <w:spacing w:before="0" w:beforeAutospacing="0" w:after="0" w:afterAutospacing="0" w:line="259" w:lineRule="auto"/>
        <w:ind w:firstLine="720"/>
        <w:jc w:val="both"/>
        <w:divId w:val="1239750290"/>
        <w:rPr>
          <w:sz w:val="20"/>
          <w:szCs w:val="20"/>
        </w:rPr>
      </w:pPr>
      <w:r>
        <w:rPr>
          <w:sz w:val="20"/>
          <w:szCs w:val="20"/>
        </w:rPr>
        <w:t>Shurgard’s public filings and publicly reported inf</w:t>
      </w:r>
      <w:r>
        <w:rPr>
          <w:sz w:val="20"/>
          <w:szCs w:val="20"/>
        </w:rPr>
        <w:t>ormation can be obtained on its website, https://corporate.shurgard.e</w:t>
      </w:r>
      <w:r>
        <w:rPr>
          <w:sz w:val="20"/>
          <w:szCs w:val="20"/>
        </w:rPr>
        <w:t>u</w:t>
      </w:r>
      <w:r>
        <w:rPr>
          <w:color w:val="0000FF"/>
          <w:sz w:val="20"/>
          <w:szCs w:val="20"/>
        </w:rPr>
        <w:t xml:space="preserve"> </w:t>
      </w:r>
      <w:r>
        <w:rPr>
          <w:sz w:val="20"/>
          <w:szCs w:val="20"/>
        </w:rPr>
        <w:t xml:space="preserve">and on the website of the Luxembourg Stock Exchange, http://www.bourse.lu. Information on these websites is not incorporated by reference herein and is not a part of this Annual Report </w:t>
      </w:r>
      <w:r>
        <w:rPr>
          <w:sz w:val="20"/>
          <w:szCs w:val="20"/>
        </w:rPr>
        <w:t>on Form 10-K</w:t>
      </w:r>
      <w:r>
        <w:rPr>
          <w:sz w:val="20"/>
          <w:szCs w:val="20"/>
        </w:rPr>
        <w:t>.</w:t>
      </w:r>
    </w:p>
    <w:p w:rsidR="00000000" w:rsidRDefault="00865332">
      <w:pPr>
        <w:pStyle w:val="a3"/>
        <w:spacing w:before="0" w:beforeAutospacing="0" w:after="0" w:afterAutospacing="0" w:line="259" w:lineRule="auto"/>
        <w:ind w:firstLine="720"/>
        <w:jc w:val="both"/>
        <w:divId w:val="1239750290"/>
        <w:rPr>
          <w:sz w:val="20"/>
          <w:szCs w:val="20"/>
        </w:rPr>
      </w:pPr>
      <w:r>
        <w:rPr>
          <w:sz w:val="20"/>
          <w:szCs w:val="20"/>
        </w:rPr>
        <w:t>For purposes of recording our equity in earnings from Shurgard, the Euro was translated at exchange rates of approximately 1</w:t>
      </w:r>
      <w:r>
        <w:rPr>
          <w:sz w:val="20"/>
          <w:szCs w:val="20"/>
        </w:rPr>
        <w:t>.</w:t>
      </w:r>
      <w:r>
        <w:rPr>
          <w:sz w:val="20"/>
          <w:szCs w:val="20"/>
        </w:rPr>
        <w:t>12</w:t>
      </w:r>
      <w:r>
        <w:rPr>
          <w:sz w:val="20"/>
          <w:szCs w:val="20"/>
        </w:rPr>
        <w:t>2</w:t>
      </w:r>
      <w:r>
        <w:rPr>
          <w:sz w:val="20"/>
          <w:szCs w:val="20"/>
        </w:rPr>
        <w:t> U.S. Dollars per Euro at December 31, 2019 (1</w:t>
      </w:r>
      <w:r>
        <w:rPr>
          <w:sz w:val="20"/>
          <w:szCs w:val="20"/>
        </w:rPr>
        <w:t>.</w:t>
      </w:r>
      <w:r>
        <w:rPr>
          <w:sz w:val="20"/>
          <w:szCs w:val="20"/>
        </w:rPr>
        <w:t>14</w:t>
      </w:r>
      <w:r>
        <w:rPr>
          <w:sz w:val="20"/>
          <w:szCs w:val="20"/>
        </w:rPr>
        <w:t>4</w:t>
      </w:r>
      <w:r>
        <w:rPr>
          <w:sz w:val="20"/>
          <w:szCs w:val="20"/>
        </w:rPr>
        <w:t xml:space="preserve"> at December 31, 2018), and average exchange rates of 1.120 for </w:t>
      </w:r>
      <w:r>
        <w:rPr>
          <w:sz w:val="20"/>
          <w:szCs w:val="20"/>
        </w:rPr>
        <w:t>2019, 1.181 for 2018</w:t>
      </w:r>
      <w:r>
        <w:rPr>
          <w:sz w:val="20"/>
          <w:szCs w:val="20"/>
        </w:rPr>
        <w:t>,</w:t>
      </w:r>
      <w:r>
        <w:rPr>
          <w:sz w:val="20"/>
          <w:szCs w:val="20"/>
        </w:rPr>
        <w:t xml:space="preserve"> </w:t>
      </w:r>
      <w:r>
        <w:rPr>
          <w:sz w:val="20"/>
          <w:szCs w:val="20"/>
        </w:rPr>
        <w:t>and 1.129 for 2017</w:t>
      </w:r>
      <w:r>
        <w:rPr>
          <w:sz w:val="20"/>
          <w:szCs w:val="20"/>
        </w:rPr>
        <w:t>.</w:t>
      </w:r>
    </w:p>
    <w:p w:rsidR="00000000" w:rsidRDefault="00865332">
      <w:pPr>
        <w:pStyle w:val="a3"/>
        <w:spacing w:before="0" w:beforeAutospacing="0" w:after="0" w:afterAutospacing="0" w:line="259" w:lineRule="auto"/>
        <w:divId w:val="1445887469"/>
        <w:rPr>
          <w:sz w:val="20"/>
          <w:szCs w:val="20"/>
        </w:rPr>
      </w:pPr>
      <w:r>
        <w:rPr>
          <w:b/>
          <w:bCs/>
          <w:sz w:val="20"/>
          <w:szCs w:val="20"/>
        </w:rPr>
        <w:t>Analysis of items not allocated to segment</w:t>
      </w:r>
      <w:r>
        <w:rPr>
          <w:b/>
          <w:bCs/>
          <w:sz w:val="20"/>
          <w:szCs w:val="20"/>
        </w:rPr>
        <w:t>s</w:t>
      </w:r>
    </w:p>
    <w:p w:rsidR="00000000" w:rsidRDefault="00865332">
      <w:pPr>
        <w:pStyle w:val="a3"/>
        <w:spacing w:before="0" w:beforeAutospacing="0" w:after="0" w:afterAutospacing="0" w:line="259" w:lineRule="auto"/>
        <w:ind w:firstLine="720"/>
        <w:jc w:val="both"/>
        <w:divId w:val="1239750290"/>
        <w:rPr>
          <w:sz w:val="20"/>
          <w:szCs w:val="20"/>
        </w:rPr>
      </w:pPr>
      <w:r>
        <w:rPr>
          <w:b/>
          <w:bCs/>
          <w:i/>
          <w:iCs/>
          <w:sz w:val="20"/>
          <w:szCs w:val="20"/>
        </w:rPr>
        <w:t>General and administrative expense</w:t>
      </w:r>
      <w:r>
        <w:rPr>
          <w:b/>
          <w:bCs/>
          <w:i/>
          <w:iCs/>
          <w:sz w:val="20"/>
          <w:szCs w:val="20"/>
        </w:rPr>
        <w:t>:</w:t>
      </w:r>
      <w:r>
        <w:rPr>
          <w:sz w:val="20"/>
          <w:szCs w:val="20"/>
        </w:rPr>
        <w:t xml:space="preserve"> The following table sets forth our general and administrative expense:</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738"/>
        <w:gridCol w:w="73"/>
        <w:gridCol w:w="123"/>
        <w:gridCol w:w="704"/>
        <w:gridCol w:w="114"/>
        <w:gridCol w:w="123"/>
        <w:gridCol w:w="723"/>
        <w:gridCol w:w="114"/>
        <w:gridCol w:w="123"/>
        <w:gridCol w:w="704"/>
        <w:gridCol w:w="64"/>
        <w:gridCol w:w="123"/>
        <w:gridCol w:w="723"/>
        <w:gridCol w:w="114"/>
        <w:gridCol w:w="123"/>
        <w:gridCol w:w="704"/>
        <w:gridCol w:w="114"/>
        <w:gridCol w:w="123"/>
        <w:gridCol w:w="679"/>
      </w:tblGrid>
      <w:tr w:rsidR="00000000">
        <w:trPr>
          <w:divId w:val="1239750290"/>
          <w:trHeight w:val="14"/>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Year Ended December 31</w:t>
            </w:r>
            <w:r>
              <w:rPr>
                <w:sz w:val="20"/>
                <w:szCs w:val="20"/>
              </w:rPr>
              <w:t>,</w:t>
            </w: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1239750290"/>
          <w:trHeight w:val="230"/>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1239750290"/>
          <w:trHeight w:val="72"/>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Share-based compensation expense</w:t>
            </w:r>
            <w:r>
              <w:rPr>
                <w:sz w:val="20"/>
                <w:szCs w:val="20"/>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26,61</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71,03</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(44,419</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71,03</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37,54</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33,48</w:t>
            </w:r>
            <w:r>
              <w:rPr>
                <w:sz w:val="20"/>
                <w:szCs w:val="20"/>
              </w:rPr>
              <w:t>3</w:t>
            </w: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Costs of senior executives</w:t>
            </w:r>
            <w:r>
              <w:rPr>
                <w:sz w:val="20"/>
                <w:szCs w:val="20"/>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2,30</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4,82</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(2,513</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4,82</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5,87</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(1,050</w:t>
            </w:r>
            <w:r>
              <w:rPr>
                <w:sz w:val="20"/>
                <w:szCs w:val="20"/>
              </w:rPr>
              <w:t>)</w:t>
            </w: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Development and acquisition cost</w:t>
            </w:r>
            <w:r>
              <w:rPr>
                <w:sz w:val="20"/>
                <w:szCs w:val="20"/>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6,85</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5,44</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1,40</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5,44</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8,19</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(2,752</w:t>
            </w:r>
            <w:r>
              <w:rPr>
                <w:sz w:val="20"/>
                <w:szCs w:val="20"/>
              </w:rPr>
              <w:t>)</w:t>
            </w: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Tax compliance costs and taxes paid</w:t>
            </w:r>
            <w:r>
              <w:rPr>
                <w:sz w:val="20"/>
                <w:szCs w:val="20"/>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5,08</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5,43</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(357</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5,43</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4,79</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64</w:t>
            </w:r>
            <w:r>
              <w:rPr>
                <w:sz w:val="20"/>
                <w:szCs w:val="20"/>
              </w:rPr>
              <w:t>3</w:t>
            </w: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Legal costs</w:t>
            </w:r>
            <w:r>
              <w:rPr>
                <w:sz w:val="20"/>
                <w:szCs w:val="20"/>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7,69</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8,23</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(542</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8,23</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6,99</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1,23</w:t>
            </w:r>
            <w:r>
              <w:rPr>
                <w:sz w:val="20"/>
                <w:szCs w:val="20"/>
              </w:rPr>
              <w:t>9</w:t>
            </w: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Public company costs</w:t>
            </w:r>
            <w:r>
              <w:rPr>
                <w:sz w:val="20"/>
                <w:szCs w:val="20"/>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5,00</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4,71</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29</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4,71</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4,14</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56</w:t>
            </w:r>
            <w:r>
              <w:rPr>
                <w:sz w:val="20"/>
                <w:szCs w:val="20"/>
              </w:rPr>
              <w:t>7</w:t>
            </w: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Other costs</w:t>
            </w:r>
            <w:r>
              <w:rPr>
                <w:sz w:val="20"/>
                <w:szCs w:val="20"/>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18,43</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19,04</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(610</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19,04</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15,33</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3,70</w:t>
            </w:r>
            <w:r>
              <w:rPr>
                <w:sz w:val="20"/>
                <w:szCs w:val="20"/>
              </w:rPr>
              <w:t>8</w:t>
            </w:r>
          </w:p>
        </w:tc>
      </w:tr>
      <w:tr w:rsidR="00000000">
        <w:trPr>
          <w:divId w:val="1239750290"/>
          <w:trHeight w:val="259"/>
        </w:trPr>
        <w:tc>
          <w:tcPr>
            <w:tcW w:w="16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Total</w:t>
            </w:r>
            <w:r>
              <w:rPr>
                <w:sz w:val="20"/>
                <w:szCs w:val="20"/>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71,98</w:t>
            </w:r>
            <w:r>
              <w:rPr>
                <w:sz w:val="20"/>
                <w:szCs w:val="20"/>
              </w:rPr>
              <w:t>3</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118,72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(46,737</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118,72</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82,88</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35,83</w:t>
            </w:r>
            <w:r>
              <w:rPr>
                <w:sz w:val="20"/>
                <w:szCs w:val="20"/>
              </w:rPr>
              <w:t>8</w:t>
            </w:r>
          </w:p>
        </w:tc>
      </w:tr>
    </w:tbl>
    <w:p w:rsidR="00000000" w:rsidRDefault="00865332">
      <w:pPr>
        <w:pStyle w:val="a3"/>
        <w:spacing w:before="0" w:beforeAutospacing="0" w:after="0" w:afterAutospacing="0" w:line="259" w:lineRule="auto"/>
        <w:jc w:val="center"/>
        <w:divId w:val="1791852122"/>
        <w:rPr>
          <w:sz w:val="20"/>
          <w:szCs w:val="20"/>
        </w:rPr>
      </w:pPr>
      <w:r>
        <w:rPr>
          <w:rStyle w:val="ctheaderfooterpage"/>
          <w:sz w:val="20"/>
          <w:szCs w:val="20"/>
        </w:rPr>
        <w:t>5</w:t>
      </w:r>
      <w:r>
        <w:rPr>
          <w:rStyle w:val="ctheaderfooterpage"/>
          <w:sz w:val="20"/>
          <w:szCs w:val="20"/>
        </w:rPr>
        <w:t>0</w:t>
      </w:r>
    </w:p>
    <w:p w:rsidR="00000000" w:rsidRDefault="00865332">
      <w:pPr>
        <w:spacing w:before="360" w:after="360"/>
        <w:divId w:val="2101483196"/>
        <w:rPr>
          <w:rFonts w:eastAsia="Times New Roman"/>
        </w:rPr>
      </w:pPr>
      <w:r>
        <w:rPr>
          <w:rFonts w:eastAsia="Times New Roman"/>
        </w:rPr>
        <w:pict>
          <v:rect id="_x0000_i1074" style="width:0;height:1.5pt" o:hralign="center" o:hrstd="t" o:hr="t" fillcolor="#a0a0a0" stroked="f"/>
        </w:pict>
      </w:r>
    </w:p>
    <w:p w:rsidR="00000000" w:rsidRDefault="00865332">
      <w:pPr>
        <w:pStyle w:val="a3"/>
        <w:spacing w:before="0" w:beforeAutospacing="0" w:after="0" w:afterAutospacing="0" w:line="259" w:lineRule="auto"/>
        <w:ind w:firstLine="720"/>
        <w:jc w:val="both"/>
        <w:divId w:val="1103955327"/>
        <w:rPr>
          <w:sz w:val="20"/>
          <w:szCs w:val="20"/>
        </w:rPr>
      </w:pPr>
      <w:r>
        <w:rPr>
          <w:sz w:val="20"/>
          <w:szCs w:val="20"/>
        </w:rPr>
        <w:t>Share-based compensation expense includes the amortization of restricted share units and stock options granted to employees and trustees, as well as related employer taxes. Share-based compensation expense varies based upon the level of grants and their re</w:t>
      </w:r>
      <w:r>
        <w:rPr>
          <w:sz w:val="20"/>
          <w:szCs w:val="20"/>
        </w:rPr>
        <w:t>lated vesting and amortization periods, forfeitures, as well as the Company’s common share price on the date of grant.</w:t>
      </w:r>
      <w:r>
        <w:rPr>
          <w:sz w:val="20"/>
          <w:szCs w:val="20"/>
        </w:rPr>
        <w:t xml:space="preserve"> </w:t>
      </w:r>
    </w:p>
    <w:p w:rsidR="00000000" w:rsidRDefault="00865332">
      <w:pPr>
        <w:pStyle w:val="a3"/>
        <w:spacing w:before="0" w:beforeAutospacing="0" w:after="0" w:afterAutospacing="0" w:line="259" w:lineRule="auto"/>
        <w:ind w:firstLine="720"/>
        <w:jc w:val="both"/>
        <w:divId w:val="1103955327"/>
        <w:rPr>
          <w:sz w:val="20"/>
          <w:szCs w:val="20"/>
        </w:rPr>
      </w:pPr>
      <w:r>
        <w:rPr>
          <w:color w:val="000000"/>
          <w:sz w:val="20"/>
          <w:szCs w:val="20"/>
        </w:rPr>
        <w:t>In February 2018, we announced that our CEO and CFO at the time were retiring from their executive roles at the end of 2018 and would se</w:t>
      </w:r>
      <w:r>
        <w:rPr>
          <w:color w:val="000000"/>
          <w:sz w:val="20"/>
          <w:szCs w:val="20"/>
        </w:rPr>
        <w:t>rve only as Trustees of the Company. Accordingly, all remaining share-based compensation expense for these two executives was amortized through the end of 2018, resulting in approximately $30.7 million</w:t>
      </w:r>
      <w:r>
        <w:rPr>
          <w:color w:val="000000"/>
          <w:sz w:val="20"/>
          <w:szCs w:val="20"/>
        </w:rPr>
        <w:t xml:space="preserve"> </w:t>
      </w:r>
      <w:r>
        <w:rPr>
          <w:sz w:val="20"/>
          <w:szCs w:val="20"/>
        </w:rPr>
        <w:t>in incremental share-based compensation expense for 20</w:t>
      </w:r>
      <w:r>
        <w:rPr>
          <w:sz w:val="20"/>
          <w:szCs w:val="20"/>
        </w:rPr>
        <w:t>18.</w:t>
      </w:r>
      <w:r>
        <w:rPr>
          <w:sz w:val="20"/>
          <w:szCs w:val="20"/>
        </w:rPr>
        <w:t xml:space="preserve"> </w:t>
      </w:r>
      <w:r>
        <w:rPr>
          <w:color w:val="000000"/>
          <w:sz w:val="20"/>
          <w:szCs w:val="20"/>
        </w:rPr>
        <w:t xml:space="preserve">The remaining decreases in 2019 are due primarily to reductions in ongoing share-based compensation awards. </w:t>
      </w:r>
      <w:r>
        <w:rPr>
          <w:color w:val="000000"/>
          <w:sz w:val="20"/>
          <w:szCs w:val="20"/>
        </w:rPr>
        <w:t>S</w:t>
      </w:r>
      <w:r>
        <w:rPr>
          <w:sz w:val="20"/>
          <w:szCs w:val="20"/>
        </w:rPr>
        <w:t>ee Note 10 to our December 31, 2019 financial statements for further information on our share-based compensation.</w:t>
      </w:r>
      <w:r>
        <w:rPr>
          <w:sz w:val="20"/>
          <w:szCs w:val="20"/>
        </w:rPr>
        <w:t xml:space="preserve"> </w:t>
      </w:r>
    </w:p>
    <w:p w:rsidR="00000000" w:rsidRDefault="00865332">
      <w:pPr>
        <w:pStyle w:val="a3"/>
        <w:spacing w:before="0" w:beforeAutospacing="0" w:after="0" w:afterAutospacing="0" w:line="259" w:lineRule="auto"/>
        <w:ind w:firstLine="720"/>
        <w:jc w:val="both"/>
        <w:divId w:val="1103955327"/>
        <w:rPr>
          <w:sz w:val="20"/>
          <w:szCs w:val="20"/>
        </w:rPr>
      </w:pPr>
      <w:r>
        <w:rPr>
          <w:sz w:val="20"/>
          <w:szCs w:val="20"/>
        </w:rPr>
        <w:t>In early 2020, our share-bas</w:t>
      </w:r>
      <w:r>
        <w:rPr>
          <w:sz w:val="20"/>
          <w:szCs w:val="20"/>
        </w:rPr>
        <w:t>ed compensation plans were revised to allow vesting (“Retirement Vesting”), rather than forfeiture, of all unvested share-based grants upon termination of service, for employees that meet certain requirements, such as minimum age, minimum years of service,</w:t>
      </w:r>
      <w:r>
        <w:rPr>
          <w:sz w:val="20"/>
          <w:szCs w:val="20"/>
        </w:rPr>
        <w:t xml:space="preserve"> notice, and who cooperate as needed in a transition plan. This change is expected to increase share-based compensation expense in 2020, due primarily to accelerated amortization of share-based grants that are expected to be eligible for Retirement Vesting</w:t>
      </w:r>
      <w:r>
        <w:rPr>
          <w:sz w:val="20"/>
          <w:szCs w:val="20"/>
        </w:rPr>
        <w:t xml:space="preserve"> at an earlier date than the original vesting date.</w:t>
      </w:r>
      <w:r>
        <w:rPr>
          <w:sz w:val="20"/>
          <w:szCs w:val="20"/>
        </w:rPr>
        <w:t xml:space="preserve"> </w:t>
      </w:r>
    </w:p>
    <w:p w:rsidR="00000000" w:rsidRDefault="00865332">
      <w:pPr>
        <w:pStyle w:val="a3"/>
        <w:spacing w:before="0" w:beforeAutospacing="0" w:after="0" w:afterAutospacing="0" w:line="259" w:lineRule="auto"/>
        <w:ind w:firstLine="720"/>
        <w:jc w:val="both"/>
        <w:divId w:val="1103955327"/>
        <w:rPr>
          <w:sz w:val="20"/>
          <w:szCs w:val="20"/>
        </w:rPr>
      </w:pPr>
      <w:r>
        <w:rPr>
          <w:sz w:val="20"/>
          <w:szCs w:val="20"/>
        </w:rPr>
        <w:t>Costs of senior executives represent the cash compensation paid to our CEO and CFO.</w:t>
      </w:r>
      <w:r>
        <w:rPr>
          <w:sz w:val="20"/>
          <w:szCs w:val="20"/>
        </w:rPr>
        <w:t xml:space="preserve"> </w:t>
      </w:r>
    </w:p>
    <w:p w:rsidR="00000000" w:rsidRDefault="00865332">
      <w:pPr>
        <w:pStyle w:val="a3"/>
        <w:spacing w:before="0" w:beforeAutospacing="0" w:after="0" w:afterAutospacing="0" w:line="259" w:lineRule="auto"/>
        <w:ind w:firstLine="720"/>
        <w:jc w:val="both"/>
        <w:divId w:val="1103955327"/>
        <w:rPr>
          <w:sz w:val="20"/>
          <w:szCs w:val="20"/>
        </w:rPr>
      </w:pPr>
      <w:r>
        <w:rPr>
          <w:sz w:val="20"/>
          <w:szCs w:val="20"/>
        </w:rPr>
        <w:t>Development and acquisition costs primarily represent internal and external expenses related to our development and ac</w:t>
      </w:r>
      <w:r>
        <w:rPr>
          <w:sz w:val="20"/>
          <w:szCs w:val="20"/>
        </w:rPr>
        <w:t>quisition of real estate facilities and varies primarily based upon the level of activities. The amounts in the above table are net of $12.0 million, $12.2 million, and $9.4 million for 2019, 2018, and 2017, respectively, in development costs that were cap</w:t>
      </w:r>
      <w:r>
        <w:rPr>
          <w:sz w:val="20"/>
          <w:szCs w:val="20"/>
        </w:rPr>
        <w:t>italized to newly developed and redeveloped self-storage facilities. Development and acquisition costs are expected to remain stable in 2020.</w:t>
      </w:r>
      <w:r>
        <w:rPr>
          <w:sz w:val="20"/>
          <w:szCs w:val="20"/>
        </w:rPr>
        <w:t xml:space="preserve"> </w:t>
      </w:r>
    </w:p>
    <w:p w:rsidR="00000000" w:rsidRDefault="00865332">
      <w:pPr>
        <w:pStyle w:val="a3"/>
        <w:spacing w:before="0" w:beforeAutospacing="0" w:after="0" w:afterAutospacing="0" w:line="259" w:lineRule="auto"/>
        <w:ind w:firstLine="720"/>
        <w:jc w:val="both"/>
        <w:divId w:val="1103955327"/>
        <w:rPr>
          <w:sz w:val="20"/>
          <w:szCs w:val="20"/>
        </w:rPr>
      </w:pPr>
      <w:r>
        <w:rPr>
          <w:sz w:val="20"/>
          <w:szCs w:val="20"/>
        </w:rPr>
        <w:t>Tax compliance costs and taxes paid include taxes paid to various state and local authorities, the internal and e</w:t>
      </w:r>
      <w:r>
        <w:rPr>
          <w:sz w:val="20"/>
          <w:szCs w:val="20"/>
        </w:rPr>
        <w:t>xternal costs of filing tax returns, costs associated with complying with federal and state tax laws, and maintaining our compliance with Internal Revenue Service REIT rules. Such costs vary primarily based upon the tax rates of the various states in which</w:t>
      </w:r>
      <w:r>
        <w:rPr>
          <w:sz w:val="20"/>
          <w:szCs w:val="20"/>
        </w:rPr>
        <w:t xml:space="preserve"> we do business.</w:t>
      </w:r>
      <w:r>
        <w:rPr>
          <w:sz w:val="20"/>
          <w:szCs w:val="20"/>
        </w:rPr>
        <w:t xml:space="preserve"> </w:t>
      </w:r>
    </w:p>
    <w:p w:rsidR="00000000" w:rsidRDefault="00865332">
      <w:pPr>
        <w:pStyle w:val="a3"/>
        <w:spacing w:before="0" w:beforeAutospacing="0" w:after="0" w:afterAutospacing="0" w:line="259" w:lineRule="auto"/>
        <w:ind w:firstLine="720"/>
        <w:jc w:val="both"/>
        <w:divId w:val="1103955327"/>
        <w:rPr>
          <w:sz w:val="20"/>
          <w:szCs w:val="20"/>
        </w:rPr>
      </w:pPr>
      <w:r>
        <w:rPr>
          <w:sz w:val="20"/>
          <w:szCs w:val="20"/>
        </w:rPr>
        <w:t>Legal costs include internal personnel as well as fees paid to legal firms and other third parties with respect to general corporate legal matters and risk management, and varies based upon the level of legal activity. The future level of</w:t>
      </w:r>
      <w:r>
        <w:rPr>
          <w:sz w:val="20"/>
          <w:szCs w:val="20"/>
        </w:rPr>
        <w:t xml:space="preserve"> legal costs is not determinable.</w:t>
      </w:r>
      <w:r>
        <w:rPr>
          <w:sz w:val="20"/>
          <w:szCs w:val="20"/>
        </w:rPr>
        <w:t xml:space="preserve"> </w:t>
      </w:r>
    </w:p>
    <w:p w:rsidR="00000000" w:rsidRDefault="00865332">
      <w:pPr>
        <w:pStyle w:val="a3"/>
        <w:spacing w:before="0" w:beforeAutospacing="0" w:after="0" w:afterAutospacing="0" w:line="259" w:lineRule="auto"/>
        <w:ind w:firstLine="720"/>
        <w:jc w:val="both"/>
        <w:divId w:val="1103955327"/>
        <w:rPr>
          <w:sz w:val="20"/>
          <w:szCs w:val="20"/>
        </w:rPr>
      </w:pPr>
      <w:r>
        <w:rPr>
          <w:sz w:val="20"/>
          <w:szCs w:val="20"/>
        </w:rPr>
        <w:t>Public company costs represent the incremental costs of operating as a publicly-traded company, such as internal and external investor relations expenses, stock listing and transfer agent fees, board of trustees’ (our “Bo</w:t>
      </w:r>
      <w:r>
        <w:rPr>
          <w:sz w:val="20"/>
          <w:szCs w:val="20"/>
        </w:rPr>
        <w:t>ard”) costs, and costs associated with maintaining compliance with applicable laws and regulations, including the Dodd-Frank Wall Street Reform and Consumer Protection Act and Sarbanes-Oxley Act of 2002.</w:t>
      </w:r>
      <w:r>
        <w:rPr>
          <w:sz w:val="20"/>
          <w:szCs w:val="20"/>
        </w:rPr>
        <w:t xml:space="preserve"> </w:t>
      </w:r>
    </w:p>
    <w:p w:rsidR="00000000" w:rsidRDefault="00865332">
      <w:pPr>
        <w:pStyle w:val="a3"/>
        <w:spacing w:before="0" w:beforeAutospacing="0" w:after="0" w:afterAutospacing="0" w:line="259" w:lineRule="auto"/>
        <w:ind w:firstLine="720"/>
        <w:jc w:val="both"/>
        <w:divId w:val="1103955327"/>
        <w:rPr>
          <w:sz w:val="20"/>
          <w:szCs w:val="20"/>
        </w:rPr>
      </w:pPr>
      <w:r>
        <w:rPr>
          <w:sz w:val="20"/>
          <w:szCs w:val="20"/>
        </w:rPr>
        <w:t>Other costs represent certain professional and cons</w:t>
      </w:r>
      <w:r>
        <w:rPr>
          <w:sz w:val="20"/>
          <w:szCs w:val="20"/>
        </w:rPr>
        <w:t>ulting fees, payroll, and overhead that are not attributable to our property operations. Such costs include nonrecurring and variable items, the level of which depend upon corporate activities and initiatives and, as a result, such costs are not predictabl</w:t>
      </w:r>
      <w:r>
        <w:rPr>
          <w:sz w:val="20"/>
          <w:szCs w:val="20"/>
        </w:rPr>
        <w:t>e</w:t>
      </w:r>
      <w:r>
        <w:rPr>
          <w:sz w:val="20"/>
          <w:szCs w:val="20"/>
        </w:rPr>
        <w:t>.</w:t>
      </w:r>
    </w:p>
    <w:p w:rsidR="00000000" w:rsidRDefault="00865332">
      <w:pPr>
        <w:pStyle w:val="a3"/>
        <w:spacing w:before="0" w:beforeAutospacing="0" w:after="0" w:afterAutospacing="0" w:line="259" w:lineRule="auto"/>
        <w:ind w:firstLine="720"/>
        <w:jc w:val="both"/>
        <w:divId w:val="1103955327"/>
        <w:rPr>
          <w:sz w:val="20"/>
          <w:szCs w:val="20"/>
        </w:rPr>
      </w:pPr>
      <w:r>
        <w:rPr>
          <w:sz w:val="20"/>
          <w:szCs w:val="20"/>
        </w:rPr>
        <w:t>Our future general and administrative expenses are difficult to estimate, due to their dependence upon many factors, including those noted above</w:t>
      </w:r>
      <w:r>
        <w:rPr>
          <w:sz w:val="20"/>
          <w:szCs w:val="20"/>
        </w:rPr>
        <w:t>.</w:t>
      </w:r>
    </w:p>
    <w:p w:rsidR="00000000" w:rsidRDefault="00865332">
      <w:pPr>
        <w:pStyle w:val="a3"/>
        <w:spacing w:before="0" w:beforeAutospacing="0" w:after="0" w:afterAutospacing="0" w:line="259" w:lineRule="auto"/>
        <w:ind w:firstLine="720"/>
        <w:jc w:val="both"/>
        <w:divId w:val="1103955327"/>
        <w:rPr>
          <w:sz w:val="20"/>
          <w:szCs w:val="20"/>
        </w:rPr>
      </w:pPr>
      <w:r>
        <w:rPr>
          <w:b/>
          <w:bCs/>
          <w:i/>
          <w:iCs/>
          <w:sz w:val="20"/>
          <w:szCs w:val="20"/>
        </w:rPr>
        <w:t>Interest and other income</w:t>
      </w:r>
      <w:r>
        <w:rPr>
          <w:b/>
          <w:bCs/>
          <w:i/>
          <w:iCs/>
          <w:sz w:val="20"/>
          <w:szCs w:val="20"/>
        </w:rPr>
        <w:t>:</w:t>
      </w:r>
      <w:r>
        <w:rPr>
          <w:sz w:val="20"/>
          <w:szCs w:val="20"/>
        </w:rPr>
        <w:t xml:space="preserve"> Interest and other income is comprised primarily of the net income from our comm</w:t>
      </w:r>
      <w:r>
        <w:rPr>
          <w:sz w:val="20"/>
          <w:szCs w:val="20"/>
        </w:rPr>
        <w:t>ercial operations, our property management operation, interest earned on cash balances, and trademark license fees received from Shurgard, as well as sundry other income items that are received from time to time in varying amounts. Excluding amounts attrib</w:t>
      </w:r>
      <w:r>
        <w:rPr>
          <w:sz w:val="20"/>
          <w:szCs w:val="20"/>
        </w:rPr>
        <w:t>utable to the aggregate of our commercial operations and property management operations totaling $10.7 million, $11.8 million, and $10.9 million in 2019, 2018, and 2017, respectively, interest and other income increased in 2019 due primarily to increased l</w:t>
      </w:r>
      <w:r>
        <w:rPr>
          <w:sz w:val="20"/>
          <w:szCs w:val="20"/>
        </w:rPr>
        <w:t>evels of uninvested cash balances and increased in 2018</w:t>
      </w:r>
      <w:r>
        <w:rPr>
          <w:sz w:val="20"/>
          <w:szCs w:val="20"/>
        </w:rPr>
        <w:t xml:space="preserve"> </w:t>
      </w:r>
    </w:p>
    <w:p w:rsidR="00000000" w:rsidRDefault="00865332">
      <w:pPr>
        <w:pStyle w:val="a3"/>
        <w:spacing w:before="0" w:beforeAutospacing="0" w:after="0" w:afterAutospacing="0" w:line="259" w:lineRule="auto"/>
        <w:jc w:val="center"/>
        <w:divId w:val="1867524106"/>
        <w:rPr>
          <w:sz w:val="20"/>
          <w:szCs w:val="20"/>
        </w:rPr>
      </w:pPr>
      <w:r>
        <w:rPr>
          <w:rStyle w:val="ctheaderfooterpage"/>
          <w:sz w:val="20"/>
          <w:szCs w:val="20"/>
        </w:rPr>
        <w:t>5</w:t>
      </w:r>
      <w:r>
        <w:rPr>
          <w:rStyle w:val="ctheaderfooterpage"/>
          <w:sz w:val="20"/>
          <w:szCs w:val="20"/>
        </w:rPr>
        <w:t>1</w:t>
      </w:r>
    </w:p>
    <w:p w:rsidR="00000000" w:rsidRDefault="00865332">
      <w:pPr>
        <w:spacing w:before="360" w:after="360"/>
        <w:divId w:val="365637682"/>
        <w:rPr>
          <w:rFonts w:eastAsia="Times New Roman"/>
        </w:rPr>
      </w:pPr>
      <w:r>
        <w:rPr>
          <w:rFonts w:eastAsia="Times New Roman"/>
        </w:rPr>
        <w:pict>
          <v:rect id="_x0000_i1075" style="width:0;height:1.5pt" o:hralign="center" o:hrstd="t" o:hr="t" fillcolor="#a0a0a0" stroked="f"/>
        </w:pict>
      </w:r>
    </w:p>
    <w:p w:rsidR="00000000" w:rsidRDefault="00865332">
      <w:pPr>
        <w:pStyle w:val="a3"/>
        <w:spacing w:before="0" w:beforeAutospacing="0" w:after="0" w:afterAutospacing="0" w:line="259" w:lineRule="auto"/>
        <w:jc w:val="both"/>
        <w:divId w:val="1992831499"/>
        <w:rPr>
          <w:sz w:val="20"/>
          <w:szCs w:val="20"/>
        </w:rPr>
      </w:pPr>
      <w:r>
        <w:rPr>
          <w:sz w:val="20"/>
          <w:szCs w:val="20"/>
        </w:rPr>
        <w:t xml:space="preserve">due primarily to increased average interest rates. We do not expect any significant changes in income from commercial and property management operations in 2020. The level of other interest and income items in 2020 will </w:t>
      </w:r>
      <w:r>
        <w:rPr>
          <w:sz w:val="20"/>
          <w:szCs w:val="20"/>
        </w:rPr>
        <w:t>be dependent upon the level of cash balances we retain, interest rates, and the level of sundry other income items</w:t>
      </w:r>
      <w:r>
        <w:rPr>
          <w:sz w:val="20"/>
          <w:szCs w:val="20"/>
        </w:rPr>
        <w:t>.</w:t>
      </w:r>
    </w:p>
    <w:p w:rsidR="00000000" w:rsidRDefault="00865332">
      <w:pPr>
        <w:pStyle w:val="a3"/>
        <w:spacing w:before="0" w:beforeAutospacing="0" w:after="0" w:afterAutospacing="0" w:line="259" w:lineRule="auto"/>
        <w:ind w:firstLine="720"/>
        <w:jc w:val="both"/>
        <w:divId w:val="1992831499"/>
        <w:rPr>
          <w:sz w:val="20"/>
          <w:szCs w:val="20"/>
        </w:rPr>
      </w:pPr>
      <w:r>
        <w:rPr>
          <w:b/>
          <w:bCs/>
          <w:i/>
          <w:iCs/>
          <w:sz w:val="20"/>
          <w:szCs w:val="20"/>
        </w:rPr>
        <w:t>Interest expense</w:t>
      </w:r>
      <w:r>
        <w:rPr>
          <w:b/>
          <w:bCs/>
          <w:i/>
          <w:iCs/>
          <w:sz w:val="20"/>
          <w:szCs w:val="20"/>
        </w:rPr>
        <w:t>:</w:t>
      </w:r>
      <w:r>
        <w:rPr>
          <w:sz w:val="20"/>
          <w:szCs w:val="20"/>
        </w:rPr>
        <w:t xml:space="preserve"> For 2019, 2018 and 2017, we incurred $49.6 million, $37.3 million, and $17.1 million, respectively, of interest on our out</w:t>
      </w:r>
      <w:r>
        <w:rPr>
          <w:sz w:val="20"/>
          <w:szCs w:val="20"/>
        </w:rPr>
        <w:t>standing debt. In determining interest expense, these amounts were offset by capitalized interest of $3.9 million, $4.8 million and $4.4 million during 2019, 2018, and 2017, respectively, associated with our development activities. The increase in 2019, 20</w:t>
      </w:r>
      <w:r>
        <w:rPr>
          <w:sz w:val="20"/>
          <w:szCs w:val="20"/>
        </w:rPr>
        <w:t>18, and 2017 is due to the issuance of debt. At December 31, 2019, we had $1.9 billion of debt outstanding, with an average interest rate of approximately 2.9%. On January 24, 2020, we issued, in a public offering, €500 million ($551.6 million) aggregate p</w:t>
      </w:r>
      <w:r>
        <w:rPr>
          <w:sz w:val="20"/>
          <w:szCs w:val="20"/>
        </w:rPr>
        <w:t>rincipal amount of senior notes bearing interest at an annual rate of 0.875% and maturing on January 24, 2032.</w:t>
      </w:r>
      <w:r>
        <w:rPr>
          <w:sz w:val="20"/>
          <w:szCs w:val="20"/>
        </w:rPr>
        <w:t xml:space="preserve"> </w:t>
      </w:r>
    </w:p>
    <w:p w:rsidR="00000000" w:rsidRDefault="00865332">
      <w:pPr>
        <w:pStyle w:val="a3"/>
        <w:spacing w:before="0" w:beforeAutospacing="0" w:after="0" w:afterAutospacing="0" w:line="259" w:lineRule="auto"/>
        <w:ind w:firstLine="720"/>
        <w:jc w:val="both"/>
        <w:divId w:val="1992831499"/>
        <w:rPr>
          <w:sz w:val="20"/>
          <w:szCs w:val="20"/>
        </w:rPr>
      </w:pPr>
      <w:r>
        <w:rPr>
          <w:sz w:val="20"/>
          <w:szCs w:val="20"/>
        </w:rPr>
        <w:t>Future interest expense will be dependent upon the level of outstanding debt and the amount of in-process development costs.</w:t>
      </w:r>
      <w:r>
        <w:rPr>
          <w:sz w:val="20"/>
          <w:szCs w:val="20"/>
        </w:rPr>
        <w:t xml:space="preserve"> </w:t>
      </w:r>
    </w:p>
    <w:p w:rsidR="00000000" w:rsidRDefault="00865332">
      <w:pPr>
        <w:pStyle w:val="a3"/>
        <w:spacing w:before="0" w:beforeAutospacing="0" w:after="0" w:afterAutospacing="0" w:line="259" w:lineRule="auto"/>
        <w:ind w:firstLine="720"/>
        <w:jc w:val="both"/>
        <w:divId w:val="1992831499"/>
        <w:rPr>
          <w:sz w:val="20"/>
          <w:szCs w:val="20"/>
        </w:rPr>
      </w:pPr>
      <w:r>
        <w:rPr>
          <w:b/>
          <w:bCs/>
          <w:i/>
          <w:iCs/>
          <w:sz w:val="20"/>
          <w:szCs w:val="20"/>
        </w:rPr>
        <w:t>Foreign Exchange G</w:t>
      </w:r>
      <w:r>
        <w:rPr>
          <w:b/>
          <w:bCs/>
          <w:i/>
          <w:iCs/>
          <w:sz w:val="20"/>
          <w:szCs w:val="20"/>
        </w:rPr>
        <w:t>ain (Loss)</w:t>
      </w:r>
      <w:r>
        <w:rPr>
          <w:b/>
          <w:bCs/>
          <w:i/>
          <w:iCs/>
          <w:sz w:val="20"/>
          <w:szCs w:val="20"/>
        </w:rPr>
        <w:t>:</w:t>
      </w:r>
      <w:r>
        <w:rPr>
          <w:sz w:val="20"/>
          <w:szCs w:val="20"/>
        </w:rPr>
        <w:t xml:space="preserve"> For 2019, we recorded a foreign currency translation gain of $7.8 million representing the change in the U.S. Dollar equivalent of our Euro-denominated unsecured notes due to fluctuations in exchange rates (gain of $18.1 million and loss of $50</w:t>
      </w:r>
      <w:r>
        <w:rPr>
          <w:sz w:val="20"/>
          <w:szCs w:val="20"/>
        </w:rPr>
        <w:t>.0 million for 2018 and 2017, respectively). The Euro was translated at exchange rates of approximately 1.122 U.S. Dollars per Euro at December 31, 2019, 1.144 at December 31, 2018 and 1.198 at December 31, 2017. Future gains and losses on foreign currency</w:t>
      </w:r>
      <w:r>
        <w:rPr>
          <w:sz w:val="20"/>
          <w:szCs w:val="20"/>
        </w:rPr>
        <w:t xml:space="preserve"> translation will be dependent upon changes in the relative value of the Euro to the U.S. Dollar, and the level of Euro-denominated debt outstanding (which includes our aforementioned January 24, 2020 public offering of €500 million of senior notes)</w:t>
      </w:r>
      <w:r>
        <w:rPr>
          <w:sz w:val="20"/>
          <w:szCs w:val="20"/>
        </w:rPr>
        <w:t>.</w:t>
      </w:r>
    </w:p>
    <w:p w:rsidR="00000000" w:rsidRDefault="00865332">
      <w:pPr>
        <w:pStyle w:val="a3"/>
        <w:spacing w:before="0" w:beforeAutospacing="0" w:after="0" w:afterAutospacing="0" w:line="259" w:lineRule="auto"/>
        <w:ind w:firstLine="720"/>
        <w:jc w:val="both"/>
        <w:divId w:val="1992831499"/>
        <w:rPr>
          <w:sz w:val="20"/>
          <w:szCs w:val="20"/>
        </w:rPr>
      </w:pPr>
      <w:r>
        <w:rPr>
          <w:b/>
          <w:bCs/>
          <w:i/>
          <w:iCs/>
          <w:sz w:val="20"/>
          <w:szCs w:val="20"/>
        </w:rPr>
        <w:t>Casua</w:t>
      </w:r>
      <w:r>
        <w:rPr>
          <w:b/>
          <w:bCs/>
          <w:i/>
          <w:iCs/>
          <w:sz w:val="20"/>
          <w:szCs w:val="20"/>
        </w:rPr>
        <w:t>lty Loss</w:t>
      </w:r>
      <w:r>
        <w:rPr>
          <w:b/>
          <w:bCs/>
          <w:i/>
          <w:iCs/>
          <w:sz w:val="20"/>
          <w:szCs w:val="20"/>
        </w:rPr>
        <w:t>:</w:t>
      </w:r>
      <w:r>
        <w:rPr>
          <w:sz w:val="20"/>
          <w:szCs w:val="20"/>
        </w:rPr>
        <w:t xml:space="preserve"> During 2017, we incurred a $7.8 million casualty loss with respect to damage to several of our facilities caused by</w:t>
      </w:r>
      <w:r>
        <w:rPr>
          <w:sz w:val="20"/>
          <w:szCs w:val="20"/>
        </w:rPr>
        <w:t xml:space="preserve"> </w:t>
      </w:r>
      <w:r>
        <w:rPr>
          <w:color w:val="000000"/>
          <w:sz w:val="20"/>
          <w:szCs w:val="20"/>
        </w:rPr>
        <w:t>Hurricanes Harvey and Irma</w:t>
      </w:r>
      <w:r>
        <w:rPr>
          <w:color w:val="000000"/>
          <w:sz w:val="20"/>
          <w:szCs w:val="20"/>
        </w:rPr>
        <w:t>.</w:t>
      </w:r>
    </w:p>
    <w:p w:rsidR="00000000" w:rsidRDefault="00865332">
      <w:pPr>
        <w:pStyle w:val="a3"/>
        <w:spacing w:before="0" w:beforeAutospacing="0" w:after="0" w:afterAutospacing="0" w:line="259" w:lineRule="auto"/>
        <w:ind w:firstLine="720"/>
        <w:jc w:val="both"/>
        <w:divId w:val="1992831499"/>
        <w:rPr>
          <w:sz w:val="20"/>
          <w:szCs w:val="20"/>
        </w:rPr>
      </w:pPr>
      <w:r>
        <w:rPr>
          <w:b/>
          <w:bCs/>
          <w:i/>
          <w:iCs/>
          <w:sz w:val="20"/>
          <w:szCs w:val="20"/>
        </w:rPr>
        <w:t>Gain on Real Estate Investment Sales</w:t>
      </w:r>
      <w:r>
        <w:rPr>
          <w:b/>
          <w:bCs/>
          <w:i/>
          <w:iCs/>
          <w:sz w:val="20"/>
          <w:szCs w:val="20"/>
        </w:rPr>
        <w:t>:</w:t>
      </w:r>
      <w:r>
        <w:rPr>
          <w:sz w:val="20"/>
          <w:szCs w:val="20"/>
        </w:rPr>
        <w:t xml:space="preserve"> In 2019, 2018 and 2017, we recorded gains on real estate investm</w:t>
      </w:r>
      <w:r>
        <w:rPr>
          <w:sz w:val="20"/>
          <w:szCs w:val="20"/>
        </w:rPr>
        <w:t>ent sales totaling $0.3 million, $37.9 million and $1.4 million, respectively. On October 18, 2018, we sold our property in West London to Shurgard for $42.1 million and recorded a related gain on sale of real estate of approximately $31.5 million. The rem</w:t>
      </w:r>
      <w:r>
        <w:rPr>
          <w:sz w:val="20"/>
          <w:szCs w:val="20"/>
        </w:rPr>
        <w:t>ainder of the gains are primarily in connection with the partial sale of real estate facilities pursuant to eminent domain proceedings</w:t>
      </w:r>
      <w:r>
        <w:rPr>
          <w:sz w:val="20"/>
          <w:szCs w:val="20"/>
        </w:rPr>
        <w:t>.</w:t>
      </w:r>
    </w:p>
    <w:p w:rsidR="00000000" w:rsidRDefault="00865332">
      <w:pPr>
        <w:pStyle w:val="a3"/>
        <w:spacing w:before="0" w:beforeAutospacing="0" w:after="0" w:afterAutospacing="0" w:line="259" w:lineRule="auto"/>
        <w:ind w:firstLine="720"/>
        <w:jc w:val="both"/>
        <w:divId w:val="1992831499"/>
        <w:rPr>
          <w:sz w:val="20"/>
          <w:szCs w:val="20"/>
        </w:rPr>
      </w:pPr>
      <w:r>
        <w:rPr>
          <w:b/>
          <w:bCs/>
          <w:i/>
          <w:iCs/>
          <w:sz w:val="20"/>
          <w:szCs w:val="20"/>
        </w:rPr>
        <w:t>Gain due to Shurgard Public Offering</w:t>
      </w:r>
      <w:r>
        <w:rPr>
          <w:b/>
          <w:bCs/>
          <w:i/>
          <w:iCs/>
          <w:sz w:val="20"/>
          <w:szCs w:val="20"/>
        </w:rPr>
        <w:t>:</w:t>
      </w:r>
      <w:r>
        <w:rPr>
          <w:sz w:val="20"/>
          <w:szCs w:val="20"/>
        </w:rPr>
        <w:t xml:space="preserve"> </w:t>
      </w:r>
      <w:r>
        <w:rPr>
          <w:sz w:val="20"/>
          <w:szCs w:val="20"/>
        </w:rPr>
        <w:t>In connection with Shurgard’s Offering of its common shares to the public, our equ</w:t>
      </w:r>
      <w:r>
        <w:rPr>
          <w:sz w:val="20"/>
          <w:szCs w:val="20"/>
        </w:rPr>
        <w:t>ity interest in Shurgard decreased from 49% to 35.2%. While we did not sell any of our shares in the Offering, we recorded a gain on disposition in 2018 of $151.6 million, as if we had sold a proportionate share of our investment in Shurgard.</w:t>
      </w:r>
      <w:r>
        <w:rPr>
          <w:sz w:val="20"/>
          <w:szCs w:val="20"/>
        </w:rPr>
        <w:t xml:space="preserve"> </w:t>
      </w:r>
    </w:p>
    <w:p w:rsidR="00000000" w:rsidRDefault="00865332">
      <w:pPr>
        <w:pStyle w:val="a3"/>
        <w:spacing w:before="0" w:beforeAutospacing="0" w:after="0" w:afterAutospacing="0" w:line="259" w:lineRule="auto"/>
        <w:ind w:firstLine="720"/>
        <w:jc w:val="both"/>
        <w:divId w:val="1992831499"/>
        <w:rPr>
          <w:sz w:val="20"/>
          <w:szCs w:val="20"/>
        </w:rPr>
      </w:pPr>
      <w:r>
        <w:rPr>
          <w:b/>
          <w:bCs/>
          <w:i/>
          <w:iCs/>
          <w:sz w:val="20"/>
          <w:szCs w:val="20"/>
        </w:rPr>
        <w:t>Net Income A</w:t>
      </w:r>
      <w:r>
        <w:rPr>
          <w:b/>
          <w:bCs/>
          <w:i/>
          <w:iCs/>
          <w:sz w:val="20"/>
          <w:szCs w:val="20"/>
        </w:rPr>
        <w:t>llocable to Preferred Shareholders</w:t>
      </w:r>
      <w:r>
        <w:rPr>
          <w:b/>
          <w:bCs/>
          <w:i/>
          <w:iCs/>
          <w:sz w:val="20"/>
          <w:szCs w:val="20"/>
        </w:rPr>
        <w:t>:</w:t>
      </w:r>
      <w:r>
        <w:rPr>
          <w:sz w:val="20"/>
          <w:szCs w:val="20"/>
        </w:rPr>
        <w:t xml:space="preserve"> Net income allocable to preferred shareholders based upon distributions totaled $210.2 million, $216.3 million, and $236.5 million in 2019, 2018, and 2017, respectively. These decreases are due primarily to lower average</w:t>
      </w:r>
      <w:r>
        <w:rPr>
          <w:sz w:val="20"/>
          <w:szCs w:val="20"/>
        </w:rPr>
        <w:t xml:space="preserve"> coupon rates due to redemptions of preferred shares with the proceeds from the issuance of new series with lower market coupon rates. We also allocated $32.7 million and $29.3 million of income from our common shareholders to the holders of our preferred </w:t>
      </w:r>
      <w:r>
        <w:rPr>
          <w:sz w:val="20"/>
          <w:szCs w:val="20"/>
        </w:rPr>
        <w:t>shares in 2019 and 2017, respectively, (none in 2018) in connection with the redemption of our preferred shares. Based upon our preferred shares outstanding at December 31, 2019, our quarterly distribution to our preferred shareholders is expected to be ap</w:t>
      </w:r>
      <w:r>
        <w:rPr>
          <w:sz w:val="20"/>
          <w:szCs w:val="20"/>
        </w:rPr>
        <w:t>proximately $52.0 million</w:t>
      </w:r>
      <w:r>
        <w:rPr>
          <w:sz w:val="20"/>
          <w:szCs w:val="20"/>
        </w:rPr>
        <w:t>.</w:t>
      </w:r>
    </w:p>
    <w:p w:rsidR="00000000" w:rsidRDefault="00865332">
      <w:pPr>
        <w:pStyle w:val="a3"/>
        <w:spacing w:before="0" w:beforeAutospacing="0" w:after="0" w:afterAutospacing="0" w:line="276" w:lineRule="auto"/>
        <w:divId w:val="1992831499"/>
        <w:rPr>
          <w:sz w:val="20"/>
          <w:szCs w:val="20"/>
        </w:rPr>
      </w:pPr>
      <w:r>
        <w:rPr>
          <w:b/>
          <w:bCs/>
          <w:i/>
          <w:iCs/>
          <w:sz w:val="20"/>
          <w:szCs w:val="20"/>
        </w:rPr>
        <w:t>Liquidity and Capital Resource</w:t>
      </w:r>
      <w:r>
        <w:rPr>
          <w:b/>
          <w:bCs/>
          <w:i/>
          <w:iCs/>
          <w:sz w:val="20"/>
          <w:szCs w:val="20"/>
        </w:rPr>
        <w:t>s</w:t>
      </w:r>
    </w:p>
    <w:p w:rsidR="00000000" w:rsidRDefault="00865332">
      <w:pPr>
        <w:pStyle w:val="a3"/>
        <w:spacing w:before="0" w:beforeAutospacing="0" w:after="0" w:afterAutospacing="0" w:line="259" w:lineRule="auto"/>
        <w:ind w:firstLine="720"/>
        <w:jc w:val="both"/>
        <w:divId w:val="1992831499"/>
        <w:rPr>
          <w:sz w:val="20"/>
          <w:szCs w:val="20"/>
        </w:rPr>
      </w:pPr>
      <w:r>
        <w:rPr>
          <w:sz w:val="20"/>
          <w:szCs w:val="20"/>
        </w:rPr>
        <w:t xml:space="preserve">While being a REIT allows us to minimize the payment of federal income tax expense, we are required to distribute 100% of our taxable income to our shareholders. This requirements limits cash flow </w:t>
      </w:r>
      <w:r>
        <w:rPr>
          <w:sz w:val="20"/>
          <w:szCs w:val="20"/>
        </w:rPr>
        <w:t>from operations that can be retained and reinvested in the business, increasing our reliance upon raising capital to fund growth.</w:t>
      </w:r>
      <w:r>
        <w:rPr>
          <w:sz w:val="20"/>
          <w:szCs w:val="20"/>
        </w:rPr>
        <w:t xml:space="preserve"> </w:t>
      </w:r>
    </w:p>
    <w:p w:rsidR="00000000" w:rsidRDefault="00865332">
      <w:pPr>
        <w:pStyle w:val="a3"/>
        <w:spacing w:before="0" w:beforeAutospacing="0" w:after="0" w:afterAutospacing="0" w:line="259" w:lineRule="auto"/>
        <w:ind w:firstLine="720"/>
        <w:jc w:val="both"/>
        <w:divId w:val="1992831499"/>
        <w:rPr>
          <w:sz w:val="20"/>
          <w:szCs w:val="20"/>
        </w:rPr>
      </w:pPr>
      <w:r>
        <w:rPr>
          <w:sz w:val="20"/>
          <w:szCs w:val="20"/>
        </w:rPr>
        <w:t>Because raising capital is important to our growth, we endeavor to maintain a strong financial profile characterized by stron</w:t>
      </w:r>
      <w:r>
        <w:rPr>
          <w:sz w:val="20"/>
          <w:szCs w:val="20"/>
        </w:rPr>
        <w:t>g credit metrics, including low leverage relative to our total capitalization and operating cash</w:t>
      </w:r>
      <w:r>
        <w:rPr>
          <w:sz w:val="20"/>
          <w:szCs w:val="20"/>
        </w:rPr>
        <w:t xml:space="preserve"> </w:t>
      </w:r>
    </w:p>
    <w:p w:rsidR="00000000" w:rsidRDefault="00865332">
      <w:pPr>
        <w:pStyle w:val="a3"/>
        <w:spacing w:before="0" w:beforeAutospacing="0" w:after="0" w:afterAutospacing="0" w:line="259" w:lineRule="auto"/>
        <w:jc w:val="center"/>
        <w:divId w:val="1757438043"/>
        <w:rPr>
          <w:sz w:val="20"/>
          <w:szCs w:val="20"/>
        </w:rPr>
      </w:pPr>
      <w:r>
        <w:rPr>
          <w:rStyle w:val="ctheaderfooterpage"/>
          <w:sz w:val="20"/>
          <w:szCs w:val="20"/>
        </w:rPr>
        <w:t>5</w:t>
      </w:r>
      <w:r>
        <w:rPr>
          <w:rStyle w:val="ctheaderfooterpage"/>
          <w:sz w:val="20"/>
          <w:szCs w:val="20"/>
        </w:rPr>
        <w:t>2</w:t>
      </w:r>
    </w:p>
    <w:p w:rsidR="00000000" w:rsidRDefault="00865332">
      <w:pPr>
        <w:spacing w:before="360" w:after="360"/>
        <w:divId w:val="504251820"/>
        <w:rPr>
          <w:rFonts w:eastAsia="Times New Roman"/>
        </w:rPr>
      </w:pPr>
      <w:r>
        <w:rPr>
          <w:rFonts w:eastAsia="Times New Roman"/>
        </w:rPr>
        <w:pict>
          <v:rect id="_x0000_i1076" style="width:0;height:1.5pt" o:hralign="center" o:hrstd="t" o:hr="t" fillcolor="#a0a0a0" stroked="f"/>
        </w:pict>
      </w:r>
    </w:p>
    <w:p w:rsidR="00000000" w:rsidRDefault="00865332">
      <w:pPr>
        <w:pStyle w:val="a3"/>
        <w:spacing w:before="0" w:beforeAutospacing="0" w:after="0" w:afterAutospacing="0" w:line="259" w:lineRule="auto"/>
        <w:jc w:val="both"/>
        <w:divId w:val="1643582954"/>
        <w:rPr>
          <w:sz w:val="20"/>
          <w:szCs w:val="20"/>
        </w:rPr>
      </w:pPr>
      <w:r>
        <w:rPr>
          <w:sz w:val="20"/>
          <w:szCs w:val="20"/>
        </w:rPr>
        <w:t>flows. We are one of the highest rated REITs, as rated by major rating agencies Moody’s and Standard &amp; Poor’s. Our sen</w:t>
      </w:r>
      <w:r>
        <w:rPr>
          <w:sz w:val="20"/>
          <w:szCs w:val="20"/>
        </w:rPr>
        <w:t>ior debt has an “A” credit rating by Standard &amp; Poor’s and “A2” by Moody’s. Our credit ratings on each of our series of preferred shares are “A3” by Moody’s and “BBB+” by Standard &amp; Poor’s. Our credit profile and ratings enable us to effectively access bot</w:t>
      </w:r>
      <w:r>
        <w:rPr>
          <w:sz w:val="20"/>
          <w:szCs w:val="20"/>
        </w:rPr>
        <w:t>h the public and private capital markets to raise capital</w:t>
      </w:r>
      <w:r>
        <w:rPr>
          <w:sz w:val="20"/>
          <w:szCs w:val="20"/>
        </w:rPr>
        <w:t>.</w:t>
      </w:r>
    </w:p>
    <w:p w:rsidR="00000000" w:rsidRDefault="00865332">
      <w:pPr>
        <w:pStyle w:val="a3"/>
        <w:spacing w:before="0" w:beforeAutospacing="0" w:after="0" w:afterAutospacing="0" w:line="259" w:lineRule="auto"/>
        <w:ind w:firstLine="720"/>
        <w:jc w:val="both"/>
        <w:divId w:val="1643582954"/>
        <w:rPr>
          <w:sz w:val="20"/>
          <w:szCs w:val="20"/>
        </w:rPr>
      </w:pPr>
      <w:r>
        <w:rPr>
          <w:sz w:val="20"/>
          <w:szCs w:val="20"/>
        </w:rPr>
        <w:t>While we must distribute our taxable income, we are nonetheless able to retain operating cash flow to the extent that our tax depreciation exceeds our maintenance capital expenditures. In recent ye</w:t>
      </w:r>
      <w:r>
        <w:rPr>
          <w:sz w:val="20"/>
          <w:szCs w:val="20"/>
        </w:rPr>
        <w:t>ars, we have retained approximately $200 million to $300 million per year in cash flow.</w:t>
      </w:r>
      <w:r>
        <w:rPr>
          <w:sz w:val="20"/>
          <w:szCs w:val="20"/>
        </w:rPr>
        <w:t xml:space="preserve"> </w:t>
      </w:r>
    </w:p>
    <w:p w:rsidR="00000000" w:rsidRDefault="00865332">
      <w:pPr>
        <w:pStyle w:val="a3"/>
        <w:spacing w:before="0" w:beforeAutospacing="0" w:after="0" w:afterAutospacing="0" w:line="259" w:lineRule="auto"/>
        <w:ind w:firstLine="720"/>
        <w:jc w:val="both"/>
        <w:divId w:val="1643582954"/>
        <w:rPr>
          <w:sz w:val="20"/>
          <w:szCs w:val="20"/>
        </w:rPr>
      </w:pPr>
      <w:r>
        <w:rPr>
          <w:sz w:val="20"/>
          <w:szCs w:val="20"/>
        </w:rPr>
        <w:t>Capital needs in excess of retained cash flow are met with: (i) preferred equity, (ii) medium and long-term debt, and (iii) common equity. We select among these source</w:t>
      </w:r>
      <w:r>
        <w:rPr>
          <w:sz w:val="20"/>
          <w:szCs w:val="20"/>
        </w:rPr>
        <w:t>s of capital based upon relative cost, availability, the desire for leverage, and considering potential constraints caused by certain features of capital sources, such as debt covenants. We view our line of credit, as well as short-term bank loans, as brid</w:t>
      </w:r>
      <w:r>
        <w:rPr>
          <w:sz w:val="20"/>
          <w:szCs w:val="20"/>
        </w:rPr>
        <w:t>ge financing.</w:t>
      </w:r>
      <w:r>
        <w:rPr>
          <w:sz w:val="20"/>
          <w:szCs w:val="20"/>
        </w:rPr>
        <w:t xml:space="preserve"> </w:t>
      </w:r>
    </w:p>
    <w:p w:rsidR="00000000" w:rsidRDefault="00865332">
      <w:pPr>
        <w:pStyle w:val="a3"/>
        <w:spacing w:before="0" w:beforeAutospacing="0" w:after="0" w:afterAutospacing="0" w:line="259" w:lineRule="auto"/>
        <w:ind w:firstLine="720"/>
        <w:jc w:val="both"/>
        <w:divId w:val="1643582954"/>
        <w:rPr>
          <w:sz w:val="20"/>
          <w:szCs w:val="20"/>
        </w:rPr>
      </w:pPr>
      <w:r>
        <w:rPr>
          <w:sz w:val="20"/>
          <w:szCs w:val="20"/>
        </w:rPr>
        <w:t>We have a $500.0 million revolving line of credit which we occasionally use as temporary “bridge” financing until we are able to raise longer term capital. As of December 31, 2019 and February 25, 2020, there were no borrowings outstanding o</w:t>
      </w:r>
      <w:r>
        <w:rPr>
          <w:sz w:val="20"/>
          <w:szCs w:val="20"/>
        </w:rPr>
        <w:t>n the revolving line of credit, however, we do have approximately $15.9 million of outstanding letters of credit which limits our borrowing capacity to $484.1 million. Our line of credit matures on April 19, 2024.</w:t>
      </w:r>
      <w:r>
        <w:rPr>
          <w:sz w:val="20"/>
          <w:szCs w:val="20"/>
        </w:rPr>
        <w:t xml:space="preserve"> </w:t>
      </w:r>
    </w:p>
    <w:p w:rsidR="00000000" w:rsidRDefault="00865332">
      <w:pPr>
        <w:pStyle w:val="a3"/>
        <w:spacing w:before="0" w:beforeAutospacing="0" w:after="0" w:afterAutospacing="0" w:line="259" w:lineRule="auto"/>
        <w:ind w:firstLine="720"/>
        <w:jc w:val="both"/>
        <w:divId w:val="1643582954"/>
        <w:rPr>
          <w:sz w:val="20"/>
          <w:szCs w:val="20"/>
        </w:rPr>
      </w:pPr>
      <w:r>
        <w:rPr>
          <w:b/>
          <w:bCs/>
          <w:i/>
          <w:iCs/>
          <w:sz w:val="20"/>
          <w:szCs w:val="20"/>
        </w:rPr>
        <w:t>Liquidity and Capital Resource Analysis</w:t>
      </w:r>
      <w:r>
        <w:rPr>
          <w:b/>
          <w:bCs/>
          <w:i/>
          <w:iCs/>
          <w:sz w:val="20"/>
          <w:szCs w:val="20"/>
        </w:rPr>
        <w:t>:</w:t>
      </w:r>
      <w:r>
        <w:rPr>
          <w:sz w:val="20"/>
          <w:szCs w:val="20"/>
        </w:rPr>
        <w:t xml:space="preserve"> </w:t>
      </w:r>
      <w:r>
        <w:rPr>
          <w:sz w:val="20"/>
          <w:szCs w:val="20"/>
        </w:rPr>
        <w:t>We believe that our net cash provided by our operating activities will continue to be sufficient to enable us to meet our ongoing requirements for principal payments on debt, maintenance capital expenditures and distributions to our shareholders for the fo</w:t>
      </w:r>
      <w:r>
        <w:rPr>
          <w:sz w:val="20"/>
          <w:szCs w:val="20"/>
        </w:rPr>
        <w:t>reseeable future.</w:t>
      </w:r>
      <w:r>
        <w:rPr>
          <w:sz w:val="20"/>
          <w:szCs w:val="20"/>
        </w:rPr>
        <w:t xml:space="preserve"> </w:t>
      </w:r>
    </w:p>
    <w:p w:rsidR="00000000" w:rsidRDefault="00865332">
      <w:pPr>
        <w:pStyle w:val="a3"/>
        <w:spacing w:before="0" w:beforeAutospacing="0" w:after="0" w:afterAutospacing="0" w:line="259" w:lineRule="auto"/>
        <w:ind w:firstLine="720"/>
        <w:jc w:val="both"/>
        <w:divId w:val="1643582954"/>
        <w:rPr>
          <w:sz w:val="20"/>
          <w:szCs w:val="20"/>
        </w:rPr>
      </w:pPr>
      <w:r>
        <w:rPr>
          <w:sz w:val="20"/>
          <w:szCs w:val="20"/>
        </w:rPr>
        <w:t>As of December 31, 2019, we expect capital resources over the next year of approximately $1.7 billion, which exceeds our currently identified capital needs of approximately $722.6 million. Our expected capital resources include: (i) $409</w:t>
      </w:r>
      <w:r>
        <w:rPr>
          <w:sz w:val="20"/>
          <w:szCs w:val="20"/>
        </w:rPr>
        <w:t>.7 million of cash as of December 31, 2019, (ii) $484.1 million of available borrowing capacity on our revolving line of credit, (iii) $545.2 million in net proceeds from the public issuance of senior Euro-denominated notes, and (iv) approximately $200 mil</w:t>
      </w:r>
      <w:r>
        <w:rPr>
          <w:sz w:val="20"/>
          <w:szCs w:val="20"/>
        </w:rPr>
        <w:t>lion to $250 million of expected retained operating cash flow in the next year. Retained operating cash flow represents our expected cash flow provided by operating activities, less shareholder distributions and capital expenditures to maintain our real es</w:t>
      </w:r>
      <w:r>
        <w:rPr>
          <w:sz w:val="20"/>
          <w:szCs w:val="20"/>
        </w:rPr>
        <w:t>tate facilities.</w:t>
      </w:r>
      <w:r>
        <w:rPr>
          <w:sz w:val="20"/>
          <w:szCs w:val="20"/>
        </w:rPr>
        <w:t xml:space="preserve"> </w:t>
      </w:r>
    </w:p>
    <w:p w:rsidR="00000000" w:rsidRDefault="00865332">
      <w:pPr>
        <w:pStyle w:val="a3"/>
        <w:spacing w:before="0" w:beforeAutospacing="0" w:after="0" w:afterAutospacing="0" w:line="259" w:lineRule="auto"/>
        <w:ind w:firstLine="720"/>
        <w:jc w:val="both"/>
        <w:divId w:val="1643582954"/>
        <w:rPr>
          <w:sz w:val="20"/>
          <w:szCs w:val="20"/>
        </w:rPr>
      </w:pPr>
      <w:r>
        <w:rPr>
          <w:sz w:val="20"/>
          <w:szCs w:val="20"/>
        </w:rPr>
        <w:t>Our currently identified capital needs consist primarily of $245.3 million in property acquisitions currently under contract and $477.3 million of remaining spending on our current development pipeline, which will be incurred primarily in</w:t>
      </w:r>
      <w:r>
        <w:rPr>
          <w:sz w:val="20"/>
          <w:szCs w:val="20"/>
        </w:rPr>
        <w:t xml:space="preserve"> the next 18 months. We have no substantial principal payments on debt until 2022. We expect our capital needs to increase over the next year as we add projects to our development pipeline and acquire additional properties. Additional potential capital nee</w:t>
      </w:r>
      <w:r>
        <w:rPr>
          <w:sz w:val="20"/>
          <w:szCs w:val="20"/>
        </w:rPr>
        <w:t>ds could result from various activities including the redemption of outstanding preferred securities, repurchases of common stock, or mergers and acquisition activities such as a potential acquisition of National Storage REIT described in Note 15, “Subsequ</w:t>
      </w:r>
      <w:r>
        <w:rPr>
          <w:sz w:val="20"/>
          <w:szCs w:val="20"/>
        </w:rPr>
        <w:t>ent Events” to our December 31, 2019 financial statements; however, there can be no assurance of any such activities transpiring in the near or longer term</w:t>
      </w:r>
      <w:r>
        <w:rPr>
          <w:sz w:val="20"/>
          <w:szCs w:val="20"/>
        </w:rPr>
        <w:t>.</w:t>
      </w:r>
    </w:p>
    <w:p w:rsidR="00000000" w:rsidRDefault="00865332">
      <w:pPr>
        <w:pStyle w:val="a3"/>
        <w:spacing w:before="0" w:beforeAutospacing="0" w:after="0" w:afterAutospacing="0" w:line="259" w:lineRule="auto"/>
        <w:ind w:firstLine="720"/>
        <w:jc w:val="both"/>
        <w:divId w:val="1643582954"/>
        <w:rPr>
          <w:sz w:val="20"/>
          <w:szCs w:val="20"/>
        </w:rPr>
      </w:pPr>
      <w:r>
        <w:rPr>
          <w:sz w:val="20"/>
          <w:szCs w:val="20"/>
        </w:rPr>
        <w:t>To the extent our retained operating cash flow, cash on hand, and line of credit are insufficient to fund our activities, we believe we have a variety of possibilities to raise additional capital including issuing common or preferred securities, issuing de</w:t>
      </w:r>
      <w:r>
        <w:rPr>
          <w:sz w:val="20"/>
          <w:szCs w:val="20"/>
        </w:rPr>
        <w:t>bt, or entering into joint venture arrangements to acquire or develop facilities</w:t>
      </w:r>
      <w:r>
        <w:rPr>
          <w:sz w:val="20"/>
          <w:szCs w:val="20"/>
        </w:rPr>
        <w:t>.</w:t>
      </w:r>
    </w:p>
    <w:p w:rsidR="00000000" w:rsidRDefault="00865332">
      <w:pPr>
        <w:pStyle w:val="a3"/>
        <w:spacing w:before="0" w:beforeAutospacing="0" w:after="0" w:afterAutospacing="0" w:line="259" w:lineRule="auto"/>
        <w:ind w:firstLine="720"/>
        <w:jc w:val="both"/>
        <w:divId w:val="1643582954"/>
        <w:rPr>
          <w:sz w:val="20"/>
          <w:szCs w:val="20"/>
        </w:rPr>
      </w:pPr>
      <w:r>
        <w:rPr>
          <w:b/>
          <w:bCs/>
          <w:i/>
          <w:iCs/>
          <w:sz w:val="20"/>
          <w:szCs w:val="20"/>
        </w:rPr>
        <w:t>Required Debt Repayments</w:t>
      </w:r>
      <w:r>
        <w:rPr>
          <w:b/>
          <w:bCs/>
          <w:i/>
          <w:iCs/>
          <w:sz w:val="20"/>
          <w:szCs w:val="20"/>
        </w:rPr>
        <w:t>:</w:t>
      </w:r>
      <w:r>
        <w:rPr>
          <w:b/>
          <w:bCs/>
          <w:sz w:val="20"/>
          <w:szCs w:val="20"/>
        </w:rPr>
        <w:t xml:space="preserve"> </w:t>
      </w:r>
      <w:r>
        <w:rPr>
          <w:sz w:val="20"/>
          <w:szCs w:val="20"/>
        </w:rPr>
        <w:t>As of December 31, 2019, the principal outstanding on our debt totaled approximately $1.9 billion, consisting of $27.3 million of secured debt, $383</w:t>
      </w:r>
      <w:r>
        <w:rPr>
          <w:sz w:val="20"/>
          <w:szCs w:val="20"/>
        </w:rPr>
        <w:t>.6 million of Euro-denominated unsecured debt and $1.5 billion of U.S. Dollar denominated unsecured debt. Approximate principal maturities are as follows (amounts in thousands)</w:t>
      </w:r>
      <w:r>
        <w:rPr>
          <w:sz w:val="20"/>
          <w:szCs w:val="20"/>
        </w:rPr>
        <w:t>:</w:t>
      </w:r>
    </w:p>
    <w:p w:rsidR="00000000" w:rsidRDefault="00865332">
      <w:pPr>
        <w:pStyle w:val="a3"/>
        <w:spacing w:before="0" w:beforeAutospacing="0" w:after="0" w:afterAutospacing="0" w:line="276" w:lineRule="auto"/>
        <w:divId w:val="1643582954"/>
        <w:rPr>
          <w:sz w:val="20"/>
          <w:szCs w:val="20"/>
        </w:rPr>
      </w:pPr>
      <w:r>
        <w:rPr>
          <w:sz w:val="20"/>
          <w:szCs w:val="20"/>
        </w:rPr>
        <w:br/>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1401904482"/>
        <w:rPr>
          <w:sz w:val="20"/>
          <w:szCs w:val="20"/>
        </w:rPr>
      </w:pPr>
      <w:r>
        <w:rPr>
          <w:rStyle w:val="ctheaderfooterpage"/>
          <w:sz w:val="20"/>
          <w:szCs w:val="20"/>
        </w:rPr>
        <w:t>5</w:t>
      </w:r>
      <w:r>
        <w:rPr>
          <w:rStyle w:val="ctheaderfooterpage"/>
          <w:sz w:val="20"/>
          <w:szCs w:val="20"/>
        </w:rPr>
        <w:t>3</w:t>
      </w:r>
    </w:p>
    <w:p w:rsidR="00000000" w:rsidRDefault="00865332">
      <w:pPr>
        <w:spacing w:before="360" w:after="360"/>
        <w:divId w:val="178392742"/>
        <w:rPr>
          <w:rFonts w:eastAsia="Times New Roman"/>
        </w:rPr>
      </w:pPr>
      <w:r>
        <w:rPr>
          <w:rFonts w:eastAsia="Times New Roman"/>
        </w:rPr>
        <w:pict>
          <v:rect id="_x0000_i1077" style="width:0;height:1.5pt" o:hralign="center" o:hrstd="t" o:hr="t" fillcolor="#a0a0a0" stroked="f"/>
        </w:pict>
      </w:r>
    </w:p>
    <w:tbl>
      <w:tblPr>
        <w:tblW w:w="5000" w:type="pct"/>
        <w:jc w:val="center"/>
        <w:tblCellMar>
          <w:top w:w="15" w:type="dxa"/>
          <w:left w:w="15" w:type="dxa"/>
          <w:bottom w:w="15" w:type="dxa"/>
          <w:right w:w="15" w:type="dxa"/>
        </w:tblCellMar>
        <w:tblLook w:val="04A0" w:firstRow="1" w:lastRow="0" w:firstColumn="1" w:lastColumn="0" w:noHBand="0" w:noVBand="1"/>
      </w:tblPr>
      <w:tblGrid>
        <w:gridCol w:w="4469"/>
        <w:gridCol w:w="515"/>
        <w:gridCol w:w="3322"/>
      </w:tblGrid>
      <w:tr w:rsidR="00000000">
        <w:trPr>
          <w:divId w:val="713845593"/>
          <w:trHeight w:val="14"/>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13845593"/>
          <w:trHeight w:val="216"/>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713845593"/>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0</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2,01</w:t>
            </w:r>
            <w:r>
              <w:rPr>
                <w:sz w:val="20"/>
                <w:szCs w:val="20"/>
              </w:rPr>
              <w:t>5</w:t>
            </w:r>
          </w:p>
        </w:tc>
      </w:tr>
      <w:tr w:rsidR="00000000">
        <w:trPr>
          <w:divId w:val="713845593"/>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1</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1</w:t>
            </w:r>
          </w:p>
        </w:tc>
      </w:tr>
      <w:tr w:rsidR="00000000">
        <w:trPr>
          <w:divId w:val="713845593"/>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2</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trPr>
          <w:divId w:val="713845593"/>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3</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r>
      <w:tr w:rsidR="00000000">
        <w:trPr>
          <w:divId w:val="713845593"/>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4</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0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112,28</w:t>
            </w:r>
            <w:r>
              <w:rPr>
                <w:sz w:val="20"/>
                <w:szCs w:val="20"/>
              </w:rPr>
              <w:t>0</w:t>
            </w:r>
          </w:p>
        </w:tc>
      </w:tr>
      <w:tr w:rsidR="00000000">
        <w:trPr>
          <w:divId w:val="713845593"/>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3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0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1,272,89</w:t>
            </w:r>
            <w:r>
              <w:rPr>
                <w:sz w:val="20"/>
                <w:szCs w:val="20"/>
              </w:rPr>
              <w:t>5</w:t>
            </w:r>
          </w:p>
        </w:tc>
      </w:tr>
      <w:tr w:rsidR="00000000">
        <w:trPr>
          <w:divId w:val="713845593"/>
          <w:trHeight w:val="259"/>
          <w:jc w:val="center"/>
        </w:trPr>
        <w:tc>
          <w:tcPr>
            <w:tcW w:w="26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3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t>
            </w:r>
          </w:p>
        </w:tc>
        <w:tc>
          <w:tcPr>
            <w:tcW w:w="20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1,910,86</w:t>
            </w:r>
            <w:r>
              <w:rPr>
                <w:sz w:val="20"/>
                <w:szCs w:val="20"/>
              </w:rPr>
              <w:t>4</w:t>
            </w:r>
          </w:p>
        </w:tc>
      </w:tr>
    </w:tbl>
    <w:p w:rsidR="00000000" w:rsidRDefault="00865332">
      <w:pPr>
        <w:pStyle w:val="a3"/>
        <w:spacing w:before="0" w:beforeAutospacing="0" w:after="0" w:afterAutospacing="0" w:line="259" w:lineRule="auto"/>
        <w:ind w:firstLine="720"/>
        <w:jc w:val="both"/>
        <w:divId w:val="713845593"/>
        <w:rPr>
          <w:sz w:val="20"/>
          <w:szCs w:val="20"/>
        </w:rPr>
      </w:pPr>
      <w:r>
        <w:rPr>
          <w:sz w:val="20"/>
          <w:szCs w:val="20"/>
        </w:rPr>
        <w:t>On January 24, 2020, we completed a public offering of €</w:t>
      </w:r>
      <w:r>
        <w:rPr>
          <w:sz w:val="20"/>
          <w:szCs w:val="20"/>
        </w:rPr>
        <w:t>500 million ($551.6 million) aggregate principal amount of senior notes bearing interest at an annual rate of 0.875% and maturing on January 24, 2032.</w:t>
      </w:r>
      <w:r>
        <w:rPr>
          <w:sz w:val="20"/>
          <w:szCs w:val="20"/>
        </w:rPr>
        <w:t xml:space="preserve"> </w:t>
      </w:r>
    </w:p>
    <w:p w:rsidR="00000000" w:rsidRDefault="00865332">
      <w:pPr>
        <w:pStyle w:val="a3"/>
        <w:spacing w:before="0" w:beforeAutospacing="0" w:after="0" w:afterAutospacing="0" w:line="259" w:lineRule="auto"/>
        <w:ind w:firstLine="720"/>
        <w:jc w:val="both"/>
        <w:divId w:val="713845593"/>
        <w:rPr>
          <w:sz w:val="20"/>
          <w:szCs w:val="20"/>
        </w:rPr>
      </w:pPr>
      <w:r>
        <w:rPr>
          <w:sz w:val="20"/>
          <w:szCs w:val="20"/>
        </w:rPr>
        <w:t xml:space="preserve">The remaining maturities on our debt over at the next two years are nominal. Our debt is well-laddered, </w:t>
      </w:r>
      <w:r>
        <w:rPr>
          <w:sz w:val="20"/>
          <w:szCs w:val="20"/>
        </w:rPr>
        <w:t>with material debt maturities at least 18 months apart, which moderates refinancing risk</w:t>
      </w:r>
      <w:r>
        <w:rPr>
          <w:sz w:val="20"/>
          <w:szCs w:val="20"/>
        </w:rPr>
        <w:t>.</w:t>
      </w:r>
    </w:p>
    <w:p w:rsidR="00000000" w:rsidRDefault="00865332">
      <w:pPr>
        <w:pStyle w:val="a3"/>
        <w:spacing w:before="0" w:beforeAutospacing="0" w:after="0" w:afterAutospacing="0" w:line="259" w:lineRule="auto"/>
        <w:ind w:firstLine="720"/>
        <w:jc w:val="both"/>
        <w:divId w:val="713845593"/>
        <w:rPr>
          <w:sz w:val="20"/>
          <w:szCs w:val="20"/>
        </w:rPr>
      </w:pPr>
      <w:r>
        <w:rPr>
          <w:b/>
          <w:bCs/>
          <w:i/>
          <w:iCs/>
          <w:sz w:val="20"/>
          <w:szCs w:val="20"/>
        </w:rPr>
        <w:t>Capital Expenditure Requirements</w:t>
      </w:r>
      <w:r>
        <w:rPr>
          <w:b/>
          <w:bCs/>
          <w:i/>
          <w:iCs/>
          <w:sz w:val="20"/>
          <w:szCs w:val="20"/>
        </w:rPr>
        <w:t>:</w:t>
      </w:r>
      <w:r>
        <w:rPr>
          <w:sz w:val="20"/>
          <w:szCs w:val="20"/>
        </w:rPr>
        <w:t xml:space="preserve"> </w:t>
      </w:r>
      <w:r>
        <w:rPr>
          <w:sz w:val="20"/>
          <w:szCs w:val="20"/>
        </w:rPr>
        <w:t>Capital expenditures include general maintenance, major repairs or replacements to elements of our facilities to keep our facilities in good operating condition and maintain their visual appeal. Capital expenditures do not include costs relating to the dev</w:t>
      </w:r>
      <w:r>
        <w:rPr>
          <w:sz w:val="20"/>
          <w:szCs w:val="20"/>
        </w:rPr>
        <w:t>elopment of new facilities or redevelopment of existing facilities to increase their available rentable square footage.</w:t>
      </w:r>
      <w:r>
        <w:rPr>
          <w:sz w:val="20"/>
          <w:szCs w:val="20"/>
        </w:rPr>
        <w:t xml:space="preserve"> </w:t>
      </w:r>
    </w:p>
    <w:p w:rsidR="00000000" w:rsidRDefault="00865332">
      <w:pPr>
        <w:pStyle w:val="a3"/>
        <w:spacing w:before="0" w:beforeAutospacing="0" w:after="0" w:afterAutospacing="0" w:line="259" w:lineRule="auto"/>
        <w:ind w:firstLine="720"/>
        <w:jc w:val="both"/>
        <w:divId w:val="713845593"/>
        <w:rPr>
          <w:sz w:val="20"/>
          <w:szCs w:val="20"/>
        </w:rPr>
      </w:pPr>
      <w:r>
        <w:rPr>
          <w:sz w:val="20"/>
          <w:szCs w:val="20"/>
        </w:rPr>
        <w:t>Capital expenditures totaled $192.5 million in 2019, and are expected to approximate $250 million in 2020. Our capital expenditures for</w:t>
      </w:r>
      <w:r>
        <w:rPr>
          <w:sz w:val="20"/>
          <w:szCs w:val="20"/>
        </w:rPr>
        <w:t xml:space="preserve"> 2019, and estimated capital expenditures for 2020 are expected to include certain projects that are upgrades and not traditional like-for-like replacements of existing components, and in certain circumstances replace existing components before the end of </w:t>
      </w:r>
      <w:r>
        <w:rPr>
          <w:sz w:val="20"/>
          <w:szCs w:val="20"/>
        </w:rPr>
        <w:t>their functional lives. Such projects include installation of LED lighting, replacing existing planting configurations with more drought tolerant and low maintenance configurations, installation of solar panels, improvements to office and customer zone con</w:t>
      </w:r>
      <w:r>
        <w:rPr>
          <w:sz w:val="20"/>
          <w:szCs w:val="20"/>
        </w:rPr>
        <w:t>figurations to provide a more customer-friendly experience, and improvements to outdoor facades and color schemes. Such incremental investments improve customer satisfaction, the attractiveness and competitiveness of our facilities to new and existing cust</w:t>
      </w:r>
      <w:r>
        <w:rPr>
          <w:sz w:val="20"/>
          <w:szCs w:val="20"/>
        </w:rPr>
        <w:t xml:space="preserve">omers, or reduce operating costs. The $250 million in capital expenditures expected for 2020, as well as the $192.5 million incurred in 2019, represent a substantial increase from the amounts incurred of $139.4 million, $124.8 million and $86.0 million in </w:t>
      </w:r>
      <w:r>
        <w:rPr>
          <w:sz w:val="20"/>
          <w:szCs w:val="20"/>
        </w:rPr>
        <w:t>2018, 2017, and 2016, respectively. We expect continued elevated capital expenditures beyond 2020; however, the level and persistence of this elevation is uncertain at this time.</w:t>
      </w:r>
      <w:r>
        <w:rPr>
          <w:sz w:val="20"/>
          <w:szCs w:val="20"/>
        </w:rPr>
        <w:t xml:space="preserve"> </w:t>
      </w:r>
    </w:p>
    <w:p w:rsidR="00000000" w:rsidRDefault="00865332">
      <w:pPr>
        <w:pStyle w:val="a3"/>
        <w:spacing w:before="0" w:beforeAutospacing="0" w:after="0" w:afterAutospacing="0" w:line="259" w:lineRule="auto"/>
        <w:ind w:firstLine="720"/>
        <w:jc w:val="both"/>
        <w:divId w:val="713845593"/>
        <w:rPr>
          <w:sz w:val="20"/>
          <w:szCs w:val="20"/>
        </w:rPr>
      </w:pPr>
      <w:r>
        <w:rPr>
          <w:b/>
          <w:bCs/>
          <w:i/>
          <w:iCs/>
          <w:sz w:val="20"/>
          <w:szCs w:val="20"/>
        </w:rPr>
        <w:t>Requirement to Pay Distributions</w:t>
      </w:r>
      <w:r>
        <w:rPr>
          <w:b/>
          <w:bCs/>
          <w:i/>
          <w:iCs/>
          <w:sz w:val="20"/>
          <w:szCs w:val="20"/>
        </w:rPr>
        <w:t>:</w:t>
      </w:r>
      <w:r>
        <w:rPr>
          <w:sz w:val="20"/>
          <w:szCs w:val="20"/>
        </w:rPr>
        <w:t xml:space="preserve"> For all periods presented herein, we have </w:t>
      </w:r>
      <w:r>
        <w:rPr>
          <w:sz w:val="20"/>
          <w:szCs w:val="20"/>
        </w:rPr>
        <w:t>elected to be treated as a REIT, as defined in the Code. As a REIT, we do not incur federal income tax on our REIT taxable income (generally, net rents and gains from real property, dividends, and interest) that is fully distributed each year (for this pur</w:t>
      </w:r>
      <w:r>
        <w:rPr>
          <w:sz w:val="20"/>
          <w:szCs w:val="20"/>
        </w:rPr>
        <w:t>pose, certain distributions paid in a subsequent year may be considered), and if we meet certain organizational and operational rules. We believe we have met these requirements in all periods presented herein, and we expect to continue to elect and qualify</w:t>
      </w:r>
      <w:r>
        <w:rPr>
          <w:sz w:val="20"/>
          <w:szCs w:val="20"/>
        </w:rPr>
        <w:t xml:space="preserve"> as a REIT.</w:t>
      </w:r>
      <w:r>
        <w:rPr>
          <w:sz w:val="20"/>
          <w:szCs w:val="20"/>
        </w:rPr>
        <w:t xml:space="preserve"> </w:t>
      </w:r>
    </w:p>
    <w:p w:rsidR="00000000" w:rsidRDefault="00865332">
      <w:pPr>
        <w:pStyle w:val="a3"/>
        <w:spacing w:before="0" w:beforeAutospacing="0" w:after="0" w:afterAutospacing="0" w:line="259" w:lineRule="auto"/>
        <w:ind w:firstLine="720"/>
        <w:jc w:val="both"/>
        <w:divId w:val="713845593"/>
        <w:rPr>
          <w:sz w:val="20"/>
          <w:szCs w:val="20"/>
        </w:rPr>
      </w:pPr>
      <w:r>
        <w:rPr>
          <w:sz w:val="20"/>
          <w:szCs w:val="20"/>
        </w:rPr>
        <w:t>On February 21, 2020, our Board declared a regular common quarterly dividend of $2.00 per common share totaling approximately $350 million, which will be paid at the end of March 2020. Our consistent, long-term dividend policy has been to dist</w:t>
      </w:r>
      <w:r>
        <w:rPr>
          <w:sz w:val="20"/>
          <w:szCs w:val="20"/>
        </w:rPr>
        <w:t>ribute only our taxable income. Future quarterly distributions with respect to the common shares will continue to be determined based upon our REIT distribution requirements after taking into consideration distributions to the preferred shareholders and wi</w:t>
      </w:r>
      <w:r>
        <w:rPr>
          <w:sz w:val="20"/>
          <w:szCs w:val="20"/>
        </w:rPr>
        <w:t>ll be funded with cash flows from operating activities.</w:t>
      </w:r>
      <w:r>
        <w:rPr>
          <w:sz w:val="20"/>
          <w:szCs w:val="20"/>
        </w:rPr>
        <w:t xml:space="preserve"> </w:t>
      </w:r>
    </w:p>
    <w:p w:rsidR="00000000" w:rsidRDefault="00865332">
      <w:pPr>
        <w:pStyle w:val="a3"/>
        <w:spacing w:before="0" w:beforeAutospacing="0" w:after="0" w:afterAutospacing="0" w:line="259" w:lineRule="auto"/>
        <w:ind w:firstLine="720"/>
        <w:jc w:val="both"/>
        <w:divId w:val="713845593"/>
        <w:rPr>
          <w:sz w:val="20"/>
          <w:szCs w:val="20"/>
        </w:rPr>
      </w:pPr>
      <w:r>
        <w:rPr>
          <w:sz w:val="20"/>
          <w:szCs w:val="20"/>
        </w:rPr>
        <w:t>We estimate the annual distribution requirements with respect to our Preferred Shares outstanding at December 31, 2019, to be approximately $208.0 million per year.</w:t>
      </w:r>
      <w:r>
        <w:rPr>
          <w:sz w:val="20"/>
          <w:szCs w:val="20"/>
        </w:rPr>
        <w:t xml:space="preserve"> </w:t>
      </w:r>
    </w:p>
    <w:p w:rsidR="00000000" w:rsidRDefault="00865332">
      <w:pPr>
        <w:pStyle w:val="a3"/>
        <w:spacing w:before="0" w:beforeAutospacing="0" w:after="0" w:afterAutospacing="0" w:line="259" w:lineRule="auto"/>
        <w:ind w:firstLine="720"/>
        <w:jc w:val="both"/>
        <w:divId w:val="713845593"/>
        <w:rPr>
          <w:sz w:val="20"/>
          <w:szCs w:val="20"/>
        </w:rPr>
      </w:pPr>
      <w:r>
        <w:rPr>
          <w:sz w:val="20"/>
          <w:szCs w:val="20"/>
        </w:rPr>
        <w:t>We estimate we will pay approxima</w:t>
      </w:r>
      <w:r>
        <w:rPr>
          <w:sz w:val="20"/>
          <w:szCs w:val="20"/>
        </w:rPr>
        <w:t>tely $6.0 million per year in distributions to noncontrolling interests outstanding at December 31, 2019.</w:t>
      </w:r>
      <w:r>
        <w:rPr>
          <w:sz w:val="20"/>
          <w:szCs w:val="20"/>
        </w:rPr>
        <w:t xml:space="preserve"> </w:t>
      </w:r>
    </w:p>
    <w:p w:rsidR="00000000" w:rsidRDefault="00865332">
      <w:pPr>
        <w:pStyle w:val="a3"/>
        <w:spacing w:before="0" w:beforeAutospacing="0" w:after="0" w:afterAutospacing="0" w:line="259" w:lineRule="auto"/>
        <w:ind w:firstLine="720"/>
        <w:jc w:val="both"/>
        <w:divId w:val="713845593"/>
        <w:rPr>
          <w:sz w:val="20"/>
          <w:szCs w:val="20"/>
        </w:rPr>
      </w:pPr>
      <w:r>
        <w:rPr>
          <w:b/>
          <w:bCs/>
          <w:i/>
          <w:iCs/>
          <w:sz w:val="20"/>
          <w:szCs w:val="20"/>
        </w:rPr>
        <w:t>Real Estate Investment Activities</w:t>
      </w:r>
      <w:r>
        <w:rPr>
          <w:b/>
          <w:bCs/>
          <w:i/>
          <w:iCs/>
          <w:sz w:val="20"/>
          <w:szCs w:val="20"/>
        </w:rPr>
        <w:t>:</w:t>
      </w:r>
      <w:r>
        <w:rPr>
          <w:b/>
          <w:bCs/>
          <w:sz w:val="20"/>
          <w:szCs w:val="20"/>
        </w:rPr>
        <w:t xml:space="preserve"> </w:t>
      </w:r>
      <w:r>
        <w:rPr>
          <w:sz w:val="20"/>
          <w:szCs w:val="20"/>
        </w:rPr>
        <w:t>Subsequent to December 31, 2019, we acquired or were under contract to acquire (subject to customary closing condi</w:t>
      </w:r>
      <w:r>
        <w:rPr>
          <w:sz w:val="20"/>
          <w:szCs w:val="20"/>
        </w:rPr>
        <w:t>tions) 14 self-storage facilities for $245.3 million. We will continue to</w:t>
      </w:r>
      <w:r>
        <w:rPr>
          <w:sz w:val="20"/>
          <w:szCs w:val="20"/>
        </w:rPr>
        <w:t xml:space="preserve"> </w:t>
      </w:r>
    </w:p>
    <w:p w:rsidR="00000000" w:rsidRDefault="00865332">
      <w:pPr>
        <w:pStyle w:val="a3"/>
        <w:spacing w:before="0" w:beforeAutospacing="0" w:after="0" w:afterAutospacing="0" w:line="259" w:lineRule="auto"/>
        <w:jc w:val="center"/>
        <w:divId w:val="1568804368"/>
        <w:rPr>
          <w:sz w:val="20"/>
          <w:szCs w:val="20"/>
        </w:rPr>
      </w:pPr>
      <w:r>
        <w:rPr>
          <w:rStyle w:val="ctheaderfooterpage"/>
          <w:sz w:val="20"/>
          <w:szCs w:val="20"/>
        </w:rPr>
        <w:t>5</w:t>
      </w:r>
      <w:r>
        <w:rPr>
          <w:rStyle w:val="ctheaderfooterpage"/>
          <w:sz w:val="20"/>
          <w:szCs w:val="20"/>
        </w:rPr>
        <w:t>4</w:t>
      </w:r>
    </w:p>
    <w:p w:rsidR="00000000" w:rsidRDefault="00865332">
      <w:pPr>
        <w:spacing w:before="360" w:after="360"/>
        <w:divId w:val="86734619"/>
        <w:rPr>
          <w:rFonts w:eastAsia="Times New Roman"/>
        </w:rPr>
      </w:pPr>
      <w:r>
        <w:rPr>
          <w:rFonts w:eastAsia="Times New Roman"/>
        </w:rPr>
        <w:pict>
          <v:rect id="_x0000_i1078" style="width:0;height:1.5pt" o:hralign="center" o:hrstd="t" o:hr="t" fillcolor="#a0a0a0" stroked="f"/>
        </w:pict>
      </w:r>
    </w:p>
    <w:p w:rsidR="00000000" w:rsidRDefault="00865332">
      <w:pPr>
        <w:pStyle w:val="a3"/>
        <w:spacing w:before="0" w:beforeAutospacing="0" w:after="0" w:afterAutospacing="0" w:line="259" w:lineRule="auto"/>
        <w:jc w:val="both"/>
        <w:divId w:val="1803965461"/>
        <w:rPr>
          <w:sz w:val="20"/>
          <w:szCs w:val="20"/>
        </w:rPr>
      </w:pPr>
      <w:r>
        <w:rPr>
          <w:sz w:val="20"/>
          <w:szCs w:val="20"/>
        </w:rPr>
        <w:t>seek to acquire properties; however, there is significant competition to acquire existing facilities and there can be no assurance as to the l</w:t>
      </w:r>
      <w:r>
        <w:rPr>
          <w:sz w:val="20"/>
          <w:szCs w:val="20"/>
        </w:rPr>
        <w:t>evel of facilities we may acquire.</w:t>
      </w:r>
      <w:r>
        <w:rPr>
          <w:sz w:val="20"/>
          <w:szCs w:val="20"/>
        </w:rPr>
        <w:t xml:space="preserve"> </w:t>
      </w:r>
    </w:p>
    <w:p w:rsidR="00000000" w:rsidRDefault="00865332">
      <w:pPr>
        <w:pStyle w:val="a3"/>
        <w:spacing w:before="0" w:beforeAutospacing="0" w:after="0" w:afterAutospacing="0" w:line="259" w:lineRule="auto"/>
        <w:ind w:firstLine="720"/>
        <w:jc w:val="both"/>
        <w:divId w:val="1803965461"/>
        <w:rPr>
          <w:sz w:val="20"/>
          <w:szCs w:val="20"/>
        </w:rPr>
      </w:pPr>
      <w:r>
        <w:rPr>
          <w:sz w:val="20"/>
          <w:szCs w:val="20"/>
        </w:rPr>
        <w:t xml:space="preserve">As of December 31, 2019 we had development and expansion projects at a total cost of approximately $619.2 million. </w:t>
      </w:r>
      <w:r>
        <w:rPr>
          <w:sz w:val="20"/>
          <w:szCs w:val="20"/>
        </w:rPr>
        <w:t>Costs incurred through December 31, 2019 were $141.9 million, with the remaining cost to complete of $477.3 million expected to be incurred primarily in the next 18 months. Some of these projects are subject to significant contingencies such as entitlement</w:t>
      </w:r>
      <w:r>
        <w:rPr>
          <w:sz w:val="20"/>
          <w:szCs w:val="20"/>
        </w:rPr>
        <w:t xml:space="preserve"> approval. We expect to continue to seek additional projects; however, the level of future development and redevelopment may be limited due to various constraints such as difficulty in finding projects that meet our risk-adjusted yield expectations and cha</w:t>
      </w:r>
      <w:r>
        <w:rPr>
          <w:sz w:val="20"/>
          <w:szCs w:val="20"/>
        </w:rPr>
        <w:t>llenges in obtaining building permits for self-storage activities in certain municipalities.</w:t>
      </w:r>
      <w:r>
        <w:rPr>
          <w:sz w:val="20"/>
          <w:szCs w:val="20"/>
        </w:rPr>
        <w:t xml:space="preserve"> </w:t>
      </w:r>
    </w:p>
    <w:p w:rsidR="00000000" w:rsidRDefault="00865332">
      <w:pPr>
        <w:pStyle w:val="a3"/>
        <w:spacing w:before="0" w:beforeAutospacing="0" w:after="0" w:afterAutospacing="0" w:line="259" w:lineRule="auto"/>
        <w:ind w:firstLine="720"/>
        <w:jc w:val="both"/>
        <w:divId w:val="1803965461"/>
        <w:rPr>
          <w:sz w:val="20"/>
          <w:szCs w:val="20"/>
        </w:rPr>
      </w:pPr>
      <w:r>
        <w:rPr>
          <w:b/>
          <w:bCs/>
          <w:i/>
          <w:iCs/>
          <w:sz w:val="20"/>
          <w:szCs w:val="20"/>
        </w:rPr>
        <w:t>Redemption of Preferred Securitie</w:t>
      </w:r>
      <w:r>
        <w:rPr>
          <w:b/>
          <w:bCs/>
          <w:i/>
          <w:iCs/>
          <w:sz w:val="20"/>
          <w:szCs w:val="20"/>
        </w:rPr>
        <w:t>s</w:t>
      </w:r>
      <w:r>
        <w:rPr>
          <w:sz w:val="20"/>
          <w:szCs w:val="20"/>
        </w:rPr>
        <w:t>: Historically, we have taken advantage of refinancing higher coupon preferred securities with lower coupon preferred securities</w:t>
      </w:r>
      <w:r>
        <w:rPr>
          <w:sz w:val="20"/>
          <w:szCs w:val="20"/>
        </w:rPr>
        <w:t xml:space="preserve">. In the future, we may also elect to finance the redemption of preferred securities with proceeds from the issuance of debt. As of February 25, 2020, we have the following series of preferred securities that are eligible for redemption, at our option and </w:t>
      </w:r>
      <w:r>
        <w:rPr>
          <w:sz w:val="20"/>
          <w:szCs w:val="20"/>
        </w:rPr>
        <w:t>with 30 days’ notice; our 5.375% Series V Preferred Shares ($495 million), our 5.200% Series W Preferred Shares ($500 million), and our 5.200% Series X Preferred Shares ($225 million). See Note 8 to our December 31, 2019 financial statements for the redemp</w:t>
      </w:r>
      <w:r>
        <w:rPr>
          <w:sz w:val="20"/>
          <w:szCs w:val="20"/>
        </w:rPr>
        <w:t>tion dates of our other series of preferred shares. Redemption of such preferred shares will depend upon many factors, including the rate at which we could issue replacement preferred securities. None of our preferred securities are redeemable at the optio</w:t>
      </w:r>
      <w:r>
        <w:rPr>
          <w:sz w:val="20"/>
          <w:szCs w:val="20"/>
        </w:rPr>
        <w:t>n of the holders.</w:t>
      </w:r>
      <w:r>
        <w:rPr>
          <w:sz w:val="20"/>
          <w:szCs w:val="20"/>
        </w:rPr>
        <w:t xml:space="preserve"> </w:t>
      </w:r>
    </w:p>
    <w:p w:rsidR="00000000" w:rsidRDefault="00865332">
      <w:pPr>
        <w:pStyle w:val="a3"/>
        <w:spacing w:before="0" w:beforeAutospacing="0" w:after="0" w:afterAutospacing="0" w:line="259" w:lineRule="auto"/>
        <w:ind w:firstLine="720"/>
        <w:jc w:val="both"/>
        <w:divId w:val="1803965461"/>
        <w:rPr>
          <w:sz w:val="20"/>
          <w:szCs w:val="20"/>
        </w:rPr>
      </w:pPr>
      <w:r>
        <w:rPr>
          <w:b/>
          <w:bCs/>
          <w:i/>
          <w:iCs/>
          <w:sz w:val="20"/>
          <w:szCs w:val="20"/>
        </w:rPr>
        <w:t>Repurchases of Common Share</w:t>
      </w:r>
      <w:r>
        <w:rPr>
          <w:b/>
          <w:bCs/>
          <w:i/>
          <w:iCs/>
          <w:sz w:val="20"/>
          <w:szCs w:val="20"/>
        </w:rPr>
        <w:t>s</w:t>
      </w:r>
      <w:r>
        <w:rPr>
          <w:sz w:val="20"/>
          <w:szCs w:val="20"/>
        </w:rPr>
        <w:t>: Our Board has authorized management to repurchase up to 35,000,000 of our common shares on the open market or in privately negotiated transactions. During 2019, we did not repurchase any of our common shares</w:t>
      </w:r>
      <w:r>
        <w:rPr>
          <w:sz w:val="20"/>
          <w:szCs w:val="20"/>
        </w:rPr>
        <w:t>. From the inception of the repurchase program through February 25, 2020, we have repurchased a total of 23,721,916 common shares at an aggregate cost of approximately $679.1 million. Future levels of common share repurchases will be dependent upon our ava</w:t>
      </w:r>
      <w:r>
        <w:rPr>
          <w:sz w:val="20"/>
          <w:szCs w:val="20"/>
        </w:rPr>
        <w:t>ilable capital, investment alternatives and the trading price of our common shares.</w:t>
      </w:r>
      <w:r>
        <w:rPr>
          <w:sz w:val="20"/>
          <w:szCs w:val="20"/>
        </w:rPr>
        <w:t xml:space="preserve"> </w:t>
      </w:r>
    </w:p>
    <w:p w:rsidR="00000000" w:rsidRDefault="00865332">
      <w:pPr>
        <w:pStyle w:val="a3"/>
        <w:spacing w:before="0" w:beforeAutospacing="0" w:after="0" w:afterAutospacing="0" w:line="259" w:lineRule="auto"/>
        <w:jc w:val="both"/>
        <w:divId w:val="1803965461"/>
        <w:rPr>
          <w:sz w:val="20"/>
          <w:szCs w:val="20"/>
        </w:rPr>
      </w:pPr>
      <w:r>
        <w:rPr>
          <w:b/>
          <w:bCs/>
          <w:sz w:val="20"/>
          <w:szCs w:val="20"/>
        </w:rPr>
        <w:t>Contractual Obligations</w:t>
      </w:r>
      <w:r>
        <w:rPr>
          <w:b/>
          <w:bCs/>
          <w:sz w:val="20"/>
          <w:szCs w:val="20"/>
        </w:rPr>
        <w:t xml:space="preserve"> </w:t>
      </w:r>
    </w:p>
    <w:p w:rsidR="00000000" w:rsidRDefault="00865332">
      <w:pPr>
        <w:pStyle w:val="a3"/>
        <w:spacing w:before="0" w:beforeAutospacing="0" w:after="0" w:afterAutospacing="0" w:line="259" w:lineRule="auto"/>
        <w:ind w:firstLine="720"/>
        <w:jc w:val="both"/>
        <w:divId w:val="1803965461"/>
        <w:rPr>
          <w:sz w:val="20"/>
          <w:szCs w:val="20"/>
        </w:rPr>
      </w:pPr>
      <w:r>
        <w:rPr>
          <w:sz w:val="20"/>
          <w:szCs w:val="20"/>
        </w:rPr>
        <w:t>Our significant contractual obligations at December 31, 2019 and their impact on our cash flows and liquidity are summarized below for the years e</w:t>
      </w:r>
      <w:r>
        <w:rPr>
          <w:sz w:val="20"/>
          <w:szCs w:val="20"/>
        </w:rPr>
        <w:t>nding December 31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283"/>
        <w:gridCol w:w="107"/>
        <w:gridCol w:w="871"/>
        <w:gridCol w:w="57"/>
        <w:gridCol w:w="107"/>
        <w:gridCol w:w="747"/>
        <w:gridCol w:w="57"/>
        <w:gridCol w:w="107"/>
        <w:gridCol w:w="622"/>
        <w:gridCol w:w="57"/>
        <w:gridCol w:w="107"/>
        <w:gridCol w:w="630"/>
        <w:gridCol w:w="57"/>
        <w:gridCol w:w="107"/>
        <w:gridCol w:w="622"/>
        <w:gridCol w:w="58"/>
        <w:gridCol w:w="108"/>
        <w:gridCol w:w="630"/>
        <w:gridCol w:w="58"/>
        <w:gridCol w:w="108"/>
        <w:gridCol w:w="806"/>
      </w:tblGrid>
      <w:tr w:rsidR="00000000">
        <w:trPr>
          <w:divId w:val="1803965461"/>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03965461"/>
          <w:trHeight w:val="259"/>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Tota</w:t>
            </w:r>
            <w:r>
              <w:rPr>
                <w:sz w:val="18"/>
                <w:szCs w:val="18"/>
              </w:rPr>
              <w:t>l</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202</w:t>
            </w:r>
            <w:r>
              <w:rPr>
                <w:sz w:val="18"/>
                <w:szCs w:val="18"/>
              </w:rPr>
              <w:t>0</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202</w:t>
            </w:r>
            <w:r>
              <w:rPr>
                <w:sz w:val="18"/>
                <w:szCs w:val="18"/>
              </w:rPr>
              <w:t>1</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202</w:t>
            </w:r>
            <w:r>
              <w:rPr>
                <w:sz w:val="18"/>
                <w:szCs w:val="18"/>
              </w:rPr>
              <w:t>2</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202</w:t>
            </w:r>
            <w:r>
              <w:rPr>
                <w:sz w:val="18"/>
                <w:szCs w:val="18"/>
              </w:rPr>
              <w:t>3</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202</w:t>
            </w:r>
            <w:r>
              <w:rPr>
                <w:sz w:val="18"/>
                <w:szCs w:val="18"/>
              </w:rPr>
              <w:t>4</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Thereafte</w:t>
            </w:r>
            <w:r>
              <w:rPr>
                <w:sz w:val="18"/>
                <w:szCs w:val="18"/>
              </w:rPr>
              <w:t>r</w:t>
            </w:r>
          </w:p>
        </w:tc>
      </w:tr>
      <w:tr w:rsidR="00000000">
        <w:trPr>
          <w:divId w:val="1803965461"/>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03965461"/>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03965461"/>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Interest and principal payments</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03965461"/>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on debt (1</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2,265,819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55,085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54,839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552,002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59,724</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150,874</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1,393,295</w:t>
            </w:r>
            <w:r>
              <w:rPr>
                <w:sz w:val="18"/>
                <w:szCs w:val="18"/>
              </w:rPr>
              <w:t> </w:t>
            </w:r>
          </w:p>
        </w:tc>
      </w:tr>
      <w:tr w:rsidR="00000000">
        <w:trPr>
          <w:divId w:val="1803965461"/>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03965461"/>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Leases and other commitments (2)</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77,210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4,290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4,336</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3,737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3,515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3,527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57,805</w:t>
            </w:r>
            <w:r>
              <w:rPr>
                <w:sz w:val="18"/>
                <w:szCs w:val="18"/>
              </w:rPr>
              <w:t> </w:t>
            </w:r>
          </w:p>
        </w:tc>
      </w:tr>
      <w:tr w:rsidR="00000000">
        <w:trPr>
          <w:divId w:val="1803965461"/>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03965461"/>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Construction commitments (3</w:t>
            </w:r>
            <w:r>
              <w:rPr>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77,168</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69,648</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7,520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803965461"/>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03965461"/>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Total</w:t>
            </w:r>
            <w:r>
              <w:rPr>
                <w:sz w:val="18"/>
                <w:szCs w:val="18"/>
              </w:rPr>
              <w:t xml:space="preserve">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2,420,197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129,023</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66,695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555,739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63,239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154,401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1,451,100</w:t>
            </w:r>
            <w:r>
              <w:rPr>
                <w:sz w:val="18"/>
                <w:szCs w:val="18"/>
              </w:rPr>
              <w:t> </w:t>
            </w:r>
          </w:p>
        </w:tc>
      </w:tr>
    </w:tbl>
    <w:p w:rsidR="00000000" w:rsidRDefault="00865332">
      <w:pPr>
        <w:pStyle w:val="a3"/>
        <w:spacing w:before="0" w:beforeAutospacing="0" w:after="0" w:afterAutospacing="0" w:line="259" w:lineRule="auto"/>
        <w:ind w:left="720" w:hanging="360"/>
        <w:jc w:val="both"/>
        <w:divId w:val="1803965461"/>
        <w:rPr>
          <w:sz w:val="20"/>
          <w:szCs w:val="20"/>
        </w:rPr>
      </w:pPr>
      <w:r>
        <w:rPr>
          <w:sz w:val="20"/>
          <w:szCs w:val="20"/>
        </w:rPr>
        <w:t>(1</w:t>
      </w:r>
      <w:r>
        <w:rPr>
          <w:sz w:val="20"/>
          <w:szCs w:val="20"/>
        </w:rPr>
        <w:t>)</w:t>
      </w:r>
      <w:r>
        <w:rPr>
          <w:sz w:val="20"/>
          <w:szCs w:val="20"/>
        </w:rPr>
        <w:t>Represents contractual principal and interest payments. Amounts with respect to certain Euro-denominated debt are based upon exchange rates at December 31, 2019. See Note 6 to our December 31, 2019 financial statements for further information.</w:t>
      </w:r>
      <w:r>
        <w:rPr>
          <w:sz w:val="20"/>
          <w:szCs w:val="20"/>
        </w:rPr>
        <w:t xml:space="preserve"> </w:t>
      </w:r>
    </w:p>
    <w:p w:rsidR="00000000" w:rsidRDefault="00865332">
      <w:pPr>
        <w:pStyle w:val="a3"/>
        <w:spacing w:before="0" w:beforeAutospacing="0" w:after="0" w:afterAutospacing="0" w:line="259" w:lineRule="auto"/>
        <w:ind w:left="720" w:hanging="360"/>
        <w:jc w:val="both"/>
        <w:divId w:val="1803965461"/>
        <w:rPr>
          <w:sz w:val="20"/>
          <w:szCs w:val="20"/>
        </w:rPr>
      </w:pPr>
      <w:r>
        <w:rPr>
          <w:sz w:val="20"/>
          <w:szCs w:val="20"/>
        </w:rPr>
        <w:t>(2</w:t>
      </w:r>
      <w:r>
        <w:rPr>
          <w:sz w:val="20"/>
          <w:szCs w:val="20"/>
        </w:rPr>
        <w:t>)</w:t>
      </w:r>
      <w:r>
        <w:rPr>
          <w:sz w:val="20"/>
          <w:szCs w:val="20"/>
        </w:rPr>
        <w:t>Represen</w:t>
      </w:r>
      <w:r>
        <w:rPr>
          <w:sz w:val="20"/>
          <w:szCs w:val="20"/>
        </w:rPr>
        <w:t>ts future contractual payments on land, equipment and office space under various leases and other commitments.</w:t>
      </w:r>
      <w:r>
        <w:rPr>
          <w:sz w:val="20"/>
          <w:szCs w:val="20"/>
        </w:rPr>
        <w:t xml:space="preserve"> </w:t>
      </w:r>
    </w:p>
    <w:p w:rsidR="00000000" w:rsidRDefault="00865332">
      <w:pPr>
        <w:pStyle w:val="a3"/>
        <w:spacing w:before="0" w:beforeAutospacing="0" w:after="0" w:afterAutospacing="0" w:line="259" w:lineRule="auto"/>
        <w:ind w:left="720" w:hanging="360"/>
        <w:jc w:val="both"/>
        <w:divId w:val="1803965461"/>
        <w:rPr>
          <w:sz w:val="20"/>
          <w:szCs w:val="20"/>
        </w:rPr>
      </w:pPr>
      <w:r>
        <w:rPr>
          <w:sz w:val="20"/>
          <w:szCs w:val="20"/>
        </w:rPr>
        <w:t>(3</w:t>
      </w:r>
      <w:r>
        <w:rPr>
          <w:sz w:val="20"/>
          <w:szCs w:val="20"/>
        </w:rPr>
        <w:t>)</w:t>
      </w:r>
      <w:r>
        <w:rPr>
          <w:sz w:val="20"/>
          <w:szCs w:val="20"/>
        </w:rPr>
        <w:t>Represents future expected payments for construction under contract at December 31, 2019</w:t>
      </w:r>
      <w:r>
        <w:rPr>
          <w:sz w:val="20"/>
          <w:szCs w:val="20"/>
        </w:rPr>
        <w:t>.</w:t>
      </w:r>
    </w:p>
    <w:p w:rsidR="00000000" w:rsidRDefault="00865332">
      <w:pPr>
        <w:pStyle w:val="a3"/>
        <w:spacing w:before="0" w:beforeAutospacing="0" w:after="0" w:afterAutospacing="0" w:line="259" w:lineRule="auto"/>
        <w:ind w:firstLine="720"/>
        <w:jc w:val="both"/>
        <w:divId w:val="1803965461"/>
        <w:rPr>
          <w:sz w:val="20"/>
          <w:szCs w:val="20"/>
        </w:rPr>
      </w:pPr>
      <w:r>
        <w:rPr>
          <w:sz w:val="20"/>
          <w:szCs w:val="20"/>
        </w:rPr>
        <w:t>We estimate the annual distribution requirements wi</w:t>
      </w:r>
      <w:r>
        <w:rPr>
          <w:sz w:val="20"/>
          <w:szCs w:val="20"/>
        </w:rPr>
        <w:t>th respect to our Preferred Shares outstanding at December 31, 2019 to be approximately $208.0 million per year. Dividends are paid when and if declared by our Board and accumulate if not paid.</w:t>
      </w:r>
      <w:r>
        <w:rPr>
          <w:sz w:val="20"/>
          <w:szCs w:val="20"/>
        </w:rPr>
        <w:t xml:space="preserve"> </w:t>
      </w:r>
    </w:p>
    <w:p w:rsidR="00000000" w:rsidRDefault="00865332">
      <w:pPr>
        <w:pStyle w:val="a3"/>
        <w:spacing w:before="0" w:beforeAutospacing="0" w:after="0" w:afterAutospacing="0" w:line="259" w:lineRule="auto"/>
        <w:jc w:val="center"/>
        <w:divId w:val="1068191437"/>
        <w:rPr>
          <w:sz w:val="20"/>
          <w:szCs w:val="20"/>
        </w:rPr>
      </w:pPr>
      <w:r>
        <w:rPr>
          <w:rStyle w:val="ctheaderfooterpage"/>
          <w:sz w:val="20"/>
          <w:szCs w:val="20"/>
        </w:rPr>
        <w:t>5</w:t>
      </w:r>
      <w:r>
        <w:rPr>
          <w:rStyle w:val="ctheaderfooterpage"/>
          <w:sz w:val="20"/>
          <w:szCs w:val="20"/>
        </w:rPr>
        <w:t>5</w:t>
      </w:r>
    </w:p>
    <w:p w:rsidR="00000000" w:rsidRDefault="00865332">
      <w:pPr>
        <w:spacing w:before="360" w:after="360"/>
        <w:divId w:val="778305865"/>
        <w:rPr>
          <w:rFonts w:eastAsia="Times New Roman"/>
        </w:rPr>
      </w:pPr>
      <w:r>
        <w:rPr>
          <w:rFonts w:eastAsia="Times New Roman"/>
        </w:rPr>
        <w:pict>
          <v:rect id="_x0000_i1079" style="width:0;height:1.5pt" o:hralign="center" o:hrstd="t" o:hr="t" fillcolor="#a0a0a0" stroked="f"/>
        </w:pict>
      </w:r>
    </w:p>
    <w:p w:rsidR="00000000" w:rsidRDefault="00865332">
      <w:pPr>
        <w:pStyle w:val="a3"/>
        <w:spacing w:before="0" w:beforeAutospacing="0" w:after="0" w:afterAutospacing="0" w:line="259" w:lineRule="auto"/>
        <w:ind w:firstLine="576"/>
        <w:jc w:val="both"/>
        <w:divId w:val="1553224102"/>
        <w:rPr>
          <w:sz w:val="20"/>
          <w:szCs w:val="20"/>
        </w:rPr>
      </w:pPr>
      <w:r>
        <w:rPr>
          <w:b/>
          <w:bCs/>
          <w:i/>
          <w:iCs/>
          <w:sz w:val="20"/>
          <w:szCs w:val="20"/>
        </w:rPr>
        <w:t>Off-Balance Sheet Arrangement</w:t>
      </w:r>
      <w:r>
        <w:rPr>
          <w:b/>
          <w:bCs/>
          <w:i/>
          <w:iCs/>
          <w:sz w:val="20"/>
          <w:szCs w:val="20"/>
        </w:rPr>
        <w:t>s</w:t>
      </w:r>
      <w:r>
        <w:rPr>
          <w:sz w:val="20"/>
          <w:szCs w:val="20"/>
        </w:rPr>
        <w:t>: At December 31, 2019, we had no material off-balance sheet arrangements as defined under Regulation S-K 303(a)(4) and the instructions thereto</w:t>
      </w:r>
      <w:r>
        <w:rPr>
          <w:sz w:val="20"/>
          <w:szCs w:val="20"/>
        </w:rPr>
        <w:t>.</w:t>
      </w:r>
    </w:p>
    <w:p w:rsidR="00000000" w:rsidRDefault="00865332">
      <w:pPr>
        <w:pStyle w:val="a3"/>
        <w:spacing w:before="0" w:beforeAutospacing="0" w:after="0" w:afterAutospacing="0" w:line="259" w:lineRule="auto"/>
        <w:jc w:val="center"/>
        <w:divId w:val="1667904803"/>
        <w:rPr>
          <w:sz w:val="20"/>
          <w:szCs w:val="20"/>
        </w:rPr>
      </w:pPr>
      <w:r>
        <w:rPr>
          <w:rStyle w:val="ctheaderfooterpage"/>
          <w:sz w:val="20"/>
          <w:szCs w:val="20"/>
        </w:rPr>
        <w:t>5</w:t>
      </w:r>
      <w:r>
        <w:rPr>
          <w:rStyle w:val="ctheaderfooterpage"/>
          <w:sz w:val="20"/>
          <w:szCs w:val="20"/>
        </w:rPr>
        <w:t>6</w:t>
      </w:r>
    </w:p>
    <w:p w:rsidR="00000000" w:rsidRDefault="00865332">
      <w:pPr>
        <w:spacing w:before="360" w:after="360"/>
        <w:divId w:val="105739453"/>
        <w:rPr>
          <w:rFonts w:eastAsia="Times New Roman"/>
        </w:rPr>
      </w:pPr>
      <w:r>
        <w:rPr>
          <w:rFonts w:eastAsia="Times New Roman"/>
        </w:rPr>
        <w:pict>
          <v:rect id="_x0000_i1080" style="width:0;height:1.5pt" o:hralign="center" o:hrstd="t" o:hr="t" fillcolor="#a0a0a0" stroked="f"/>
        </w:pict>
      </w:r>
    </w:p>
    <w:p w:rsidR="00000000" w:rsidRDefault="00865332">
      <w:pPr>
        <w:pStyle w:val="a3"/>
        <w:spacing w:before="0" w:beforeAutospacing="0" w:after="0" w:afterAutospacing="0" w:line="259" w:lineRule="auto"/>
        <w:jc w:val="both"/>
        <w:divId w:val="1512643370"/>
        <w:rPr>
          <w:sz w:val="20"/>
          <w:szCs w:val="20"/>
        </w:rPr>
      </w:pPr>
      <w:r>
        <w:rPr>
          <w:b/>
          <w:bCs/>
          <w:sz w:val="20"/>
          <w:szCs w:val="20"/>
        </w:rPr>
        <w:t>ITEM</w:t>
      </w:r>
      <w:r>
        <w:rPr>
          <w:b/>
          <w:bCs/>
          <w:sz w:val="20"/>
          <w:szCs w:val="20"/>
        </w:rPr>
        <w:t xml:space="preserve"> 7A.</w:t>
      </w:r>
      <w:r>
        <w:rPr>
          <w:b/>
          <w:bCs/>
          <w:sz w:val="20"/>
          <w:szCs w:val="20"/>
        </w:rPr>
        <w:t xml:space="preserve"> </w:t>
      </w:r>
      <w:r>
        <w:rPr>
          <w:b/>
          <w:bCs/>
          <w:sz w:val="20"/>
          <w:szCs w:val="20"/>
          <w:u w:val="single"/>
        </w:rPr>
        <w:t>Quantitative and Qualitative Disclosures about Market Ris</w:t>
      </w:r>
      <w:r>
        <w:rPr>
          <w:b/>
          <w:bCs/>
          <w:sz w:val="20"/>
          <w:szCs w:val="20"/>
          <w:u w:val="single"/>
        </w:rPr>
        <w:t>k</w:t>
      </w:r>
    </w:p>
    <w:p w:rsidR="00000000" w:rsidRDefault="00865332">
      <w:pPr>
        <w:pStyle w:val="a3"/>
        <w:spacing w:before="0" w:beforeAutospacing="0" w:after="0" w:afterAutospacing="0" w:line="259" w:lineRule="auto"/>
        <w:ind w:firstLine="720"/>
        <w:jc w:val="both"/>
        <w:divId w:val="1512643370"/>
        <w:rPr>
          <w:sz w:val="20"/>
          <w:szCs w:val="20"/>
        </w:rPr>
      </w:pPr>
      <w:r>
        <w:rPr>
          <w:sz w:val="20"/>
          <w:szCs w:val="20"/>
        </w:rPr>
        <w:t xml:space="preserve">To limit our exposure to market risk, we are capitalized primarily with preferred and common equity. Our preferred shares are redeemable at our option generally five years after issuance, but </w:t>
      </w:r>
      <w:r>
        <w:rPr>
          <w:sz w:val="20"/>
          <w:szCs w:val="20"/>
        </w:rPr>
        <w:t>the holder has no redemption option. Our debt is our only market-risk sensitive portion of our capital structure, which totals approximately $1.9 billion and represents 21.0% of the book value of our equity at December 31, 2019.</w:t>
      </w:r>
      <w:r>
        <w:rPr>
          <w:sz w:val="20"/>
          <w:szCs w:val="20"/>
        </w:rPr>
        <w:t xml:space="preserve"> </w:t>
      </w:r>
    </w:p>
    <w:p w:rsidR="00000000" w:rsidRDefault="00865332">
      <w:pPr>
        <w:pStyle w:val="a3"/>
        <w:spacing w:before="0" w:beforeAutospacing="0" w:after="0" w:afterAutospacing="0" w:line="259" w:lineRule="auto"/>
        <w:ind w:firstLine="720"/>
        <w:jc w:val="both"/>
        <w:divId w:val="1512643370"/>
        <w:rPr>
          <w:sz w:val="20"/>
          <w:szCs w:val="20"/>
        </w:rPr>
      </w:pPr>
      <w:r>
        <w:rPr>
          <w:sz w:val="20"/>
          <w:szCs w:val="20"/>
        </w:rPr>
        <w:t>We have foreign currency e</w:t>
      </w:r>
      <w:r>
        <w:rPr>
          <w:sz w:val="20"/>
          <w:szCs w:val="20"/>
        </w:rPr>
        <w:t>xposure at December 31, 2019 related to (i) our investment in Shurgard, with a book value of $339.9 million and (ii) €342.0 million ($383.6 million) of Euro-denominated unsecured notes payable.</w:t>
      </w:r>
      <w:r>
        <w:rPr>
          <w:sz w:val="20"/>
          <w:szCs w:val="20"/>
        </w:rPr>
        <w:t xml:space="preserve"> </w:t>
      </w:r>
    </w:p>
    <w:p w:rsidR="00000000" w:rsidRDefault="00865332">
      <w:pPr>
        <w:pStyle w:val="a3"/>
        <w:spacing w:before="0" w:beforeAutospacing="0" w:after="0" w:afterAutospacing="0" w:line="259" w:lineRule="auto"/>
        <w:ind w:firstLine="720"/>
        <w:jc w:val="both"/>
        <w:divId w:val="1512643370"/>
        <w:rPr>
          <w:sz w:val="20"/>
          <w:szCs w:val="20"/>
        </w:rPr>
      </w:pPr>
      <w:r>
        <w:rPr>
          <w:sz w:val="20"/>
          <w:szCs w:val="20"/>
        </w:rPr>
        <w:t>The fair value of our fixed rate debt at December 31, 2019 is</w:t>
      </w:r>
      <w:r>
        <w:rPr>
          <w:sz w:val="20"/>
          <w:szCs w:val="20"/>
        </w:rPr>
        <w:t xml:space="preserve"> approximately $2.0 billion. The table below summarizes the annual maturities of our fixed rate debt, which had a weighted average effective rate of 2.9% at December 31, 2019. See Note 6 to our December 31, 2019 financial statements for further information</w:t>
      </w:r>
      <w:r>
        <w:rPr>
          <w:sz w:val="20"/>
          <w:szCs w:val="20"/>
        </w:rPr>
        <w:t xml:space="preserve"> regarding our fixed rate debt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190"/>
        <w:gridCol w:w="65"/>
        <w:gridCol w:w="140"/>
        <w:gridCol w:w="866"/>
        <w:gridCol w:w="65"/>
        <w:gridCol w:w="140"/>
        <w:gridCol w:w="707"/>
        <w:gridCol w:w="65"/>
        <w:gridCol w:w="140"/>
        <w:gridCol w:w="723"/>
        <w:gridCol w:w="65"/>
        <w:gridCol w:w="140"/>
        <w:gridCol w:w="866"/>
        <w:gridCol w:w="65"/>
        <w:gridCol w:w="140"/>
        <w:gridCol w:w="773"/>
        <w:gridCol w:w="65"/>
        <w:gridCol w:w="140"/>
        <w:gridCol w:w="873"/>
        <w:gridCol w:w="65"/>
        <w:gridCol w:w="140"/>
        <w:gridCol w:w="873"/>
      </w:tblGrid>
      <w:tr w:rsidR="00000000">
        <w:trPr>
          <w:divId w:val="1512643370"/>
          <w:trHeight w:val="14"/>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12643370"/>
          <w:trHeight w:val="259"/>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202</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202</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202</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202</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202</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Thereafte</w:t>
            </w:r>
            <w:r>
              <w:rPr>
                <w:sz w:val="20"/>
                <w:szCs w:val="20"/>
              </w:rPr>
              <w:t>r</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Tota</w:t>
            </w:r>
            <w:r>
              <w:rPr>
                <w:sz w:val="20"/>
                <w:szCs w:val="20"/>
              </w:rPr>
              <w:t>l</w:t>
            </w:r>
          </w:p>
        </w:tc>
      </w:tr>
      <w:tr w:rsidR="00000000">
        <w:trPr>
          <w:divId w:val="1512643370"/>
          <w:trHeight w:val="115"/>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12643370"/>
          <w:trHeight w:val="259"/>
        </w:trPr>
        <w:tc>
          <w:tcPr>
            <w:tcW w:w="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Fixed rate debt</w:t>
            </w:r>
            <w:r>
              <w:rPr>
                <w:sz w:val="20"/>
                <w:szCs w:val="20"/>
              </w:rPr>
              <w:t xml:space="preserve"> </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2,01</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4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112,28</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1,272,89</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1,910,86</w:t>
            </w:r>
            <w:r>
              <w:rPr>
                <w:sz w:val="20"/>
                <w:szCs w:val="20"/>
              </w:rPr>
              <w:t>4</w:t>
            </w:r>
          </w:p>
        </w:tc>
      </w:tr>
    </w:tbl>
    <w:p w:rsidR="00000000" w:rsidRDefault="00865332">
      <w:pPr>
        <w:pStyle w:val="a3"/>
        <w:spacing w:before="0" w:beforeAutospacing="0" w:after="0" w:afterAutospacing="0" w:line="259" w:lineRule="auto"/>
        <w:divId w:val="1512643370"/>
        <w:rPr>
          <w:sz w:val="18"/>
          <w:szCs w:val="18"/>
        </w:rPr>
      </w:pPr>
      <w:r>
        <w:rPr>
          <w:sz w:val="18"/>
          <w:szCs w:val="18"/>
        </w:rPr>
        <w:br/>
      </w:r>
      <w:r>
        <w:rPr>
          <w:sz w:val="18"/>
          <w:szCs w:val="18"/>
        </w:rPr>
        <w:t>‎</w:t>
      </w:r>
      <w:r>
        <w:rPr>
          <w:sz w:val="18"/>
          <w:szCs w:val="18"/>
        </w:rPr>
        <w:t xml:space="preserve"> </w:t>
      </w:r>
    </w:p>
    <w:p w:rsidR="00000000" w:rsidRDefault="00865332">
      <w:pPr>
        <w:pStyle w:val="a3"/>
        <w:spacing w:before="0" w:beforeAutospacing="0" w:after="0" w:afterAutospacing="0" w:line="259" w:lineRule="auto"/>
        <w:jc w:val="center"/>
        <w:divId w:val="869416915"/>
        <w:rPr>
          <w:sz w:val="20"/>
          <w:szCs w:val="20"/>
        </w:rPr>
      </w:pPr>
      <w:r>
        <w:rPr>
          <w:rStyle w:val="ctheaderfooterpage"/>
          <w:sz w:val="20"/>
          <w:szCs w:val="20"/>
        </w:rPr>
        <w:t>5</w:t>
      </w:r>
      <w:r>
        <w:rPr>
          <w:rStyle w:val="ctheaderfooterpage"/>
          <w:sz w:val="20"/>
          <w:szCs w:val="20"/>
        </w:rPr>
        <w:t>7</w:t>
      </w:r>
    </w:p>
    <w:p w:rsidR="00000000" w:rsidRDefault="00865332">
      <w:pPr>
        <w:spacing w:before="360" w:after="360"/>
        <w:divId w:val="581717130"/>
        <w:rPr>
          <w:rFonts w:eastAsia="Times New Roman"/>
        </w:rPr>
      </w:pPr>
      <w:r>
        <w:rPr>
          <w:rFonts w:eastAsia="Times New Roman"/>
        </w:rPr>
        <w:pict>
          <v:rect id="_x0000_i1081" style="width:0;height:1.5pt" o:hralign="center" o:hrstd="t" o:hr="t" fillcolor="#a0a0a0" stroked="f"/>
        </w:pict>
      </w:r>
    </w:p>
    <w:p w:rsidR="00000000" w:rsidRDefault="00865332">
      <w:pPr>
        <w:pStyle w:val="a3"/>
        <w:spacing w:before="0" w:beforeAutospacing="0" w:after="0" w:afterAutospacing="0" w:line="259" w:lineRule="auto"/>
        <w:jc w:val="both"/>
        <w:divId w:val="1634479765"/>
        <w:rPr>
          <w:sz w:val="20"/>
          <w:szCs w:val="20"/>
        </w:rPr>
      </w:pPr>
      <w:r>
        <w:rPr>
          <w:b/>
          <w:bCs/>
          <w:sz w:val="20"/>
          <w:szCs w:val="20"/>
        </w:rPr>
        <w:t>ITEM 9A.</w:t>
      </w:r>
      <w:r>
        <w:rPr>
          <w:b/>
          <w:bCs/>
          <w:sz w:val="20"/>
          <w:szCs w:val="20"/>
        </w:rPr>
        <w:t xml:space="preserve"> </w:t>
      </w:r>
      <w:r>
        <w:rPr>
          <w:b/>
          <w:bCs/>
          <w:sz w:val="20"/>
          <w:szCs w:val="20"/>
          <w:u w:val="single"/>
        </w:rPr>
        <w:t>Controls and Procedure</w:t>
      </w:r>
      <w:r>
        <w:rPr>
          <w:b/>
          <w:bCs/>
          <w:sz w:val="20"/>
          <w:szCs w:val="20"/>
          <w:u w:val="single"/>
        </w:rPr>
        <w:t>s</w:t>
      </w:r>
    </w:p>
    <w:p w:rsidR="00000000" w:rsidRDefault="00865332">
      <w:pPr>
        <w:pStyle w:val="a3"/>
        <w:spacing w:before="0" w:beforeAutospacing="0" w:after="0" w:afterAutospacing="0" w:line="259" w:lineRule="auto"/>
        <w:jc w:val="both"/>
        <w:divId w:val="1634479765"/>
        <w:rPr>
          <w:sz w:val="20"/>
          <w:szCs w:val="20"/>
        </w:rPr>
      </w:pPr>
      <w:r>
        <w:rPr>
          <w:b/>
          <w:bCs/>
          <w:sz w:val="20"/>
          <w:szCs w:val="20"/>
        </w:rPr>
        <w:t>Conclusion Regarding the Effectiveness of Disclosure Controls and Procedure</w:t>
      </w:r>
      <w:r>
        <w:rPr>
          <w:b/>
          <w:bCs/>
          <w:sz w:val="20"/>
          <w:szCs w:val="20"/>
        </w:rPr>
        <w:t>s</w:t>
      </w:r>
    </w:p>
    <w:p w:rsidR="00000000" w:rsidRDefault="00865332">
      <w:pPr>
        <w:pStyle w:val="a3"/>
        <w:spacing w:before="0" w:beforeAutospacing="0" w:after="0" w:afterAutospacing="0" w:line="259" w:lineRule="auto"/>
        <w:ind w:firstLine="720"/>
        <w:jc w:val="both"/>
        <w:divId w:val="1634479765"/>
        <w:rPr>
          <w:sz w:val="20"/>
          <w:szCs w:val="20"/>
        </w:rPr>
      </w:pPr>
      <w:r>
        <w:rPr>
          <w:sz w:val="20"/>
          <w:szCs w:val="20"/>
        </w:rPr>
        <w:t>We maintain disclosure controls and procedures that are designed to ensure that information required to be disclosed in reports we file and submit under the Securities Exchange Act of 1934, as amended (the “Exchange Act”) is recorded, processed, summarized</w:t>
      </w:r>
      <w:r>
        <w:rPr>
          <w:sz w:val="20"/>
          <w:szCs w:val="20"/>
        </w:rPr>
        <w:t xml:space="preserve"> and reported within the time periods specified in accordance with SEC guidelines and that such information is communicated to our management, including our Chief Executive Officer and Chief Financial Officer, to allow timely decisions regarding required d</w:t>
      </w:r>
      <w:r>
        <w:rPr>
          <w:sz w:val="20"/>
          <w:szCs w:val="20"/>
        </w:rPr>
        <w:t>isclosure based on the definition of "disclosure controls and procedures" in Rules 13a-15(e) and 15d-15(e) of the Exchange Act. In designing and evaluating the disclosure controls and procedures, management recognized that any controls and procedures, no m</w:t>
      </w:r>
      <w:r>
        <w:rPr>
          <w:sz w:val="20"/>
          <w:szCs w:val="20"/>
        </w:rPr>
        <w:t>atter how well designed and operated, can provide only reasonable assurance of achieving the desired control objectives and management necessarily was required to apply its judgment in evaluating the cost-benefit relationship of possible controls and proce</w:t>
      </w:r>
      <w:r>
        <w:rPr>
          <w:sz w:val="20"/>
          <w:szCs w:val="20"/>
        </w:rPr>
        <w:t>dures in reaching that level of reasonable assurance. We also have investments in certain unconsolidated real estate entities and because we do not control these entities, our disclosure controls and procedures with respect to such entities are substantial</w:t>
      </w:r>
      <w:r>
        <w:rPr>
          <w:sz w:val="20"/>
          <w:szCs w:val="20"/>
        </w:rPr>
        <w:t>ly more limited than those we maintain with respect to our consolidated subsidiaries</w:t>
      </w:r>
      <w:r>
        <w:rPr>
          <w:sz w:val="20"/>
          <w:szCs w:val="20"/>
        </w:rPr>
        <w:t>.</w:t>
      </w:r>
    </w:p>
    <w:p w:rsidR="00000000" w:rsidRDefault="00865332">
      <w:pPr>
        <w:pStyle w:val="a3"/>
        <w:spacing w:before="0" w:beforeAutospacing="0" w:after="0" w:afterAutospacing="0" w:line="259" w:lineRule="auto"/>
        <w:ind w:firstLine="720"/>
        <w:jc w:val="both"/>
        <w:divId w:val="1634479765"/>
        <w:rPr>
          <w:sz w:val="20"/>
          <w:szCs w:val="20"/>
        </w:rPr>
      </w:pPr>
      <w:r>
        <w:rPr>
          <w:sz w:val="20"/>
          <w:szCs w:val="20"/>
        </w:rPr>
        <w:t>As of December 31, 2019, we carried out an evaluation, under the supervision and with the participation of management, including our Chief Executive Officer and Chief Fin</w:t>
      </w:r>
      <w:r>
        <w:rPr>
          <w:sz w:val="20"/>
          <w:szCs w:val="20"/>
        </w:rPr>
        <w:t>ancial Officer, of the effectiveness of the design and operation of our disclosure controls and procedures (as such term is defined in Rules 13a-15(e) and 15d-15(e) of the Exchange Act). Based on that evaluation, our Chief Executive Officer and Chief Finan</w:t>
      </w:r>
      <w:r>
        <w:rPr>
          <w:sz w:val="20"/>
          <w:szCs w:val="20"/>
        </w:rPr>
        <w:t>cial Officer concluded that our disclosure controls and procedures were effective as of December 31, 2019, at a reasonable assurance level</w:t>
      </w:r>
      <w:r>
        <w:rPr>
          <w:sz w:val="20"/>
          <w:szCs w:val="20"/>
        </w:rPr>
        <w:t>.</w:t>
      </w:r>
    </w:p>
    <w:p w:rsidR="00000000" w:rsidRDefault="00865332">
      <w:pPr>
        <w:pStyle w:val="a3"/>
        <w:spacing w:before="0" w:beforeAutospacing="0" w:after="0" w:afterAutospacing="0" w:line="259" w:lineRule="auto"/>
        <w:jc w:val="both"/>
        <w:divId w:val="1634479765"/>
        <w:rPr>
          <w:sz w:val="20"/>
          <w:szCs w:val="20"/>
        </w:rPr>
      </w:pPr>
      <w:r>
        <w:rPr>
          <w:b/>
          <w:bCs/>
          <w:sz w:val="20"/>
          <w:szCs w:val="20"/>
        </w:rPr>
        <w:t>Management’s Report on Internal Control Over Financial Reportin</w:t>
      </w:r>
      <w:r>
        <w:rPr>
          <w:b/>
          <w:bCs/>
          <w:sz w:val="20"/>
          <w:szCs w:val="20"/>
        </w:rPr>
        <w:t>g</w:t>
      </w:r>
    </w:p>
    <w:p w:rsidR="00000000" w:rsidRDefault="00865332">
      <w:pPr>
        <w:pStyle w:val="a3"/>
        <w:spacing w:before="0" w:beforeAutospacing="0" w:after="0" w:afterAutospacing="0" w:line="259" w:lineRule="auto"/>
        <w:ind w:firstLine="720"/>
        <w:jc w:val="both"/>
        <w:divId w:val="1634479765"/>
        <w:rPr>
          <w:sz w:val="20"/>
          <w:szCs w:val="20"/>
        </w:rPr>
      </w:pPr>
      <w:r>
        <w:rPr>
          <w:sz w:val="20"/>
          <w:szCs w:val="20"/>
        </w:rPr>
        <w:t xml:space="preserve">Our management is responsible for establishing and </w:t>
      </w:r>
      <w:r>
        <w:rPr>
          <w:sz w:val="20"/>
          <w:szCs w:val="20"/>
        </w:rPr>
        <w:t>maintaining adequate internal control over financial reporting, as such term is defined in Rules 13a-15(f) and 15d-15(f) of the Exchange Act. Under the supervision and with the participation of our management, including our Chief Executive Officer and Chie</w:t>
      </w:r>
      <w:r>
        <w:rPr>
          <w:sz w:val="20"/>
          <w:szCs w:val="20"/>
        </w:rPr>
        <w:t>f Financial Officer, we conducted an evaluation of the effectiveness of our internal control over financial reporting based on the framework in</w:t>
      </w:r>
      <w:r>
        <w:rPr>
          <w:sz w:val="20"/>
          <w:szCs w:val="20"/>
        </w:rPr>
        <w:t xml:space="preserve"> </w:t>
      </w:r>
      <w:r>
        <w:rPr>
          <w:i/>
          <w:iCs/>
          <w:sz w:val="20"/>
          <w:szCs w:val="20"/>
        </w:rPr>
        <w:t>Internal Control-Integrated Framewor</w:t>
      </w:r>
      <w:r>
        <w:rPr>
          <w:i/>
          <w:iCs/>
          <w:sz w:val="20"/>
          <w:szCs w:val="20"/>
        </w:rPr>
        <w:t>k</w:t>
      </w:r>
      <w:r>
        <w:rPr>
          <w:sz w:val="20"/>
          <w:szCs w:val="20"/>
        </w:rPr>
        <w:t xml:space="preserve"> </w:t>
      </w:r>
      <w:r>
        <w:rPr>
          <w:sz w:val="20"/>
          <w:szCs w:val="20"/>
        </w:rPr>
        <w:t>issued by the Committee on Sponsoring Organizations of the Treadway Commission (2013 Framework). Based on our evaluation under the framework in</w:t>
      </w:r>
      <w:r>
        <w:rPr>
          <w:sz w:val="20"/>
          <w:szCs w:val="20"/>
        </w:rPr>
        <w:t xml:space="preserve"> </w:t>
      </w:r>
      <w:r>
        <w:rPr>
          <w:i/>
          <w:iCs/>
          <w:sz w:val="20"/>
          <w:szCs w:val="20"/>
        </w:rPr>
        <w:t>Internal Control-Integrated Framewor</w:t>
      </w:r>
      <w:r>
        <w:rPr>
          <w:i/>
          <w:iCs/>
          <w:sz w:val="20"/>
          <w:szCs w:val="20"/>
        </w:rPr>
        <w:t>k</w:t>
      </w:r>
      <w:r>
        <w:rPr>
          <w:sz w:val="20"/>
          <w:szCs w:val="20"/>
        </w:rPr>
        <w:t>, our management concluded that our internal control over financial reporti</w:t>
      </w:r>
      <w:r>
        <w:rPr>
          <w:sz w:val="20"/>
          <w:szCs w:val="20"/>
        </w:rPr>
        <w:t>ng was effective as of December 31, 2019</w:t>
      </w:r>
      <w:r>
        <w:rPr>
          <w:sz w:val="20"/>
          <w:szCs w:val="20"/>
        </w:rPr>
        <w:t>.</w:t>
      </w:r>
    </w:p>
    <w:p w:rsidR="00000000" w:rsidRDefault="00865332">
      <w:pPr>
        <w:pStyle w:val="a3"/>
        <w:spacing w:before="0" w:beforeAutospacing="0" w:after="0" w:afterAutospacing="0" w:line="259" w:lineRule="auto"/>
        <w:ind w:firstLine="720"/>
        <w:jc w:val="both"/>
        <w:divId w:val="1634479765"/>
        <w:rPr>
          <w:sz w:val="20"/>
          <w:szCs w:val="20"/>
        </w:rPr>
      </w:pPr>
      <w:r>
        <w:rPr>
          <w:sz w:val="20"/>
          <w:szCs w:val="20"/>
        </w:rPr>
        <w:t>The effectiveness of internal control over financial reporting as of December 31, 2019, has been audited by Ernst &amp; Young LLP, an independent registered public accounting firm. Ernst &amp; Young LLP’s report on our int</w:t>
      </w:r>
      <w:r>
        <w:rPr>
          <w:sz w:val="20"/>
          <w:szCs w:val="20"/>
        </w:rPr>
        <w:t>ernal control over financial reporting appears below</w:t>
      </w:r>
      <w:r>
        <w:rPr>
          <w:sz w:val="20"/>
          <w:szCs w:val="20"/>
        </w:rPr>
        <w:t>.</w:t>
      </w:r>
    </w:p>
    <w:p w:rsidR="00000000" w:rsidRDefault="00865332">
      <w:pPr>
        <w:pStyle w:val="a3"/>
        <w:spacing w:before="0" w:beforeAutospacing="0" w:after="0" w:afterAutospacing="0" w:line="259" w:lineRule="auto"/>
        <w:jc w:val="both"/>
        <w:divId w:val="1634479765"/>
        <w:rPr>
          <w:sz w:val="20"/>
          <w:szCs w:val="20"/>
        </w:rPr>
      </w:pPr>
      <w:r>
        <w:rPr>
          <w:b/>
          <w:bCs/>
          <w:sz w:val="20"/>
          <w:szCs w:val="20"/>
        </w:rPr>
        <w:t>Changes in Internal Control Over Financial Reportin</w:t>
      </w:r>
      <w:r>
        <w:rPr>
          <w:b/>
          <w:bCs/>
          <w:sz w:val="20"/>
          <w:szCs w:val="20"/>
        </w:rPr>
        <w:t>g</w:t>
      </w:r>
    </w:p>
    <w:p w:rsidR="00000000" w:rsidRDefault="00865332">
      <w:pPr>
        <w:pStyle w:val="a3"/>
        <w:spacing w:before="0" w:beforeAutospacing="0" w:after="0" w:afterAutospacing="0" w:line="259" w:lineRule="auto"/>
        <w:ind w:firstLine="720"/>
        <w:jc w:val="both"/>
        <w:divId w:val="1634479765"/>
        <w:rPr>
          <w:sz w:val="20"/>
          <w:szCs w:val="20"/>
        </w:rPr>
      </w:pPr>
      <w:r>
        <w:rPr>
          <w:sz w:val="20"/>
          <w:szCs w:val="20"/>
        </w:rPr>
        <w:t xml:space="preserve">There have not been any changes in our internal control over financial reporting (as such term is defined in Rules 13a-15(f) and 15d-15(f) under the </w:t>
      </w:r>
      <w:r>
        <w:rPr>
          <w:sz w:val="20"/>
          <w:szCs w:val="20"/>
        </w:rPr>
        <w:t>Exchange Act) during the fourth quarter of 2019 to which this report relates that have materially affected, or are reasonable likely to materially affect, our internal control over financial reporting</w:t>
      </w:r>
      <w:r>
        <w:rPr>
          <w:sz w:val="20"/>
          <w:szCs w:val="20"/>
        </w:rPr>
        <w:t>.</w:t>
      </w:r>
    </w:p>
    <w:p w:rsidR="00000000" w:rsidRDefault="00865332">
      <w:pPr>
        <w:pStyle w:val="a3"/>
        <w:spacing w:before="0" w:beforeAutospacing="0" w:after="0" w:afterAutospacing="0" w:line="276" w:lineRule="auto"/>
        <w:divId w:val="1634479765"/>
        <w:rPr>
          <w:sz w:val="20"/>
          <w:szCs w:val="20"/>
        </w:rPr>
      </w:pPr>
      <w:r>
        <w:rPr>
          <w:b/>
          <w:bCs/>
          <w:sz w:val="20"/>
          <w:szCs w:val="20"/>
        </w:rPr>
        <w:br/>
      </w:r>
      <w:r>
        <w:rPr>
          <w:b/>
          <w:bCs/>
          <w:sz w:val="20"/>
          <w:szCs w:val="20"/>
        </w:rPr>
        <w:t>‎</w:t>
      </w:r>
      <w:r>
        <w:rPr>
          <w:sz w:val="20"/>
          <w:szCs w:val="20"/>
        </w:rPr>
        <w:t xml:space="preserve"> </w:t>
      </w:r>
    </w:p>
    <w:p w:rsidR="00000000" w:rsidRDefault="00865332">
      <w:pPr>
        <w:pStyle w:val="a3"/>
        <w:spacing w:before="0" w:beforeAutospacing="0" w:after="0" w:afterAutospacing="0" w:line="259" w:lineRule="auto"/>
        <w:jc w:val="center"/>
        <w:divId w:val="690229780"/>
        <w:rPr>
          <w:sz w:val="20"/>
          <w:szCs w:val="20"/>
        </w:rPr>
      </w:pPr>
      <w:r>
        <w:rPr>
          <w:rStyle w:val="ctheaderfooterpage"/>
          <w:sz w:val="20"/>
          <w:szCs w:val="20"/>
        </w:rPr>
        <w:t>5</w:t>
      </w:r>
      <w:r>
        <w:rPr>
          <w:rStyle w:val="ctheaderfooterpage"/>
          <w:sz w:val="20"/>
          <w:szCs w:val="20"/>
        </w:rPr>
        <w:t>8</w:t>
      </w:r>
    </w:p>
    <w:p w:rsidR="00000000" w:rsidRDefault="00865332">
      <w:pPr>
        <w:spacing w:before="360" w:after="360"/>
        <w:divId w:val="162864589"/>
        <w:rPr>
          <w:rFonts w:eastAsia="Times New Roman"/>
        </w:rPr>
      </w:pPr>
      <w:r>
        <w:rPr>
          <w:rFonts w:eastAsia="Times New Roman"/>
        </w:rPr>
        <w:pict>
          <v:rect id="_x0000_i1082"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8306"/>
      </w:tblGrid>
      <w:tr w:rsidR="00000000">
        <w:trPr>
          <w:divId w:val="1337269929"/>
          <w:trHeight w:val="14"/>
        </w:trPr>
        <w:tc>
          <w:tcPr>
            <w:tcW w:w="9300" w:type="dxa"/>
            <w:tcBorders>
              <w:top w:val="nil"/>
              <w:left w:val="nil"/>
              <w:bottom w:val="nil"/>
              <w:right w:val="nil"/>
            </w:tcBorders>
            <w:tcMar>
              <w:top w:w="0" w:type="dxa"/>
              <w:left w:w="0" w:type="dxa"/>
              <w:bottom w:w="0" w:type="dxa"/>
              <w:right w:w="0" w:type="dxa"/>
            </w:tcMar>
            <w:vAlign w:val="center"/>
            <w:hideMark/>
          </w:tcPr>
          <w:p w:rsidR="00000000" w:rsidRDefault="00865332">
            <w:pPr>
              <w:rPr>
                <w:rFonts w:eastAsia="Times New Roman"/>
              </w:rPr>
            </w:pPr>
          </w:p>
        </w:tc>
      </w:tr>
      <w:tr w:rsidR="00000000">
        <w:trPr>
          <w:divId w:val="1337269929"/>
        </w:trPr>
        <w:tc>
          <w:tcPr>
            <w:tcW w:w="9300" w:type="dxa"/>
            <w:tcBorders>
              <w:top w:val="nil"/>
              <w:left w:val="nil"/>
              <w:bottom w:val="nil"/>
              <w:right w:val="nil"/>
            </w:tcBorders>
            <w:tcMar>
              <w:top w:w="0" w:type="dxa"/>
              <w:left w:w="15" w:type="dxa"/>
              <w:bottom w:w="0" w:type="dxa"/>
              <w:right w:w="15"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Report o</w:t>
            </w:r>
            <w:r>
              <w:rPr>
                <w:sz w:val="20"/>
                <w:szCs w:val="20"/>
              </w:rPr>
              <w:t>f Independent Registered Public Accounting Fir</w:t>
            </w:r>
            <w:r>
              <w:rPr>
                <w:sz w:val="20"/>
                <w:szCs w:val="20"/>
              </w:rPr>
              <w:t>m</w:t>
            </w:r>
          </w:p>
        </w:tc>
      </w:tr>
    </w:tbl>
    <w:p w:rsidR="00000000" w:rsidRDefault="00865332">
      <w:pPr>
        <w:divId w:val="13372699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8306"/>
      </w:tblGrid>
      <w:tr w:rsidR="00000000">
        <w:trPr>
          <w:divId w:val="1337269929"/>
          <w:trHeight w:val="14"/>
        </w:trPr>
        <w:tc>
          <w:tcPr>
            <w:tcW w:w="9300" w:type="dxa"/>
            <w:tcBorders>
              <w:top w:val="nil"/>
              <w:left w:val="nil"/>
              <w:bottom w:val="nil"/>
              <w:right w:val="nil"/>
            </w:tcBorders>
            <w:tcMar>
              <w:top w:w="0" w:type="dxa"/>
              <w:left w:w="0" w:type="dxa"/>
              <w:bottom w:w="0" w:type="dxa"/>
              <w:right w:w="0" w:type="dxa"/>
            </w:tcMar>
            <w:vAlign w:val="center"/>
            <w:hideMark/>
          </w:tcPr>
          <w:p w:rsidR="00000000" w:rsidRDefault="00865332">
            <w:pPr>
              <w:rPr>
                <w:rFonts w:eastAsia="Times New Roman"/>
              </w:rPr>
            </w:pPr>
          </w:p>
        </w:tc>
      </w:tr>
      <w:tr w:rsidR="00000000">
        <w:trPr>
          <w:divId w:val="1337269929"/>
        </w:trPr>
        <w:tc>
          <w:tcPr>
            <w:tcW w:w="9300" w:type="dxa"/>
            <w:tcBorders>
              <w:top w:val="nil"/>
              <w:left w:val="nil"/>
              <w:bottom w:val="nil"/>
              <w:right w:val="nil"/>
            </w:tcBorders>
            <w:tcMar>
              <w:top w:w="0" w:type="dxa"/>
              <w:left w:w="15" w:type="dxa"/>
              <w:bottom w:w="0" w:type="dxa"/>
              <w:right w:w="15" w:type="dxa"/>
            </w:tcMar>
            <w:vAlign w:val="center"/>
            <w:hideMark/>
          </w:tcPr>
          <w:p w:rsidR="00000000" w:rsidRDefault="00865332">
            <w:pPr>
              <w:pStyle w:val="a3"/>
              <w:spacing w:before="0" w:beforeAutospacing="0" w:after="0" w:afterAutospacing="0" w:line="259" w:lineRule="auto"/>
              <w:rPr>
                <w:sz w:val="20"/>
                <w:szCs w:val="20"/>
              </w:rPr>
            </w:pPr>
            <w:r>
              <w:rPr>
                <w:sz w:val="20"/>
                <w:szCs w:val="20"/>
              </w:rPr>
              <w:t>To the Shareholders and Board of Trustees of Public Storag</w:t>
            </w:r>
            <w:r>
              <w:rPr>
                <w:sz w:val="20"/>
                <w:szCs w:val="20"/>
              </w:rPr>
              <w:t>e</w:t>
            </w:r>
          </w:p>
        </w:tc>
      </w:tr>
      <w:tr w:rsidR="00000000">
        <w:trPr>
          <w:divId w:val="1337269929"/>
        </w:trPr>
        <w:tc>
          <w:tcPr>
            <w:tcW w:w="9300" w:type="dxa"/>
            <w:tcBorders>
              <w:top w:val="nil"/>
              <w:left w:val="nil"/>
              <w:bottom w:val="nil"/>
              <w:right w:val="nil"/>
            </w:tcBorders>
            <w:tcMar>
              <w:top w:w="0" w:type="dxa"/>
              <w:left w:w="15" w:type="dxa"/>
              <w:bottom w:w="0" w:type="dxa"/>
              <w:right w:w="15" w:type="dxa"/>
            </w:tcMar>
            <w:vAlign w:val="center"/>
            <w:hideMark/>
          </w:tcPr>
          <w:p w:rsidR="00000000" w:rsidRDefault="00865332">
            <w:pPr>
              <w:pStyle w:val="a3"/>
              <w:spacing w:before="0" w:beforeAutospacing="0" w:after="0" w:afterAutospacing="0" w:line="259" w:lineRule="auto"/>
              <w:rPr>
                <w:sz w:val="20"/>
                <w:szCs w:val="20"/>
              </w:rPr>
            </w:pPr>
            <w:r>
              <w:rPr>
                <w:b/>
                <w:bCs/>
                <w:sz w:val="20"/>
                <w:szCs w:val="20"/>
              </w:rPr>
              <w:t>Opinion on Internal Control over Financial Reportin</w:t>
            </w:r>
            <w:r>
              <w:rPr>
                <w:b/>
                <w:bCs/>
                <w:sz w:val="20"/>
                <w:szCs w:val="20"/>
              </w:rPr>
              <w:t>g</w:t>
            </w:r>
          </w:p>
        </w:tc>
      </w:tr>
      <w:tr w:rsidR="00000000">
        <w:trPr>
          <w:divId w:val="1337269929"/>
        </w:trPr>
        <w:tc>
          <w:tcPr>
            <w:tcW w:w="9300" w:type="dxa"/>
            <w:tcBorders>
              <w:top w:val="nil"/>
              <w:left w:val="nil"/>
              <w:bottom w:val="nil"/>
              <w:right w:val="nil"/>
            </w:tcBorders>
            <w:tcMar>
              <w:top w:w="0" w:type="dxa"/>
              <w:left w:w="15" w:type="dxa"/>
              <w:bottom w:w="0" w:type="dxa"/>
              <w:right w:w="15" w:type="dxa"/>
            </w:tcMar>
            <w:vAlign w:val="center"/>
            <w:hideMark/>
          </w:tcPr>
          <w:p w:rsidR="00000000" w:rsidRDefault="00865332">
            <w:pPr>
              <w:pStyle w:val="a3"/>
              <w:spacing w:before="0" w:beforeAutospacing="0" w:after="0" w:afterAutospacing="0" w:line="259" w:lineRule="auto"/>
              <w:rPr>
                <w:sz w:val="20"/>
                <w:szCs w:val="20"/>
              </w:rPr>
            </w:pPr>
            <w:r>
              <w:rPr>
                <w:sz w:val="20"/>
                <w:szCs w:val="20"/>
              </w:rPr>
              <w:t>We have audited</w:t>
            </w:r>
            <w:r>
              <w:rPr>
                <w:sz w:val="20"/>
                <w:szCs w:val="20"/>
              </w:rPr>
              <w:t xml:space="preserve"> </w:t>
            </w:r>
            <w:r>
              <w:rPr>
                <w:sz w:val="20"/>
                <w:szCs w:val="20"/>
              </w:rPr>
              <w:t>Public Storage’s</w:t>
            </w:r>
            <w:r>
              <w:rPr>
                <w:sz w:val="20"/>
                <w:szCs w:val="20"/>
              </w:rPr>
              <w:t xml:space="preserve"> </w:t>
            </w:r>
            <w:r>
              <w:rPr>
                <w:sz w:val="20"/>
                <w:szCs w:val="20"/>
              </w:rPr>
              <w:t>internal control over financial reporting as of</w:t>
            </w:r>
            <w:r>
              <w:rPr>
                <w:sz w:val="20"/>
                <w:szCs w:val="20"/>
              </w:rPr>
              <w:t xml:space="preserve"> </w:t>
            </w:r>
            <w:r>
              <w:rPr>
                <w:sz w:val="20"/>
                <w:szCs w:val="20"/>
              </w:rPr>
              <w:t>December 31, 201</w:t>
            </w:r>
            <w:r>
              <w:rPr>
                <w:sz w:val="20"/>
                <w:szCs w:val="20"/>
              </w:rPr>
              <w:t>9</w:t>
            </w:r>
            <w:r>
              <w:rPr>
                <w:sz w:val="20"/>
                <w:szCs w:val="20"/>
              </w:rPr>
              <w:t>, based on criteria established in Internal Control—Integrated Framework issued by the Committee of Sponsoring Organizations of the Treadway Commission</w:t>
            </w:r>
            <w:r>
              <w:rPr>
                <w:sz w:val="20"/>
                <w:szCs w:val="20"/>
              </w:rPr>
              <w:t xml:space="preserve"> </w:t>
            </w:r>
            <w:r>
              <w:rPr>
                <w:sz w:val="20"/>
                <w:szCs w:val="20"/>
              </w:rPr>
              <w:t>(2013 framework</w:t>
            </w:r>
            <w:r>
              <w:rPr>
                <w:sz w:val="20"/>
                <w:szCs w:val="20"/>
              </w:rPr>
              <w:t>)</w:t>
            </w:r>
            <w:r>
              <w:rPr>
                <w:sz w:val="20"/>
                <w:szCs w:val="20"/>
              </w:rPr>
              <w:t xml:space="preserve"> (the COSO criteria). I</w:t>
            </w:r>
            <w:r>
              <w:rPr>
                <w:sz w:val="20"/>
                <w:szCs w:val="20"/>
              </w:rPr>
              <w:t>n our opinion, Public Storage</w:t>
            </w:r>
            <w:r>
              <w:rPr>
                <w:sz w:val="20"/>
                <w:szCs w:val="20"/>
              </w:rPr>
              <w:t xml:space="preserve"> </w:t>
            </w:r>
            <w:r>
              <w:rPr>
                <w:sz w:val="20"/>
                <w:szCs w:val="20"/>
              </w:rPr>
              <w:t>(the Company</w:t>
            </w:r>
            <w:r>
              <w:rPr>
                <w:sz w:val="20"/>
                <w:szCs w:val="20"/>
              </w:rPr>
              <w:t>)</w:t>
            </w:r>
            <w:r>
              <w:rPr>
                <w:sz w:val="20"/>
                <w:szCs w:val="20"/>
              </w:rPr>
              <w:t xml:space="preserve"> maintained, in all material aspects, effective internal control over financial reporting as of December 31, 2019, based on the COSO criteria.</w:t>
            </w:r>
            <w:r>
              <w:rPr>
                <w:sz w:val="20"/>
                <w:szCs w:val="20"/>
              </w:rPr>
              <w:t xml:space="preserve"> </w:t>
            </w:r>
          </w:p>
        </w:tc>
      </w:tr>
      <w:tr w:rsidR="00000000">
        <w:trPr>
          <w:divId w:val="1337269929"/>
        </w:trPr>
        <w:tc>
          <w:tcPr>
            <w:tcW w:w="9300" w:type="dxa"/>
            <w:tcBorders>
              <w:top w:val="nil"/>
              <w:left w:val="nil"/>
              <w:bottom w:val="nil"/>
              <w:right w:val="nil"/>
            </w:tcBorders>
            <w:tcMar>
              <w:top w:w="0" w:type="dxa"/>
              <w:left w:w="15" w:type="dxa"/>
              <w:bottom w:w="0" w:type="dxa"/>
              <w:right w:w="15" w:type="dxa"/>
            </w:tcMar>
            <w:vAlign w:val="center"/>
            <w:hideMark/>
          </w:tcPr>
          <w:p w:rsidR="00000000" w:rsidRDefault="00865332">
            <w:pPr>
              <w:pStyle w:val="a3"/>
              <w:spacing w:before="0" w:beforeAutospacing="0" w:after="0" w:afterAutospacing="0" w:line="259" w:lineRule="auto"/>
              <w:rPr>
                <w:sz w:val="20"/>
                <w:szCs w:val="20"/>
              </w:rPr>
            </w:pPr>
            <w:r>
              <w:rPr>
                <w:sz w:val="20"/>
                <w:szCs w:val="20"/>
              </w:rPr>
              <w:t>We also have audited, in accordance with the standards of the Public</w:t>
            </w:r>
            <w:r>
              <w:rPr>
                <w:sz w:val="20"/>
                <w:szCs w:val="20"/>
              </w:rPr>
              <w:t xml:space="preserve"> Company Accounting Oversight Board (United States) (PCAOB), the</w:t>
            </w:r>
            <w:r>
              <w:rPr>
                <w:sz w:val="20"/>
                <w:szCs w:val="20"/>
              </w:rPr>
              <w:t xml:space="preserve"> </w:t>
            </w:r>
            <w:r>
              <w:rPr>
                <w:sz w:val="20"/>
                <w:szCs w:val="20"/>
              </w:rPr>
              <w:t>consolidated balance sheets of the Company as of December 31, 2019 and 2018, the related consolidated statements of income, comprehensive income, equity and cash flows for each of the three y</w:t>
            </w:r>
            <w:r>
              <w:rPr>
                <w:sz w:val="20"/>
                <w:szCs w:val="20"/>
              </w:rPr>
              <w:t>ears in the period ended December 31, 2019 and the related notes</w:t>
            </w:r>
            <w:r>
              <w:rPr>
                <w:sz w:val="20"/>
                <w:szCs w:val="20"/>
              </w:rPr>
              <w:t xml:space="preserve"> </w:t>
            </w:r>
            <w:r>
              <w:rPr>
                <w:sz w:val="20"/>
                <w:szCs w:val="20"/>
              </w:rPr>
              <w:t>and financial statement schedule listed in the Index at Item 15(a) and our report dated</w:t>
            </w:r>
            <w:r>
              <w:rPr>
                <w:sz w:val="20"/>
                <w:szCs w:val="20"/>
              </w:rPr>
              <w:t xml:space="preserve"> </w:t>
            </w:r>
            <w:r>
              <w:rPr>
                <w:sz w:val="20"/>
                <w:szCs w:val="20"/>
              </w:rPr>
              <w:t>February 25, 202</w:t>
            </w:r>
            <w:r>
              <w:rPr>
                <w:sz w:val="20"/>
                <w:szCs w:val="20"/>
              </w:rPr>
              <w:t>0</w:t>
            </w:r>
            <w:r>
              <w:rPr>
                <w:sz w:val="20"/>
                <w:szCs w:val="20"/>
              </w:rPr>
              <w:t xml:space="preserve"> expressed</w:t>
            </w:r>
            <w:r>
              <w:rPr>
                <w:sz w:val="20"/>
                <w:szCs w:val="20"/>
              </w:rPr>
              <w:t xml:space="preserve"> </w:t>
            </w:r>
            <w:r>
              <w:rPr>
                <w:sz w:val="20"/>
                <w:szCs w:val="20"/>
              </w:rPr>
              <w:t>an unqualified opinion thereo</w:t>
            </w:r>
            <w:r>
              <w:rPr>
                <w:sz w:val="20"/>
                <w:szCs w:val="20"/>
              </w:rPr>
              <w:t>n</w:t>
            </w:r>
            <w:r>
              <w:rPr>
                <w:sz w:val="20"/>
                <w:szCs w:val="20"/>
              </w:rPr>
              <w:t>.</w:t>
            </w:r>
            <w:r>
              <w:rPr>
                <w:sz w:val="20"/>
                <w:szCs w:val="20"/>
              </w:rPr>
              <w:t> </w:t>
            </w:r>
          </w:p>
        </w:tc>
      </w:tr>
      <w:tr w:rsidR="00000000">
        <w:trPr>
          <w:divId w:val="1337269929"/>
        </w:trPr>
        <w:tc>
          <w:tcPr>
            <w:tcW w:w="9300" w:type="dxa"/>
            <w:tcBorders>
              <w:top w:val="nil"/>
              <w:left w:val="nil"/>
              <w:bottom w:val="nil"/>
              <w:right w:val="nil"/>
            </w:tcBorders>
            <w:tcMar>
              <w:top w:w="0" w:type="dxa"/>
              <w:left w:w="15" w:type="dxa"/>
              <w:bottom w:w="0" w:type="dxa"/>
              <w:right w:w="15" w:type="dxa"/>
            </w:tcMar>
            <w:vAlign w:val="center"/>
            <w:hideMark/>
          </w:tcPr>
          <w:p w:rsidR="00000000" w:rsidRDefault="00865332">
            <w:pPr>
              <w:pStyle w:val="a3"/>
              <w:spacing w:before="0" w:beforeAutospacing="0" w:after="0" w:afterAutospacing="0" w:line="259" w:lineRule="auto"/>
              <w:rPr>
                <w:sz w:val="20"/>
                <w:szCs w:val="20"/>
              </w:rPr>
            </w:pPr>
            <w:r>
              <w:rPr>
                <w:b/>
                <w:bCs/>
                <w:sz w:val="20"/>
                <w:szCs w:val="20"/>
              </w:rPr>
              <w:t>Basis for Opinio</w:t>
            </w:r>
            <w:r>
              <w:rPr>
                <w:b/>
                <w:bCs/>
                <w:sz w:val="20"/>
                <w:szCs w:val="20"/>
              </w:rPr>
              <w:t>n</w:t>
            </w:r>
          </w:p>
        </w:tc>
      </w:tr>
      <w:tr w:rsidR="00000000">
        <w:trPr>
          <w:divId w:val="1337269929"/>
        </w:trPr>
        <w:tc>
          <w:tcPr>
            <w:tcW w:w="9300" w:type="dxa"/>
            <w:tcBorders>
              <w:top w:val="nil"/>
              <w:left w:val="nil"/>
              <w:bottom w:val="nil"/>
              <w:right w:val="nil"/>
            </w:tcBorders>
            <w:tcMar>
              <w:top w:w="0" w:type="dxa"/>
              <w:left w:w="15" w:type="dxa"/>
              <w:bottom w:w="0" w:type="dxa"/>
              <w:right w:w="15" w:type="dxa"/>
            </w:tcMar>
            <w:vAlign w:val="center"/>
            <w:hideMark/>
          </w:tcPr>
          <w:p w:rsidR="00000000" w:rsidRDefault="00865332">
            <w:pPr>
              <w:pStyle w:val="a3"/>
              <w:spacing w:before="0" w:beforeAutospacing="0" w:after="0" w:afterAutospacing="0" w:line="259" w:lineRule="auto"/>
              <w:rPr>
                <w:sz w:val="20"/>
                <w:szCs w:val="20"/>
              </w:rPr>
            </w:pPr>
            <w:r>
              <w:rPr>
                <w:sz w:val="20"/>
                <w:szCs w:val="20"/>
              </w:rPr>
              <w:t>The Company’s manageme</w:t>
            </w:r>
            <w:r>
              <w:rPr>
                <w:sz w:val="20"/>
                <w:szCs w:val="20"/>
              </w:rPr>
              <w:t>nt is responsible for maintaining effective internal control over financial reporting, and for its assessment of the effectiveness of internal control over financial reporting included in the accompanying Management’s Report on Internal Control Over Financ</w:t>
            </w:r>
            <w:r>
              <w:rPr>
                <w:sz w:val="20"/>
                <w:szCs w:val="20"/>
              </w:rPr>
              <w:t>ial Reporting. Our responsibility is to express an opinion on the Company’s internal control over financial reporting based on our audit. We are a public accounting firm registered with the PCAOB and are required to be independent with respect to the Compa</w:t>
            </w:r>
            <w:r>
              <w:rPr>
                <w:sz w:val="20"/>
                <w:szCs w:val="20"/>
              </w:rPr>
              <w:t>ny in accordance with the U.S. federal securities laws and the applicable rules and regulations of the Securities and Exchange Commission and the PCAOB.</w:t>
            </w:r>
            <w:r>
              <w:rPr>
                <w:sz w:val="20"/>
                <w:szCs w:val="20"/>
              </w:rPr>
              <w:t xml:space="preserve"> </w:t>
            </w:r>
          </w:p>
          <w:p w:rsidR="00000000" w:rsidRDefault="00865332">
            <w:pPr>
              <w:pStyle w:val="a3"/>
              <w:spacing w:before="0" w:beforeAutospacing="0" w:after="0" w:afterAutospacing="0" w:line="259" w:lineRule="auto"/>
              <w:rPr>
                <w:sz w:val="20"/>
                <w:szCs w:val="20"/>
              </w:rPr>
            </w:pPr>
            <w:r>
              <w:rPr>
                <w:sz w:val="20"/>
                <w:szCs w:val="20"/>
              </w:rPr>
              <w:t xml:space="preserve">We conducted our audit in accordance with the standards of the PCAOB. Those standards require that we </w:t>
            </w:r>
            <w:r>
              <w:rPr>
                <w:sz w:val="20"/>
                <w:szCs w:val="20"/>
              </w:rPr>
              <w:t>plan and perform the audit to obtain reasonable assurance about whether effective internal control over financial reporting was maintained in all material respects. Our audit included obtaining an understanding of internal control over financial reporting,</w:t>
            </w:r>
            <w:r>
              <w:rPr>
                <w:sz w:val="20"/>
                <w:szCs w:val="20"/>
              </w:rPr>
              <w:t xml:space="preserve"> assessing the risk that a material weakness exists, testing and evaluating the design and operating effectiveness of internal control based on the assessed risk, and performing such other procedures as we considered necessary in the circumstances. We beli</w:t>
            </w:r>
            <w:r>
              <w:rPr>
                <w:sz w:val="20"/>
                <w:szCs w:val="20"/>
              </w:rPr>
              <w:t>eve that our audit provides a reasonable basis for our opinion</w:t>
            </w:r>
            <w:r>
              <w:rPr>
                <w:sz w:val="20"/>
                <w:szCs w:val="20"/>
              </w:rPr>
              <w:t>.</w:t>
            </w:r>
          </w:p>
        </w:tc>
      </w:tr>
    </w:tbl>
    <w:p w:rsidR="00000000" w:rsidRDefault="00865332">
      <w:pPr>
        <w:pStyle w:val="a3"/>
        <w:spacing w:before="0" w:beforeAutospacing="0" w:after="0" w:afterAutospacing="0" w:line="259" w:lineRule="auto"/>
        <w:divId w:val="1337269929"/>
        <w:rPr>
          <w:sz w:val="20"/>
          <w:szCs w:val="20"/>
        </w:rPr>
      </w:pPr>
      <w:r>
        <w:rPr>
          <w:b/>
          <w:bCs/>
          <w:sz w:val="20"/>
          <w:szCs w:val="20"/>
        </w:rPr>
        <w:t>Definition and Limitations of Internal Control Over Financial Reportin</w:t>
      </w:r>
      <w:r>
        <w:rPr>
          <w:b/>
          <w:bCs/>
          <w:sz w:val="20"/>
          <w:szCs w:val="20"/>
        </w:rPr>
        <w:t>g</w:t>
      </w:r>
    </w:p>
    <w:p w:rsidR="00000000" w:rsidRDefault="00865332">
      <w:pPr>
        <w:pStyle w:val="a3"/>
        <w:spacing w:before="0" w:beforeAutospacing="0" w:after="0" w:afterAutospacing="0" w:line="259" w:lineRule="auto"/>
        <w:divId w:val="1337269929"/>
        <w:rPr>
          <w:sz w:val="20"/>
          <w:szCs w:val="20"/>
        </w:rPr>
      </w:pPr>
      <w:r>
        <w:rPr>
          <w:sz w:val="20"/>
          <w:szCs w:val="20"/>
        </w:rPr>
        <w:t>A company’s internal control over financial reporting is a process designed to provide reasonable assurance regarding t</w:t>
      </w:r>
      <w:r>
        <w:rPr>
          <w:sz w:val="20"/>
          <w:szCs w:val="20"/>
        </w:rPr>
        <w:t>he reliability of financial reporting and the preparation of financial statements for external purposes in accordance with generally accepted accounting principles. A company’s internal control over financial reporting includes those policies and procedure</w:t>
      </w:r>
      <w:r>
        <w:rPr>
          <w:sz w:val="20"/>
          <w:szCs w:val="20"/>
        </w:rPr>
        <w:t>s that (1) pertain to the maintenance of records that, in reasonable detail, accurately and fairly reflect the transactions and dispositions of the assets of the company; (2) provide reasonable assurance that transactions are recorded as necessary to permi</w:t>
      </w:r>
      <w:r>
        <w:rPr>
          <w:sz w:val="20"/>
          <w:szCs w:val="20"/>
        </w:rPr>
        <w:t>t preparation of financial statements in accordance with generally accepted accounting principles, and that receipts and expenditures of the company are being made only in accordance with authorizations of management and directors of the company; and (3) p</w:t>
      </w:r>
      <w:r>
        <w:rPr>
          <w:sz w:val="20"/>
          <w:szCs w:val="20"/>
        </w:rPr>
        <w:t>rovide reasonable assurance regarding prevention or timely detection of unauthorized acquisition, use, or disposition of the company’s assets that could have a material effect on the financial statements</w:t>
      </w:r>
      <w:r>
        <w:rPr>
          <w:sz w:val="20"/>
          <w:szCs w:val="20"/>
        </w:rPr>
        <w:t>.</w:t>
      </w:r>
    </w:p>
    <w:p w:rsidR="00000000" w:rsidRDefault="00865332">
      <w:pPr>
        <w:pStyle w:val="a3"/>
        <w:spacing w:before="0" w:beforeAutospacing="0" w:after="0" w:afterAutospacing="0" w:line="276" w:lineRule="auto"/>
        <w:divId w:val="1337269929"/>
        <w:rPr>
          <w:sz w:val="20"/>
          <w:szCs w:val="20"/>
        </w:rPr>
      </w:pPr>
      <w:r>
        <w:rPr>
          <w:sz w:val="20"/>
          <w:szCs w:val="20"/>
        </w:rPr>
        <w:br/>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1276018039"/>
        <w:rPr>
          <w:sz w:val="20"/>
          <w:szCs w:val="20"/>
        </w:rPr>
      </w:pPr>
      <w:r>
        <w:rPr>
          <w:rStyle w:val="ctheaderfooterpage"/>
          <w:sz w:val="20"/>
          <w:szCs w:val="20"/>
        </w:rPr>
        <w:t>5</w:t>
      </w:r>
      <w:r>
        <w:rPr>
          <w:rStyle w:val="ctheaderfooterpage"/>
          <w:sz w:val="20"/>
          <w:szCs w:val="20"/>
        </w:rPr>
        <w:t>9</w:t>
      </w:r>
    </w:p>
    <w:p w:rsidR="00000000" w:rsidRDefault="00865332">
      <w:pPr>
        <w:spacing w:before="360" w:after="360"/>
        <w:divId w:val="2068262018"/>
        <w:rPr>
          <w:rFonts w:eastAsia="Times New Roman"/>
        </w:rPr>
      </w:pPr>
      <w:r>
        <w:rPr>
          <w:rFonts w:eastAsia="Times New Roman"/>
        </w:rPr>
        <w:pict>
          <v:rect id="_x0000_i1083" style="width:0;height:1.5pt" o:hralign="center" o:hrstd="t" o:hr="t" fillcolor="#a0a0a0" stroked="f"/>
        </w:pict>
      </w:r>
    </w:p>
    <w:p w:rsidR="00000000" w:rsidRDefault="00865332">
      <w:pPr>
        <w:pStyle w:val="a3"/>
        <w:spacing w:before="0" w:beforeAutospacing="0" w:after="0" w:afterAutospacing="0" w:line="259" w:lineRule="auto"/>
        <w:divId w:val="359356982"/>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w:t>
      </w:r>
      <w:r>
        <w:rPr>
          <w:sz w:val="20"/>
          <w:szCs w:val="20"/>
        </w:rPr>
        <w:t xml:space="preserve"> controls may become inadequate because of changes in conditions, or that the degree of compliance with the policies or procedures may deteriorate</w:t>
      </w:r>
      <w:r>
        <w:rPr>
          <w:sz w:val="20"/>
          <w:szCs w:val="20"/>
        </w:rPr>
        <w:t>.</w:t>
      </w:r>
    </w:p>
    <w:p w:rsidR="00000000" w:rsidRDefault="00865332">
      <w:pPr>
        <w:pStyle w:val="a3"/>
        <w:spacing w:before="0" w:beforeAutospacing="0" w:after="0" w:afterAutospacing="0" w:line="259" w:lineRule="auto"/>
        <w:divId w:val="359356982"/>
        <w:rPr>
          <w:sz w:val="20"/>
          <w:szCs w:val="20"/>
        </w:rPr>
      </w:pPr>
      <w:r>
        <w:rPr>
          <w:sz w:val="20"/>
          <w:szCs w:val="20"/>
        </w:rPr>
        <w:t>/s/ Ernst &amp; Young LL</w:t>
      </w:r>
      <w:r>
        <w:rPr>
          <w:sz w:val="20"/>
          <w:szCs w:val="20"/>
        </w:rPr>
        <w:t>P</w:t>
      </w:r>
    </w:p>
    <w:p w:rsidR="00000000" w:rsidRDefault="00865332">
      <w:pPr>
        <w:pStyle w:val="a3"/>
        <w:spacing w:before="0" w:beforeAutospacing="0" w:after="0" w:afterAutospacing="0" w:line="259" w:lineRule="auto"/>
        <w:divId w:val="359356982"/>
        <w:rPr>
          <w:sz w:val="20"/>
          <w:szCs w:val="20"/>
        </w:rPr>
      </w:pPr>
      <w:r>
        <w:rPr>
          <w:sz w:val="20"/>
          <w:szCs w:val="20"/>
        </w:rPr>
        <w:t>Los Angeles, Californi</w:t>
      </w:r>
      <w:r>
        <w:rPr>
          <w:sz w:val="20"/>
          <w:szCs w:val="20"/>
        </w:rPr>
        <w:t>a</w:t>
      </w:r>
    </w:p>
    <w:p w:rsidR="00000000" w:rsidRDefault="00865332">
      <w:pPr>
        <w:pStyle w:val="a3"/>
        <w:spacing w:before="0" w:beforeAutospacing="0" w:after="0" w:afterAutospacing="0" w:line="259" w:lineRule="auto"/>
        <w:divId w:val="359356982"/>
        <w:rPr>
          <w:sz w:val="20"/>
          <w:szCs w:val="20"/>
        </w:rPr>
      </w:pPr>
      <w:r>
        <w:rPr>
          <w:sz w:val="20"/>
          <w:szCs w:val="20"/>
        </w:rPr>
        <w:t>February 25, 202</w:t>
      </w:r>
      <w:r>
        <w:rPr>
          <w:sz w:val="20"/>
          <w:szCs w:val="20"/>
        </w:rPr>
        <w:t>0</w:t>
      </w:r>
    </w:p>
    <w:p w:rsidR="00000000" w:rsidRDefault="00865332">
      <w:pPr>
        <w:pStyle w:val="a3"/>
        <w:spacing w:before="0" w:beforeAutospacing="0" w:after="0" w:afterAutospacing="0" w:line="276" w:lineRule="auto"/>
        <w:divId w:val="359356982"/>
        <w:rPr>
          <w:sz w:val="20"/>
          <w:szCs w:val="20"/>
        </w:rPr>
      </w:pPr>
      <w:r>
        <w:rPr>
          <w:b/>
          <w:bCs/>
          <w:sz w:val="20"/>
          <w:szCs w:val="20"/>
        </w:rPr>
        <w:br/>
      </w:r>
      <w:r>
        <w:rPr>
          <w:b/>
          <w:bCs/>
          <w:sz w:val="20"/>
          <w:szCs w:val="20"/>
        </w:rPr>
        <w:t>‎</w:t>
      </w:r>
      <w:r>
        <w:rPr>
          <w:sz w:val="20"/>
          <w:szCs w:val="20"/>
        </w:rPr>
        <w:t xml:space="preserve"> </w:t>
      </w:r>
    </w:p>
    <w:p w:rsidR="00000000" w:rsidRDefault="00865332">
      <w:pPr>
        <w:pStyle w:val="a3"/>
        <w:spacing w:before="0" w:beforeAutospacing="0" w:after="0" w:afterAutospacing="0" w:line="259" w:lineRule="auto"/>
        <w:jc w:val="center"/>
        <w:divId w:val="1659772539"/>
        <w:rPr>
          <w:sz w:val="20"/>
          <w:szCs w:val="20"/>
        </w:rPr>
      </w:pPr>
      <w:r>
        <w:rPr>
          <w:rStyle w:val="ctheaderfooterpage"/>
          <w:sz w:val="20"/>
          <w:szCs w:val="20"/>
        </w:rPr>
        <w:t>6</w:t>
      </w:r>
      <w:r>
        <w:rPr>
          <w:rStyle w:val="ctheaderfooterpage"/>
          <w:sz w:val="20"/>
          <w:szCs w:val="20"/>
        </w:rPr>
        <w:t>0</w:t>
      </w:r>
    </w:p>
    <w:p w:rsidR="00000000" w:rsidRDefault="00865332">
      <w:pPr>
        <w:spacing w:before="360" w:after="360"/>
        <w:divId w:val="1615676376"/>
        <w:rPr>
          <w:rFonts w:eastAsia="Times New Roman"/>
        </w:rPr>
      </w:pPr>
      <w:r>
        <w:rPr>
          <w:rFonts w:eastAsia="Times New Roman"/>
        </w:rPr>
        <w:pict>
          <v:rect id="_x0000_i1084" style="width:0;height:1.5pt" o:hralign="center" o:hrstd="t" o:hr="t" fillcolor="#a0a0a0" stroked="f"/>
        </w:pict>
      </w:r>
    </w:p>
    <w:p w:rsidR="00000000" w:rsidRDefault="00865332">
      <w:pPr>
        <w:pStyle w:val="a3"/>
        <w:spacing w:before="0" w:beforeAutospacing="0" w:after="0" w:afterAutospacing="0" w:line="259" w:lineRule="auto"/>
        <w:jc w:val="both"/>
        <w:divId w:val="1153984192"/>
        <w:rPr>
          <w:sz w:val="20"/>
          <w:szCs w:val="20"/>
        </w:rPr>
      </w:pPr>
      <w:r>
        <w:rPr>
          <w:b/>
          <w:bCs/>
          <w:sz w:val="20"/>
          <w:szCs w:val="20"/>
        </w:rPr>
        <w:t>ITEM 9B</w:t>
      </w:r>
      <w:r>
        <w:rPr>
          <w:b/>
          <w:bCs/>
          <w:sz w:val="20"/>
          <w:szCs w:val="20"/>
        </w:rPr>
        <w:t>.</w:t>
      </w:r>
      <w:r>
        <w:rPr>
          <w:b/>
          <w:bCs/>
          <w:sz w:val="20"/>
          <w:szCs w:val="20"/>
          <w:u w:val="single"/>
        </w:rPr>
        <w:t>Other Informatio</w:t>
      </w:r>
      <w:r>
        <w:rPr>
          <w:b/>
          <w:bCs/>
          <w:sz w:val="20"/>
          <w:szCs w:val="20"/>
          <w:u w:val="single"/>
        </w:rPr>
        <w:t>n</w:t>
      </w:r>
      <w:r>
        <w:rPr>
          <w:b/>
          <w:bCs/>
          <w:sz w:val="20"/>
          <w:szCs w:val="20"/>
        </w:rPr>
        <w:t xml:space="preserve"> </w:t>
      </w:r>
    </w:p>
    <w:p w:rsidR="00000000" w:rsidRDefault="00865332">
      <w:pPr>
        <w:pStyle w:val="a3"/>
        <w:spacing w:before="0" w:beforeAutospacing="0" w:after="0" w:afterAutospacing="0" w:line="259" w:lineRule="auto"/>
        <w:ind w:firstLine="720"/>
        <w:jc w:val="both"/>
        <w:divId w:val="1153984192"/>
        <w:rPr>
          <w:sz w:val="20"/>
          <w:szCs w:val="20"/>
        </w:rPr>
      </w:pPr>
      <w:r>
        <w:rPr>
          <w:sz w:val="20"/>
          <w:szCs w:val="20"/>
        </w:rPr>
        <w:t>None</w:t>
      </w:r>
      <w:r>
        <w:rPr>
          <w:sz w:val="20"/>
          <w:szCs w:val="20"/>
        </w:rPr>
        <w:t>.</w:t>
      </w:r>
    </w:p>
    <w:p w:rsidR="00000000" w:rsidRDefault="00865332">
      <w:pPr>
        <w:pStyle w:val="a3"/>
        <w:spacing w:before="0" w:beforeAutospacing="0" w:after="0" w:afterAutospacing="0" w:line="360" w:lineRule="atLeast"/>
        <w:jc w:val="center"/>
        <w:divId w:val="1153984192"/>
        <w:rPr>
          <w:sz w:val="20"/>
          <w:szCs w:val="20"/>
        </w:rPr>
      </w:pPr>
      <w:r>
        <w:rPr>
          <w:b/>
          <w:bCs/>
          <w:sz w:val="20"/>
          <w:szCs w:val="20"/>
          <w:u w:val="single"/>
        </w:rPr>
        <w:br/>
      </w:r>
      <w:r>
        <w:rPr>
          <w:b/>
          <w:bCs/>
          <w:sz w:val="20"/>
          <w:szCs w:val="20"/>
          <w:u w:val="single"/>
        </w:rPr>
        <w:t>‎</w:t>
      </w:r>
      <w:r>
        <w:rPr>
          <w:sz w:val="20"/>
          <w:szCs w:val="20"/>
        </w:rPr>
        <w:t xml:space="preserve"> </w:t>
      </w:r>
    </w:p>
    <w:p w:rsidR="00000000" w:rsidRDefault="00865332">
      <w:pPr>
        <w:pStyle w:val="a3"/>
        <w:spacing w:before="0" w:beforeAutospacing="0" w:after="0" w:afterAutospacing="0" w:line="259" w:lineRule="auto"/>
        <w:jc w:val="center"/>
        <w:divId w:val="1911698271"/>
        <w:rPr>
          <w:sz w:val="20"/>
          <w:szCs w:val="20"/>
        </w:rPr>
      </w:pPr>
      <w:r>
        <w:rPr>
          <w:rStyle w:val="ctheaderfooterpage"/>
          <w:sz w:val="20"/>
          <w:szCs w:val="20"/>
        </w:rPr>
        <w:t>6</w:t>
      </w:r>
      <w:r>
        <w:rPr>
          <w:rStyle w:val="ctheaderfooterpage"/>
          <w:sz w:val="20"/>
          <w:szCs w:val="20"/>
        </w:rPr>
        <w:t>1</w:t>
      </w:r>
    </w:p>
    <w:p w:rsidR="00000000" w:rsidRDefault="00865332">
      <w:pPr>
        <w:spacing w:before="360" w:after="360"/>
        <w:divId w:val="1569727011"/>
        <w:rPr>
          <w:rFonts w:eastAsia="Times New Roman"/>
        </w:rPr>
      </w:pPr>
      <w:r>
        <w:rPr>
          <w:rFonts w:eastAsia="Times New Roman"/>
        </w:rPr>
        <w:pict>
          <v:rect id="_x0000_i1085" style="width:0;height:1.5pt" o:hralign="center" o:hrstd="t" o:hr="t" fillcolor="#a0a0a0" stroked="f"/>
        </w:pict>
      </w:r>
    </w:p>
    <w:p w:rsidR="00000000" w:rsidRDefault="00865332">
      <w:pPr>
        <w:pStyle w:val="a3"/>
        <w:spacing w:before="0" w:beforeAutospacing="0" w:after="0" w:afterAutospacing="0" w:line="360" w:lineRule="atLeast"/>
        <w:jc w:val="center"/>
        <w:divId w:val="925263417"/>
        <w:rPr>
          <w:sz w:val="20"/>
          <w:szCs w:val="20"/>
        </w:rPr>
      </w:pPr>
      <w:r>
        <w:rPr>
          <w:b/>
          <w:bCs/>
          <w:sz w:val="20"/>
          <w:szCs w:val="20"/>
          <w:u w:val="single"/>
        </w:rPr>
        <w:t>PART II</w:t>
      </w:r>
      <w:r>
        <w:rPr>
          <w:b/>
          <w:bCs/>
          <w:sz w:val="20"/>
          <w:szCs w:val="20"/>
          <w:u w:val="single"/>
        </w:rPr>
        <w:t>I</w:t>
      </w:r>
    </w:p>
    <w:p w:rsidR="00000000" w:rsidRDefault="00865332">
      <w:pPr>
        <w:pStyle w:val="a3"/>
        <w:spacing w:before="0" w:beforeAutospacing="0" w:after="0" w:afterAutospacing="0" w:line="259" w:lineRule="auto"/>
        <w:divId w:val="925263417"/>
        <w:rPr>
          <w:sz w:val="20"/>
          <w:szCs w:val="20"/>
        </w:rPr>
      </w:pPr>
      <w:r>
        <w:rPr>
          <w:b/>
          <w:bCs/>
          <w:sz w:val="20"/>
          <w:szCs w:val="20"/>
        </w:rPr>
        <w:t>ITEM 10</w:t>
      </w:r>
      <w:r>
        <w:rPr>
          <w:b/>
          <w:bCs/>
          <w:sz w:val="20"/>
          <w:szCs w:val="20"/>
        </w:rPr>
        <w:t>.</w:t>
      </w:r>
      <w:r>
        <w:rPr>
          <w:b/>
          <w:bCs/>
          <w:sz w:val="20"/>
          <w:szCs w:val="20"/>
          <w:u w:val="single"/>
        </w:rPr>
        <w:t>Trustees, Executive Officers and Corporate Governance</w:t>
      </w:r>
      <w:r>
        <w:rPr>
          <w:b/>
          <w:bCs/>
          <w:sz w:val="20"/>
          <w:szCs w:val="20"/>
          <w:u w:val="single"/>
        </w:rPr>
        <w:t xml:space="preserve"> </w:t>
      </w:r>
    </w:p>
    <w:p w:rsidR="00000000" w:rsidRDefault="00865332">
      <w:pPr>
        <w:pStyle w:val="a3"/>
        <w:spacing w:before="0" w:beforeAutospacing="0" w:after="0" w:afterAutospacing="0" w:line="259" w:lineRule="auto"/>
        <w:ind w:right="14" w:firstLine="720"/>
        <w:jc w:val="both"/>
        <w:divId w:val="925263417"/>
        <w:rPr>
          <w:sz w:val="20"/>
          <w:szCs w:val="20"/>
        </w:rPr>
      </w:pPr>
      <w:r>
        <w:rPr>
          <w:sz w:val="20"/>
          <w:szCs w:val="20"/>
        </w:rPr>
        <w:t>The following is a biographical summary of the current executive officers of the Company</w:t>
      </w:r>
      <w:r>
        <w:rPr>
          <w:sz w:val="20"/>
          <w:szCs w:val="20"/>
        </w:rPr>
        <w:t>:</w:t>
      </w:r>
    </w:p>
    <w:p w:rsidR="00000000" w:rsidRDefault="00865332">
      <w:pPr>
        <w:pStyle w:val="a3"/>
        <w:spacing w:before="0" w:beforeAutospacing="0" w:after="0" w:afterAutospacing="0" w:line="259" w:lineRule="auto"/>
        <w:ind w:firstLine="720"/>
        <w:jc w:val="both"/>
        <w:divId w:val="925263417"/>
        <w:rPr>
          <w:sz w:val="20"/>
          <w:szCs w:val="20"/>
        </w:rPr>
      </w:pPr>
      <w:r>
        <w:rPr>
          <w:b/>
          <w:bCs/>
          <w:sz w:val="20"/>
          <w:szCs w:val="20"/>
        </w:rPr>
        <w:t>Joseph D. Russell, Jr</w:t>
      </w:r>
      <w:r>
        <w:rPr>
          <w:b/>
          <w:bCs/>
          <w:sz w:val="20"/>
          <w:szCs w:val="20"/>
        </w:rPr>
        <w:t>.</w:t>
      </w:r>
      <w:r>
        <w:rPr>
          <w:sz w:val="20"/>
          <w:szCs w:val="20"/>
        </w:rPr>
        <w:t>, age 60, has served as Chief Executive Officer since January 1, 2019, and as President since July 2016.  Prior to joining Public Storage, Mr. Russell was President and Chief Executive Officer of PS Business Parks, Inc. from August 20</w:t>
      </w:r>
      <w:r>
        <w:rPr>
          <w:sz w:val="20"/>
          <w:szCs w:val="20"/>
        </w:rPr>
        <w:t>02 to July 2016. Mr. Russell has also served as a trustee of Public Storage since January 1, 2019, and as a director of PS Business Parks, Inc. since August 2003. </w:t>
      </w:r>
      <w:r>
        <w:rPr>
          <w:sz w:val="20"/>
          <w:szCs w:val="20"/>
        </w:rPr>
        <w:t xml:space="preserve"> </w:t>
      </w:r>
    </w:p>
    <w:p w:rsidR="00000000" w:rsidRDefault="00865332">
      <w:pPr>
        <w:pStyle w:val="a3"/>
        <w:spacing w:before="0" w:beforeAutospacing="0" w:after="0" w:afterAutospacing="0" w:line="259" w:lineRule="auto"/>
        <w:ind w:firstLine="720"/>
        <w:jc w:val="both"/>
        <w:divId w:val="925263417"/>
        <w:rPr>
          <w:sz w:val="20"/>
          <w:szCs w:val="20"/>
        </w:rPr>
      </w:pPr>
      <w:r>
        <w:rPr>
          <w:b/>
          <w:bCs/>
          <w:sz w:val="20"/>
          <w:szCs w:val="20"/>
        </w:rPr>
        <w:t>H. Thomas Boyl</w:t>
      </w:r>
      <w:r>
        <w:rPr>
          <w:b/>
          <w:bCs/>
          <w:sz w:val="20"/>
          <w:szCs w:val="20"/>
        </w:rPr>
        <w:t>e</w:t>
      </w:r>
      <w:r>
        <w:rPr>
          <w:sz w:val="20"/>
          <w:szCs w:val="20"/>
        </w:rPr>
        <w:t>, age 37, has served as Chief Financial Officer since January 1, 2019, and w</w:t>
      </w:r>
      <w:r>
        <w:rPr>
          <w:sz w:val="20"/>
          <w:szCs w:val="20"/>
        </w:rPr>
        <w:t>as previously Vice President and Chief Financial Officer, Operations since joining the Company in November 2016. Prior to joining Public Storage, Mr. Boyle served in roles of increasing responsibilities with Morgan Stanley since 2005, from analyst to his l</w:t>
      </w:r>
      <w:r>
        <w:rPr>
          <w:sz w:val="20"/>
          <w:szCs w:val="20"/>
        </w:rPr>
        <w:t>ast role as Executive Director, Equity and Debt Capital Markets</w:t>
      </w:r>
      <w:r>
        <w:rPr>
          <w:sz w:val="20"/>
          <w:szCs w:val="20"/>
        </w:rPr>
        <w:t>.</w:t>
      </w:r>
    </w:p>
    <w:p w:rsidR="00000000" w:rsidRDefault="00865332">
      <w:pPr>
        <w:pStyle w:val="a3"/>
        <w:spacing w:before="0" w:beforeAutospacing="0" w:after="0" w:afterAutospacing="0" w:line="259" w:lineRule="auto"/>
        <w:ind w:firstLine="720"/>
        <w:jc w:val="both"/>
        <w:divId w:val="925263417"/>
        <w:rPr>
          <w:sz w:val="20"/>
          <w:szCs w:val="20"/>
        </w:rPr>
      </w:pPr>
      <w:r>
        <w:rPr>
          <w:b/>
          <w:bCs/>
          <w:sz w:val="20"/>
          <w:szCs w:val="20"/>
        </w:rPr>
        <w:t>Nathaniel A. Vita</w:t>
      </w:r>
      <w:r>
        <w:rPr>
          <w:b/>
          <w:bCs/>
          <w:sz w:val="20"/>
          <w:szCs w:val="20"/>
        </w:rPr>
        <w:t>n</w:t>
      </w:r>
      <w:r>
        <w:rPr>
          <w:sz w:val="20"/>
          <w:szCs w:val="20"/>
        </w:rPr>
        <w:t>, age 46, has served as Senior Vice President, Chief Legal Officer and Corporate Secretary since</w:t>
      </w:r>
      <w:r>
        <w:rPr>
          <w:sz w:val="20"/>
          <w:szCs w:val="20"/>
        </w:rPr>
        <w:t xml:space="preserve"> </w:t>
      </w:r>
      <w:r>
        <w:rPr>
          <w:color w:val="000000"/>
          <w:sz w:val="20"/>
          <w:szCs w:val="20"/>
          <w:shd w:val="clear" w:color="auto" w:fill="FFFFFF"/>
        </w:rPr>
        <w:t>April 20, 2019, and was Vice President and Chief Counsel–Litigation and Oper</w:t>
      </w:r>
      <w:r>
        <w:rPr>
          <w:color w:val="000000"/>
          <w:sz w:val="20"/>
          <w:szCs w:val="20"/>
          <w:shd w:val="clear" w:color="auto" w:fill="FFFFFF"/>
        </w:rPr>
        <w:t>ations since joining the Company in June 2016. Prior to joining Public Storage, Mr. Vitan was Assistant General Counsel for Altria Client Services, Inc. and served as a Trial Practice and Appellate Litigation Attorney at Latham &amp; Watkins LLP</w:t>
      </w:r>
      <w:r>
        <w:rPr>
          <w:color w:val="000000"/>
          <w:sz w:val="20"/>
          <w:szCs w:val="20"/>
          <w:shd w:val="clear" w:color="auto" w:fill="FFFFFF"/>
        </w:rPr>
        <w:t>.</w:t>
      </w:r>
    </w:p>
    <w:p w:rsidR="00000000" w:rsidRDefault="00865332">
      <w:pPr>
        <w:pStyle w:val="a3"/>
        <w:spacing w:before="0" w:beforeAutospacing="0" w:after="0" w:afterAutospacing="0" w:line="259" w:lineRule="auto"/>
        <w:ind w:firstLine="720"/>
        <w:jc w:val="both"/>
        <w:divId w:val="925263417"/>
        <w:rPr>
          <w:sz w:val="20"/>
          <w:szCs w:val="20"/>
        </w:rPr>
      </w:pPr>
      <w:r>
        <w:rPr>
          <w:b/>
          <w:bCs/>
          <w:sz w:val="20"/>
          <w:szCs w:val="20"/>
        </w:rPr>
        <w:t>Natalia Johnso</w:t>
      </w:r>
      <w:r>
        <w:rPr>
          <w:b/>
          <w:bCs/>
          <w:sz w:val="20"/>
          <w:szCs w:val="20"/>
        </w:rPr>
        <w:t>n</w:t>
      </w:r>
      <w:r>
        <w:rPr>
          <w:sz w:val="20"/>
          <w:szCs w:val="20"/>
        </w:rPr>
        <w:t>, age 42, has served as Senior Vice President, Chief Human Resources Officer since April 25, 2018 and was previously Senior Vice President of Human Resources since joining the Company in July 2016. Prior to joining Public Storage, Ms. Johnso</w:t>
      </w:r>
      <w:r>
        <w:rPr>
          <w:sz w:val="20"/>
          <w:szCs w:val="20"/>
        </w:rPr>
        <w:t>n held a variety of senior management positions at Bank of America, including Chief Operating Officer for Mortgage Technology and Human Resources Executive for the Mortgage Business and worked for Coca-Cola Andina and San Cristόbal Insurance</w:t>
      </w:r>
      <w:r>
        <w:rPr>
          <w:sz w:val="20"/>
          <w:szCs w:val="20"/>
        </w:rPr>
        <w:t>.</w:t>
      </w:r>
    </w:p>
    <w:p w:rsidR="00000000" w:rsidRDefault="00865332">
      <w:pPr>
        <w:pStyle w:val="a3"/>
        <w:spacing w:before="0" w:beforeAutospacing="0" w:after="0" w:afterAutospacing="0" w:line="259" w:lineRule="auto"/>
        <w:ind w:firstLine="720"/>
        <w:jc w:val="both"/>
        <w:divId w:val="925263417"/>
        <w:rPr>
          <w:sz w:val="20"/>
          <w:szCs w:val="20"/>
        </w:rPr>
      </w:pPr>
      <w:r>
        <w:rPr>
          <w:sz w:val="20"/>
          <w:szCs w:val="20"/>
        </w:rPr>
        <w:t>Other informa</w:t>
      </w:r>
      <w:r>
        <w:rPr>
          <w:sz w:val="20"/>
          <w:szCs w:val="20"/>
        </w:rPr>
        <w:t>tion required by this item is hereby incorporated by reference to the material appearing in the Notice and Proxy Statement for the 2020 Annual Meeting of Shareholders, to be filed pursuant to Regulation 14A under the Exchange Act</w:t>
      </w:r>
      <w:r>
        <w:rPr>
          <w:sz w:val="20"/>
          <w:szCs w:val="20"/>
        </w:rPr>
        <w:t>.</w:t>
      </w:r>
    </w:p>
    <w:p w:rsidR="00000000" w:rsidRDefault="00865332">
      <w:pPr>
        <w:pStyle w:val="a3"/>
        <w:spacing w:before="0" w:beforeAutospacing="0" w:after="0" w:afterAutospacing="0" w:line="259" w:lineRule="auto"/>
        <w:divId w:val="925263417"/>
        <w:rPr>
          <w:sz w:val="20"/>
          <w:szCs w:val="20"/>
        </w:rPr>
      </w:pPr>
      <w:r>
        <w:rPr>
          <w:b/>
          <w:bCs/>
          <w:sz w:val="20"/>
          <w:szCs w:val="20"/>
        </w:rPr>
        <w:t>ITEM 11</w:t>
      </w:r>
      <w:r>
        <w:rPr>
          <w:b/>
          <w:bCs/>
          <w:sz w:val="20"/>
          <w:szCs w:val="20"/>
        </w:rPr>
        <w:t>.</w:t>
      </w:r>
      <w:r>
        <w:rPr>
          <w:b/>
          <w:bCs/>
          <w:sz w:val="20"/>
          <w:szCs w:val="20"/>
          <w:u w:val="single"/>
        </w:rPr>
        <w:t>Executive Compens</w:t>
      </w:r>
      <w:r>
        <w:rPr>
          <w:b/>
          <w:bCs/>
          <w:sz w:val="20"/>
          <w:szCs w:val="20"/>
          <w:u w:val="single"/>
        </w:rPr>
        <w:t>atio</w:t>
      </w:r>
      <w:r>
        <w:rPr>
          <w:b/>
          <w:bCs/>
          <w:sz w:val="20"/>
          <w:szCs w:val="20"/>
          <w:u w:val="single"/>
        </w:rPr>
        <w:t>n</w:t>
      </w:r>
    </w:p>
    <w:p w:rsidR="00000000" w:rsidRDefault="00865332">
      <w:pPr>
        <w:pStyle w:val="a3"/>
        <w:spacing w:before="0" w:beforeAutospacing="0" w:after="0" w:afterAutospacing="0" w:line="259" w:lineRule="auto"/>
        <w:ind w:firstLine="720"/>
        <w:jc w:val="both"/>
        <w:divId w:val="925263417"/>
        <w:rPr>
          <w:sz w:val="20"/>
          <w:szCs w:val="20"/>
        </w:rPr>
      </w:pPr>
      <w:r>
        <w:rPr>
          <w:sz w:val="20"/>
          <w:szCs w:val="20"/>
        </w:rPr>
        <w:t>The information required by this item is hereby incorporated by reference to the material appearing in the Notice and Proxy Statement for the 2020 Annual Meeting of Shareholders,</w:t>
      </w:r>
      <w:r>
        <w:rPr>
          <w:sz w:val="20"/>
          <w:szCs w:val="20"/>
        </w:rPr>
        <w:t xml:space="preserve"> </w:t>
      </w:r>
      <w:r>
        <w:rPr>
          <w:rFonts w:ascii="inherit" w:hAnsi="inherit"/>
          <w:sz w:val="20"/>
          <w:szCs w:val="20"/>
        </w:rPr>
        <w:t>to be filed pursuant to Regulation 14A under the Exchange Act</w:t>
      </w:r>
      <w:r>
        <w:rPr>
          <w:rFonts w:ascii="inherit" w:hAnsi="inherit"/>
          <w:sz w:val="20"/>
          <w:szCs w:val="20"/>
        </w:rPr>
        <w:t>.</w:t>
      </w:r>
    </w:p>
    <w:p w:rsidR="00000000" w:rsidRDefault="00865332">
      <w:pPr>
        <w:pStyle w:val="a3"/>
        <w:spacing w:before="0" w:beforeAutospacing="0" w:after="0" w:afterAutospacing="0" w:line="276" w:lineRule="auto"/>
        <w:divId w:val="925263417"/>
        <w:rPr>
          <w:sz w:val="20"/>
          <w:szCs w:val="20"/>
        </w:rPr>
      </w:pPr>
      <w:r>
        <w:rPr>
          <w:b/>
          <w:bCs/>
          <w:sz w:val="20"/>
          <w:szCs w:val="20"/>
        </w:rPr>
        <w:br/>
      </w:r>
      <w:r>
        <w:rPr>
          <w:b/>
          <w:bCs/>
          <w:sz w:val="20"/>
          <w:szCs w:val="20"/>
        </w:rPr>
        <w:t>‎</w:t>
      </w:r>
      <w:r>
        <w:rPr>
          <w:sz w:val="20"/>
          <w:szCs w:val="20"/>
        </w:rPr>
        <w:t xml:space="preserve"> </w:t>
      </w:r>
    </w:p>
    <w:p w:rsidR="00000000" w:rsidRDefault="00865332">
      <w:pPr>
        <w:pStyle w:val="a3"/>
        <w:spacing w:before="0" w:beforeAutospacing="0" w:after="0" w:afterAutospacing="0" w:line="259" w:lineRule="auto"/>
        <w:jc w:val="center"/>
        <w:divId w:val="1373266701"/>
        <w:rPr>
          <w:sz w:val="20"/>
          <w:szCs w:val="20"/>
        </w:rPr>
      </w:pPr>
      <w:r>
        <w:rPr>
          <w:rStyle w:val="ctheaderfooterpage"/>
          <w:sz w:val="20"/>
          <w:szCs w:val="20"/>
        </w:rPr>
        <w:t>6</w:t>
      </w:r>
      <w:r>
        <w:rPr>
          <w:rStyle w:val="ctheaderfooterpage"/>
          <w:sz w:val="20"/>
          <w:szCs w:val="20"/>
        </w:rPr>
        <w:t>2</w:t>
      </w:r>
    </w:p>
    <w:p w:rsidR="00000000" w:rsidRDefault="00865332">
      <w:pPr>
        <w:spacing w:before="360" w:after="360"/>
        <w:divId w:val="333728922"/>
        <w:rPr>
          <w:rFonts w:eastAsia="Times New Roman"/>
        </w:rPr>
      </w:pPr>
      <w:r>
        <w:rPr>
          <w:rFonts w:eastAsia="Times New Roman"/>
        </w:rPr>
        <w:pict>
          <v:rect id="_x0000_i1086" style="width:0;height:1.5pt" o:hralign="center" o:hrstd="t" o:hr="t" fillcolor="#a0a0a0" stroked="f"/>
        </w:pict>
      </w:r>
    </w:p>
    <w:p w:rsidR="00000000" w:rsidRDefault="00865332">
      <w:pPr>
        <w:pStyle w:val="a3"/>
        <w:spacing w:before="0" w:beforeAutospacing="0" w:after="0" w:afterAutospacing="0" w:line="259" w:lineRule="auto"/>
        <w:ind w:left="1008" w:hanging="1008"/>
        <w:jc w:val="both"/>
        <w:divId w:val="517042357"/>
        <w:rPr>
          <w:sz w:val="20"/>
          <w:szCs w:val="20"/>
        </w:rPr>
      </w:pPr>
      <w:r>
        <w:rPr>
          <w:b/>
          <w:bCs/>
          <w:sz w:val="20"/>
          <w:szCs w:val="20"/>
        </w:rPr>
        <w:t>ITEM 12</w:t>
      </w:r>
      <w:r>
        <w:rPr>
          <w:b/>
          <w:bCs/>
          <w:sz w:val="20"/>
          <w:szCs w:val="20"/>
        </w:rPr>
        <w:t>.</w:t>
      </w:r>
      <w:r>
        <w:rPr>
          <w:b/>
          <w:bCs/>
          <w:sz w:val="20"/>
          <w:szCs w:val="20"/>
          <w:u w:val="single"/>
        </w:rPr>
        <w:t>Security Ownership of Certain Beneficial Owners and Management and Related Shareholder Matter</w:t>
      </w:r>
      <w:r>
        <w:rPr>
          <w:b/>
          <w:bCs/>
          <w:sz w:val="20"/>
          <w:szCs w:val="20"/>
          <w:u w:val="single"/>
        </w:rPr>
        <w:t>s</w:t>
      </w:r>
    </w:p>
    <w:p w:rsidR="00000000" w:rsidRDefault="00865332">
      <w:pPr>
        <w:pStyle w:val="a3"/>
        <w:spacing w:before="0" w:beforeAutospacing="0" w:after="0" w:afterAutospacing="0" w:line="259" w:lineRule="auto"/>
        <w:ind w:firstLine="1080"/>
        <w:jc w:val="both"/>
        <w:divId w:val="517042357"/>
        <w:rPr>
          <w:sz w:val="20"/>
          <w:szCs w:val="20"/>
        </w:rPr>
      </w:pPr>
      <w:r>
        <w:rPr>
          <w:sz w:val="20"/>
          <w:szCs w:val="20"/>
        </w:rPr>
        <w:t>The following table sets forth information as of December 31, 2019 on the Company’s equity compensation plans:</w:t>
      </w:r>
      <w:r>
        <w:rPr>
          <w:sz w:val="20"/>
          <w:szCs w:val="20"/>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383"/>
        <w:gridCol w:w="1573"/>
        <w:gridCol w:w="1480"/>
        <w:gridCol w:w="1823"/>
      </w:tblGrid>
      <w:tr w:rsidR="00000000">
        <w:trPr>
          <w:divId w:val="517042357"/>
          <w:trHeight w:val="14"/>
          <w:jc w:val="center"/>
        </w:trPr>
        <w:tc>
          <w:tcPr>
            <w:tcW w:w="3383" w:type="dxa"/>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1573"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1480"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1823"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517042357"/>
          <w:jc w:val="center"/>
        </w:trPr>
        <w:tc>
          <w:tcPr>
            <w:tcW w:w="3383" w:type="dxa"/>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573" w:type="dxa"/>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divId w:val="1472946004"/>
              <w:rPr>
                <w:sz w:val="20"/>
                <w:szCs w:val="20"/>
              </w:rPr>
            </w:pPr>
            <w:r>
              <w:rPr>
                <w:sz w:val="20"/>
                <w:szCs w:val="20"/>
              </w:rPr>
              <w:t>Number of securities to be issued upon exercise of outstanding options, warrants and right</w:t>
            </w:r>
            <w:r>
              <w:rPr>
                <w:sz w:val="20"/>
                <w:szCs w:val="20"/>
              </w:rPr>
              <w:t>s</w:t>
            </w:r>
          </w:p>
        </w:tc>
        <w:tc>
          <w:tcPr>
            <w:tcW w:w="1480" w:type="dxa"/>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divId w:val="871499779"/>
              <w:rPr>
                <w:sz w:val="20"/>
                <w:szCs w:val="20"/>
              </w:rPr>
            </w:pPr>
            <w:r>
              <w:rPr>
                <w:sz w:val="20"/>
                <w:szCs w:val="20"/>
              </w:rPr>
              <w:t>Weighted average exercise price of outstanding options, warrants and right</w:t>
            </w:r>
            <w:r>
              <w:rPr>
                <w:sz w:val="20"/>
                <w:szCs w:val="20"/>
              </w:rPr>
              <w:t>s</w:t>
            </w:r>
          </w:p>
        </w:tc>
        <w:tc>
          <w:tcPr>
            <w:tcW w:w="1823" w:type="dxa"/>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divId w:val="1830362644"/>
              <w:rPr>
                <w:sz w:val="20"/>
                <w:szCs w:val="20"/>
              </w:rPr>
            </w:pPr>
            <w:r>
              <w:rPr>
                <w:sz w:val="20"/>
                <w:szCs w:val="20"/>
              </w:rPr>
              <w:t>Number of securities remaining available for future issuance under equity compensation</w:t>
            </w:r>
            <w:r>
              <w:rPr>
                <w:sz w:val="20"/>
                <w:szCs w:val="20"/>
              </w:rPr>
              <w:t xml:space="preserve"> plan</w:t>
            </w:r>
            <w:r>
              <w:rPr>
                <w:sz w:val="20"/>
                <w:szCs w:val="20"/>
              </w:rPr>
              <w:t>s</w:t>
            </w:r>
          </w:p>
        </w:tc>
      </w:tr>
      <w:tr w:rsidR="00000000">
        <w:trPr>
          <w:divId w:val="517042357"/>
          <w:jc w:val="center"/>
        </w:trPr>
        <w:tc>
          <w:tcPr>
            <w:tcW w:w="3383"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rPr>
                <w:sz w:val="20"/>
                <w:szCs w:val="20"/>
              </w:rPr>
            </w:pPr>
            <w:r>
              <w:rPr>
                <w:sz w:val="20"/>
                <w:szCs w:val="20"/>
              </w:rPr>
              <w:t>Equity compensation plans approved by security holders (a</w:t>
            </w:r>
            <w:r>
              <w:rPr>
                <w:sz w:val="20"/>
                <w:szCs w:val="20"/>
              </w:rPr>
              <w:t>)</w:t>
            </w:r>
          </w:p>
        </w:tc>
        <w:tc>
          <w:tcPr>
            <w:tcW w:w="1573"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20"/>
                <w:szCs w:val="20"/>
              </w:rPr>
            </w:pPr>
            <w:r>
              <w:rPr>
                <w:sz w:val="20"/>
                <w:szCs w:val="20"/>
              </w:rPr>
              <w:t>2,958,817 (b</w:t>
            </w:r>
            <w:r>
              <w:rPr>
                <w:sz w:val="20"/>
                <w:szCs w:val="20"/>
              </w:rPr>
              <w:t>)</w:t>
            </w:r>
          </w:p>
        </w:tc>
        <w:tc>
          <w:tcPr>
            <w:tcW w:w="148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20"/>
                <w:szCs w:val="20"/>
              </w:rPr>
            </w:pPr>
            <w:r>
              <w:rPr>
                <w:color w:val="000000"/>
                <w:sz w:val="20"/>
                <w:szCs w:val="20"/>
              </w:rPr>
              <w:t>$204.53 (d</w:t>
            </w:r>
            <w:r>
              <w:rPr>
                <w:color w:val="000000"/>
                <w:sz w:val="20"/>
                <w:szCs w:val="20"/>
              </w:rPr>
              <w:t>)</w:t>
            </w:r>
          </w:p>
        </w:tc>
        <w:tc>
          <w:tcPr>
            <w:tcW w:w="1823"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20"/>
                <w:szCs w:val="20"/>
              </w:rPr>
            </w:pPr>
            <w:r>
              <w:rPr>
                <w:sz w:val="20"/>
                <w:szCs w:val="20"/>
              </w:rPr>
              <w:t>1,110,37</w:t>
            </w:r>
            <w:r>
              <w:rPr>
                <w:sz w:val="20"/>
                <w:szCs w:val="20"/>
              </w:rPr>
              <w:t>5</w:t>
            </w:r>
          </w:p>
        </w:tc>
      </w:tr>
      <w:tr w:rsidR="00000000">
        <w:trPr>
          <w:divId w:val="517042357"/>
          <w:jc w:val="center"/>
        </w:trPr>
        <w:tc>
          <w:tcPr>
            <w:tcW w:w="3383" w:type="dxa"/>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1573" w:type="dxa"/>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480" w:type="dxa"/>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823" w:type="dxa"/>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517042357"/>
          <w:jc w:val="center"/>
        </w:trPr>
        <w:tc>
          <w:tcPr>
            <w:tcW w:w="3383"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rPr>
                <w:sz w:val="20"/>
                <w:szCs w:val="20"/>
              </w:rPr>
            </w:pPr>
            <w:r>
              <w:rPr>
                <w:sz w:val="20"/>
                <w:szCs w:val="20"/>
              </w:rPr>
              <w:t>Equity compensation plans not approved by security holders (c</w:t>
            </w:r>
            <w:r>
              <w:rPr>
                <w:sz w:val="20"/>
                <w:szCs w:val="20"/>
              </w:rPr>
              <w:t>)</w:t>
            </w:r>
          </w:p>
        </w:tc>
        <w:tc>
          <w:tcPr>
            <w:tcW w:w="1573" w:type="dxa"/>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20"/>
                <w:szCs w:val="20"/>
              </w:rPr>
            </w:pPr>
            <w:r>
              <w:rPr>
                <w:sz w:val="20"/>
                <w:szCs w:val="20"/>
              </w:rPr>
              <w:t>-</w:t>
            </w:r>
          </w:p>
        </w:tc>
        <w:tc>
          <w:tcPr>
            <w:tcW w:w="1480" w:type="dxa"/>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20"/>
                <w:szCs w:val="20"/>
              </w:rPr>
            </w:pPr>
            <w:r>
              <w:rPr>
                <w:sz w:val="20"/>
                <w:szCs w:val="20"/>
              </w:rPr>
              <w:t>-</w:t>
            </w:r>
          </w:p>
        </w:tc>
        <w:tc>
          <w:tcPr>
            <w:tcW w:w="1823" w:type="dxa"/>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20"/>
                <w:szCs w:val="20"/>
              </w:rPr>
            </w:pPr>
            <w:r>
              <w:rPr>
                <w:sz w:val="20"/>
                <w:szCs w:val="20"/>
              </w:rPr>
              <w:t>-</w:t>
            </w:r>
          </w:p>
        </w:tc>
      </w:tr>
    </w:tbl>
    <w:p w:rsidR="00000000" w:rsidRDefault="00865332">
      <w:pPr>
        <w:pStyle w:val="a3"/>
        <w:spacing w:before="0" w:beforeAutospacing="0" w:after="0" w:afterAutospacing="0" w:line="259" w:lineRule="auto"/>
        <w:ind w:left="1080" w:hanging="720"/>
        <w:jc w:val="both"/>
        <w:divId w:val="517042357"/>
        <w:rPr>
          <w:sz w:val="20"/>
          <w:szCs w:val="20"/>
        </w:rPr>
      </w:pPr>
      <w:r>
        <w:rPr>
          <w:sz w:val="20"/>
          <w:szCs w:val="20"/>
        </w:rPr>
        <w:t>a</w:t>
      </w:r>
      <w:r>
        <w:rPr>
          <w:sz w:val="20"/>
          <w:szCs w:val="20"/>
        </w:rPr>
        <w:t>)</w:t>
      </w:r>
      <w:r>
        <w:rPr>
          <w:sz w:val="20"/>
          <w:szCs w:val="20"/>
        </w:rPr>
        <w:t>The Company’</w:t>
      </w:r>
      <w:r>
        <w:rPr>
          <w:sz w:val="20"/>
          <w:szCs w:val="20"/>
        </w:rPr>
        <w:t>s stock option and stock incentive plans are described more fully in Note 10 to the December 31, 2019 financial statements. All plans were approved by the Company’s shareholders</w:t>
      </w:r>
      <w:r>
        <w:rPr>
          <w:sz w:val="20"/>
          <w:szCs w:val="20"/>
        </w:rPr>
        <w:t>.</w:t>
      </w:r>
    </w:p>
    <w:p w:rsidR="00000000" w:rsidRDefault="00865332">
      <w:pPr>
        <w:pStyle w:val="a3"/>
        <w:spacing w:before="0" w:beforeAutospacing="0" w:after="0" w:afterAutospacing="0" w:line="259" w:lineRule="auto"/>
        <w:ind w:left="1080" w:hanging="720"/>
        <w:jc w:val="both"/>
        <w:divId w:val="517042357"/>
        <w:rPr>
          <w:sz w:val="20"/>
          <w:szCs w:val="20"/>
        </w:rPr>
      </w:pPr>
      <w:r>
        <w:rPr>
          <w:sz w:val="20"/>
          <w:szCs w:val="20"/>
        </w:rPr>
        <w:t>b</w:t>
      </w:r>
      <w:r>
        <w:rPr>
          <w:sz w:val="20"/>
          <w:szCs w:val="20"/>
        </w:rPr>
        <w:t>)</w:t>
      </w:r>
      <w:r>
        <w:rPr>
          <w:sz w:val="20"/>
          <w:szCs w:val="20"/>
        </w:rPr>
        <w:t>Includes 619,150 restricted share units that, if and when vested, will be s</w:t>
      </w:r>
      <w:r>
        <w:rPr>
          <w:sz w:val="20"/>
          <w:szCs w:val="20"/>
        </w:rPr>
        <w:t>ettled in common shares of the Company on a one for one basis</w:t>
      </w:r>
      <w:r>
        <w:rPr>
          <w:sz w:val="20"/>
          <w:szCs w:val="20"/>
        </w:rPr>
        <w:t>.</w:t>
      </w:r>
    </w:p>
    <w:p w:rsidR="00000000" w:rsidRDefault="00865332">
      <w:pPr>
        <w:pStyle w:val="a3"/>
        <w:spacing w:before="0" w:beforeAutospacing="0" w:after="0" w:afterAutospacing="0" w:line="259" w:lineRule="auto"/>
        <w:ind w:left="1080" w:hanging="720"/>
        <w:jc w:val="both"/>
        <w:divId w:val="517042357"/>
        <w:rPr>
          <w:sz w:val="20"/>
          <w:szCs w:val="20"/>
        </w:rPr>
      </w:pPr>
      <w:r>
        <w:rPr>
          <w:sz w:val="20"/>
          <w:szCs w:val="20"/>
        </w:rPr>
        <w:t>c</w:t>
      </w:r>
      <w:r>
        <w:rPr>
          <w:sz w:val="20"/>
          <w:szCs w:val="20"/>
        </w:rPr>
        <w:t>)</w:t>
      </w:r>
      <w:r>
        <w:rPr>
          <w:sz w:val="20"/>
          <w:szCs w:val="20"/>
        </w:rPr>
        <w:t>There are no securities available for future issuance or currently outstanding under plans not approved by the Company’s shareholders as of December 31, 2019.</w:t>
      </w:r>
      <w:r>
        <w:rPr>
          <w:sz w:val="20"/>
          <w:szCs w:val="20"/>
        </w:rPr>
        <w:t xml:space="preserve"> </w:t>
      </w:r>
    </w:p>
    <w:p w:rsidR="00000000" w:rsidRDefault="00865332">
      <w:pPr>
        <w:pStyle w:val="a3"/>
        <w:spacing w:before="0" w:beforeAutospacing="0" w:after="0" w:afterAutospacing="0" w:line="259" w:lineRule="auto"/>
        <w:ind w:left="1080" w:hanging="720"/>
        <w:jc w:val="both"/>
        <w:divId w:val="517042357"/>
        <w:rPr>
          <w:sz w:val="20"/>
          <w:szCs w:val="20"/>
        </w:rPr>
      </w:pPr>
      <w:r>
        <w:rPr>
          <w:sz w:val="20"/>
          <w:szCs w:val="20"/>
        </w:rPr>
        <w:t>d</w:t>
      </w:r>
      <w:r>
        <w:rPr>
          <w:sz w:val="20"/>
          <w:szCs w:val="20"/>
        </w:rPr>
        <w:t>)</w:t>
      </w:r>
      <w:r>
        <w:rPr>
          <w:sz w:val="20"/>
          <w:szCs w:val="20"/>
        </w:rPr>
        <w:t>Represents the average exerci</w:t>
      </w:r>
      <w:r>
        <w:rPr>
          <w:sz w:val="20"/>
          <w:szCs w:val="20"/>
        </w:rPr>
        <w:t>se price of 2,339,667 stock options outstanding at December 31, 2019. We also have 619,150 restricted share units outstanding at December 31, 2019 that vest for no consideration</w:t>
      </w:r>
      <w:r>
        <w:rPr>
          <w:sz w:val="20"/>
          <w:szCs w:val="20"/>
        </w:rPr>
        <w:t>.</w:t>
      </w:r>
    </w:p>
    <w:p w:rsidR="00000000" w:rsidRDefault="00865332">
      <w:pPr>
        <w:pStyle w:val="a3"/>
        <w:spacing w:before="0" w:beforeAutospacing="0" w:after="0" w:afterAutospacing="0" w:line="259" w:lineRule="auto"/>
        <w:ind w:firstLine="720"/>
        <w:jc w:val="both"/>
        <w:divId w:val="517042357"/>
        <w:rPr>
          <w:sz w:val="20"/>
          <w:szCs w:val="20"/>
        </w:rPr>
      </w:pPr>
      <w:r>
        <w:rPr>
          <w:sz w:val="20"/>
          <w:szCs w:val="20"/>
        </w:rPr>
        <w:t>Other information required by this item is hereby incorporated by reference t</w:t>
      </w:r>
      <w:r>
        <w:rPr>
          <w:sz w:val="20"/>
          <w:szCs w:val="20"/>
        </w:rPr>
        <w:t>o the material appearing in the Notice and Proxy Statement for the 2020 Annual Meeting of Shareholders, to be filed pursuant to Regulation 14A under the Exchange Act</w:t>
      </w:r>
      <w:r>
        <w:rPr>
          <w:sz w:val="20"/>
          <w:szCs w:val="20"/>
        </w:rPr>
        <w:t>.</w:t>
      </w:r>
    </w:p>
    <w:p w:rsidR="00000000" w:rsidRDefault="00865332">
      <w:pPr>
        <w:pStyle w:val="a3"/>
        <w:spacing w:before="0" w:beforeAutospacing="0" w:after="0" w:afterAutospacing="0" w:line="259" w:lineRule="auto"/>
        <w:divId w:val="517042357"/>
        <w:rPr>
          <w:sz w:val="20"/>
          <w:szCs w:val="20"/>
        </w:rPr>
      </w:pPr>
      <w:r>
        <w:rPr>
          <w:b/>
          <w:bCs/>
          <w:sz w:val="20"/>
          <w:szCs w:val="20"/>
        </w:rPr>
        <w:t>ITEM 13</w:t>
      </w:r>
      <w:r>
        <w:rPr>
          <w:b/>
          <w:bCs/>
          <w:sz w:val="20"/>
          <w:szCs w:val="20"/>
        </w:rPr>
        <w:t>.</w:t>
      </w:r>
      <w:r>
        <w:rPr>
          <w:b/>
          <w:bCs/>
          <w:sz w:val="20"/>
          <w:szCs w:val="20"/>
          <w:u w:val="single"/>
        </w:rPr>
        <w:t>Certain Relationships and Related Transactions and Trustee Independenc</w:t>
      </w:r>
      <w:r>
        <w:rPr>
          <w:b/>
          <w:bCs/>
          <w:sz w:val="20"/>
          <w:szCs w:val="20"/>
          <w:u w:val="single"/>
        </w:rPr>
        <w:t>e</w:t>
      </w:r>
    </w:p>
    <w:p w:rsidR="00000000" w:rsidRDefault="00865332">
      <w:pPr>
        <w:pStyle w:val="a3"/>
        <w:spacing w:before="0" w:beforeAutospacing="0" w:after="0" w:afterAutospacing="0" w:line="259" w:lineRule="auto"/>
        <w:ind w:firstLine="720"/>
        <w:jc w:val="both"/>
        <w:divId w:val="517042357"/>
        <w:rPr>
          <w:sz w:val="20"/>
          <w:szCs w:val="20"/>
        </w:rPr>
      </w:pPr>
      <w:r>
        <w:rPr>
          <w:sz w:val="20"/>
          <w:szCs w:val="20"/>
        </w:rPr>
        <w:t>The infor</w:t>
      </w:r>
      <w:r>
        <w:rPr>
          <w:sz w:val="20"/>
          <w:szCs w:val="20"/>
        </w:rPr>
        <w:t>mation required by this item is hereby incorporated by reference to the material appearing in the Notice and Proxy Statement for the 2020 Annual Meeting of Shareholders,</w:t>
      </w:r>
      <w:r>
        <w:rPr>
          <w:sz w:val="20"/>
          <w:szCs w:val="20"/>
        </w:rPr>
        <w:t xml:space="preserve"> </w:t>
      </w:r>
      <w:r>
        <w:rPr>
          <w:rFonts w:ascii="inherit" w:hAnsi="inherit"/>
          <w:sz w:val="20"/>
          <w:szCs w:val="20"/>
        </w:rPr>
        <w:t>to be filed pursuant to Regulation 14A under the Exchange Act</w:t>
      </w:r>
      <w:r>
        <w:rPr>
          <w:rFonts w:ascii="inherit" w:hAnsi="inherit"/>
          <w:sz w:val="20"/>
          <w:szCs w:val="20"/>
        </w:rPr>
        <w:t>.</w:t>
      </w:r>
    </w:p>
    <w:p w:rsidR="00000000" w:rsidRDefault="00865332">
      <w:pPr>
        <w:pStyle w:val="a3"/>
        <w:spacing w:before="0" w:beforeAutospacing="0" w:after="0" w:afterAutospacing="0" w:line="259" w:lineRule="auto"/>
        <w:divId w:val="517042357"/>
        <w:rPr>
          <w:sz w:val="20"/>
          <w:szCs w:val="20"/>
        </w:rPr>
      </w:pPr>
      <w:r>
        <w:rPr>
          <w:b/>
          <w:bCs/>
          <w:sz w:val="20"/>
          <w:szCs w:val="20"/>
        </w:rPr>
        <w:t>ITEM 14</w:t>
      </w:r>
      <w:r>
        <w:rPr>
          <w:b/>
          <w:bCs/>
          <w:sz w:val="20"/>
          <w:szCs w:val="20"/>
        </w:rPr>
        <w:t>.</w:t>
      </w:r>
      <w:r>
        <w:rPr>
          <w:b/>
          <w:bCs/>
          <w:sz w:val="20"/>
          <w:szCs w:val="20"/>
          <w:u w:val="single"/>
        </w:rPr>
        <w:t>Principal Accou</w:t>
      </w:r>
      <w:r>
        <w:rPr>
          <w:b/>
          <w:bCs/>
          <w:sz w:val="20"/>
          <w:szCs w:val="20"/>
          <w:u w:val="single"/>
        </w:rPr>
        <w:t>ntant Fees and Service</w:t>
      </w:r>
      <w:r>
        <w:rPr>
          <w:b/>
          <w:bCs/>
          <w:sz w:val="20"/>
          <w:szCs w:val="20"/>
          <w:u w:val="single"/>
        </w:rPr>
        <w:t>s</w:t>
      </w:r>
    </w:p>
    <w:p w:rsidR="00000000" w:rsidRDefault="00865332">
      <w:pPr>
        <w:pStyle w:val="a3"/>
        <w:spacing w:before="0" w:beforeAutospacing="0" w:after="0" w:afterAutospacing="0" w:line="259" w:lineRule="auto"/>
        <w:ind w:firstLine="720"/>
        <w:jc w:val="both"/>
        <w:divId w:val="517042357"/>
        <w:rPr>
          <w:sz w:val="20"/>
          <w:szCs w:val="20"/>
        </w:rPr>
      </w:pPr>
      <w:r>
        <w:rPr>
          <w:sz w:val="20"/>
          <w:szCs w:val="20"/>
        </w:rPr>
        <w:t>The information required by this item is hereby incorporated by reference to the material appearing in the Notice and Proxy Statement for the 2020 Annual Meeting of Shareholders,</w:t>
      </w:r>
      <w:r>
        <w:rPr>
          <w:sz w:val="20"/>
          <w:szCs w:val="20"/>
        </w:rPr>
        <w:t xml:space="preserve"> </w:t>
      </w:r>
      <w:r>
        <w:rPr>
          <w:rFonts w:ascii="inherit" w:hAnsi="inherit"/>
          <w:sz w:val="20"/>
          <w:szCs w:val="20"/>
        </w:rPr>
        <w:t>to be filed pursuant to Regulation 14A under the Exch</w:t>
      </w:r>
      <w:r>
        <w:rPr>
          <w:rFonts w:ascii="inherit" w:hAnsi="inherit"/>
          <w:sz w:val="20"/>
          <w:szCs w:val="20"/>
        </w:rPr>
        <w:t>ange Act of 1934</w:t>
      </w:r>
      <w:r>
        <w:rPr>
          <w:rFonts w:ascii="inherit" w:hAnsi="inherit"/>
          <w:sz w:val="20"/>
          <w:szCs w:val="20"/>
        </w:rPr>
        <w:t>.</w:t>
      </w:r>
    </w:p>
    <w:p w:rsidR="00000000" w:rsidRDefault="00865332">
      <w:pPr>
        <w:pStyle w:val="a3"/>
        <w:spacing w:before="0" w:beforeAutospacing="0" w:after="0" w:afterAutospacing="0" w:line="259" w:lineRule="auto"/>
        <w:jc w:val="center"/>
        <w:divId w:val="1751930656"/>
        <w:rPr>
          <w:sz w:val="20"/>
          <w:szCs w:val="20"/>
        </w:rPr>
      </w:pPr>
      <w:r>
        <w:rPr>
          <w:rStyle w:val="ctheaderfooterpage"/>
          <w:sz w:val="20"/>
          <w:szCs w:val="20"/>
        </w:rPr>
        <w:t>6</w:t>
      </w:r>
      <w:r>
        <w:rPr>
          <w:rStyle w:val="ctheaderfooterpage"/>
          <w:sz w:val="20"/>
          <w:szCs w:val="20"/>
        </w:rPr>
        <w:t>3</w:t>
      </w:r>
    </w:p>
    <w:p w:rsidR="00000000" w:rsidRDefault="00865332">
      <w:pPr>
        <w:spacing w:before="360" w:after="360"/>
        <w:divId w:val="107356874"/>
        <w:rPr>
          <w:rFonts w:eastAsia="Times New Roman"/>
        </w:rPr>
      </w:pPr>
      <w:r>
        <w:rPr>
          <w:rFonts w:eastAsia="Times New Roman"/>
        </w:rPr>
        <w:pict>
          <v:rect id="_x0000_i1087" style="width:0;height:1.5pt" o:hralign="center" o:hrstd="t" o:hr="t" fillcolor="#a0a0a0" stroked="f"/>
        </w:pict>
      </w:r>
    </w:p>
    <w:p w:rsidR="00000000" w:rsidRDefault="00865332">
      <w:pPr>
        <w:pStyle w:val="a3"/>
        <w:spacing w:before="0" w:beforeAutospacing="0" w:after="0" w:afterAutospacing="0" w:line="259" w:lineRule="auto"/>
        <w:ind w:firstLine="720"/>
        <w:jc w:val="center"/>
        <w:divId w:val="1660112850"/>
        <w:rPr>
          <w:sz w:val="20"/>
          <w:szCs w:val="20"/>
        </w:rPr>
      </w:pPr>
      <w:r>
        <w:rPr>
          <w:b/>
          <w:bCs/>
          <w:sz w:val="20"/>
          <w:szCs w:val="20"/>
          <w:u w:val="single"/>
        </w:rPr>
        <w:t>PART I</w:t>
      </w:r>
      <w:r>
        <w:rPr>
          <w:b/>
          <w:bCs/>
          <w:sz w:val="20"/>
          <w:szCs w:val="20"/>
          <w:u w:val="single"/>
        </w:rPr>
        <w:t>V</w:t>
      </w:r>
    </w:p>
    <w:p w:rsidR="00000000" w:rsidRDefault="00865332">
      <w:pPr>
        <w:pStyle w:val="a3"/>
        <w:spacing w:before="0" w:beforeAutospacing="0" w:after="0" w:afterAutospacing="0" w:line="259" w:lineRule="auto"/>
        <w:ind w:left="720" w:hanging="720"/>
        <w:divId w:val="1660112850"/>
        <w:rPr>
          <w:sz w:val="20"/>
          <w:szCs w:val="20"/>
        </w:rPr>
      </w:pPr>
      <w:r>
        <w:rPr>
          <w:b/>
          <w:bCs/>
          <w:sz w:val="20"/>
          <w:szCs w:val="20"/>
        </w:rPr>
        <w:t>ITEM 15</w:t>
      </w:r>
      <w:r>
        <w:rPr>
          <w:b/>
          <w:bCs/>
          <w:sz w:val="20"/>
          <w:szCs w:val="20"/>
        </w:rPr>
        <w:t>.</w:t>
      </w:r>
      <w:r>
        <w:rPr>
          <w:b/>
          <w:bCs/>
          <w:sz w:val="20"/>
          <w:szCs w:val="20"/>
        </w:rPr>
        <w:t> </w:t>
      </w:r>
      <w:r>
        <w:rPr>
          <w:b/>
          <w:bCs/>
          <w:sz w:val="20"/>
          <w:szCs w:val="20"/>
          <w:u w:val="single"/>
        </w:rPr>
        <w:t>Exhibits and Financial Statement Schedule</w:t>
      </w:r>
      <w:r>
        <w:rPr>
          <w:b/>
          <w:bCs/>
          <w:sz w:val="20"/>
          <w:szCs w:val="20"/>
          <w:u w:val="single"/>
        </w:rPr>
        <w:t>s</w:t>
      </w:r>
    </w:p>
    <w:tbl>
      <w:tblPr>
        <w:tblW w:w="0" w:type="auto"/>
        <w:tblCellMar>
          <w:top w:w="15" w:type="dxa"/>
          <w:left w:w="15" w:type="dxa"/>
          <w:bottom w:w="15" w:type="dxa"/>
          <w:right w:w="15" w:type="dxa"/>
        </w:tblCellMar>
        <w:tblLook w:val="04A0" w:firstRow="1" w:lastRow="0" w:firstColumn="1" w:lastColumn="0" w:noHBand="0" w:noVBand="1"/>
      </w:tblPr>
      <w:tblGrid>
        <w:gridCol w:w="344"/>
        <w:gridCol w:w="282"/>
        <w:gridCol w:w="44"/>
        <w:gridCol w:w="241"/>
        <w:gridCol w:w="16"/>
        <w:gridCol w:w="7379"/>
      </w:tblGrid>
      <w:tr w:rsidR="00000000">
        <w:trPr>
          <w:divId w:val="1660112850"/>
          <w:trHeight w:val="14"/>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0"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663" w:type="dxa"/>
            <w:gridSpan w:val="3"/>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a</w:t>
            </w:r>
            <w:r>
              <w:rPr>
                <w:color w:val="000000"/>
                <w:sz w:val="20"/>
                <w:szCs w:val="20"/>
              </w:rPr>
              <w:t>.</w:t>
            </w: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1</w:t>
            </w:r>
            <w:r>
              <w:rPr>
                <w:color w:val="000000"/>
                <w:sz w:val="20"/>
                <w:szCs w:val="20"/>
              </w:rPr>
              <w:t>.</w:t>
            </w:r>
          </w:p>
        </w:tc>
        <w:tc>
          <w:tcPr>
            <w:tcW w:w="8713" w:type="dxa"/>
            <w:gridSpan w:val="4"/>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Financial Statement</w:t>
            </w:r>
            <w:r>
              <w:rPr>
                <w:color w:val="000000"/>
                <w:sz w:val="20"/>
                <w:szCs w:val="20"/>
              </w:rPr>
              <w:t>s</w:t>
            </w:r>
          </w:p>
        </w:tc>
      </w:tr>
      <w:tr w:rsidR="00000000">
        <w:trPr>
          <w:divId w:val="1660112850"/>
          <w:trHeight w:val="101"/>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8"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385"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8"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385"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The financial statements listed in the accompanying Index to Financial Statements and Schedules hereof are filed as part of this report</w:t>
            </w:r>
            <w:r>
              <w:rPr>
                <w:color w:val="000000"/>
                <w:sz w:val="20"/>
                <w:szCs w:val="20"/>
              </w:rPr>
              <w:t>.</w:t>
            </w:r>
          </w:p>
        </w:tc>
      </w:tr>
      <w:tr w:rsidR="00000000">
        <w:trPr>
          <w:divId w:val="1660112850"/>
          <w:trHeight w:val="101"/>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8"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385"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2</w:t>
            </w:r>
            <w:r>
              <w:rPr>
                <w:color w:val="000000"/>
                <w:sz w:val="20"/>
                <w:szCs w:val="20"/>
              </w:rPr>
              <w:t>.</w:t>
            </w:r>
          </w:p>
        </w:tc>
        <w:tc>
          <w:tcPr>
            <w:tcW w:w="8713" w:type="dxa"/>
            <w:gridSpan w:val="4"/>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Financial Statement Schedule</w:t>
            </w:r>
            <w:r>
              <w:rPr>
                <w:color w:val="000000"/>
                <w:sz w:val="20"/>
                <w:szCs w:val="20"/>
              </w:rPr>
              <w:t>s</w:t>
            </w:r>
          </w:p>
        </w:tc>
      </w:tr>
      <w:tr w:rsidR="00000000">
        <w:trPr>
          <w:divId w:val="1660112850"/>
          <w:trHeight w:val="101"/>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8"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385"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8"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385"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The financial statements schedules listed in the accompanying Index to Financial Statements and Schedules are filed as part of this report</w:t>
            </w:r>
            <w:r>
              <w:rPr>
                <w:color w:val="000000"/>
                <w:sz w:val="20"/>
                <w:szCs w:val="20"/>
              </w:rPr>
              <w:t>.</w:t>
            </w:r>
          </w:p>
        </w:tc>
      </w:tr>
      <w:tr w:rsidR="00000000">
        <w:trPr>
          <w:divId w:val="1660112850"/>
          <w:trHeight w:val="101"/>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28"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385" w:type="dxa"/>
            <w:gridSpan w:val="2"/>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3</w:t>
            </w:r>
            <w:r>
              <w:rPr>
                <w:color w:val="000000"/>
                <w:sz w:val="20"/>
                <w:szCs w:val="20"/>
              </w:rPr>
              <w:t>.</w:t>
            </w:r>
          </w:p>
        </w:tc>
        <w:tc>
          <w:tcPr>
            <w:tcW w:w="8713" w:type="dxa"/>
            <w:gridSpan w:val="4"/>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Exhibit</w:t>
            </w:r>
            <w:r>
              <w:rPr>
                <w:color w:val="000000"/>
                <w:sz w:val="20"/>
                <w:szCs w:val="20"/>
              </w:rPr>
              <w:t>s</w:t>
            </w:r>
          </w:p>
        </w:tc>
      </w:tr>
      <w:tr w:rsidR="00000000">
        <w:trPr>
          <w:divId w:val="1660112850"/>
          <w:trHeight w:val="187"/>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46" w:type="dxa"/>
            <w:gridSpan w:val="3"/>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367"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46" w:type="dxa"/>
            <w:gridSpan w:val="3"/>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367"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See Index to Exhibits contained herein</w:t>
            </w:r>
            <w:r>
              <w:rPr>
                <w:color w:val="000000"/>
                <w:sz w:val="20"/>
                <w:szCs w:val="20"/>
              </w:rPr>
              <w:t>.</w:t>
            </w:r>
          </w:p>
        </w:tc>
      </w:tr>
      <w:tr w:rsidR="00000000">
        <w:trPr>
          <w:divId w:val="1660112850"/>
          <w:trHeight w:val="101"/>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46" w:type="dxa"/>
            <w:gridSpan w:val="3"/>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367"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b</w:t>
            </w:r>
            <w:r>
              <w:rPr>
                <w:color w:val="000000"/>
                <w:sz w:val="20"/>
                <w:szCs w:val="20"/>
              </w:rPr>
              <w:t>.</w:t>
            </w:r>
          </w:p>
        </w:tc>
        <w:tc>
          <w:tcPr>
            <w:tcW w:w="9016" w:type="dxa"/>
            <w:gridSpan w:val="5"/>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Exhibits</w:t>
            </w:r>
            <w:r>
              <w:rPr>
                <w:color w:val="000000"/>
                <w:sz w:val="20"/>
                <w:szCs w:val="20"/>
              </w:rPr>
              <w:t>:</w:t>
            </w:r>
          </w:p>
        </w:tc>
      </w:tr>
      <w:tr w:rsidR="00000000">
        <w:trPr>
          <w:divId w:val="1660112850"/>
          <w:trHeight w:val="101"/>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0"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663" w:type="dxa"/>
            <w:gridSpan w:val="3"/>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713" w:type="dxa"/>
            <w:gridSpan w:val="4"/>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See Index to Exhibits contained herein</w:t>
            </w:r>
            <w:r>
              <w:rPr>
                <w:color w:val="000000"/>
                <w:sz w:val="20"/>
                <w:szCs w:val="20"/>
              </w:rPr>
              <w:t>.</w:t>
            </w:r>
          </w:p>
        </w:tc>
      </w:tr>
      <w:tr w:rsidR="00000000">
        <w:trPr>
          <w:divId w:val="1660112850"/>
          <w:trHeight w:val="101"/>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0"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663" w:type="dxa"/>
            <w:gridSpan w:val="3"/>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c</w:t>
            </w:r>
            <w:r>
              <w:rPr>
                <w:color w:val="000000"/>
                <w:sz w:val="20"/>
                <w:szCs w:val="20"/>
              </w:rPr>
              <w:t>.</w:t>
            </w:r>
          </w:p>
        </w:tc>
        <w:tc>
          <w:tcPr>
            <w:tcW w:w="9016" w:type="dxa"/>
            <w:gridSpan w:val="5"/>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Financial Statement Schedule</w:t>
            </w:r>
            <w:r>
              <w:rPr>
                <w:color w:val="000000"/>
                <w:sz w:val="20"/>
                <w:szCs w:val="20"/>
              </w:rPr>
              <w:t>s</w:t>
            </w:r>
          </w:p>
        </w:tc>
      </w:tr>
      <w:tr w:rsidR="00000000">
        <w:trPr>
          <w:divId w:val="1660112850"/>
          <w:trHeight w:val="101"/>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50"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663" w:type="dxa"/>
            <w:gridSpan w:val="3"/>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660112850"/>
          <w:trHeight w:val="259"/>
        </w:trPr>
        <w:tc>
          <w:tcPr>
            <w:tcW w:w="374"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303"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8713" w:type="dxa"/>
            <w:gridSpan w:val="4"/>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color w:val="000000"/>
                <w:sz w:val="20"/>
                <w:szCs w:val="20"/>
              </w:rPr>
              <w:t>Not applicable</w:t>
            </w:r>
            <w:r>
              <w:rPr>
                <w:color w:val="000000"/>
                <w:sz w:val="20"/>
                <w:szCs w:val="20"/>
              </w:rPr>
              <w:t>.</w:t>
            </w:r>
          </w:p>
        </w:tc>
      </w:tr>
    </w:tbl>
    <w:p w:rsidR="00000000" w:rsidRDefault="00865332">
      <w:pPr>
        <w:pStyle w:val="a3"/>
        <w:spacing w:before="0" w:beforeAutospacing="0" w:after="0" w:afterAutospacing="0" w:line="276" w:lineRule="auto"/>
        <w:divId w:val="1660112850"/>
        <w:rPr>
          <w:sz w:val="20"/>
          <w:szCs w:val="20"/>
        </w:rPr>
      </w:pPr>
      <w:r>
        <w:rPr>
          <w:sz w:val="20"/>
          <w:szCs w:val="20"/>
        </w:rPr>
        <w:br/>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1472019329"/>
        <w:rPr>
          <w:sz w:val="20"/>
          <w:szCs w:val="20"/>
        </w:rPr>
      </w:pPr>
      <w:r>
        <w:rPr>
          <w:rStyle w:val="ctheaderfooterpage"/>
          <w:sz w:val="20"/>
          <w:szCs w:val="20"/>
        </w:rPr>
        <w:t>6</w:t>
      </w:r>
      <w:r>
        <w:rPr>
          <w:rStyle w:val="ctheaderfooterpage"/>
          <w:sz w:val="20"/>
          <w:szCs w:val="20"/>
        </w:rPr>
        <w:t>4</w:t>
      </w:r>
    </w:p>
    <w:p w:rsidR="00000000" w:rsidRDefault="00865332">
      <w:pPr>
        <w:spacing w:before="360" w:after="360"/>
        <w:divId w:val="1830098783"/>
        <w:rPr>
          <w:rFonts w:eastAsia="Times New Roman"/>
        </w:rPr>
      </w:pPr>
      <w:r>
        <w:rPr>
          <w:rFonts w:eastAsia="Times New Roman"/>
        </w:rPr>
        <w:pict>
          <v:rect id="_x0000_i1088" style="width:0;height:1.5pt" o:hralign="center" o:hrstd="t" o:hr="t" fillcolor="#a0a0a0" stroked="f"/>
        </w:pict>
      </w:r>
    </w:p>
    <w:tbl>
      <w:tblPr>
        <w:tblW w:w="5250" w:type="pct"/>
        <w:tblCellMar>
          <w:top w:w="15" w:type="dxa"/>
          <w:left w:w="15" w:type="dxa"/>
          <w:bottom w:w="15" w:type="dxa"/>
          <w:right w:w="15" w:type="dxa"/>
        </w:tblCellMar>
        <w:tblLook w:val="04A0" w:firstRow="1" w:lastRow="0" w:firstColumn="1" w:lastColumn="0" w:noHBand="0" w:noVBand="1"/>
      </w:tblPr>
      <w:tblGrid>
        <w:gridCol w:w="1169"/>
        <w:gridCol w:w="7552"/>
      </w:tblGrid>
      <w:tr w:rsidR="00000000">
        <w:trPr>
          <w:divId w:val="1319186006"/>
          <w:trHeight w:val="14"/>
        </w:trPr>
        <w:tc>
          <w:tcPr>
            <w:tcW w:w="67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PUBLIC STORAG</w:t>
            </w:r>
            <w:r>
              <w:rPr>
                <w:sz w:val="20"/>
                <w:szCs w:val="20"/>
              </w:rPr>
              <w:t>E</w:t>
            </w: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INDEX TO EXHIBITS (1</w:t>
            </w:r>
            <w:r>
              <w:rPr>
                <w:sz w:val="20"/>
                <w:szCs w:val="20"/>
              </w:rPr>
              <w:t>)</w:t>
            </w: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(Items 15(a)(3) and 15(c)</w:t>
            </w:r>
            <w:r>
              <w:rPr>
                <w:sz w:val="20"/>
                <w:szCs w:val="20"/>
              </w:rPr>
              <w:t>)</w:t>
            </w: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1</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 w:history="1">
              <w:r>
                <w:rPr>
                  <w:rStyle w:val="a4"/>
                  <w:sz w:val="20"/>
                  <w:szCs w:val="20"/>
                </w:rPr>
                <w:t>Articles of Amendment and Restatement of Declaration of Trust of Public Storage, a Maryland real estate investment trust, filed with the Maryland State</w:t>
              </w:r>
              <w:r>
                <w:rPr>
                  <w:rStyle w:val="a4"/>
                  <w:sz w:val="20"/>
                  <w:szCs w:val="20"/>
                </w:rPr>
                <w:t xml:space="preserve"> Department of Assessments and Taxation on May 4, 2018. Filed with the Registrant’s Current Report on Form 8-K dated May 8, 2018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2</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5" w:history="1">
              <w:r>
                <w:rPr>
                  <w:rStyle w:val="a4"/>
                  <w:sz w:val="20"/>
                  <w:szCs w:val="20"/>
                </w:rPr>
                <w:t>Amended and Restated Bylaws of Public Storage, a Maryland real estate investment trust, dated May 4, 2018. Filed with the Registrant’s Current Report on Form 8-K dated May 8, 2018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3</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6" w:history="1">
              <w:r>
                <w:rPr>
                  <w:rStyle w:val="a4"/>
                  <w:sz w:val="20"/>
                  <w:szCs w:val="20"/>
                </w:rPr>
                <w:t xml:space="preserve">Articles Supplementary for Public Storage 5.375% Cumulative Preferred Shares, Series V. Filed with the Registrant’s Current Report on Form 8-K dated September 11, </w:t>
              </w:r>
              <w:r>
                <w:rPr>
                  <w:rStyle w:val="a4"/>
                  <w:sz w:val="20"/>
                  <w:szCs w:val="20"/>
                </w:rPr>
                <w:t>2012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4</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7" w:history="1">
              <w:r>
                <w:rPr>
                  <w:rStyle w:val="a4"/>
                  <w:sz w:val="20"/>
                  <w:szCs w:val="20"/>
                </w:rPr>
                <w:t>Articles Supplementary for Public Storage 5.20% Cumulative Preferred Shares, Series W. Filed with the Registrant’s Current Report on Form 8-K dated January 7, 2013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5</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8" w:history="1">
              <w:r>
                <w:rPr>
                  <w:rStyle w:val="a4"/>
                  <w:sz w:val="20"/>
                  <w:szCs w:val="20"/>
                </w:rPr>
                <w:t>Articles Supplementary for Public Storage 5.20% Cumulative Preferred Shares, Series X. Filed with the Registrant’s Current Report on Form 8-K dated March 4, 2013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6</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9" w:history="1">
              <w:r>
                <w:rPr>
                  <w:rStyle w:val="a4"/>
                  <w:sz w:val="20"/>
                  <w:szCs w:val="20"/>
                </w:rPr>
                <w:t>Articles Supplementary for Public Storage 5.400% Cumulative Preferred Shares, Series B. Filed with the Registrant’s Current Report on Form 8-K dated Jan</w:t>
              </w:r>
              <w:r>
                <w:rPr>
                  <w:rStyle w:val="a4"/>
                  <w:sz w:val="20"/>
                  <w:szCs w:val="20"/>
                </w:rPr>
                <w:t>uary 12, 2016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7</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0" w:history="1">
              <w:r>
                <w:rPr>
                  <w:rStyle w:val="a4"/>
                  <w:sz w:val="20"/>
                  <w:szCs w:val="20"/>
                </w:rPr>
                <w:t>Articles Supplementary for Public Storage 5.125% Cumulative Preferred Shares, Series C. Filed with the Registrant’s Current Report on Form 8-K dated May 10, 2016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8</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1" w:history="1">
              <w:r>
                <w:rPr>
                  <w:rStyle w:val="a4"/>
                  <w:sz w:val="20"/>
                  <w:szCs w:val="20"/>
                </w:rPr>
                <w:t>Articles Supplementary for Public Storage 4.950% Cumulative Preferred Shares, Series D. Filed with the Registrant’s Current Report on Form 8-K dated July 13,</w:t>
              </w:r>
              <w:r>
                <w:rPr>
                  <w:rStyle w:val="a4"/>
                  <w:sz w:val="20"/>
                  <w:szCs w:val="20"/>
                </w:rPr>
                <w:t xml:space="preserve"> 2016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9</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2" w:history="1">
              <w:r>
                <w:rPr>
                  <w:rStyle w:val="a4"/>
                  <w:sz w:val="20"/>
                  <w:szCs w:val="20"/>
                </w:rPr>
                <w:t>Articles Supplementary for Public Storage 4.900% Cumulative Preferred Shares, Series E. Filed with the Re</w:t>
              </w:r>
              <w:r>
                <w:rPr>
                  <w:rStyle w:val="a4"/>
                  <w:sz w:val="20"/>
                  <w:szCs w:val="20"/>
                </w:rPr>
                <w:t>gistrant’s Current Report on Form 8-K dated October 6, 2016 and incorporated by reference herei</w:t>
              </w:r>
              <w:r>
                <w:rPr>
                  <w:rStyle w:val="a4"/>
                  <w:sz w:val="20"/>
                  <w:szCs w:val="20"/>
                </w:rPr>
                <w:t>n</w:t>
              </w:r>
            </w:hyperlink>
            <w:r>
              <w:rPr>
                <w:color w:val="0000FF"/>
                <w:sz w:val="20"/>
                <w:szCs w:val="20"/>
                <w:u w:val="single"/>
              </w:rPr>
              <w:t>.</w:t>
            </w: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3.1</w:t>
            </w:r>
            <w:r>
              <w:rPr>
                <w:sz w:val="20"/>
                <w:szCs w:val="20"/>
              </w:rPr>
              <w:t>0</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3" w:history="1">
              <w:r>
                <w:rPr>
                  <w:rStyle w:val="a4"/>
                  <w:sz w:val="20"/>
                  <w:szCs w:val="20"/>
                </w:rPr>
                <w:t>Articles Supplementary for Public Storage 5.150% C</w:t>
              </w:r>
              <w:r>
                <w:rPr>
                  <w:rStyle w:val="a4"/>
                  <w:sz w:val="20"/>
                  <w:szCs w:val="20"/>
                </w:rPr>
                <w:t>umulative Preferred Shares, Series F. Filed with the Registrant’s Current Report on Form 8-K dated May 23, 2017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3.1</w:t>
            </w:r>
            <w:r>
              <w:rPr>
                <w:sz w:val="20"/>
                <w:szCs w:val="20"/>
              </w:rPr>
              <w:t>1</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4" w:history="1">
              <w:r>
                <w:rPr>
                  <w:rStyle w:val="a4"/>
                  <w:sz w:val="20"/>
                  <w:szCs w:val="20"/>
                </w:rPr>
                <w:t>Articles Supplementary for Public Storage 5.050% Cumulative Preferred Shares, Series G. Filed with the Registrant’s Current Report on Form 8-K dated July 31, 2017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3.1</w:t>
            </w:r>
            <w:r>
              <w:rPr>
                <w:sz w:val="20"/>
                <w:szCs w:val="20"/>
              </w:rPr>
              <w:t>2</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5" w:history="1">
              <w:r>
                <w:rPr>
                  <w:rStyle w:val="a4"/>
                  <w:sz w:val="20"/>
                  <w:szCs w:val="20"/>
                </w:rPr>
                <w:t>Articles Supplementary for Public Storage 5.600% Cumulative Preferred Shares, Series H. Filed with the Registrant’s Current Report on Form 8-K dated February</w:t>
              </w:r>
              <w:r>
                <w:rPr>
                  <w:rStyle w:val="a4"/>
                  <w:sz w:val="20"/>
                  <w:szCs w:val="20"/>
                </w:rPr>
                <w:t xml:space="preserve"> 28, 2019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3.1</w:t>
            </w:r>
            <w:r>
              <w:rPr>
                <w:sz w:val="20"/>
                <w:szCs w:val="20"/>
              </w:rPr>
              <w:t>3</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6" w:history="1">
              <w:r>
                <w:rPr>
                  <w:rStyle w:val="a4"/>
                  <w:sz w:val="20"/>
                  <w:szCs w:val="20"/>
                </w:rPr>
                <w:t>Articles Supplementary for Public Storage 4.875% Cumulative Preferred Shares, Series I. Filed with th</w:t>
              </w:r>
              <w:r>
                <w:rPr>
                  <w:rStyle w:val="a4"/>
                  <w:sz w:val="20"/>
                  <w:szCs w:val="20"/>
                </w:rPr>
                <w:t>e Registrant’s Current Report on Form 8-K dated September 5, 2019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3.1</w:t>
            </w:r>
            <w:r>
              <w:rPr>
                <w:sz w:val="20"/>
                <w:szCs w:val="20"/>
              </w:rPr>
              <w:t>4</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7" w:history="1">
              <w:r>
                <w:rPr>
                  <w:rStyle w:val="a4"/>
                  <w:sz w:val="20"/>
                  <w:szCs w:val="20"/>
                </w:rPr>
                <w:t>Articles Supplementary for Public Storage 4.</w:t>
              </w:r>
              <w:r>
                <w:rPr>
                  <w:rStyle w:val="a4"/>
                  <w:sz w:val="20"/>
                  <w:szCs w:val="20"/>
                </w:rPr>
                <w:t>700% Cumulative Preferred Shares, Series J. Filed with the Registrant’s Current Report on Form 8-K dated November 5, 2019 and incorporated by reference herein</w:t>
              </w:r>
              <w:r>
                <w:rPr>
                  <w:rStyle w:val="a4"/>
                  <w:sz w:val="20"/>
                  <w:szCs w:val="20"/>
                </w:rPr>
                <w:t>.</w:t>
              </w:r>
            </w:hyperlink>
          </w:p>
        </w:tc>
      </w:tr>
      <w:tr w:rsidR="00000000">
        <w:trPr>
          <w:divId w:val="1319186006"/>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799811011"/>
        <w:rPr>
          <w:sz w:val="20"/>
          <w:szCs w:val="20"/>
        </w:rPr>
      </w:pPr>
      <w:r>
        <w:rPr>
          <w:rStyle w:val="ctheaderfooterpage"/>
          <w:sz w:val="20"/>
          <w:szCs w:val="20"/>
        </w:rPr>
        <w:t>6</w:t>
      </w:r>
      <w:r>
        <w:rPr>
          <w:rStyle w:val="ctheaderfooterpage"/>
          <w:sz w:val="20"/>
          <w:szCs w:val="20"/>
        </w:rPr>
        <w:t>5</w:t>
      </w:r>
    </w:p>
    <w:p w:rsidR="00000000" w:rsidRDefault="00865332">
      <w:pPr>
        <w:spacing w:before="360" w:after="360"/>
        <w:divId w:val="753939094"/>
        <w:rPr>
          <w:rFonts w:eastAsia="Times New Roman"/>
        </w:rPr>
      </w:pPr>
      <w:r>
        <w:rPr>
          <w:rFonts w:eastAsia="Times New Roman"/>
        </w:rPr>
        <w:pict>
          <v:rect id="_x0000_i1089" style="width:0;height:1.5pt" o:hralign="center" o:hrstd="t" o:hr="t" fillcolor="#a0a0a0" stroked="f"/>
        </w:pict>
      </w:r>
    </w:p>
    <w:tbl>
      <w:tblPr>
        <w:tblW w:w="5250" w:type="pct"/>
        <w:tblCellMar>
          <w:top w:w="15" w:type="dxa"/>
          <w:left w:w="15" w:type="dxa"/>
          <w:bottom w:w="15" w:type="dxa"/>
          <w:right w:w="15" w:type="dxa"/>
        </w:tblCellMar>
        <w:tblLook w:val="04A0" w:firstRow="1" w:lastRow="0" w:firstColumn="1" w:lastColumn="0" w:noHBand="0" w:noVBand="1"/>
      </w:tblPr>
      <w:tblGrid>
        <w:gridCol w:w="1169"/>
        <w:gridCol w:w="7552"/>
      </w:tblGrid>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3.1</w:t>
            </w:r>
            <w:r>
              <w:rPr>
                <w:sz w:val="20"/>
                <w:szCs w:val="20"/>
              </w:rPr>
              <w:t>5</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8" w:history="1">
              <w:r>
                <w:rPr>
                  <w:rStyle w:val="a4"/>
                  <w:sz w:val="20"/>
                  <w:szCs w:val="20"/>
                </w:rPr>
                <w:t>Articles Supplementary for Public Storage 4.750% Cumulative Preferred Shares, Series K. Filed with the Registrant’s Current Report on Form 8-K dated December</w:t>
              </w:r>
              <w:r>
                <w:rPr>
                  <w:rStyle w:val="a4"/>
                  <w:sz w:val="20"/>
                  <w:szCs w:val="20"/>
                </w:rPr>
                <w:t xml:space="preserve"> 11, 2019 and incorporated by reference herein</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4.</w:t>
            </w:r>
            <w:r>
              <w:rPr>
                <w:sz w:val="20"/>
                <w:szCs w:val="20"/>
              </w:rPr>
              <w:t>1</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19" w:history="1">
              <w:r>
                <w:rPr>
                  <w:rStyle w:val="a4"/>
                  <w:sz w:val="20"/>
                  <w:szCs w:val="20"/>
                </w:rPr>
                <w:t xml:space="preserve">Master Deposit Agreement, dated as of May 31, 2007. Filed with the Registrant’s Current Report on Form 8-K </w:t>
              </w:r>
              <w:r>
                <w:rPr>
                  <w:rStyle w:val="a4"/>
                  <w:sz w:val="20"/>
                  <w:szCs w:val="20"/>
                </w:rPr>
                <w:t>dated June 6, 2007 and incorporated by reference herein</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4.</w:t>
            </w:r>
            <w:r>
              <w:rPr>
                <w:sz w:val="20"/>
                <w:szCs w:val="20"/>
              </w:rPr>
              <w:t>2</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0" w:history="1">
              <w:r>
                <w:rPr>
                  <w:rStyle w:val="a4"/>
                  <w:sz w:val="20"/>
                  <w:szCs w:val="20"/>
                </w:rPr>
                <w:t>Description of Registrant’s Securities Registered Pursuant to Section 12 of the Securities Exchange Act of 1934. Filed herewith</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w:t>
            </w:r>
            <w:r>
              <w:rPr>
                <w:sz w:val="20"/>
                <w:szCs w:val="20"/>
              </w:rPr>
              <w:t>1</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1" w:history="1">
              <w:r>
                <w:rPr>
                  <w:rStyle w:val="a4"/>
                  <w:sz w:val="20"/>
                  <w:szCs w:val="20"/>
                </w:rPr>
                <w:t>Agreement of Limited Partnership of PS Business Parks, L.P. Filed with PS Business Parks, Inc.’s Quarterly Report on Form 10-Q for the quarterly period ended June 30, 19</w:t>
              </w:r>
              <w:r>
                <w:rPr>
                  <w:rStyle w:val="a4"/>
                  <w:sz w:val="20"/>
                  <w:szCs w:val="20"/>
                </w:rPr>
                <w:t>98 (SEC File No. 001-10709)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w:t>
            </w:r>
            <w:r>
              <w:rPr>
                <w:sz w:val="20"/>
                <w:szCs w:val="20"/>
              </w:rPr>
              <w:t>2</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2" w:history="1">
              <w:r>
                <w:rPr>
                  <w:rStyle w:val="a4"/>
                  <w:sz w:val="20"/>
                  <w:szCs w:val="20"/>
                </w:rPr>
                <w:t>Amended and Restated Agreement of Limited Partnership of Storage Trust Properties, L.P. (March 12, 1999). Filed with PSI’s Quarterly Report on Form 10</w:t>
              </w:r>
              <w:r>
                <w:rPr>
                  <w:rStyle w:val="a4"/>
                  <w:sz w:val="20"/>
                  <w:szCs w:val="20"/>
                </w:rPr>
                <w:t>-Q for the quarterly period ended June 30, 1999 (SEC File No. 001-0839)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w:t>
            </w:r>
            <w:r>
              <w:rPr>
                <w:sz w:val="20"/>
                <w:szCs w:val="20"/>
              </w:rPr>
              <w:t>3</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3" w:history="1">
              <w:r>
                <w:rPr>
                  <w:rStyle w:val="a4"/>
                  <w:sz w:val="20"/>
                  <w:szCs w:val="20"/>
                </w:rPr>
                <w:t>Second Amended and Restated Credit Ag</w:t>
              </w:r>
              <w:r>
                <w:rPr>
                  <w:rStyle w:val="a4"/>
                  <w:sz w:val="20"/>
                  <w:szCs w:val="20"/>
                </w:rPr>
                <w:t>reement, dated April 19, 2019, by and among Public Storage, the lenders party thereto, Wells Fargo Bank, National Association, as administrative agent, Wells Fargo Securities LLC and Merrill Lynch, Pierce, Fenner &amp; Smith Incorporation, as joint lead arrang</w:t>
              </w:r>
              <w:r>
                <w:rPr>
                  <w:rStyle w:val="a4"/>
                  <w:sz w:val="20"/>
                  <w:szCs w:val="20"/>
                </w:rPr>
                <w:t>ers and as joint bookrunners, Bank of America, N.A., as syndication agent, and Citibank, N.A., as documentation agent. Filed as Exhibit 10.1 to the Company’s Current Report on Form 8-K dated April 19, 2019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10.4</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4" w:history="1">
              <w:r>
                <w:rPr>
                  <w:rStyle w:val="a4"/>
                  <w:sz w:val="20"/>
                  <w:szCs w:val="20"/>
                </w:rPr>
                <w:t>Form of 2007 Plan Restricted Stock Unit Agreement. Filed as Exhibit 10.11 to the Company’s Annual Report on Form 10-K for the year ended December 31</w:t>
              </w:r>
              <w:r>
                <w:rPr>
                  <w:rStyle w:val="a4"/>
                  <w:sz w:val="20"/>
                  <w:szCs w:val="20"/>
                </w:rPr>
                <w:t>, 2015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10.5</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5" w:history="1">
              <w:r>
                <w:rPr>
                  <w:rStyle w:val="a4"/>
                  <w:sz w:val="20"/>
                  <w:szCs w:val="20"/>
                </w:rPr>
                <w:t>Form of 2007 Plan Restricted Stock Unit Agreement – deferral of receipt of shares. Filed as</w:t>
              </w:r>
              <w:r>
                <w:rPr>
                  <w:rStyle w:val="a4"/>
                  <w:sz w:val="20"/>
                  <w:szCs w:val="20"/>
                </w:rPr>
                <w:t xml:space="preserve"> Exhibit 10.12 to the Company’s Annual Report on Form 10-K for the year ended December 31, 2015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10.6</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6" w:history="1">
              <w:r>
                <w:rPr>
                  <w:rStyle w:val="a4"/>
                  <w:sz w:val="20"/>
                  <w:szCs w:val="20"/>
                </w:rPr>
                <w:t xml:space="preserve">Form of 2007 Plan Stock Option Agreement. Filed as Exhibit 10.13 to the Company’s Annual Report on Form 10-K for the year ended December 31, 2015 </w:t>
              </w:r>
              <w:r>
                <w:rPr>
                  <w:rStyle w:val="a4"/>
                  <w:sz w:val="20"/>
                  <w:szCs w:val="20"/>
                </w:rPr>
                <w:t>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10.7</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7" w:history="1">
              <w:r>
                <w:rPr>
                  <w:rStyle w:val="a4"/>
                  <w:sz w:val="20"/>
                  <w:szCs w:val="20"/>
                </w:rPr>
                <w:t>Form of 2007 Plan Trustee Stock Option Agreement. Filed as Exhibit 10.14 to the Company’s Annual R</w:t>
              </w:r>
              <w:r>
                <w:rPr>
                  <w:rStyle w:val="a4"/>
                  <w:sz w:val="20"/>
                  <w:szCs w:val="20"/>
                </w:rPr>
                <w:t>eport on Form 10-K for the year ended December 31, 2015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10.8</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8" w:history="1">
              <w:r>
                <w:rPr>
                  <w:rStyle w:val="a4"/>
                  <w:sz w:val="20"/>
                  <w:szCs w:val="20"/>
                </w:rPr>
                <w:t>Form of 2016 Plan Restricted Stock Unit Agree</w:t>
              </w:r>
              <w:r>
                <w:rPr>
                  <w:rStyle w:val="a4"/>
                  <w:sz w:val="20"/>
                  <w:szCs w:val="20"/>
                </w:rPr>
                <w:t>ment. Filed as Exhibit 10.15 to the Company’s Annual Report on Form 10-K for the year ended December 31, 2016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10.9</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29" w:history="1">
              <w:r>
                <w:rPr>
                  <w:rStyle w:val="a4"/>
                  <w:sz w:val="20"/>
                  <w:szCs w:val="20"/>
                </w:rPr>
                <w:t>Form of 2016 Plan Restricted Stock Unit Agreement – deferral of receipt of shares. Filed as Exhibit 10.16 to the Company’s Annual Report on Form 10-K for the year ended December 31, 2016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10.10</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0" w:history="1">
              <w:r>
                <w:rPr>
                  <w:rStyle w:val="a4"/>
                  <w:sz w:val="20"/>
                  <w:szCs w:val="20"/>
                </w:rPr>
                <w:t>Form of 2016 Plan Non-Qualified Stock Option Agreement. Filed as Exhibit 10.17 to the Company’s Annual Report on Form 10-K for the year ended Decembe</w:t>
              </w:r>
              <w:r>
                <w:rPr>
                  <w:rStyle w:val="a4"/>
                  <w:sz w:val="20"/>
                  <w:szCs w:val="20"/>
                </w:rPr>
                <w:t>r 31, 2016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10.11</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1" w:history="1">
              <w:r>
                <w:rPr>
                  <w:rStyle w:val="a4"/>
                  <w:sz w:val="20"/>
                  <w:szCs w:val="20"/>
                </w:rPr>
                <w:t>Form of 2016 Plan Trustee Non-Qualified Stock Option Agreement. Filed as Exhibit 10.18 to</w:t>
              </w:r>
              <w:r>
                <w:rPr>
                  <w:rStyle w:val="a4"/>
                  <w:sz w:val="20"/>
                  <w:szCs w:val="20"/>
                </w:rPr>
                <w:t xml:space="preserve"> the Company’s Annual Report on Form 10-K for the year ended December 31, 2016 and incorporated herein by reference</w:t>
              </w:r>
              <w:r>
                <w:rPr>
                  <w:rStyle w:val="a4"/>
                  <w:sz w:val="20"/>
                  <w:szCs w:val="20"/>
                </w:rPr>
                <w:t>.</w:t>
              </w:r>
            </w:hyperlink>
          </w:p>
        </w:tc>
      </w:tr>
      <w:tr w:rsidR="00000000">
        <w:trPr>
          <w:divId w:val="1792279077"/>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1051152010"/>
        <w:rPr>
          <w:sz w:val="20"/>
          <w:szCs w:val="20"/>
        </w:rPr>
      </w:pPr>
      <w:r>
        <w:rPr>
          <w:rStyle w:val="ctheaderfooterpage"/>
          <w:sz w:val="20"/>
          <w:szCs w:val="20"/>
        </w:rPr>
        <w:t>6</w:t>
      </w:r>
      <w:r>
        <w:rPr>
          <w:rStyle w:val="ctheaderfooterpage"/>
          <w:sz w:val="20"/>
          <w:szCs w:val="20"/>
        </w:rPr>
        <w:t>6</w:t>
      </w:r>
    </w:p>
    <w:p w:rsidR="00000000" w:rsidRDefault="00865332">
      <w:pPr>
        <w:spacing w:before="360" w:after="360"/>
        <w:divId w:val="789398568"/>
        <w:rPr>
          <w:rFonts w:eastAsia="Times New Roman"/>
        </w:rPr>
      </w:pPr>
      <w:r>
        <w:rPr>
          <w:rFonts w:eastAsia="Times New Roman"/>
        </w:rPr>
        <w:pict>
          <v:rect id="_x0000_i1090" style="width:0;height:1.5pt" o:hralign="center" o:hrstd="t" o:hr="t" fillcolor="#a0a0a0" stroked="f"/>
        </w:pict>
      </w:r>
    </w:p>
    <w:tbl>
      <w:tblPr>
        <w:tblW w:w="5250" w:type="pct"/>
        <w:tblCellMar>
          <w:top w:w="15" w:type="dxa"/>
          <w:left w:w="15" w:type="dxa"/>
          <w:bottom w:w="15" w:type="dxa"/>
          <w:right w:w="15" w:type="dxa"/>
        </w:tblCellMar>
        <w:tblLook w:val="04A0" w:firstRow="1" w:lastRow="0" w:firstColumn="1" w:lastColumn="0" w:noHBand="0" w:noVBand="1"/>
      </w:tblPr>
      <w:tblGrid>
        <w:gridCol w:w="1169"/>
        <w:gridCol w:w="7552"/>
      </w:tblGrid>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w:t>
            </w:r>
            <w:r>
              <w:rPr>
                <w:sz w:val="20"/>
                <w:szCs w:val="20"/>
              </w:rPr>
              <w:t>2</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2" w:history="1">
              <w:r>
                <w:rPr>
                  <w:rStyle w:val="a4"/>
                  <w:sz w:val="20"/>
                  <w:szCs w:val="20"/>
                </w:rPr>
                <w:t>Form of Trustee and Officer Indemnification Agreement.  Filed as Exhibit 10.19 to the Company’s Annual Report on Form 10-K for the year ended Decembe</w:t>
              </w:r>
              <w:r>
                <w:rPr>
                  <w:rStyle w:val="a4"/>
                  <w:sz w:val="20"/>
                  <w:szCs w:val="20"/>
                </w:rPr>
                <w:t>r 31, 2016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w:t>
            </w:r>
            <w:r>
              <w:rPr>
                <w:sz w:val="20"/>
                <w:szCs w:val="20"/>
              </w:rPr>
              <w:t>3</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3" w:history="1">
              <w:r>
                <w:rPr>
                  <w:rStyle w:val="a4"/>
                  <w:sz w:val="20"/>
                  <w:szCs w:val="20"/>
                </w:rPr>
                <w:t>Term Loan Agreement, by and among Public Storage, Wells Fargo Securities, LLC as Lead Arranger and Wells Fargo National Bank N.A. as Administrative Agent, dated as of December 2, 2013. Filed with Registrant’s Current Report on Form 8-K dated December 2, 20</w:t>
              </w:r>
              <w:r>
                <w:rPr>
                  <w:rStyle w:val="a4"/>
                  <w:sz w:val="20"/>
                  <w:szCs w:val="20"/>
                </w:rPr>
                <w:t>13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10.14</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4" w:history="1">
              <w:r>
                <w:rPr>
                  <w:rStyle w:val="a4"/>
                  <w:sz w:val="20"/>
                  <w:szCs w:val="20"/>
                </w:rPr>
                <w:t>Public Storage 2007 Equity and Performance-Based Incentive Compensation Plan, as Amended. File</w:t>
              </w:r>
              <w:r>
                <w:rPr>
                  <w:rStyle w:val="a4"/>
                  <w:sz w:val="20"/>
                  <w:szCs w:val="20"/>
                </w:rPr>
                <w:t>d with Registrant’s Current Report on Form 8-K dated May 1, 2014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10.15</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5" w:history="1">
              <w:r>
                <w:rPr>
                  <w:rStyle w:val="a4"/>
                  <w:sz w:val="20"/>
                  <w:szCs w:val="20"/>
                </w:rPr>
                <w:t>Public Storage 2016 Equity and Performanc</w:t>
              </w:r>
              <w:r>
                <w:rPr>
                  <w:rStyle w:val="a4"/>
                  <w:sz w:val="20"/>
                  <w:szCs w:val="20"/>
                </w:rPr>
                <w:t>e-Based Incentive Compensation Plan. Filed as Appendix A to the Company’s 2016 Proxy Statement dated March 16, 2016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w:t>
            </w:r>
            <w:r>
              <w:rPr>
                <w:sz w:val="20"/>
                <w:szCs w:val="20"/>
              </w:rPr>
              <w:t>6</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6" w:history="1">
              <w:r>
                <w:rPr>
                  <w:rStyle w:val="a4"/>
                  <w:sz w:val="20"/>
                  <w:szCs w:val="20"/>
                </w:rPr>
                <w:t>Note Purchase Agreement, dated as of November 3, 2015, by and among Public Storage and the signatories thereto. Filed with Registrant’s Current Re</w:t>
              </w:r>
              <w:r>
                <w:rPr>
                  <w:rStyle w:val="a4"/>
                  <w:sz w:val="20"/>
                  <w:szCs w:val="20"/>
                </w:rPr>
                <w:t>port on Form 8-K dated November 3, 2015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w:t>
            </w:r>
            <w:r>
              <w:rPr>
                <w:sz w:val="20"/>
                <w:szCs w:val="20"/>
              </w:rPr>
              <w:t>7</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7" w:history="1">
              <w:r>
                <w:rPr>
                  <w:rStyle w:val="a4"/>
                  <w:sz w:val="20"/>
                  <w:szCs w:val="20"/>
                </w:rPr>
                <w:t>Note Purchase Agreement, dated as of April 12, 2016, by and am</w:t>
              </w:r>
              <w:r>
                <w:rPr>
                  <w:rStyle w:val="a4"/>
                  <w:sz w:val="20"/>
                  <w:szCs w:val="20"/>
                </w:rPr>
                <w:t>ong Public Storage and the signatories thereto. Filed with Registrant’s Current Report on Form 8-K dated April 12, 2016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w:t>
            </w:r>
            <w:r>
              <w:rPr>
                <w:sz w:val="20"/>
                <w:szCs w:val="20"/>
              </w:rPr>
              <w:t>8</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8" w:history="1">
              <w:r>
                <w:rPr>
                  <w:rStyle w:val="a4"/>
                  <w:sz w:val="20"/>
                  <w:szCs w:val="20"/>
                </w:rPr>
                <w:t>Indenture, dated as of September 18, 2017, between Public Storage and Wells Fargo Bank, National Association, as trustee. Filed as Exhibit 4.1 to the Company’s Current Report on Form 8-K dated September 18, 2017 and incorporated herein by refere</w:t>
              </w:r>
              <w:r>
                <w:rPr>
                  <w:rStyle w:val="a4"/>
                  <w:sz w:val="20"/>
                  <w:szCs w:val="20"/>
                </w:rPr>
                <w:t>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w:t>
            </w:r>
            <w:r>
              <w:rPr>
                <w:sz w:val="20"/>
                <w:szCs w:val="20"/>
              </w:rPr>
              <w:t>9</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39" w:history="1">
              <w:r>
                <w:rPr>
                  <w:rStyle w:val="a4"/>
                  <w:sz w:val="20"/>
                  <w:szCs w:val="20"/>
                </w:rPr>
                <w:t>First Supplemental Indenture, dated as of September 18, 2017, between Public Storage and Wells Fargo Bank, National Association, as trustee, i</w:t>
              </w:r>
              <w:r>
                <w:rPr>
                  <w:rStyle w:val="a4"/>
                  <w:sz w:val="20"/>
                  <w:szCs w:val="20"/>
                </w:rPr>
                <w:t>ncluding the form of Global Note representing the 2022 Notes and the form of Global Note representing the 2027 Notes. Filed as Exhibit 4.2 to the Company’s Current Report on Form 8-K dated September 18, 2017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10.2</w:t>
            </w:r>
            <w:r>
              <w:rPr>
                <w:sz w:val="20"/>
                <w:szCs w:val="20"/>
              </w:rPr>
              <w:t>0</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0" w:history="1">
              <w:r>
                <w:rPr>
                  <w:rStyle w:val="a4"/>
                  <w:sz w:val="20"/>
                  <w:szCs w:val="20"/>
                </w:rPr>
                <w:t>Second Supplemental Indenture, dated as of April 12, 2019, between Public Storage and Wells Fargo Bank, National Association, as trustee, including the</w:t>
              </w:r>
              <w:r>
                <w:rPr>
                  <w:rStyle w:val="a4"/>
                  <w:sz w:val="20"/>
                  <w:szCs w:val="20"/>
                </w:rPr>
                <w:t xml:space="preserve"> form of Global Note representing the 2029 Notes. Filed as Exhibit 4.2 to the Company’s Current Report on Form 8-K dated April 12, 2019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10.2</w:t>
            </w:r>
            <w:r>
              <w:rPr>
                <w:sz w:val="20"/>
                <w:szCs w:val="20"/>
              </w:rPr>
              <w:t>1</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1" w:history="1">
              <w:r>
                <w:rPr>
                  <w:rStyle w:val="a4"/>
                  <w:sz w:val="20"/>
                  <w:szCs w:val="20"/>
                </w:rPr>
                <w:t>Third Supplemental Indenture, dated as of January 24, 2020, between Public Storage and Wells Fargo Bank, National Association, as trustee. Filed as Exhibit 4.2 to the Company’s Current Report on Form 8-K dated January 24, 2020 an</w:t>
              </w:r>
              <w:r>
                <w:rPr>
                  <w:rStyle w:val="a4"/>
                  <w:sz w:val="20"/>
                  <w:szCs w:val="20"/>
                </w:rPr>
                <w:t>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10.2</w:t>
            </w:r>
            <w:r>
              <w:rPr>
                <w:sz w:val="20"/>
                <w:szCs w:val="20"/>
              </w:rPr>
              <w:t>2</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2" w:history="1">
              <w:r>
                <w:rPr>
                  <w:rStyle w:val="a4"/>
                  <w:sz w:val="20"/>
                  <w:szCs w:val="20"/>
                </w:rPr>
                <w:t>Amendment to Amended Agreement of Limited Partnership of PS Business Parks, L.P. to Authorize Special Al</w:t>
              </w:r>
              <w:r>
                <w:rPr>
                  <w:rStyle w:val="a4"/>
                  <w:sz w:val="20"/>
                  <w:szCs w:val="20"/>
                </w:rPr>
                <w:t>locations, dated as of January 1, 2017. Filed as Exhibit 10.1 to the Company’s Quarterly Report on Form 10-Q for the quarterly period ended March 31, 2018 (SEC File No. 001-33519)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10.23</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3" w:history="1">
              <w:r>
                <w:rPr>
                  <w:rStyle w:val="a4"/>
                  <w:sz w:val="20"/>
                  <w:szCs w:val="20"/>
                </w:rPr>
                <w:t>Form of 2016 Plan Restricted Stock Unit Agreement (2018). Filed as Exhibit 10.25 to the Company’s Annual Report on Form 10-K for the year ended December 31, 2018 and incorporat</w:t>
              </w:r>
              <w:r>
                <w:rPr>
                  <w:rStyle w:val="a4"/>
                  <w:sz w:val="20"/>
                  <w:szCs w:val="20"/>
                </w:rPr>
                <w: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10.24</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4" w:history="1">
              <w:r>
                <w:rPr>
                  <w:rStyle w:val="a4"/>
                  <w:sz w:val="20"/>
                  <w:szCs w:val="20"/>
                </w:rPr>
                <w:t xml:space="preserve">Form of 2016 Plan Restricted Stock Unit Agreement – </w:t>
              </w:r>
              <w:r>
                <w:rPr>
                  <w:rStyle w:val="a4"/>
                  <w:sz w:val="20"/>
                  <w:szCs w:val="20"/>
                </w:rPr>
                <w:t>deferral of receipt of shares (2018). Filed as Exhibit 10.26 to the Company’s Annual Report on Form 10-K for the year ended December 31, 2018 and incorporated herein by reference</w:t>
              </w:r>
              <w:r>
                <w:rPr>
                  <w:rStyle w:val="a4"/>
                  <w:sz w:val="20"/>
                  <w:szCs w:val="20"/>
                </w:rPr>
                <w:t>.</w:t>
              </w:r>
            </w:hyperlink>
          </w:p>
        </w:tc>
      </w:tr>
      <w:tr w:rsidR="00000000">
        <w:trPr>
          <w:divId w:val="199394514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661202187"/>
        <w:rPr>
          <w:sz w:val="20"/>
          <w:szCs w:val="20"/>
        </w:rPr>
      </w:pPr>
      <w:r>
        <w:rPr>
          <w:rStyle w:val="ctheaderfooterpage"/>
          <w:sz w:val="20"/>
          <w:szCs w:val="20"/>
        </w:rPr>
        <w:t>6</w:t>
      </w:r>
      <w:r>
        <w:rPr>
          <w:rStyle w:val="ctheaderfooterpage"/>
          <w:sz w:val="20"/>
          <w:szCs w:val="20"/>
        </w:rPr>
        <w:t>7</w:t>
      </w:r>
    </w:p>
    <w:p w:rsidR="00000000" w:rsidRDefault="00865332">
      <w:pPr>
        <w:spacing w:before="360" w:after="360"/>
        <w:divId w:val="908923435"/>
        <w:rPr>
          <w:rFonts w:eastAsia="Times New Roman"/>
        </w:rPr>
      </w:pPr>
      <w:r>
        <w:rPr>
          <w:rFonts w:eastAsia="Times New Roman"/>
        </w:rPr>
        <w:pict>
          <v:rect id="_x0000_i1091" style="width:0;height:1.5pt" o:hralign="center" o:hrstd="t" o:hr="t" fillcolor="#a0a0a0" stroked="f"/>
        </w:pict>
      </w:r>
    </w:p>
    <w:tbl>
      <w:tblPr>
        <w:tblW w:w="5250" w:type="pct"/>
        <w:tblCellMar>
          <w:top w:w="15" w:type="dxa"/>
          <w:left w:w="15" w:type="dxa"/>
          <w:bottom w:w="15" w:type="dxa"/>
          <w:right w:w="15" w:type="dxa"/>
        </w:tblCellMar>
        <w:tblLook w:val="04A0" w:firstRow="1" w:lastRow="0" w:firstColumn="1" w:lastColumn="0" w:noHBand="0" w:noVBand="1"/>
      </w:tblPr>
      <w:tblGrid>
        <w:gridCol w:w="1169"/>
        <w:gridCol w:w="7552"/>
      </w:tblGrid>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10.25</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5" w:history="1">
              <w:r>
                <w:rPr>
                  <w:rStyle w:val="a4"/>
                  <w:sz w:val="20"/>
                  <w:szCs w:val="20"/>
                </w:rPr>
                <w:t>Form of 2016 Plan Non-Qualified Stock Option Agreement (2018). Filed as Exhibit 10.27 to the Company’s Ann</w:t>
              </w:r>
              <w:r>
                <w:rPr>
                  <w:rStyle w:val="a4"/>
                  <w:sz w:val="20"/>
                  <w:szCs w:val="20"/>
                </w:rPr>
                <w:t>ual Report on Form 10-K for the year ended December 31, 2018 and incorporated herein by reference</w:t>
              </w:r>
              <w:r>
                <w:rPr>
                  <w:rStyle w:val="a4"/>
                  <w:sz w:val="20"/>
                  <w:szCs w:val="20"/>
                </w:rPr>
                <w:t>.</w:t>
              </w:r>
            </w:hyperlink>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10.26</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6" w:history="1">
              <w:r>
                <w:rPr>
                  <w:rStyle w:val="a4"/>
                  <w:sz w:val="20"/>
                  <w:szCs w:val="20"/>
                </w:rPr>
                <w:t>Form of 2016 Plan Trustee Non-Qualified Stock Option Agreement (2018). Filed as Exhibit 10.28 to the Company’s Annual Report on Form 10-K for the yea</w:t>
              </w:r>
              <w:r>
                <w:rPr>
                  <w:rStyle w:val="a4"/>
                  <w:sz w:val="20"/>
                  <w:szCs w:val="20"/>
                </w:rPr>
                <w:t>r ended December 31, 2018 and incorporated herein by reference</w:t>
              </w:r>
              <w:r>
                <w:rPr>
                  <w:rStyle w:val="a4"/>
                  <w:sz w:val="20"/>
                  <w:szCs w:val="20"/>
                </w:rPr>
                <w:t>.</w:t>
              </w:r>
            </w:hyperlink>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10.27</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7" w:history="1">
              <w:r>
                <w:rPr>
                  <w:rStyle w:val="a4"/>
                  <w:sz w:val="20"/>
                  <w:szCs w:val="20"/>
                </w:rPr>
                <w:t>Form of 2016 Plan Trustee Deferred Stock Unit Agreement (2018). Filed as E</w:t>
              </w:r>
              <w:r>
                <w:rPr>
                  <w:rStyle w:val="a4"/>
                  <w:sz w:val="20"/>
                  <w:szCs w:val="20"/>
                </w:rPr>
                <w:t>xhibit 10.29 to the Company’s Annual Report on Form 10-K for the year ended December 31, 2018 and incorporated herein by reference</w:t>
              </w:r>
              <w:r>
                <w:rPr>
                  <w:rStyle w:val="a4"/>
                  <w:sz w:val="20"/>
                  <w:szCs w:val="20"/>
                </w:rPr>
                <w:t>.</w:t>
              </w:r>
            </w:hyperlink>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433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10.28</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8" w:history="1">
              <w:r>
                <w:rPr>
                  <w:rStyle w:val="a4"/>
                  <w:sz w:val="20"/>
                  <w:szCs w:val="20"/>
                </w:rPr>
                <w:t>Form o</w:t>
              </w:r>
              <w:r>
                <w:rPr>
                  <w:rStyle w:val="a4"/>
                  <w:sz w:val="20"/>
                  <w:szCs w:val="20"/>
                </w:rPr>
                <w:t>f 2016 Plan Executive Restricted Stock Unit Agreement (2018). Filed as Exhibit 10.30 to the Company’s Annual Report on Form 10-K for the year ended December 31, 2018 and incorporated herein by reference</w:t>
              </w:r>
              <w:r>
                <w:rPr>
                  <w:rStyle w:val="a4"/>
                  <w:sz w:val="20"/>
                  <w:szCs w:val="20"/>
                </w:rPr>
                <w:t>.</w:t>
              </w:r>
            </w:hyperlink>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2</w:t>
            </w:r>
            <w:r>
              <w:rPr>
                <w:sz w:val="20"/>
                <w:szCs w:val="20"/>
              </w:rPr>
              <w:t>1</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49" w:history="1">
              <w:r>
                <w:rPr>
                  <w:rStyle w:val="a4"/>
                  <w:sz w:val="20"/>
                  <w:szCs w:val="20"/>
                </w:rPr>
                <w:t>Listing of</w:t>
              </w:r>
              <w:r>
                <w:rPr>
                  <w:rStyle w:val="a4"/>
                  <w:sz w:val="20"/>
                  <w:szCs w:val="20"/>
                </w:rPr>
                <w:t xml:space="preserve"> Subsidiaries. Filed herewith</w:t>
              </w:r>
              <w:r>
                <w:rPr>
                  <w:rStyle w:val="a4"/>
                  <w:sz w:val="20"/>
                  <w:szCs w:val="20"/>
                </w:rPr>
                <w:t>.</w:t>
              </w:r>
            </w:hyperlink>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23.</w:t>
            </w:r>
            <w:r>
              <w:rPr>
                <w:sz w:val="20"/>
                <w:szCs w:val="20"/>
              </w:rPr>
              <w:t>1</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50" w:history="1">
              <w:r>
                <w:rPr>
                  <w:rStyle w:val="a4"/>
                  <w:sz w:val="20"/>
                  <w:szCs w:val="20"/>
                </w:rPr>
                <w:t>Consent of Ernst &amp; Young LLP. Filed herewith</w:t>
              </w:r>
              <w:r>
                <w:rPr>
                  <w:rStyle w:val="a4"/>
                  <w:sz w:val="20"/>
                  <w:szCs w:val="20"/>
                </w:rPr>
                <w:t>.</w:t>
              </w:r>
            </w:hyperlink>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31.</w:t>
            </w:r>
            <w:r>
              <w:rPr>
                <w:sz w:val="20"/>
                <w:szCs w:val="20"/>
              </w:rPr>
              <w:t>1</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51" w:history="1">
              <w:r>
                <w:rPr>
                  <w:rStyle w:val="a4"/>
                  <w:sz w:val="20"/>
                  <w:szCs w:val="20"/>
                </w:rPr>
                <w:t>Rule 13a – 14(a) Certification. Filed herewith</w:t>
              </w:r>
              <w:r>
                <w:rPr>
                  <w:rStyle w:val="a4"/>
                  <w:sz w:val="20"/>
                  <w:szCs w:val="20"/>
                </w:rPr>
                <w:t>.</w:t>
              </w:r>
            </w:hyperlink>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31.</w:t>
            </w:r>
            <w:r>
              <w:rPr>
                <w:sz w:val="20"/>
                <w:szCs w:val="20"/>
              </w:rPr>
              <w:t>2</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52" w:history="1">
              <w:r>
                <w:rPr>
                  <w:rStyle w:val="a4"/>
                  <w:sz w:val="20"/>
                  <w:szCs w:val="20"/>
                </w:rPr>
                <w:t>Rule 13a – 14(a) Certification. Filed herewith</w:t>
              </w:r>
              <w:r>
                <w:rPr>
                  <w:rStyle w:val="a4"/>
                  <w:sz w:val="20"/>
                  <w:szCs w:val="20"/>
                </w:rPr>
                <w:t>.</w:t>
              </w:r>
            </w:hyperlink>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3</w:t>
            </w:r>
            <w:r>
              <w:rPr>
                <w:sz w:val="20"/>
                <w:szCs w:val="20"/>
              </w:rPr>
              <w:t>2</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hyperlink r:id="rId53" w:history="1">
              <w:r>
                <w:rPr>
                  <w:rStyle w:val="a4"/>
                  <w:sz w:val="20"/>
                  <w:szCs w:val="20"/>
                </w:rPr>
                <w:t>Section 1350 Certifications. Filed herewith</w:t>
              </w:r>
              <w:r>
                <w:rPr>
                  <w:rStyle w:val="a4"/>
                  <w:sz w:val="20"/>
                  <w:szCs w:val="20"/>
                </w:rPr>
                <w:t>.</w:t>
              </w:r>
            </w:hyperlink>
            <w:r>
              <w:rPr>
                <w:color w:val="0000FF"/>
                <w:sz w:val="20"/>
                <w:szCs w:val="20"/>
              </w:rPr>
              <w:t xml:space="preserve"> </w:t>
            </w: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 .IN</w:t>
            </w:r>
            <w:r>
              <w:rPr>
                <w:sz w:val="20"/>
                <w:szCs w:val="20"/>
              </w:rPr>
              <w:t>S</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color w:val="000000"/>
                <w:sz w:val="20"/>
                <w:szCs w:val="20"/>
              </w:rPr>
              <w:t>Inline XBRL Instance Document. Filed herewith</w:t>
            </w:r>
            <w:r>
              <w:rPr>
                <w:color w:val="000000"/>
                <w:sz w:val="20"/>
                <w:szCs w:val="20"/>
              </w:rPr>
              <w:t>.</w:t>
            </w: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 .SC</w:t>
            </w:r>
            <w:r>
              <w:rPr>
                <w:sz w:val="20"/>
                <w:szCs w:val="20"/>
              </w:rPr>
              <w:t>H</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color w:val="000000"/>
                <w:sz w:val="20"/>
                <w:szCs w:val="20"/>
              </w:rPr>
              <w:t>Inline XBRL T</w:t>
            </w:r>
            <w:r>
              <w:rPr>
                <w:color w:val="000000"/>
                <w:sz w:val="20"/>
                <w:szCs w:val="20"/>
              </w:rPr>
              <w:t>axonomy Extension Schema. Filed herewith</w:t>
            </w:r>
            <w:r>
              <w:rPr>
                <w:color w:val="000000"/>
                <w:sz w:val="20"/>
                <w:szCs w:val="20"/>
              </w:rPr>
              <w:t>.</w:t>
            </w: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 .CA</w:t>
            </w:r>
            <w:r>
              <w:rPr>
                <w:sz w:val="20"/>
                <w:szCs w:val="20"/>
              </w:rPr>
              <w:t>L</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color w:val="000000"/>
                <w:sz w:val="20"/>
                <w:szCs w:val="20"/>
              </w:rPr>
              <w:t>Inline XBRL Taxonomy Extension Calculation Linkbase. Filed herewith.</w:t>
            </w:r>
            <w:r>
              <w:rPr>
                <w:color w:val="000000"/>
                <w:sz w:val="20"/>
                <w:szCs w:val="20"/>
              </w:rPr>
              <w:t xml:space="preserve"> </w:t>
            </w: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 .DE</w:t>
            </w:r>
            <w:r>
              <w:rPr>
                <w:sz w:val="20"/>
                <w:szCs w:val="20"/>
              </w:rPr>
              <w:t>F</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color w:val="000000"/>
                <w:sz w:val="20"/>
                <w:szCs w:val="20"/>
              </w:rPr>
              <w:t>Inline XBRL Taxonomy Extension Definition Linkbase. Filed herewith</w:t>
            </w:r>
            <w:r>
              <w:rPr>
                <w:color w:val="000000"/>
                <w:sz w:val="20"/>
                <w:szCs w:val="20"/>
              </w:rPr>
              <w:t>.</w:t>
            </w: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 .LA</w:t>
            </w:r>
            <w:r>
              <w:rPr>
                <w:sz w:val="20"/>
                <w:szCs w:val="20"/>
              </w:rPr>
              <w:t>B</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color w:val="000000"/>
                <w:sz w:val="20"/>
                <w:szCs w:val="20"/>
              </w:rPr>
              <w:t>Inline XBRL Taxonomy Extension Label Linkbase. Filed herewith</w:t>
            </w:r>
            <w:r>
              <w:rPr>
                <w:color w:val="000000"/>
                <w:sz w:val="20"/>
                <w:szCs w:val="20"/>
              </w:rPr>
              <w:t>.</w:t>
            </w: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101 .PR</w:t>
            </w:r>
            <w:r>
              <w:rPr>
                <w:sz w:val="20"/>
                <w:szCs w:val="20"/>
              </w:rPr>
              <w:t>E</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color w:val="000000"/>
                <w:sz w:val="20"/>
                <w:szCs w:val="20"/>
              </w:rPr>
              <w:t>Inline XBRL Taxonomy Extension Presentation Link. Filed herewith</w:t>
            </w:r>
            <w:r>
              <w:rPr>
                <w:color w:val="000000"/>
                <w:sz w:val="20"/>
                <w:szCs w:val="20"/>
              </w:rPr>
              <w:t>.</w:t>
            </w: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10</w:t>
            </w:r>
            <w:r>
              <w:rPr>
                <w:sz w:val="20"/>
                <w:szCs w:val="20"/>
              </w:rPr>
              <w:t>4</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color w:val="000000"/>
                <w:sz w:val="20"/>
                <w:szCs w:val="20"/>
              </w:rPr>
              <w:t>Cover Page Interactive Data File (formatted as inline XBRL and contained in Exhibit 101</w:t>
            </w:r>
            <w:r>
              <w:rPr>
                <w:color w:val="000000"/>
                <w:sz w:val="20"/>
                <w:szCs w:val="20"/>
              </w:rPr>
              <w:t>)</w:t>
            </w: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sz w:val="20"/>
                <w:szCs w:val="20"/>
              </w:rPr>
              <w:t>_ (1</w:t>
            </w: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color w:val="000000"/>
                <w:sz w:val="20"/>
                <w:szCs w:val="20"/>
              </w:rPr>
              <w:t>SEC File No. 001-33519 unless otherwise indicated</w:t>
            </w:r>
            <w:r>
              <w:rPr>
                <w:color w:val="000000"/>
                <w:sz w:val="20"/>
                <w:szCs w:val="20"/>
              </w:rPr>
              <w:t>.</w:t>
            </w:r>
          </w:p>
        </w:tc>
      </w:tr>
      <w:tr w:rsidR="00000000">
        <w:trPr>
          <w:divId w:val="732506859"/>
        </w:trPr>
        <w:tc>
          <w:tcPr>
            <w:tcW w:w="67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4330" w:type="pct"/>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jc w:val="both"/>
              <w:rPr>
                <w:sz w:val="20"/>
                <w:szCs w:val="20"/>
              </w:rPr>
            </w:pPr>
            <w:r>
              <w:rPr>
                <w:color w:val="000000"/>
                <w:sz w:val="20"/>
                <w:szCs w:val="20"/>
              </w:rPr>
              <w:t>Denotes management compensatory plan agreement or arrangement</w:t>
            </w:r>
            <w:r>
              <w:rPr>
                <w:color w:val="000000"/>
                <w:sz w:val="20"/>
                <w:szCs w:val="20"/>
              </w:rPr>
              <w:t>.</w:t>
            </w:r>
          </w:p>
        </w:tc>
      </w:tr>
    </w:tbl>
    <w:p w:rsidR="00000000" w:rsidRDefault="00865332">
      <w:pPr>
        <w:jc w:val="center"/>
        <w:divId w:val="732506859"/>
        <w:rPr>
          <w:rFonts w:eastAsia="Times New Roman"/>
          <w:vanish/>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8"/>
        <w:gridCol w:w="6301"/>
        <w:gridCol w:w="817"/>
      </w:tblGrid>
      <w:tr w:rsidR="00000000">
        <w:trPr>
          <w:divId w:val="732506859"/>
          <w:trHeight w:val="14"/>
          <w:jc w:val="center"/>
        </w:trPr>
        <w:tc>
          <w:tcPr>
            <w:tcW w:w="1441"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rPr>
            </w:pPr>
          </w:p>
        </w:tc>
        <w:tc>
          <w:tcPr>
            <w:tcW w:w="7649"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990"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76" w:lineRule="auto"/>
        <w:divId w:val="732506859"/>
        <w:rPr>
          <w:sz w:val="20"/>
          <w:szCs w:val="20"/>
        </w:rPr>
      </w:pPr>
      <w:r>
        <w:rPr>
          <w:sz w:val="20"/>
          <w:szCs w:val="20"/>
          <w:u w:val="single"/>
        </w:rPr>
        <w:br/>
      </w:r>
      <w:r>
        <w:rPr>
          <w:sz w:val="20"/>
          <w:szCs w:val="20"/>
          <w:u w:val="single"/>
        </w:rPr>
        <w:t>‎</w:t>
      </w:r>
      <w:r>
        <w:rPr>
          <w:sz w:val="20"/>
          <w:szCs w:val="20"/>
        </w:rPr>
        <w:t xml:space="preserve"> </w:t>
      </w:r>
    </w:p>
    <w:p w:rsidR="00000000" w:rsidRDefault="00865332">
      <w:pPr>
        <w:pStyle w:val="a3"/>
        <w:spacing w:before="0" w:beforeAutospacing="0" w:after="0" w:afterAutospacing="0" w:line="259" w:lineRule="auto"/>
        <w:jc w:val="center"/>
        <w:divId w:val="278727425"/>
        <w:rPr>
          <w:sz w:val="20"/>
          <w:szCs w:val="20"/>
        </w:rPr>
      </w:pPr>
      <w:r>
        <w:rPr>
          <w:rStyle w:val="ctheaderfooterpage"/>
          <w:sz w:val="20"/>
          <w:szCs w:val="20"/>
        </w:rPr>
        <w:t>6</w:t>
      </w:r>
      <w:r>
        <w:rPr>
          <w:rStyle w:val="ctheaderfooterpage"/>
          <w:sz w:val="20"/>
          <w:szCs w:val="20"/>
        </w:rPr>
        <w:t>8</w:t>
      </w:r>
    </w:p>
    <w:p w:rsidR="00000000" w:rsidRDefault="00865332">
      <w:pPr>
        <w:spacing w:before="360" w:after="360"/>
        <w:divId w:val="734622374"/>
        <w:rPr>
          <w:rFonts w:eastAsia="Times New Roman"/>
        </w:rPr>
      </w:pPr>
      <w:r>
        <w:rPr>
          <w:rFonts w:eastAsia="Times New Roman"/>
        </w:rPr>
        <w:pict>
          <v:rect id="_x0000_i1092" style="width:0;height:1.5pt" o:hralign="center" o:hrstd="t" o:hr="t" fillcolor="#a0a0a0" stroked="f"/>
        </w:pict>
      </w:r>
    </w:p>
    <w:p w:rsidR="00000000" w:rsidRDefault="00865332">
      <w:pPr>
        <w:pStyle w:val="a3"/>
        <w:spacing w:before="0" w:beforeAutospacing="0" w:after="0" w:afterAutospacing="0" w:line="259" w:lineRule="auto"/>
        <w:jc w:val="center"/>
        <w:divId w:val="1285503281"/>
        <w:rPr>
          <w:sz w:val="20"/>
          <w:szCs w:val="20"/>
        </w:rPr>
      </w:pPr>
      <w:r>
        <w:rPr>
          <w:sz w:val="20"/>
          <w:szCs w:val="20"/>
          <w:u w:val="single"/>
        </w:rPr>
        <w:t>SIGNATURE</w:t>
      </w:r>
      <w:r>
        <w:rPr>
          <w:sz w:val="20"/>
          <w:szCs w:val="20"/>
          <w:u w:val="single"/>
        </w:rPr>
        <w:t>S</w:t>
      </w:r>
    </w:p>
    <w:p w:rsidR="00000000" w:rsidRDefault="00865332">
      <w:pPr>
        <w:pStyle w:val="a3"/>
        <w:spacing w:before="0" w:beforeAutospacing="0" w:after="0" w:afterAutospacing="0" w:line="259" w:lineRule="auto"/>
        <w:ind w:firstLine="720"/>
        <w:jc w:val="both"/>
        <w:divId w:val="1285503281"/>
        <w:rPr>
          <w:sz w:val="20"/>
          <w:szCs w:val="20"/>
        </w:rPr>
      </w:pPr>
      <w:r>
        <w:rPr>
          <w:sz w:val="20"/>
          <w:szCs w:val="20"/>
        </w:rPr>
        <w:t xml:space="preserve">Pursuant to the requirements of Section 13 or 15(d) of the Securities Exchange Act of 1934, as amended, the Registrant has duly caused this report to be signed on its behalf by the undersigned, thereunto duly </w:t>
      </w:r>
      <w:r>
        <w:rPr>
          <w:sz w:val="20"/>
          <w:szCs w:val="20"/>
        </w:rPr>
        <w:t>authorized</w:t>
      </w:r>
      <w:r>
        <w:rPr>
          <w:sz w:val="20"/>
          <w:szCs w:val="2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967"/>
        <w:gridCol w:w="4339"/>
      </w:tblGrid>
      <w:tr w:rsidR="00000000">
        <w:trPr>
          <w:divId w:val="1285503281"/>
          <w:trHeight w:val="14"/>
          <w:jc w:val="center"/>
        </w:trPr>
        <w:tc>
          <w:tcPr>
            <w:tcW w:w="5040"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rPr>
                <w:sz w:val="2"/>
                <w:szCs w:val="2"/>
              </w:rPr>
            </w:pPr>
            <w:r>
              <w:rPr>
                <w:sz w:val="2"/>
                <w:szCs w:val="2"/>
              </w:rPr>
              <w:t>4</w:t>
            </w:r>
          </w:p>
        </w:tc>
        <w:tc>
          <w:tcPr>
            <w:tcW w:w="5040" w:type="dxa"/>
            <w:tcBorders>
              <w:top w:val="nil"/>
              <w:left w:val="nil"/>
              <w:bottom w:val="nil"/>
              <w:right w:val="nil"/>
            </w:tcBorders>
            <w:tcMar>
              <w:top w:w="0" w:type="dxa"/>
              <w:left w:w="0" w:type="dxa"/>
              <w:bottom w:w="0" w:type="dxa"/>
              <w:right w:w="0" w:type="dxa"/>
            </w:tcMar>
            <w:hideMark/>
          </w:tcPr>
          <w:p w:rsidR="00000000" w:rsidRDefault="00865332">
            <w:pPr>
              <w:rPr>
                <w:sz w:val="2"/>
                <w:szCs w:val="2"/>
              </w:rPr>
            </w:pPr>
          </w:p>
        </w:tc>
      </w:tr>
      <w:tr w:rsidR="00000000">
        <w:trPr>
          <w:divId w:val="1285503281"/>
          <w:jc w:val="center"/>
        </w:trPr>
        <w:tc>
          <w:tcPr>
            <w:tcW w:w="5040" w:type="dxa"/>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5040"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rPr>
                <w:sz w:val="20"/>
                <w:szCs w:val="20"/>
              </w:rPr>
            </w:pPr>
            <w:r>
              <w:rPr>
                <w:sz w:val="20"/>
                <w:szCs w:val="20"/>
              </w:rPr>
              <w:t>PUBLIC STORAG</w:t>
            </w:r>
            <w:r>
              <w:rPr>
                <w:sz w:val="20"/>
                <w:szCs w:val="20"/>
              </w:rPr>
              <w:t>E</w:t>
            </w:r>
          </w:p>
        </w:tc>
      </w:tr>
      <w:tr w:rsidR="00000000">
        <w:trPr>
          <w:divId w:val="1285503281"/>
          <w:jc w:val="center"/>
        </w:trPr>
        <w:tc>
          <w:tcPr>
            <w:tcW w:w="5040" w:type="dxa"/>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5040" w:type="dxa"/>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285503281"/>
          <w:jc w:val="center"/>
        </w:trPr>
        <w:tc>
          <w:tcPr>
            <w:tcW w:w="5040"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rPr>
                <w:sz w:val="20"/>
                <w:szCs w:val="20"/>
              </w:rPr>
            </w:pPr>
            <w:r>
              <w:rPr>
                <w:sz w:val="20"/>
                <w:szCs w:val="20"/>
              </w:rPr>
              <w:t>Date: February 25, 202</w:t>
            </w:r>
            <w:r>
              <w:rPr>
                <w:sz w:val="20"/>
                <w:szCs w:val="20"/>
              </w:rPr>
              <w:t>0</w:t>
            </w:r>
          </w:p>
        </w:tc>
        <w:tc>
          <w:tcPr>
            <w:tcW w:w="5040"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ind w:right="979"/>
              <w:rPr>
                <w:sz w:val="20"/>
                <w:szCs w:val="20"/>
              </w:rPr>
            </w:pPr>
            <w:r>
              <w:rPr>
                <w:sz w:val="20"/>
                <w:szCs w:val="20"/>
              </w:rPr>
              <w:t>By</w:t>
            </w:r>
            <w:r>
              <w:rPr>
                <w:sz w:val="20"/>
                <w:szCs w:val="20"/>
              </w:rPr>
              <w:t>:</w:t>
            </w:r>
            <w:r>
              <w:rPr>
                <w:sz w:val="20"/>
                <w:szCs w:val="20"/>
                <w:u w:val="single"/>
              </w:rPr>
              <w:t>/s/ Joseph D. Russell, Jr</w:t>
            </w:r>
            <w:r>
              <w:rPr>
                <w:sz w:val="20"/>
                <w:szCs w:val="20"/>
                <w:u w:val="single"/>
              </w:rPr>
              <w:t>.</w:t>
            </w:r>
          </w:p>
        </w:tc>
      </w:tr>
      <w:tr w:rsidR="00000000">
        <w:trPr>
          <w:divId w:val="1285503281"/>
          <w:jc w:val="center"/>
        </w:trPr>
        <w:tc>
          <w:tcPr>
            <w:tcW w:w="5040" w:type="dxa"/>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5040" w:type="dxa"/>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ind w:left="432" w:right="979"/>
              <w:rPr>
                <w:sz w:val="20"/>
                <w:szCs w:val="20"/>
              </w:rPr>
            </w:pPr>
            <w:r>
              <w:rPr>
                <w:sz w:val="20"/>
                <w:szCs w:val="20"/>
              </w:rPr>
              <w:t>Joseph D. Russell, Jr.</w:t>
            </w:r>
            <w:r>
              <w:rPr>
                <w:sz w:val="20"/>
                <w:szCs w:val="20"/>
              </w:rPr>
              <w:t>,</w:t>
            </w:r>
            <w:r>
              <w:rPr>
                <w:sz w:val="20"/>
                <w:szCs w:val="20"/>
              </w:rPr>
              <w:br/>
            </w:r>
            <w:r>
              <w:rPr>
                <w:sz w:val="20"/>
                <w:szCs w:val="20"/>
              </w:rPr>
              <w:t>‎</w:t>
            </w:r>
            <w:r>
              <w:rPr>
                <w:sz w:val="20"/>
                <w:szCs w:val="20"/>
              </w:rPr>
              <w:t>Chief Executive Officer, President and Trustee</w:t>
            </w:r>
            <w:r>
              <w:rPr>
                <w:sz w:val="20"/>
                <w:szCs w:val="20"/>
              </w:rPr>
              <w:t xml:space="preserve"> </w:t>
            </w:r>
          </w:p>
        </w:tc>
      </w:tr>
    </w:tbl>
    <w:p w:rsidR="00000000" w:rsidRDefault="00865332">
      <w:pPr>
        <w:pStyle w:val="a3"/>
        <w:spacing w:before="0" w:beforeAutospacing="0" w:after="0" w:afterAutospacing="0" w:line="259" w:lineRule="auto"/>
        <w:ind w:firstLine="720"/>
        <w:jc w:val="both"/>
        <w:divId w:val="1285503281"/>
        <w:rPr>
          <w:sz w:val="20"/>
          <w:szCs w:val="20"/>
        </w:rPr>
      </w:pPr>
      <w:r>
        <w:rPr>
          <w:sz w:val="20"/>
          <w:szCs w:val="20"/>
        </w:rPr>
        <w:t>Pursuant to the requirements of Section 13 or 15(d) of the Securities Exchange Act of 1934, this report has been signed below by the following persons on behalf of the Registrant and in the capacities and on the dates indicated</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2777"/>
        <w:gridCol w:w="2770"/>
        <w:gridCol w:w="2759"/>
      </w:tblGrid>
      <w:tr w:rsidR="00000000">
        <w:trPr>
          <w:divId w:val="1285503281"/>
          <w:trHeight w:val="14"/>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Signatur</w:t>
            </w:r>
            <w:r>
              <w:rPr>
                <w:color w:val="000000"/>
                <w:sz w:val="20"/>
                <w:szCs w:val="20"/>
              </w:rPr>
              <w:t>e</w:t>
            </w:r>
          </w:p>
        </w:tc>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Titl</w:t>
            </w:r>
            <w:r>
              <w:rPr>
                <w:color w:val="000000"/>
                <w:sz w:val="20"/>
                <w:szCs w:val="20"/>
              </w:rPr>
              <w:t>e</w:t>
            </w:r>
          </w:p>
        </w:tc>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Dat</w:t>
            </w:r>
            <w:r>
              <w:rPr>
                <w:color w:val="000000"/>
                <w:sz w:val="20"/>
                <w:szCs w:val="20"/>
              </w:rPr>
              <w:t>e</w:t>
            </w:r>
          </w:p>
        </w:tc>
      </w:tr>
      <w:tr w:rsidR="00000000">
        <w:trPr>
          <w:divId w:val="1285503281"/>
          <w:trHeight w:val="144"/>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Joseph D. Russell, Jr.</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Chief Executive Officer, President and Trustee (principal executive officer</w:t>
            </w:r>
            <w:r>
              <w:rPr>
                <w:color w:val="000000"/>
                <w:sz w:val="20"/>
                <w:szCs w:val="20"/>
              </w:rPr>
              <w:t>)</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285503281"/>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Joseph D. Russell, Jr</w:t>
            </w:r>
            <w:r>
              <w:rPr>
                <w:color w:val="000000"/>
                <w:sz w:val="20"/>
                <w:szCs w:val="20"/>
              </w:rPr>
              <w:t>.</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285503281"/>
          <w:trHeight w:val="216"/>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H. Thomas Boyle</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Chief Financial Officer (principal financial officer</w:t>
            </w:r>
            <w:r>
              <w:rPr>
                <w:color w:val="000000"/>
                <w:sz w:val="20"/>
                <w:szCs w:val="20"/>
              </w:rPr>
              <w:t>)</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285503281"/>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H. Thomas Boyl</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285503281"/>
          <w:trHeight w:val="216"/>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Ronald L. Havner, Jr.</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Chairman of the Boar</w:t>
            </w:r>
            <w:r>
              <w:rPr>
                <w:color w:val="000000"/>
                <w:sz w:val="20"/>
                <w:szCs w:val="20"/>
              </w:rPr>
              <w:t>d</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285503281"/>
          <w:trHeight w:val="302"/>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Ronald L. Havner, Jr</w:t>
            </w:r>
            <w:r>
              <w:rPr>
                <w:color w:val="000000"/>
                <w:sz w:val="20"/>
                <w:szCs w:val="20"/>
              </w:rPr>
              <w:t>.</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Tamara Hughes Gustavson</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285503281"/>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Tamara Hughes Gustavso</w:t>
            </w:r>
            <w:r>
              <w:rPr>
                <w:color w:val="000000"/>
                <w:sz w:val="20"/>
                <w:szCs w:val="20"/>
              </w:rPr>
              <w:t>n</w:t>
            </w: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285503281"/>
          <w:trHeight w:val="216"/>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Uri P. Harkham</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285503281"/>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Uri P. Harkha</w:t>
            </w:r>
            <w:r>
              <w:rPr>
                <w:color w:val="000000"/>
                <w:sz w:val="20"/>
                <w:szCs w:val="20"/>
              </w:rPr>
              <w:t>m</w:t>
            </w: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285503281"/>
          <w:trHeight w:val="216"/>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216"/>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Leslie Stone Heis</w:t>
            </w:r>
            <w:r>
              <w:rPr>
                <w:color w:val="000000"/>
                <w:sz w:val="20"/>
                <w:szCs w:val="20"/>
              </w:rPr>
              <w:t>z</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285503281"/>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Leslie Stone Heis</w:t>
            </w:r>
            <w:r>
              <w:rPr>
                <w:color w:val="000000"/>
                <w:sz w:val="20"/>
                <w:szCs w:val="20"/>
              </w:rPr>
              <w:t>z</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B. Wayne Hughes, Jr.</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285503281"/>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B. Wayne Hughes, Jr</w:t>
            </w:r>
            <w:r>
              <w:rPr>
                <w:color w:val="000000"/>
                <w:sz w:val="20"/>
                <w:szCs w:val="20"/>
              </w:rPr>
              <w:t>.</w:t>
            </w: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285503281"/>
          <w:trHeight w:val="216"/>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Avedick B. Poladian</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285503281"/>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Avedick B. Poladia</w:t>
            </w:r>
            <w:r>
              <w:rPr>
                <w:color w:val="000000"/>
                <w:sz w:val="20"/>
                <w:szCs w:val="20"/>
              </w:rPr>
              <w:t>n</w:t>
            </w: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285503281"/>
          <w:trHeight w:val="216"/>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Gary E. Pruitt</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285503281"/>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Gary E. Pruit</w:t>
            </w:r>
            <w:r>
              <w:rPr>
                <w:color w:val="000000"/>
                <w:sz w:val="20"/>
                <w:szCs w:val="20"/>
              </w:rPr>
              <w:t>t</w:t>
            </w: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285503281"/>
          <w:trHeight w:val="216"/>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285503281"/>
          <w:trHeight w:val="302"/>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654378414"/>
        <w:rPr>
          <w:sz w:val="20"/>
          <w:szCs w:val="20"/>
        </w:rPr>
      </w:pPr>
      <w:r>
        <w:rPr>
          <w:rStyle w:val="ctheaderfooterpage"/>
          <w:sz w:val="20"/>
          <w:szCs w:val="20"/>
        </w:rPr>
        <w:t>6</w:t>
      </w:r>
      <w:r>
        <w:rPr>
          <w:rStyle w:val="ctheaderfooterpage"/>
          <w:sz w:val="20"/>
          <w:szCs w:val="20"/>
        </w:rPr>
        <w:t>9</w:t>
      </w:r>
    </w:p>
    <w:p w:rsidR="00000000" w:rsidRDefault="00865332">
      <w:pPr>
        <w:spacing w:before="360" w:after="360"/>
        <w:divId w:val="1743870524"/>
        <w:rPr>
          <w:rFonts w:eastAsia="Times New Roman"/>
        </w:rPr>
      </w:pPr>
      <w:r>
        <w:rPr>
          <w:rFonts w:eastAsia="Times New Roman"/>
        </w:rPr>
        <w:pict>
          <v:rect id="_x0000_i1093"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2778"/>
        <w:gridCol w:w="2756"/>
        <w:gridCol w:w="2772"/>
      </w:tblGrid>
      <w:tr w:rsidR="00000000">
        <w:trPr>
          <w:divId w:val="1819225365"/>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Signatur</w:t>
            </w:r>
            <w:r>
              <w:rPr>
                <w:color w:val="000000"/>
                <w:sz w:val="20"/>
                <w:szCs w:val="20"/>
              </w:rPr>
              <w:t>e</w:t>
            </w:r>
          </w:p>
        </w:tc>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Titl</w:t>
            </w:r>
            <w:r>
              <w:rPr>
                <w:color w:val="000000"/>
                <w:sz w:val="20"/>
                <w:szCs w:val="20"/>
              </w:rPr>
              <w:t>e</w:t>
            </w:r>
          </w:p>
        </w:tc>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Dat</w:t>
            </w:r>
            <w:r>
              <w:rPr>
                <w:color w:val="000000"/>
                <w:sz w:val="20"/>
                <w:szCs w:val="20"/>
              </w:rPr>
              <w:t>e</w:t>
            </w:r>
          </w:p>
        </w:tc>
      </w:tr>
      <w:tr w:rsidR="00000000">
        <w:trPr>
          <w:divId w:val="1819225365"/>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19225365"/>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John Reyes</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819225365"/>
          <w:trHeight w:val="302"/>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John Reye</w:t>
            </w:r>
            <w:r>
              <w:rPr>
                <w:color w:val="000000"/>
                <w:sz w:val="20"/>
                <w:szCs w:val="20"/>
              </w:rPr>
              <w:t>s</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819225365"/>
          <w:trHeight w:val="302"/>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19225365"/>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Tariq M. Shaukat</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819225365"/>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Tariq M. Shauka</w:t>
            </w:r>
            <w:r>
              <w:rPr>
                <w:color w:val="000000"/>
                <w:sz w:val="20"/>
                <w:szCs w:val="20"/>
              </w:rPr>
              <w:t>t</w:t>
            </w: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819225365"/>
          <w:trHeight w:val="302"/>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19225365"/>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Ronald P. Spogli</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819225365"/>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Ronald P. Spogl</w:t>
            </w:r>
            <w:r>
              <w:rPr>
                <w:color w:val="000000"/>
                <w:sz w:val="20"/>
                <w:szCs w:val="20"/>
              </w:rPr>
              <w:t>i</w:t>
            </w: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r w:rsidR="00000000">
        <w:trPr>
          <w:divId w:val="1819225365"/>
          <w:trHeight w:val="216"/>
        </w:trPr>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819225365"/>
          <w:trHeight w:val="302"/>
        </w:trPr>
        <w:tc>
          <w:tcPr>
            <w:tcW w:w="3089" w:type="dxa"/>
            <w:tcBorders>
              <w:top w:val="nil"/>
              <w:left w:val="nil"/>
              <w:bottom w:val="single" w:sz="8" w:space="0" w:color="auto"/>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/s/ Daniel C. Staton</w:t>
            </w:r>
            <w:r>
              <w:rPr>
                <w:color w:val="000000"/>
                <w:sz w:val="20"/>
                <w:szCs w:val="20"/>
              </w:rPr>
              <w:t xml:space="preserve"> </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Truste</w:t>
            </w:r>
            <w:r>
              <w:rPr>
                <w:color w:val="000000"/>
                <w:sz w:val="20"/>
                <w:szCs w:val="20"/>
              </w:rPr>
              <w:t>e</w:t>
            </w:r>
          </w:p>
        </w:tc>
        <w:tc>
          <w:tcPr>
            <w:tcW w:w="3089"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color w:val="000000"/>
                <w:sz w:val="20"/>
                <w:szCs w:val="20"/>
              </w:rPr>
              <w:t>February 25, 202</w:t>
            </w:r>
            <w:r>
              <w:rPr>
                <w:color w:val="000000"/>
                <w:sz w:val="20"/>
                <w:szCs w:val="20"/>
              </w:rPr>
              <w:t>0</w:t>
            </w:r>
          </w:p>
        </w:tc>
      </w:tr>
      <w:tr w:rsidR="00000000">
        <w:trPr>
          <w:divId w:val="1819225365"/>
          <w:trHeight w:val="302"/>
        </w:trPr>
        <w:tc>
          <w:tcPr>
            <w:tcW w:w="3089" w:type="dxa"/>
            <w:tcBorders>
              <w:top w:val="single" w:sz="8" w:space="0" w:color="auto"/>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20"/>
                <w:szCs w:val="20"/>
              </w:rPr>
            </w:pPr>
            <w:r>
              <w:rPr>
                <w:color w:val="000000"/>
                <w:sz w:val="20"/>
                <w:szCs w:val="20"/>
              </w:rPr>
              <w:t>Daniel C. Stato</w:t>
            </w:r>
            <w:r>
              <w:rPr>
                <w:color w:val="000000"/>
                <w:sz w:val="20"/>
                <w:szCs w:val="20"/>
              </w:rPr>
              <w:t>n</w:t>
            </w: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sz w:val="20"/>
                <w:szCs w:val="20"/>
              </w:rPr>
            </w:pPr>
          </w:p>
        </w:tc>
        <w:tc>
          <w:tcPr>
            <w:tcW w:w="3089" w:type="dxa"/>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76" w:lineRule="auto"/>
        <w:divId w:val="1819225365"/>
        <w:rPr>
          <w:sz w:val="20"/>
          <w:szCs w:val="20"/>
        </w:rPr>
      </w:pPr>
      <w:r>
        <w:rPr>
          <w:sz w:val="20"/>
          <w:szCs w:val="20"/>
        </w:rPr>
        <w:br/>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45566964"/>
        <w:rPr>
          <w:sz w:val="20"/>
          <w:szCs w:val="20"/>
        </w:rPr>
      </w:pPr>
      <w:r>
        <w:rPr>
          <w:rStyle w:val="ctheaderfooterpage"/>
          <w:sz w:val="20"/>
          <w:szCs w:val="20"/>
        </w:rPr>
        <w:t>7</w:t>
      </w:r>
      <w:r>
        <w:rPr>
          <w:rStyle w:val="ctheaderfooterpage"/>
          <w:sz w:val="20"/>
          <w:szCs w:val="20"/>
        </w:rPr>
        <w:t>0</w:t>
      </w:r>
    </w:p>
    <w:p w:rsidR="00000000" w:rsidRDefault="00865332">
      <w:pPr>
        <w:spacing w:before="360" w:after="360"/>
        <w:divId w:val="1642226525"/>
        <w:rPr>
          <w:rFonts w:eastAsia="Times New Roman"/>
        </w:rPr>
      </w:pPr>
      <w:r>
        <w:rPr>
          <w:rFonts w:eastAsia="Times New Roman"/>
        </w:rPr>
        <w:pict>
          <v:rect id="_x0000_i1094" style="width:0;height:1.5pt" o:hralign="center" o:hrstd="t" o:hr="t" fillcolor="#a0a0a0" stroked="f"/>
        </w:pict>
      </w:r>
    </w:p>
    <w:p w:rsidR="00000000" w:rsidRDefault="00865332">
      <w:pPr>
        <w:pStyle w:val="a3"/>
        <w:spacing w:before="0" w:beforeAutospacing="0" w:after="0" w:afterAutospacing="0" w:line="259" w:lineRule="auto"/>
        <w:jc w:val="center"/>
        <w:divId w:val="1872065207"/>
        <w:rPr>
          <w:sz w:val="20"/>
          <w:szCs w:val="20"/>
        </w:rPr>
      </w:pPr>
      <w:r>
        <w:rPr>
          <w:sz w:val="20"/>
          <w:szCs w:val="20"/>
        </w:rPr>
        <w:t>PUBLIC STORAG</w:t>
      </w:r>
      <w:r>
        <w:rPr>
          <w:sz w:val="20"/>
          <w:szCs w:val="20"/>
        </w:rPr>
        <w:t>E</w:t>
      </w:r>
    </w:p>
    <w:p w:rsidR="00000000" w:rsidRDefault="00865332">
      <w:pPr>
        <w:pStyle w:val="a3"/>
        <w:spacing w:before="0" w:beforeAutospacing="0" w:after="0" w:afterAutospacing="0" w:line="259" w:lineRule="auto"/>
        <w:jc w:val="center"/>
        <w:divId w:val="1872065207"/>
        <w:rPr>
          <w:sz w:val="20"/>
          <w:szCs w:val="20"/>
        </w:rPr>
      </w:pPr>
      <w:r>
        <w:rPr>
          <w:sz w:val="20"/>
          <w:szCs w:val="20"/>
        </w:rPr>
        <w:t>INDEX TO FINANCIAL STATEMENT</w:t>
      </w:r>
      <w:r>
        <w:rPr>
          <w:sz w:val="20"/>
          <w:szCs w:val="20"/>
        </w:rPr>
        <w:t>S</w:t>
      </w:r>
    </w:p>
    <w:p w:rsidR="00000000" w:rsidRDefault="00865332">
      <w:pPr>
        <w:pStyle w:val="a3"/>
        <w:spacing w:before="0" w:beforeAutospacing="0" w:after="0" w:afterAutospacing="0" w:line="259" w:lineRule="auto"/>
        <w:jc w:val="center"/>
        <w:divId w:val="1872065207"/>
        <w:rPr>
          <w:sz w:val="20"/>
          <w:szCs w:val="20"/>
        </w:rPr>
      </w:pPr>
      <w:r>
        <w:rPr>
          <w:sz w:val="20"/>
          <w:szCs w:val="20"/>
        </w:rPr>
        <w:t>AND SCHEDULE</w:t>
      </w:r>
      <w:r>
        <w:rPr>
          <w:sz w:val="20"/>
          <w:szCs w:val="20"/>
        </w:rPr>
        <w:t>S</w:t>
      </w:r>
    </w:p>
    <w:p w:rsidR="00000000" w:rsidRDefault="00865332">
      <w:pPr>
        <w:pStyle w:val="a3"/>
        <w:spacing w:before="0" w:beforeAutospacing="0" w:after="0" w:afterAutospacing="0" w:line="259" w:lineRule="auto"/>
        <w:jc w:val="center"/>
        <w:divId w:val="1872065207"/>
        <w:rPr>
          <w:sz w:val="20"/>
          <w:szCs w:val="20"/>
        </w:rPr>
      </w:pPr>
      <w:r>
        <w:rPr>
          <w:sz w:val="20"/>
          <w:szCs w:val="20"/>
        </w:rPr>
        <w:t>(Item 15 (a)</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043"/>
        <w:gridCol w:w="1263"/>
      </w:tblGrid>
      <w:tr w:rsidR="00000000">
        <w:trPr>
          <w:divId w:val="1872065207"/>
          <w:trHeight w:val="14"/>
          <w:jc w:val="center"/>
        </w:trPr>
        <w:tc>
          <w:tcPr>
            <w:tcW w:w="4240" w:type="pct"/>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760" w:type="pct"/>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divId w:val="55321635"/>
              <w:rPr>
                <w:sz w:val="20"/>
                <w:szCs w:val="20"/>
              </w:rPr>
            </w:pPr>
            <w:r>
              <w:rPr>
                <w:sz w:val="20"/>
                <w:szCs w:val="20"/>
              </w:rPr>
              <w:t>Page Reference</w:t>
            </w:r>
            <w:r>
              <w:rPr>
                <w:sz w:val="20"/>
                <w:szCs w:val="20"/>
              </w:rPr>
              <w:t>s</w:t>
            </w: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sz w:val="20"/>
                <w:szCs w:val="20"/>
              </w:rPr>
              <w:t>Report of Independent Registered Public Accounting Fir</w:t>
            </w:r>
            <w:r>
              <w:rPr>
                <w:sz w:val="20"/>
                <w:szCs w:val="20"/>
              </w:rPr>
              <w:t>m</w:t>
            </w:r>
          </w:p>
        </w:tc>
        <w:tc>
          <w:tcPr>
            <w:tcW w:w="76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20"/>
                <w:szCs w:val="20"/>
              </w:rPr>
            </w:pPr>
            <w:r>
              <w:rPr>
                <w:sz w:val="20"/>
                <w:szCs w:val="20"/>
              </w:rPr>
              <w:t>F-1 – F-2</w:t>
            </w:r>
            <w:r>
              <w:rPr>
                <w:sz w:val="20"/>
                <w:szCs w:val="20"/>
              </w:rPr>
              <w:t xml:space="preserve"> </w:t>
            </w: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sz w:val="20"/>
                <w:szCs w:val="20"/>
              </w:rPr>
              <w:t>Balance sheets as of December 31, 2019 and 201</w:t>
            </w:r>
            <w:r>
              <w:rPr>
                <w:sz w:val="20"/>
                <w:szCs w:val="20"/>
              </w:rPr>
              <w:t>8</w:t>
            </w:r>
          </w:p>
        </w:tc>
        <w:tc>
          <w:tcPr>
            <w:tcW w:w="76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20"/>
                <w:szCs w:val="20"/>
              </w:rPr>
            </w:pPr>
            <w:r>
              <w:rPr>
                <w:sz w:val="20"/>
                <w:szCs w:val="20"/>
              </w:rPr>
              <w:t>F-</w:t>
            </w:r>
            <w:r>
              <w:rPr>
                <w:sz w:val="20"/>
                <w:szCs w:val="20"/>
              </w:rPr>
              <w:t>3</w:t>
            </w: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sz w:val="20"/>
                <w:szCs w:val="20"/>
              </w:rPr>
              <w:t>For the years ended December 31, 2019, 2018 and 2017</w:t>
            </w:r>
            <w:r>
              <w:rPr>
                <w:sz w:val="20"/>
                <w:szCs w:val="20"/>
              </w:rPr>
              <w:t>:</w:t>
            </w: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sz w:val="20"/>
                <w:szCs w:val="20"/>
              </w:rPr>
              <w:t>Statements of incom</w:t>
            </w:r>
            <w:r>
              <w:rPr>
                <w:sz w:val="20"/>
                <w:szCs w:val="20"/>
              </w:rPr>
              <w:t>e</w:t>
            </w:r>
          </w:p>
        </w:tc>
        <w:tc>
          <w:tcPr>
            <w:tcW w:w="76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20"/>
                <w:szCs w:val="20"/>
              </w:rPr>
            </w:pPr>
            <w:r>
              <w:rPr>
                <w:sz w:val="20"/>
                <w:szCs w:val="20"/>
              </w:rPr>
              <w:t>F-</w:t>
            </w:r>
            <w:r>
              <w:rPr>
                <w:sz w:val="20"/>
                <w:szCs w:val="20"/>
              </w:rPr>
              <w:t>4</w:t>
            </w: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sz w:val="20"/>
                <w:szCs w:val="20"/>
              </w:rPr>
              <w:t>Statements of comprehensive incom</w:t>
            </w:r>
            <w:r>
              <w:rPr>
                <w:sz w:val="20"/>
                <w:szCs w:val="20"/>
              </w:rPr>
              <w:t>e</w:t>
            </w:r>
          </w:p>
        </w:tc>
        <w:tc>
          <w:tcPr>
            <w:tcW w:w="76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20"/>
                <w:szCs w:val="20"/>
              </w:rPr>
            </w:pPr>
            <w:r>
              <w:rPr>
                <w:sz w:val="20"/>
                <w:szCs w:val="20"/>
              </w:rPr>
              <w:t>F-</w:t>
            </w:r>
            <w:r>
              <w:rPr>
                <w:sz w:val="20"/>
                <w:szCs w:val="20"/>
              </w:rPr>
              <w:t>5</w:t>
            </w: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sz w:val="20"/>
                <w:szCs w:val="20"/>
              </w:rPr>
              <w:t>Statements of equity</w:t>
            </w:r>
            <w:r>
              <w:rPr>
                <w:sz w:val="20"/>
                <w:szCs w:val="20"/>
              </w:rPr>
              <w:t xml:space="preserve"> </w:t>
            </w:r>
          </w:p>
        </w:tc>
        <w:tc>
          <w:tcPr>
            <w:tcW w:w="76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20"/>
                <w:szCs w:val="20"/>
              </w:rPr>
            </w:pPr>
            <w:r>
              <w:rPr>
                <w:sz w:val="20"/>
                <w:szCs w:val="20"/>
              </w:rPr>
              <w:t>F-6 – F-</w:t>
            </w:r>
            <w:r>
              <w:rPr>
                <w:sz w:val="20"/>
                <w:szCs w:val="20"/>
              </w:rPr>
              <w:t>7</w:t>
            </w: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sz w:val="20"/>
                <w:szCs w:val="20"/>
              </w:rPr>
              <w:t>Statements of cash flow</w:t>
            </w:r>
            <w:r>
              <w:rPr>
                <w:sz w:val="20"/>
                <w:szCs w:val="20"/>
              </w:rPr>
              <w:t>s</w:t>
            </w:r>
          </w:p>
        </w:tc>
        <w:tc>
          <w:tcPr>
            <w:tcW w:w="76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20"/>
                <w:szCs w:val="20"/>
              </w:rPr>
            </w:pPr>
            <w:r>
              <w:rPr>
                <w:sz w:val="20"/>
                <w:szCs w:val="20"/>
              </w:rPr>
              <w:t>F-8 – F-</w:t>
            </w:r>
            <w:r>
              <w:rPr>
                <w:sz w:val="20"/>
                <w:szCs w:val="20"/>
              </w:rPr>
              <w:t>9</w:t>
            </w: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sz w:val="20"/>
                <w:szCs w:val="20"/>
              </w:rPr>
              <w:t>Notes to financial statement</w:t>
            </w:r>
            <w:r>
              <w:rPr>
                <w:sz w:val="20"/>
                <w:szCs w:val="20"/>
              </w:rPr>
              <w:t>s</w:t>
            </w:r>
          </w:p>
        </w:tc>
        <w:tc>
          <w:tcPr>
            <w:tcW w:w="76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20"/>
                <w:szCs w:val="20"/>
              </w:rPr>
            </w:pPr>
            <w:r>
              <w:rPr>
                <w:sz w:val="20"/>
                <w:szCs w:val="20"/>
              </w:rPr>
              <w:t>F-10 – F-3</w:t>
            </w:r>
            <w:r>
              <w:rPr>
                <w:sz w:val="20"/>
                <w:szCs w:val="20"/>
              </w:rPr>
              <w:t>2</w:t>
            </w: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b/>
                <w:bCs/>
                <w:sz w:val="20"/>
                <w:szCs w:val="20"/>
              </w:rPr>
              <w:t>Schedule</w:t>
            </w:r>
            <w:r>
              <w:rPr>
                <w:b/>
                <w:bCs/>
                <w:sz w:val="20"/>
                <w:szCs w:val="20"/>
              </w:rPr>
              <w:t>:</w:t>
            </w: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76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872065207"/>
          <w:jc w:val="center"/>
        </w:trPr>
        <w:tc>
          <w:tcPr>
            <w:tcW w:w="424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both"/>
              <w:rPr>
                <w:sz w:val="20"/>
                <w:szCs w:val="20"/>
              </w:rPr>
            </w:pPr>
            <w:r>
              <w:rPr>
                <w:sz w:val="20"/>
                <w:szCs w:val="20"/>
              </w:rPr>
              <w:t>III – Real estate and accumulated depreciatio</w:t>
            </w:r>
            <w:r>
              <w:rPr>
                <w:sz w:val="20"/>
                <w:szCs w:val="20"/>
              </w:rPr>
              <w:t>n</w:t>
            </w:r>
          </w:p>
        </w:tc>
        <w:tc>
          <w:tcPr>
            <w:tcW w:w="76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20"/>
                <w:szCs w:val="20"/>
              </w:rPr>
            </w:pPr>
            <w:r>
              <w:rPr>
                <w:sz w:val="20"/>
                <w:szCs w:val="20"/>
              </w:rPr>
              <w:t>F-33 – F-3</w:t>
            </w:r>
            <w:r>
              <w:rPr>
                <w:sz w:val="20"/>
                <w:szCs w:val="20"/>
              </w:rPr>
              <w:t>5</w:t>
            </w:r>
          </w:p>
        </w:tc>
      </w:tr>
    </w:tbl>
    <w:p w:rsidR="00000000" w:rsidRDefault="00865332">
      <w:pPr>
        <w:pStyle w:val="a3"/>
        <w:spacing w:before="0" w:beforeAutospacing="0" w:after="0" w:afterAutospacing="0" w:line="259" w:lineRule="auto"/>
        <w:ind w:left="86"/>
        <w:jc w:val="both"/>
        <w:divId w:val="1872065207"/>
        <w:rPr>
          <w:sz w:val="20"/>
          <w:szCs w:val="20"/>
        </w:rPr>
      </w:pPr>
      <w:r>
        <w:rPr>
          <w:sz w:val="20"/>
          <w:szCs w:val="20"/>
        </w:rPr>
        <w:t>All other schedules have been omitted since the required information is not present or not present in amounts sufficient to require submission of the schedule, or because the information required is included in the financial statements or notes thereto</w:t>
      </w:r>
      <w:r>
        <w:rPr>
          <w:sz w:val="20"/>
          <w:szCs w:val="20"/>
        </w:rPr>
        <w:t>.</w:t>
      </w:r>
    </w:p>
    <w:p w:rsidR="00000000" w:rsidRDefault="00865332">
      <w:pPr>
        <w:pStyle w:val="a3"/>
        <w:spacing w:before="0" w:beforeAutospacing="0" w:after="0" w:afterAutospacing="0" w:line="259" w:lineRule="auto"/>
        <w:jc w:val="center"/>
        <w:divId w:val="1933196085"/>
        <w:rPr>
          <w:sz w:val="20"/>
          <w:szCs w:val="20"/>
        </w:rPr>
      </w:pPr>
      <w:r>
        <w:rPr>
          <w:rStyle w:val="ctheaderfooterpage"/>
          <w:sz w:val="20"/>
          <w:szCs w:val="20"/>
        </w:rPr>
        <w:t>7</w:t>
      </w:r>
      <w:r>
        <w:rPr>
          <w:rStyle w:val="ctheaderfooterpage"/>
          <w:sz w:val="20"/>
          <w:szCs w:val="20"/>
        </w:rPr>
        <w:t>1</w:t>
      </w:r>
    </w:p>
    <w:p w:rsidR="00000000" w:rsidRDefault="00865332">
      <w:pPr>
        <w:spacing w:before="360" w:after="360"/>
        <w:divId w:val="67768536"/>
        <w:rPr>
          <w:rFonts w:eastAsia="Times New Roman"/>
        </w:rPr>
      </w:pPr>
      <w:r>
        <w:rPr>
          <w:rFonts w:eastAsia="Times New Roman"/>
        </w:rPr>
        <w:pict>
          <v:rect id="_x0000_i1095" style="width:0;height:1.5pt" o:hralign="center" o:hrstd="t" o:hr="t" fillcolor="#a0a0a0" stroked="f"/>
        </w:pict>
      </w:r>
    </w:p>
    <w:p w:rsidR="00000000" w:rsidRDefault="00865332">
      <w:pPr>
        <w:pStyle w:val="a3"/>
        <w:spacing w:before="0" w:beforeAutospacing="0" w:after="0" w:afterAutospacing="0" w:line="276" w:lineRule="auto"/>
        <w:jc w:val="center"/>
        <w:divId w:val="695929149"/>
        <w:rPr>
          <w:sz w:val="20"/>
          <w:szCs w:val="20"/>
        </w:rPr>
      </w:pPr>
      <w:r>
        <w:rPr>
          <w:b/>
          <w:bCs/>
          <w:color w:val="000000"/>
          <w:sz w:val="20"/>
          <w:szCs w:val="20"/>
        </w:rPr>
        <w:t>Report of Independent Registered Public Accounting Fir</w:t>
      </w:r>
      <w:r>
        <w:rPr>
          <w:b/>
          <w:bCs/>
          <w:color w:val="000000"/>
          <w:sz w:val="20"/>
          <w:szCs w:val="20"/>
        </w:rPr>
        <w:t>m</w:t>
      </w:r>
    </w:p>
    <w:p w:rsidR="00000000" w:rsidRDefault="00865332">
      <w:pPr>
        <w:pStyle w:val="a3"/>
        <w:spacing w:before="0" w:beforeAutospacing="0" w:after="0" w:afterAutospacing="0" w:line="276" w:lineRule="auto"/>
        <w:divId w:val="695929149"/>
        <w:rPr>
          <w:sz w:val="20"/>
          <w:szCs w:val="20"/>
        </w:rPr>
      </w:pPr>
      <w:r>
        <w:rPr>
          <w:b/>
          <w:bCs/>
          <w:color w:val="000000"/>
          <w:sz w:val="20"/>
          <w:szCs w:val="20"/>
        </w:rPr>
        <w:t>To the Shareholders and the Board of Trustees of Public Storag</w:t>
      </w:r>
      <w:r>
        <w:rPr>
          <w:b/>
          <w:bCs/>
          <w:color w:val="000000"/>
          <w:sz w:val="20"/>
          <w:szCs w:val="20"/>
        </w:rPr>
        <w:t>e</w:t>
      </w:r>
    </w:p>
    <w:p w:rsidR="00000000" w:rsidRDefault="00865332">
      <w:pPr>
        <w:pStyle w:val="a3"/>
        <w:spacing w:before="0" w:beforeAutospacing="0" w:after="0" w:afterAutospacing="0" w:line="276" w:lineRule="auto"/>
        <w:divId w:val="695929149"/>
        <w:rPr>
          <w:sz w:val="20"/>
          <w:szCs w:val="20"/>
        </w:rPr>
      </w:pPr>
      <w:r>
        <w:rPr>
          <w:b/>
          <w:bCs/>
          <w:color w:val="000000"/>
          <w:sz w:val="20"/>
          <w:szCs w:val="20"/>
        </w:rPr>
        <w:t>Opinion on the Financial Statements</w:t>
      </w:r>
      <w:r>
        <w:rPr>
          <w:b/>
          <w:bCs/>
          <w:color w:val="000000"/>
          <w:sz w:val="20"/>
          <w:szCs w:val="20"/>
        </w:rPr>
        <w:t xml:space="preserve"> </w:t>
      </w:r>
    </w:p>
    <w:p w:rsidR="00000000" w:rsidRDefault="00865332">
      <w:pPr>
        <w:pStyle w:val="a3"/>
        <w:spacing w:before="0" w:beforeAutospacing="0" w:after="0" w:afterAutospacing="0" w:line="276" w:lineRule="auto"/>
        <w:divId w:val="695929149"/>
        <w:rPr>
          <w:sz w:val="20"/>
          <w:szCs w:val="20"/>
        </w:rPr>
      </w:pPr>
      <w:r>
        <w:rPr>
          <w:color w:val="000000"/>
          <w:sz w:val="20"/>
          <w:szCs w:val="20"/>
        </w:rPr>
        <w:t>We have audited the accompanying consolidated balance sheets of Public Storage (the Company) as of December 31, 2019 and 2018, and the related consolidated statements of income, comprehensive income, equity and cash flows for each of the three years in the</w:t>
      </w:r>
      <w:r>
        <w:rPr>
          <w:color w:val="000000"/>
          <w:sz w:val="20"/>
          <w:szCs w:val="20"/>
        </w:rPr>
        <w:t xml:space="preserve"> period ended December 31, 2019, and the related notes and financial statement schedule listed in the Index at Item 15(a) (collectively referred to as the “consolidated financial statements”). In our opinion, the consolidated financial statements referred </w:t>
      </w:r>
      <w:r>
        <w:rPr>
          <w:color w:val="000000"/>
          <w:sz w:val="20"/>
          <w:szCs w:val="20"/>
        </w:rPr>
        <w:t xml:space="preserve">to above present fairly, in all material respects, the consolidated financial position of the Company at December 31, 2019 and 2018, and the consolidated results of its operations and its cash flows for each of the three years in the period ended December </w:t>
      </w:r>
      <w:r>
        <w:rPr>
          <w:color w:val="000000"/>
          <w:sz w:val="20"/>
          <w:szCs w:val="20"/>
        </w:rPr>
        <w:t>31, 2019, in conformity with U.S. generally accepted accounting principles.</w:t>
      </w:r>
      <w:r>
        <w:rPr>
          <w:color w:val="000000"/>
          <w:sz w:val="20"/>
          <w:szCs w:val="20"/>
        </w:rPr>
        <w:t xml:space="preserve"> </w:t>
      </w:r>
    </w:p>
    <w:p w:rsidR="00000000" w:rsidRDefault="00865332">
      <w:pPr>
        <w:pStyle w:val="a3"/>
        <w:spacing w:before="0" w:beforeAutospacing="0" w:after="0" w:afterAutospacing="0" w:line="276" w:lineRule="auto"/>
        <w:divId w:val="695929149"/>
        <w:rPr>
          <w:sz w:val="20"/>
          <w:szCs w:val="20"/>
        </w:rPr>
      </w:pPr>
      <w:r>
        <w:rPr>
          <w:color w:val="000000"/>
          <w:sz w:val="20"/>
          <w:szCs w:val="20"/>
        </w:rPr>
        <w:t>We also have audited, in accordance with the standards of the Public Company Accounting Oversight Board (United States) (PCAOB), the Company’s internal control over financial repo</w:t>
      </w:r>
      <w:r>
        <w:rPr>
          <w:color w:val="000000"/>
          <w:sz w:val="20"/>
          <w:szCs w:val="20"/>
        </w:rPr>
        <w:t>rting as of December 31, 2019, based on criteria established in Internal Control-Integrated Framework issued by the Committee of Sponsoring Organizations of the Treadway Commission (2013 framework), and our report dated February 25, 2020 expressed an unqua</w:t>
      </w:r>
      <w:r>
        <w:rPr>
          <w:color w:val="000000"/>
          <w:sz w:val="20"/>
          <w:szCs w:val="20"/>
        </w:rPr>
        <w:t>lified opinion thereon</w:t>
      </w:r>
      <w:r>
        <w:rPr>
          <w:color w:val="000000"/>
          <w:sz w:val="20"/>
          <w:szCs w:val="20"/>
        </w:rPr>
        <w:t>.</w:t>
      </w:r>
    </w:p>
    <w:p w:rsidR="00000000" w:rsidRDefault="00865332">
      <w:pPr>
        <w:pStyle w:val="a3"/>
        <w:spacing w:before="0" w:beforeAutospacing="0" w:after="0" w:afterAutospacing="0" w:line="276" w:lineRule="auto"/>
        <w:divId w:val="695929149"/>
        <w:rPr>
          <w:sz w:val="20"/>
          <w:szCs w:val="20"/>
        </w:rPr>
      </w:pPr>
      <w:r>
        <w:rPr>
          <w:b/>
          <w:bCs/>
          <w:color w:val="000000"/>
          <w:sz w:val="20"/>
          <w:szCs w:val="20"/>
        </w:rPr>
        <w:t>Basis for Opinio</w:t>
      </w:r>
      <w:r>
        <w:rPr>
          <w:b/>
          <w:bCs/>
          <w:color w:val="000000"/>
          <w:sz w:val="20"/>
          <w:szCs w:val="20"/>
        </w:rPr>
        <w:t>n</w:t>
      </w:r>
    </w:p>
    <w:p w:rsidR="00000000" w:rsidRDefault="00865332">
      <w:pPr>
        <w:pStyle w:val="a3"/>
        <w:spacing w:before="0" w:beforeAutospacing="0" w:after="0" w:afterAutospacing="0" w:line="276" w:lineRule="auto"/>
        <w:divId w:val="695929149"/>
        <w:rPr>
          <w:sz w:val="20"/>
          <w:szCs w:val="20"/>
        </w:rPr>
      </w:pPr>
      <w:r>
        <w:rPr>
          <w:color w:val="000000"/>
          <w:sz w:val="20"/>
          <w:szCs w:val="20"/>
        </w:rPr>
        <w:t xml:space="preserve">These financial statements are the responsibility of the Company&amp;apos;s management. Our responsibility is to express an opinion on the Company’s financial statements based on our audits. We are a public accounting </w:t>
      </w:r>
      <w:r>
        <w:rPr>
          <w:color w:val="000000"/>
          <w:sz w:val="20"/>
          <w:szCs w:val="20"/>
        </w:rPr>
        <w:t>firm registered with the PCAOB and are required to be independent with respect to the Company in accordance with the U.S. federal securities laws and the applicable rules and regulations of the Securities and Exchange Commission and the PCAOB.</w:t>
      </w:r>
      <w:r>
        <w:rPr>
          <w:color w:val="000000"/>
          <w:sz w:val="20"/>
          <w:szCs w:val="20"/>
        </w:rPr>
        <w:t xml:space="preserve"> </w:t>
      </w:r>
    </w:p>
    <w:p w:rsidR="00000000" w:rsidRDefault="00865332">
      <w:pPr>
        <w:pStyle w:val="a3"/>
        <w:spacing w:before="0" w:beforeAutospacing="0" w:after="0" w:afterAutospacing="0" w:line="276" w:lineRule="auto"/>
        <w:divId w:val="695929149"/>
        <w:rPr>
          <w:sz w:val="20"/>
          <w:szCs w:val="20"/>
        </w:rPr>
      </w:pPr>
      <w:r>
        <w:rPr>
          <w:color w:val="000000"/>
          <w:sz w:val="20"/>
          <w:szCs w:val="20"/>
        </w:rPr>
        <w:t>We conducte</w:t>
      </w:r>
      <w:r>
        <w:rPr>
          <w:color w:val="000000"/>
          <w:sz w:val="20"/>
          <w:szCs w:val="20"/>
        </w:rPr>
        <w:t>d our audits in accordance with the standards of the PCAOB. Those standards require that we plan and perform the audit to obtain reasonable assurance about whether the financial statements are free of material misstatement, whether due to error or fraud. O</w:t>
      </w:r>
      <w:r>
        <w:rPr>
          <w:color w:val="000000"/>
          <w:sz w:val="20"/>
          <w:szCs w:val="20"/>
        </w:rPr>
        <w:t>ur audits included performing procedures to assess the risks of material misstatement of the financial statements, whether due to error or fraud, and performing procedures that respond to those risks. Such procedures include examining, on a test basis, evi</w:t>
      </w:r>
      <w:r>
        <w:rPr>
          <w:color w:val="000000"/>
          <w:sz w:val="20"/>
          <w:szCs w:val="20"/>
        </w:rPr>
        <w:t>dence regarding the amounts and disclosures in the financial statements. Our audits also included evaluating the accounting principles used and significant estimates made by management, as well as evaluating the overall presentation of the financial statem</w:t>
      </w:r>
      <w:r>
        <w:rPr>
          <w:color w:val="000000"/>
          <w:sz w:val="20"/>
          <w:szCs w:val="20"/>
        </w:rPr>
        <w:t>ents. We believe that our audits provide a reasonable basis for our opinion</w:t>
      </w:r>
      <w:r>
        <w:rPr>
          <w:color w:val="000000"/>
          <w:sz w:val="20"/>
          <w:szCs w:val="20"/>
        </w:rPr>
        <w:t>.</w:t>
      </w:r>
    </w:p>
    <w:p w:rsidR="00000000" w:rsidRDefault="00865332">
      <w:pPr>
        <w:pStyle w:val="a3"/>
        <w:spacing w:before="0" w:beforeAutospacing="0" w:after="0" w:afterAutospacing="0" w:line="276" w:lineRule="auto"/>
        <w:divId w:val="695929149"/>
        <w:rPr>
          <w:sz w:val="20"/>
          <w:szCs w:val="20"/>
        </w:rPr>
      </w:pPr>
      <w:r>
        <w:rPr>
          <w:b/>
          <w:bCs/>
          <w:color w:val="000000"/>
          <w:sz w:val="20"/>
          <w:szCs w:val="20"/>
        </w:rPr>
        <w:t>Critical Audit Matte</w:t>
      </w:r>
      <w:r>
        <w:rPr>
          <w:b/>
          <w:bCs/>
          <w:color w:val="000000"/>
          <w:sz w:val="20"/>
          <w:szCs w:val="20"/>
        </w:rPr>
        <w:t>r</w:t>
      </w:r>
    </w:p>
    <w:p w:rsidR="00000000" w:rsidRDefault="00865332">
      <w:pPr>
        <w:pStyle w:val="a3"/>
        <w:spacing w:before="0" w:beforeAutospacing="0" w:after="0" w:afterAutospacing="0" w:line="276" w:lineRule="auto"/>
        <w:divId w:val="695929149"/>
        <w:rPr>
          <w:sz w:val="20"/>
          <w:szCs w:val="20"/>
        </w:rPr>
      </w:pPr>
      <w:r>
        <w:rPr>
          <w:color w:val="000000"/>
          <w:sz w:val="20"/>
          <w:szCs w:val="20"/>
        </w:rPr>
        <w:t xml:space="preserve">The critical audit matter communicated below is a matter arising from the current period audit of the financial statements that was communicated or required </w:t>
      </w:r>
      <w:r>
        <w:rPr>
          <w:color w:val="000000"/>
          <w:sz w:val="20"/>
          <w:szCs w:val="20"/>
        </w:rPr>
        <w:t>to be communicated to the audit committee and that: (1) relates to accounts or disclosures that are material to the financial statements and (2) involved our especially challenging, subjective or complex judgments. The communication of the critical audit m</w:t>
      </w:r>
      <w:r>
        <w:rPr>
          <w:color w:val="000000"/>
          <w:sz w:val="20"/>
          <w:szCs w:val="20"/>
        </w:rPr>
        <w:t>atter does not alter in any way our opinion on the consolidated financial statements, taken as a whole, and we are not, by communicating the critical audit matter below, providing a separate opinion on the critical audit matter or on the accounts or disclo</w:t>
      </w:r>
      <w:r>
        <w:rPr>
          <w:color w:val="000000"/>
          <w:sz w:val="20"/>
          <w:szCs w:val="20"/>
        </w:rPr>
        <w:t>sures to which it relates</w:t>
      </w:r>
      <w:r>
        <w:rPr>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71"/>
        <w:gridCol w:w="214"/>
        <w:gridCol w:w="6821"/>
      </w:tblGrid>
      <w:tr w:rsidR="00000000">
        <w:trPr>
          <w:divId w:val="695929149"/>
          <w:trHeight w:val="14"/>
        </w:trPr>
        <w:tc>
          <w:tcPr>
            <w:tcW w:w="1431" w:type="dxa"/>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241"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7688"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1705904582"/>
        <w:rPr>
          <w:sz w:val="20"/>
          <w:szCs w:val="20"/>
        </w:rPr>
      </w:pPr>
      <w:r>
        <w:rPr>
          <w:sz w:val="20"/>
          <w:szCs w:val="20"/>
        </w:rPr>
        <w:t>F</w:t>
      </w:r>
      <w:r>
        <w:rPr>
          <w:sz w:val="20"/>
          <w:szCs w:val="20"/>
        </w:rPr>
        <w:t>-</w:t>
      </w:r>
      <w:r>
        <w:rPr>
          <w:rStyle w:val="ctheaderfooterpage"/>
          <w:sz w:val="20"/>
          <w:szCs w:val="20"/>
        </w:rPr>
        <w:t>1</w:t>
      </w:r>
    </w:p>
    <w:p w:rsidR="00000000" w:rsidRDefault="00865332">
      <w:pPr>
        <w:spacing w:before="360" w:after="360"/>
        <w:divId w:val="10886288"/>
        <w:rPr>
          <w:rFonts w:eastAsia="Times New Roman"/>
        </w:rPr>
      </w:pPr>
      <w:r>
        <w:rPr>
          <w:rFonts w:eastAsia="Times New Roman"/>
        </w:rPr>
        <w:pict>
          <v:rect id="_x0000_i1096"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1360"/>
        <w:gridCol w:w="206"/>
        <w:gridCol w:w="6740"/>
      </w:tblGrid>
      <w:tr w:rsidR="00000000">
        <w:trPr>
          <w:divId w:val="1822576855"/>
        </w:trPr>
        <w:tc>
          <w:tcPr>
            <w:tcW w:w="1431"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rPr>
            </w:pPr>
          </w:p>
        </w:tc>
        <w:tc>
          <w:tcPr>
            <w:tcW w:w="241" w:type="dxa"/>
            <w:tcBorders>
              <w:top w:val="nil"/>
              <w:left w:val="nil"/>
              <w:bottom w:val="nil"/>
              <w:right w:val="nil"/>
            </w:tcBorders>
            <w:tcMar>
              <w:top w:w="0" w:type="dxa"/>
              <w:left w:w="0" w:type="dxa"/>
              <w:bottom w:w="0" w:type="dxa"/>
              <w:right w:w="0" w:type="dxa"/>
            </w:tcMar>
            <w:hideMark/>
          </w:tcPr>
          <w:p w:rsidR="00000000" w:rsidRDefault="00865332">
            <w:pPr>
              <w:rPr>
                <w:rFonts w:eastAsia="Times New Roman"/>
                <w:sz w:val="20"/>
                <w:szCs w:val="20"/>
              </w:rPr>
            </w:pPr>
          </w:p>
        </w:tc>
        <w:tc>
          <w:tcPr>
            <w:tcW w:w="7688"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b/>
                <w:bCs/>
                <w:i/>
                <w:iCs/>
                <w:sz w:val="20"/>
                <w:szCs w:val="20"/>
              </w:rPr>
              <w:t>Purchase Price Allocation</w:t>
            </w:r>
            <w:r>
              <w:rPr>
                <w:b/>
                <w:bCs/>
                <w:i/>
                <w:iCs/>
                <w:sz w:val="20"/>
                <w:szCs w:val="20"/>
              </w:rPr>
              <w:t xml:space="preserve"> </w:t>
            </w:r>
          </w:p>
        </w:tc>
      </w:tr>
      <w:tr w:rsidR="00000000">
        <w:trPr>
          <w:divId w:val="1822576855"/>
        </w:trPr>
        <w:tc>
          <w:tcPr>
            <w:tcW w:w="1431"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i/>
                <w:iCs/>
                <w:sz w:val="20"/>
                <w:szCs w:val="20"/>
              </w:rPr>
              <w:t>Description of the Matte</w:t>
            </w:r>
            <w:r>
              <w:rPr>
                <w:i/>
                <w:iCs/>
                <w:sz w:val="20"/>
                <w:szCs w:val="20"/>
              </w:rPr>
              <w:t>r</w:t>
            </w:r>
          </w:p>
        </w:tc>
        <w:tc>
          <w:tcPr>
            <w:tcW w:w="241" w:type="dxa"/>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7688"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ind w:right="72"/>
              <w:rPr>
                <w:sz w:val="20"/>
                <w:szCs w:val="20"/>
              </w:rPr>
            </w:pPr>
            <w:r>
              <w:rPr>
                <w:color w:val="000000"/>
                <w:sz w:val="20"/>
                <w:szCs w:val="20"/>
              </w:rPr>
              <w:t>For the year ended December 31, 2019, the Company completed the acquisition of</w:t>
            </w:r>
            <w:r>
              <w:rPr>
                <w:color w:val="000000"/>
                <w:sz w:val="20"/>
                <w:szCs w:val="20"/>
              </w:rPr>
              <w:t xml:space="preserve"> </w:t>
            </w:r>
            <w:r>
              <w:rPr>
                <w:color w:val="000000"/>
                <w:sz w:val="20"/>
                <w:szCs w:val="20"/>
              </w:rPr>
              <w:t>4</w:t>
            </w:r>
            <w:r>
              <w:rPr>
                <w:color w:val="000000"/>
                <w:sz w:val="20"/>
                <w:szCs w:val="20"/>
              </w:rPr>
              <w:t>4</w:t>
            </w:r>
            <w:r>
              <w:rPr>
                <w:color w:val="000000"/>
                <w:sz w:val="20"/>
                <w:szCs w:val="20"/>
              </w:rPr>
              <w:t xml:space="preserve"> real estate facilities for a total purchase price of</w:t>
            </w:r>
            <w:r>
              <w:rPr>
                <w:color w:val="000000"/>
                <w:sz w:val="20"/>
                <w:szCs w:val="20"/>
              </w:rPr>
              <w:t xml:space="preserve"> </w:t>
            </w:r>
            <w:r>
              <w:rPr>
                <w:color w:val="000000"/>
                <w:sz w:val="20"/>
                <w:szCs w:val="20"/>
              </w:rPr>
              <w:t>$429.8 millio</w:t>
            </w:r>
            <w:r>
              <w:rPr>
                <w:color w:val="000000"/>
                <w:sz w:val="20"/>
                <w:szCs w:val="20"/>
              </w:rPr>
              <w:t>n</w:t>
            </w:r>
            <w:r>
              <w:rPr>
                <w:color w:val="000000"/>
                <w:sz w:val="20"/>
                <w:szCs w:val="20"/>
              </w:rPr>
              <w:t>. As further d</w:t>
            </w:r>
            <w:r>
              <w:rPr>
                <w:color w:val="000000"/>
                <w:sz w:val="20"/>
                <w:szCs w:val="20"/>
              </w:rPr>
              <w:t>iscussed in Notes</w:t>
            </w:r>
            <w:r>
              <w:rPr>
                <w:color w:val="000000"/>
                <w:sz w:val="20"/>
                <w:szCs w:val="20"/>
              </w:rPr>
              <w:t xml:space="preserve"> </w:t>
            </w:r>
            <w:r>
              <w:rPr>
                <w:color w:val="000000"/>
                <w:sz w:val="20"/>
                <w:szCs w:val="20"/>
              </w:rPr>
              <w:t xml:space="preserve">2 and </w:t>
            </w:r>
            <w:r>
              <w:rPr>
                <w:color w:val="000000"/>
                <w:sz w:val="20"/>
                <w:szCs w:val="20"/>
              </w:rPr>
              <w:t>3</w:t>
            </w:r>
            <w:r>
              <w:rPr>
                <w:color w:val="000000"/>
                <w:sz w:val="20"/>
                <w:szCs w:val="20"/>
              </w:rPr>
              <w:t xml:space="preserve"> of the consolidated financial statements, the transactions were accounted for as asset acquisitions, and the purchase price was allocated based on a relative fair value of assets acquired and liabilities assumed</w:t>
            </w:r>
            <w:r>
              <w:rPr>
                <w:color w:val="000000"/>
                <w:sz w:val="20"/>
                <w:szCs w:val="20"/>
              </w:rPr>
              <w:t>.</w:t>
            </w:r>
          </w:p>
          <w:p w:rsidR="00000000" w:rsidRDefault="00865332">
            <w:pPr>
              <w:pStyle w:val="a3"/>
              <w:spacing w:before="0" w:beforeAutospacing="0" w:after="0" w:afterAutospacing="0" w:line="259" w:lineRule="auto"/>
              <w:ind w:right="72"/>
              <w:rPr>
                <w:sz w:val="20"/>
                <w:szCs w:val="20"/>
              </w:rPr>
            </w:pPr>
            <w:r>
              <w:rPr>
                <w:color w:val="000000"/>
                <w:sz w:val="20"/>
                <w:szCs w:val="20"/>
              </w:rPr>
              <w:t>Auditing the acco</w:t>
            </w:r>
            <w:r>
              <w:rPr>
                <w:color w:val="000000"/>
                <w:sz w:val="20"/>
                <w:szCs w:val="20"/>
              </w:rPr>
              <w:t>unting for the Company’s 2019 acquisitions of real estate facilities was subjective because the Company must exercise a high level of management judgment in determining the fair value of acquired land and the replacement cost of acquired facilities. Determ</w:t>
            </w:r>
            <w:r>
              <w:rPr>
                <w:color w:val="000000"/>
                <w:sz w:val="20"/>
                <w:szCs w:val="20"/>
              </w:rPr>
              <w:t>ining the fair value of acquired land was difficult due to the lack of available directly comparable land market information. The replacement costs of the acquired facilities were calculated by estimating the cost of building similar facilities in comparab</w:t>
            </w:r>
            <w:r>
              <w:rPr>
                <w:color w:val="000000"/>
                <w:sz w:val="20"/>
                <w:szCs w:val="20"/>
              </w:rPr>
              <w:t>le markets and adjusting those costs for the age, quality, and configuration associated with the acquired facilities. Determining the replacement cost was difficult due to the judgment utilized by management in determining the adjustments that should be ap</w:t>
            </w:r>
            <w:r>
              <w:rPr>
                <w:color w:val="000000"/>
                <w:sz w:val="20"/>
                <w:szCs w:val="20"/>
              </w:rPr>
              <w:t>plied to each facility</w:t>
            </w:r>
            <w:r>
              <w:rPr>
                <w:color w:val="000000"/>
                <w:sz w:val="20"/>
                <w:szCs w:val="20"/>
              </w:rPr>
              <w:t>.</w:t>
            </w:r>
          </w:p>
        </w:tc>
      </w:tr>
      <w:tr w:rsidR="00000000">
        <w:trPr>
          <w:divId w:val="1822576855"/>
        </w:trPr>
        <w:tc>
          <w:tcPr>
            <w:tcW w:w="1431"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rPr>
                <w:sz w:val="20"/>
                <w:szCs w:val="20"/>
              </w:rPr>
            </w:pPr>
            <w:r>
              <w:rPr>
                <w:i/>
                <w:iCs/>
                <w:sz w:val="20"/>
                <w:szCs w:val="20"/>
              </w:rPr>
              <w:t>How We Addressed the Matter in Our Audi</w:t>
            </w:r>
            <w:r>
              <w:rPr>
                <w:i/>
                <w:iCs/>
                <w:sz w:val="20"/>
                <w:szCs w:val="20"/>
              </w:rPr>
              <w:t>t</w:t>
            </w:r>
          </w:p>
        </w:tc>
        <w:tc>
          <w:tcPr>
            <w:tcW w:w="241" w:type="dxa"/>
            <w:tcBorders>
              <w:top w:val="nil"/>
              <w:left w:val="nil"/>
              <w:bottom w:val="nil"/>
              <w:right w:val="nil"/>
            </w:tcBorders>
            <w:tcMar>
              <w:top w:w="0" w:type="dxa"/>
              <w:left w:w="0" w:type="dxa"/>
              <w:bottom w:w="0" w:type="dxa"/>
              <w:right w:w="0" w:type="dxa"/>
            </w:tcMar>
            <w:hideMark/>
          </w:tcPr>
          <w:p w:rsidR="00000000" w:rsidRDefault="00865332">
            <w:pPr>
              <w:rPr>
                <w:sz w:val="20"/>
                <w:szCs w:val="20"/>
              </w:rPr>
            </w:pPr>
          </w:p>
        </w:tc>
        <w:tc>
          <w:tcPr>
            <w:tcW w:w="7688" w:type="dxa"/>
            <w:tcBorders>
              <w:top w:val="nil"/>
              <w:left w:val="nil"/>
              <w:bottom w:val="nil"/>
              <w:right w:val="nil"/>
            </w:tcBorders>
            <w:tcMar>
              <w:top w:w="0" w:type="dxa"/>
              <w:left w:w="0" w:type="dxa"/>
              <w:bottom w:w="0" w:type="dxa"/>
              <w:right w:w="0" w:type="dxa"/>
            </w:tcMar>
            <w:hideMark/>
          </w:tcPr>
          <w:p w:rsidR="00000000" w:rsidRDefault="00865332">
            <w:pPr>
              <w:pStyle w:val="a3"/>
              <w:spacing w:before="0" w:beforeAutospacing="0" w:after="0" w:afterAutospacing="0" w:line="259" w:lineRule="auto"/>
              <w:ind w:right="72"/>
              <w:rPr>
                <w:sz w:val="20"/>
                <w:szCs w:val="20"/>
              </w:rPr>
            </w:pPr>
            <w:r>
              <w:rPr>
                <w:color w:val="000000"/>
                <w:sz w:val="20"/>
                <w:szCs w:val="20"/>
              </w:rPr>
              <w:t>We obtained an understanding, evaluated the design, and tested the operating effectiveness of controls over management’s accounting for acquired real estate facilities, including controls over the review of assumptions underlying the purchase price allocat</w:t>
            </w:r>
            <w:r>
              <w:rPr>
                <w:color w:val="000000"/>
                <w:sz w:val="20"/>
                <w:szCs w:val="20"/>
              </w:rPr>
              <w:t>ion and accuracy of the underlying data used. For example, we tested controls over the determination of the fair value of the land and building assets, including the controls over the review of the valuation models and the underlying assumptions used to de</w:t>
            </w:r>
            <w:r>
              <w:rPr>
                <w:color w:val="000000"/>
                <w:sz w:val="20"/>
                <w:szCs w:val="20"/>
              </w:rPr>
              <w:t>velop such estimates</w:t>
            </w:r>
            <w:r>
              <w:rPr>
                <w:color w:val="000000"/>
                <w:sz w:val="20"/>
                <w:szCs w:val="20"/>
              </w:rPr>
              <w:t>.</w:t>
            </w:r>
          </w:p>
          <w:p w:rsidR="00000000" w:rsidRDefault="00865332">
            <w:pPr>
              <w:pStyle w:val="a3"/>
              <w:spacing w:before="0" w:beforeAutospacing="0" w:after="0" w:afterAutospacing="0" w:line="259" w:lineRule="auto"/>
              <w:ind w:right="72"/>
              <w:rPr>
                <w:sz w:val="20"/>
                <w:szCs w:val="20"/>
              </w:rPr>
            </w:pPr>
            <w:r>
              <w:rPr>
                <w:color w:val="000000"/>
                <w:sz w:val="20"/>
                <w:szCs w:val="20"/>
              </w:rPr>
              <w:t xml:space="preserve">For the 2019 acquisitions of real estate facilities described above, our procedures included, but were not limited to, evaluating the sensitivity of changes in significant assumptions on the purchase price allocation. For example, we </w:t>
            </w:r>
            <w:r>
              <w:rPr>
                <w:color w:val="000000"/>
                <w:sz w:val="20"/>
                <w:szCs w:val="20"/>
              </w:rPr>
              <w:t>compared the allocated land and building values to the historical results of self-storage properties acquired in the prior years. We also performed a sensitivity analysis to evaluate the impact on the Company’s financial statements resulting from changes i</w:t>
            </w:r>
            <w:r>
              <w:rPr>
                <w:color w:val="000000"/>
                <w:sz w:val="20"/>
                <w:szCs w:val="20"/>
              </w:rPr>
              <w:t>n allocated land and building values. For certain of these asset acquisitions, we also read the purchase agreements, evaluated whether the Company had appropriately determined whether the transaction was a business combination or asset acquisition, evaluat</w:t>
            </w:r>
            <w:r>
              <w:rPr>
                <w:color w:val="000000"/>
                <w:sz w:val="20"/>
                <w:szCs w:val="20"/>
              </w:rPr>
              <w:t>ed the methods and significant assumptions used by the Company, and tested the completeness and accuracy of the underlying data supporting the significant assumptions and estimates. For certain of these asset acquisitions, we involved our valuation special</w:t>
            </w:r>
            <w:r>
              <w:rPr>
                <w:color w:val="000000"/>
                <w:sz w:val="20"/>
                <w:szCs w:val="20"/>
              </w:rPr>
              <w:t>ists to assist in the assessment of the methodology utilized by the Company, in addition to performing corroborative analyses to assess whether the conclusions in the valuation were supported by observable market data. For example, our valuation specialist</w:t>
            </w:r>
            <w:r>
              <w:rPr>
                <w:color w:val="000000"/>
                <w:sz w:val="20"/>
                <w:szCs w:val="20"/>
              </w:rPr>
              <w:t>s used independently identified data sources to evaluate management’s selected comparable land sales and replacement cost assumptions</w:t>
            </w:r>
            <w:r>
              <w:rPr>
                <w:color w:val="000000"/>
                <w:sz w:val="20"/>
                <w:szCs w:val="20"/>
              </w:rPr>
              <w:t>.</w:t>
            </w:r>
          </w:p>
        </w:tc>
      </w:tr>
    </w:tbl>
    <w:p w:rsidR="00000000" w:rsidRDefault="00865332">
      <w:pPr>
        <w:pStyle w:val="a3"/>
        <w:spacing w:before="0" w:beforeAutospacing="0" w:after="0" w:afterAutospacing="0" w:line="259" w:lineRule="auto"/>
        <w:divId w:val="1822576855"/>
        <w:rPr>
          <w:sz w:val="20"/>
          <w:szCs w:val="20"/>
        </w:rPr>
      </w:pPr>
      <w:r>
        <w:rPr>
          <w:color w:val="000000"/>
          <w:sz w:val="20"/>
          <w:szCs w:val="20"/>
        </w:rPr>
        <w:t>/s/ Ernst &amp; Young LL</w:t>
      </w:r>
      <w:r>
        <w:rPr>
          <w:color w:val="000000"/>
          <w:sz w:val="20"/>
          <w:szCs w:val="20"/>
        </w:rPr>
        <w:t>P</w:t>
      </w:r>
    </w:p>
    <w:p w:rsidR="00000000" w:rsidRDefault="00865332">
      <w:pPr>
        <w:pStyle w:val="a3"/>
        <w:spacing w:before="0" w:beforeAutospacing="0" w:after="0" w:afterAutospacing="0" w:line="276" w:lineRule="auto"/>
        <w:divId w:val="1822576855"/>
        <w:rPr>
          <w:sz w:val="20"/>
          <w:szCs w:val="20"/>
        </w:rPr>
      </w:pPr>
      <w:r>
        <w:rPr>
          <w:color w:val="000000"/>
          <w:sz w:val="20"/>
          <w:szCs w:val="20"/>
        </w:rPr>
        <w:t>We have served as the Company&amp;apos;s auditor since 1980</w:t>
      </w:r>
      <w:r>
        <w:rPr>
          <w:color w:val="000000"/>
          <w:sz w:val="20"/>
          <w:szCs w:val="20"/>
        </w:rPr>
        <w:t>.</w:t>
      </w:r>
    </w:p>
    <w:p w:rsidR="00000000" w:rsidRDefault="00865332">
      <w:pPr>
        <w:pStyle w:val="a3"/>
        <w:spacing w:before="0" w:beforeAutospacing="0" w:after="0" w:afterAutospacing="0" w:line="276" w:lineRule="auto"/>
        <w:divId w:val="1822576855"/>
        <w:rPr>
          <w:sz w:val="20"/>
          <w:szCs w:val="20"/>
        </w:rPr>
      </w:pPr>
      <w:r>
        <w:rPr>
          <w:color w:val="000000"/>
          <w:sz w:val="20"/>
          <w:szCs w:val="20"/>
        </w:rPr>
        <w:t>Los Angeles, Californi</w:t>
      </w:r>
      <w:r>
        <w:rPr>
          <w:color w:val="000000"/>
          <w:sz w:val="20"/>
          <w:szCs w:val="20"/>
        </w:rPr>
        <w:t>a</w:t>
      </w:r>
    </w:p>
    <w:p w:rsidR="00000000" w:rsidRDefault="00865332">
      <w:pPr>
        <w:pStyle w:val="a3"/>
        <w:spacing w:before="0" w:beforeAutospacing="0" w:after="0" w:afterAutospacing="0" w:line="259" w:lineRule="auto"/>
        <w:divId w:val="1822576855"/>
        <w:rPr>
          <w:sz w:val="20"/>
          <w:szCs w:val="20"/>
        </w:rPr>
      </w:pPr>
      <w:r>
        <w:rPr>
          <w:color w:val="000000"/>
          <w:sz w:val="20"/>
          <w:szCs w:val="20"/>
        </w:rPr>
        <w:t>February 25, 202</w:t>
      </w:r>
      <w:r>
        <w:rPr>
          <w:color w:val="000000"/>
          <w:sz w:val="20"/>
          <w:szCs w:val="20"/>
        </w:rPr>
        <w:t>0</w:t>
      </w:r>
    </w:p>
    <w:p w:rsidR="00000000" w:rsidRDefault="00865332">
      <w:pPr>
        <w:pStyle w:val="a3"/>
        <w:spacing w:before="0" w:beforeAutospacing="0" w:after="0" w:afterAutospacing="0" w:line="259" w:lineRule="auto"/>
        <w:jc w:val="center"/>
        <w:divId w:val="1671954870"/>
        <w:rPr>
          <w:sz w:val="20"/>
          <w:szCs w:val="20"/>
        </w:rPr>
      </w:pPr>
      <w:r>
        <w:rPr>
          <w:sz w:val="20"/>
          <w:szCs w:val="20"/>
        </w:rPr>
        <w:t>F</w:t>
      </w:r>
      <w:r>
        <w:rPr>
          <w:sz w:val="20"/>
          <w:szCs w:val="20"/>
        </w:rPr>
        <w:t>-</w:t>
      </w:r>
      <w:r>
        <w:rPr>
          <w:rStyle w:val="ctheaderfooterpage"/>
          <w:sz w:val="20"/>
          <w:szCs w:val="20"/>
        </w:rPr>
        <w:t>2</w:t>
      </w:r>
    </w:p>
    <w:p w:rsidR="00000000" w:rsidRDefault="00865332">
      <w:pPr>
        <w:spacing w:before="360" w:after="360"/>
        <w:divId w:val="1480149675"/>
        <w:rPr>
          <w:rFonts w:eastAsia="Times New Roman"/>
        </w:rPr>
      </w:pPr>
      <w:r>
        <w:rPr>
          <w:rFonts w:eastAsia="Times New Roman"/>
        </w:rPr>
        <w:pict>
          <v:rect id="_x0000_i1097" style="width:0;height:1.5pt" o:hralign="center" o:hrstd="t" o:hr="t" fillcolor="#a0a0a0" stroked="f"/>
        </w:pict>
      </w:r>
    </w:p>
    <w:p w:rsidR="00000000" w:rsidRDefault="00865332">
      <w:pPr>
        <w:pStyle w:val="a3"/>
        <w:spacing w:before="0" w:beforeAutospacing="0" w:after="0" w:afterAutospacing="0" w:line="259" w:lineRule="auto"/>
        <w:jc w:val="center"/>
        <w:divId w:val="842084111"/>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842084111"/>
        <w:rPr>
          <w:sz w:val="20"/>
          <w:szCs w:val="20"/>
        </w:rPr>
      </w:pPr>
      <w:r>
        <w:rPr>
          <w:b/>
          <w:bCs/>
          <w:sz w:val="20"/>
          <w:szCs w:val="20"/>
        </w:rPr>
        <w:t>BALANCE SHEET</w:t>
      </w:r>
      <w:r>
        <w:rPr>
          <w:b/>
          <w:bCs/>
          <w:sz w:val="20"/>
          <w:szCs w:val="20"/>
        </w:rPr>
        <w:t>S</w:t>
      </w:r>
    </w:p>
    <w:p w:rsidR="00000000" w:rsidRDefault="00865332">
      <w:pPr>
        <w:pStyle w:val="a3"/>
        <w:spacing w:before="0" w:beforeAutospacing="0" w:after="0" w:afterAutospacing="0" w:line="259" w:lineRule="auto"/>
        <w:jc w:val="center"/>
        <w:divId w:val="842084111"/>
        <w:rPr>
          <w:sz w:val="20"/>
          <w:szCs w:val="20"/>
        </w:rPr>
      </w:pPr>
      <w:r>
        <w:rPr>
          <w:b/>
          <w:bCs/>
          <w:sz w:val="20"/>
          <w:szCs w:val="20"/>
        </w:rPr>
        <w:t>(Amounts in thousands, except share data</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357"/>
        <w:gridCol w:w="166"/>
        <w:gridCol w:w="1155"/>
        <w:gridCol w:w="233"/>
        <w:gridCol w:w="166"/>
        <w:gridCol w:w="1229"/>
      </w:tblGrid>
      <w:tr w:rsidR="00000000">
        <w:trPr>
          <w:divId w:val="2064938962"/>
          <w:trHeight w:val="14"/>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b/>
                <w:bCs/>
                <w:sz w:val="18"/>
                <w:szCs w:val="18"/>
              </w:rPr>
              <w:t>December 31</w:t>
            </w:r>
            <w:r>
              <w:rPr>
                <w:b/>
                <w:bCs/>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b/>
                <w:bCs/>
                <w:sz w:val="18"/>
                <w:szCs w:val="18"/>
              </w:rPr>
              <w:t>December 31</w:t>
            </w:r>
            <w:r>
              <w:rPr>
                <w:b/>
                <w:bCs/>
                <w:sz w:val="18"/>
                <w:szCs w:val="18"/>
              </w:rPr>
              <w:t>,</w:t>
            </w:r>
          </w:p>
        </w:tc>
      </w:tr>
      <w:tr w:rsidR="00000000">
        <w:trPr>
          <w:divId w:val="2064938962"/>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b/>
                <w:bCs/>
                <w:sz w:val="18"/>
                <w:szCs w:val="18"/>
              </w:rPr>
              <w:t>201</w:t>
            </w:r>
            <w:r>
              <w:rPr>
                <w:b/>
                <w:bCs/>
                <w:sz w:val="18"/>
                <w:szCs w:val="18"/>
              </w:rPr>
              <w:t>9</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b/>
                <w:bCs/>
                <w:sz w:val="18"/>
                <w:szCs w:val="18"/>
              </w:rPr>
              <w:t>201</w:t>
            </w:r>
            <w:r>
              <w:rPr>
                <w:b/>
                <w:bCs/>
                <w:sz w:val="18"/>
                <w:szCs w:val="18"/>
              </w:rPr>
              <w:t>8</w:t>
            </w:r>
          </w:p>
        </w:tc>
      </w:tr>
      <w:tr w:rsidR="00000000">
        <w:trPr>
          <w:divId w:val="2064938962"/>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b/>
                <w:bCs/>
                <w:sz w:val="18"/>
                <w:szCs w:val="18"/>
                <w:u w:val="single"/>
              </w:rPr>
              <w:t>ASSET</w:t>
            </w:r>
            <w:r>
              <w:rPr>
                <w:b/>
                <w:bCs/>
                <w:sz w:val="18"/>
                <w:szCs w:val="18"/>
                <w:u w:val="single"/>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Cash and equivalent</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409,74</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361,21</w:t>
            </w:r>
            <w:r>
              <w:rPr>
                <w:sz w:val="18"/>
                <w:szCs w:val="18"/>
              </w:rPr>
              <w:t>8</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Real estate facilities, at cost: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Lan</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4,186,87</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4,047,98</w:t>
            </w:r>
            <w:r>
              <w:rPr>
                <w:sz w:val="18"/>
                <w:szCs w:val="18"/>
              </w:rPr>
              <w:t>2</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Building</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12,102,27</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11,248,86</w:t>
            </w:r>
            <w:r>
              <w:rPr>
                <w:sz w:val="18"/>
                <w:szCs w:val="18"/>
              </w:rPr>
              <w:t>2</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16,289,14</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15,296,84</w:t>
            </w:r>
            <w:r>
              <w:rPr>
                <w:sz w:val="18"/>
                <w:szCs w:val="18"/>
              </w:rPr>
              <w:t>4</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Accumulated depreciation</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6,623,47</w:t>
            </w:r>
            <w:r>
              <w:rPr>
                <w:sz w:val="18"/>
                <w:szCs w:val="18"/>
              </w:rPr>
              <w:t>5</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6,140,07</w:t>
            </w:r>
            <w:r>
              <w:rPr>
                <w:sz w:val="18"/>
                <w:szCs w:val="18"/>
              </w:rPr>
              <w:t>2</w:t>
            </w:r>
            <w:r>
              <w:rPr>
                <w:sz w:val="18"/>
                <w:szCs w:val="18"/>
              </w:rPr>
              <w:t>)</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9,665,67</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9,156,77</w:t>
            </w:r>
            <w:r>
              <w:rPr>
                <w:sz w:val="18"/>
                <w:szCs w:val="18"/>
              </w:rPr>
              <w:t>2</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Construction in proces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141,93</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285,33</w:t>
            </w:r>
            <w:r>
              <w:rPr>
                <w:sz w:val="18"/>
                <w:szCs w:val="18"/>
              </w:rPr>
              <w:t>9</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9,807,60</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9,442,11</w:t>
            </w:r>
            <w:r>
              <w:rPr>
                <w:sz w:val="18"/>
                <w:szCs w:val="18"/>
              </w:rPr>
              <w:t>1</w:t>
            </w:r>
            <w:r>
              <w:rPr>
                <w:sz w:val="18"/>
                <w:szCs w:val="18"/>
              </w:rPr>
              <w:t> </w:t>
            </w:r>
          </w:p>
        </w:tc>
      </w:tr>
      <w:tr w:rsidR="00000000">
        <w:trPr>
          <w:divId w:val="2064938962"/>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Investments in unconsolidated 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767,81</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783,98</w:t>
            </w:r>
            <w:r>
              <w:rPr>
                <w:sz w:val="18"/>
                <w:szCs w:val="18"/>
              </w:rPr>
              <w:t>8</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Goodwill and other intangible assets, ne</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205,93</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209,85</w:t>
            </w:r>
            <w:r>
              <w:rPr>
                <w:sz w:val="18"/>
                <w:szCs w:val="18"/>
              </w:rPr>
              <w:t>6</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Other asset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174,34</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131,09</w:t>
            </w:r>
            <w:r>
              <w:rPr>
                <w:sz w:val="18"/>
                <w:szCs w:val="18"/>
              </w:rPr>
              <w:t>7</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965"/>
              <w:rPr>
                <w:sz w:val="18"/>
                <w:szCs w:val="18"/>
              </w:rPr>
            </w:pPr>
            <w:r>
              <w:rPr>
                <w:sz w:val="18"/>
                <w:szCs w:val="18"/>
              </w:rPr>
              <w:t>Total assets</w:t>
            </w:r>
            <w:r>
              <w:rPr>
                <w:sz w:val="18"/>
                <w:szCs w:val="18"/>
              </w:rPr>
              <w:t xml:space="preserve"> </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11,365,44</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10,928,27</w:t>
            </w:r>
            <w:r>
              <w:rPr>
                <w:sz w:val="18"/>
                <w:szCs w:val="18"/>
              </w:rPr>
              <w:t>0</w:t>
            </w:r>
            <w:r>
              <w:rPr>
                <w:sz w:val="18"/>
                <w:szCs w:val="18"/>
              </w:rPr>
              <w:t> </w:t>
            </w:r>
          </w:p>
        </w:tc>
      </w:tr>
      <w:tr w:rsidR="00000000">
        <w:trPr>
          <w:divId w:val="2064938962"/>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b/>
                <w:bCs/>
                <w:sz w:val="18"/>
                <w:szCs w:val="18"/>
                <w:u w:val="single"/>
              </w:rPr>
              <w:t>LIABILITIES AND EQUIT</w:t>
            </w:r>
            <w:r>
              <w:rPr>
                <w:b/>
                <w:bCs/>
                <w:sz w:val="18"/>
                <w:szCs w:val="18"/>
                <w:u w:val="single"/>
              </w:rPr>
              <w:t>Y</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payabl</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1,902,49</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1,412,28</w:t>
            </w:r>
            <w:r>
              <w:rPr>
                <w:sz w:val="18"/>
                <w:szCs w:val="18"/>
              </w:rPr>
              <w:t>3</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Accrued and other liabilitie</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383,28</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371,25</w:t>
            </w:r>
            <w:r>
              <w:rPr>
                <w:sz w:val="18"/>
                <w:szCs w:val="18"/>
              </w:rPr>
              <w:t>9</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Total liabilitie</w:t>
            </w:r>
            <w:r>
              <w:rPr>
                <w:sz w:val="18"/>
                <w:szCs w:val="18"/>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2,285,77</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1,783,54</w:t>
            </w:r>
            <w:r>
              <w:rPr>
                <w:sz w:val="18"/>
                <w:szCs w:val="18"/>
              </w:rPr>
              <w:t>2</w:t>
            </w:r>
            <w:r>
              <w:rPr>
                <w:sz w:val="18"/>
                <w:szCs w:val="18"/>
              </w:rPr>
              <w:t> </w:t>
            </w:r>
          </w:p>
        </w:tc>
      </w:tr>
      <w:tr w:rsidR="00000000">
        <w:trPr>
          <w:divId w:val="2064938962"/>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Commitments and contingencies (Note 13</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w:t>
            </w:r>
          </w:p>
        </w:tc>
      </w:tr>
      <w:tr w:rsidR="00000000">
        <w:trPr>
          <w:divId w:val="2064938962"/>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Public Storage shareholders’ 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 xml:space="preserve">Preferred Shares, </w:t>
            </w:r>
            <w:r>
              <w:rPr>
                <w:sz w:val="18"/>
                <w:szCs w:val="18"/>
              </w:rPr>
              <w:t>$</w:t>
            </w:r>
            <w:r>
              <w:rPr>
                <w:sz w:val="18"/>
                <w:szCs w:val="18"/>
              </w:rPr>
              <w:t>0.0</w:t>
            </w:r>
            <w:r>
              <w:rPr>
                <w:sz w:val="18"/>
                <w:szCs w:val="18"/>
              </w:rPr>
              <w:t>1</w:t>
            </w:r>
            <w:r>
              <w:rPr>
                <w:sz w:val="18"/>
                <w:szCs w:val="18"/>
              </w:rPr>
              <w:t xml:space="preserve"> par value,</w:t>
            </w:r>
            <w:r>
              <w:rPr>
                <w:sz w:val="18"/>
                <w:szCs w:val="18"/>
              </w:rPr>
              <w:t xml:space="preserve"> </w:t>
            </w:r>
            <w:r>
              <w:rPr>
                <w:sz w:val="18"/>
                <w:szCs w:val="18"/>
              </w:rPr>
              <w:t>100,000,00</w:t>
            </w:r>
            <w:r>
              <w:rPr>
                <w:sz w:val="18"/>
                <w:szCs w:val="18"/>
              </w:rPr>
              <w:t>0</w:t>
            </w:r>
            <w:r>
              <w:rPr>
                <w:sz w:val="18"/>
                <w:szCs w:val="18"/>
              </w:rPr>
              <w:t xml:space="preserve"> shares authorized,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162,60</w:t>
            </w:r>
            <w:r>
              <w:rPr>
                <w:sz w:val="18"/>
                <w:szCs w:val="18"/>
              </w:rPr>
              <w:t>0</w:t>
            </w:r>
            <w:r>
              <w:rPr>
                <w:sz w:val="18"/>
                <w:szCs w:val="18"/>
              </w:rPr>
              <w:t xml:space="preserve"> </w:t>
            </w:r>
            <w:r>
              <w:rPr>
                <w:sz w:val="18"/>
                <w:szCs w:val="18"/>
              </w:rPr>
              <w:t xml:space="preserve">shares issued (in series) and outstanding, </w:t>
            </w:r>
            <w:r>
              <w:rPr>
                <w:sz w:val="18"/>
                <w:szCs w:val="18"/>
              </w:rPr>
              <w:t>(</w:t>
            </w:r>
            <w:r>
              <w:rPr>
                <w:sz w:val="18"/>
                <w:szCs w:val="18"/>
              </w:rPr>
              <w:t>161,00</w:t>
            </w:r>
            <w:r>
              <w:rPr>
                <w:sz w:val="18"/>
                <w:szCs w:val="18"/>
              </w:rPr>
              <w:t>0</w:t>
            </w:r>
            <w:r>
              <w:rPr>
                <w:sz w:val="18"/>
                <w:szCs w:val="18"/>
              </w:rPr>
              <w:t xml:space="preserve"> at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December 31, 2018), at liquidation preferenc</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4,065,00</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 xml:space="preserve">Common Shares, </w:t>
            </w:r>
            <w:r>
              <w:rPr>
                <w:sz w:val="18"/>
                <w:szCs w:val="18"/>
              </w:rPr>
              <w:t>$</w:t>
            </w:r>
            <w:r>
              <w:rPr>
                <w:sz w:val="18"/>
                <w:szCs w:val="18"/>
              </w:rPr>
              <w:t>0.1</w:t>
            </w:r>
            <w:r>
              <w:rPr>
                <w:sz w:val="18"/>
                <w:szCs w:val="18"/>
              </w:rPr>
              <w:t>0</w:t>
            </w:r>
            <w:r>
              <w:rPr>
                <w:sz w:val="18"/>
                <w:szCs w:val="18"/>
              </w:rPr>
              <w:t xml:space="preserve"> par value,</w:t>
            </w:r>
            <w:r>
              <w:rPr>
                <w:sz w:val="18"/>
                <w:szCs w:val="18"/>
              </w:rPr>
              <w:t xml:space="preserve"> </w:t>
            </w:r>
            <w:r>
              <w:rPr>
                <w:sz w:val="18"/>
                <w:szCs w:val="18"/>
              </w:rPr>
              <w:t>650,000,00</w:t>
            </w:r>
            <w:r>
              <w:rPr>
                <w:sz w:val="18"/>
                <w:szCs w:val="18"/>
              </w:rPr>
              <w:t>0</w:t>
            </w:r>
            <w:r>
              <w:rPr>
                <w:sz w:val="18"/>
                <w:szCs w:val="18"/>
              </w:rPr>
              <w:t xml:space="preserve"> shares authorized</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174,418,61</w:t>
            </w:r>
            <w:r>
              <w:rPr>
                <w:sz w:val="18"/>
                <w:szCs w:val="18"/>
              </w:rPr>
              <w:t>5</w:t>
            </w:r>
            <w:r>
              <w:rPr>
                <w:sz w:val="18"/>
                <w:szCs w:val="18"/>
              </w:rPr>
              <w:t xml:space="preserve"> </w:t>
            </w:r>
            <w:r>
              <w:rPr>
                <w:sz w:val="18"/>
                <w:szCs w:val="18"/>
              </w:rPr>
              <w:t xml:space="preserve">shares issued and outstanding </w:t>
            </w:r>
            <w:r>
              <w:rPr>
                <w:sz w:val="18"/>
                <w:szCs w:val="18"/>
              </w:rPr>
              <w:t>(</w:t>
            </w:r>
            <w:r>
              <w:rPr>
                <w:sz w:val="18"/>
                <w:szCs w:val="18"/>
              </w:rPr>
              <w:t>174,130,88</w:t>
            </w:r>
            <w:r>
              <w:rPr>
                <w:sz w:val="18"/>
                <w:szCs w:val="18"/>
              </w:rPr>
              <w:t>1</w:t>
            </w:r>
            <w:r>
              <w:rPr>
                <w:sz w:val="18"/>
                <w:szCs w:val="18"/>
              </w:rPr>
              <w:t xml:space="preserve"> shares a</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December 31, 2018</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17,44</w:t>
            </w:r>
            <w:r>
              <w:rPr>
                <w:sz w:val="18"/>
                <w:szCs w:val="18"/>
              </w:rPr>
              <w:t>2</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17,41</w:t>
            </w:r>
            <w:r>
              <w:rPr>
                <w:sz w:val="18"/>
                <w:szCs w:val="18"/>
              </w:rPr>
              <w:t>3</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Paid-in capital</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5,710,93</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5,718,48</w:t>
            </w:r>
            <w:r>
              <w:rPr>
                <w:sz w:val="18"/>
                <w:szCs w:val="18"/>
              </w:rPr>
              <w:t>5</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Accumulated deficit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665,57</w:t>
            </w:r>
            <w:r>
              <w:rPr>
                <w:sz w:val="18"/>
                <w:szCs w:val="18"/>
              </w:rPr>
              <w:t>5</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577,36</w:t>
            </w:r>
            <w:r>
              <w:rPr>
                <w:sz w:val="18"/>
                <w:szCs w:val="18"/>
              </w:rPr>
              <w:t>0</w:t>
            </w:r>
            <w:r>
              <w:rPr>
                <w:sz w:val="18"/>
                <w:szCs w:val="18"/>
              </w:rPr>
              <w:t>)</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Accumulated other comprehensive los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64,89</w:t>
            </w:r>
            <w:r>
              <w:rPr>
                <w:sz w:val="18"/>
                <w:szCs w:val="18"/>
              </w:rPr>
              <w:t>0</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64,06</w:t>
            </w:r>
            <w:r>
              <w:rPr>
                <w:sz w:val="18"/>
                <w:szCs w:val="18"/>
              </w:rPr>
              <w:t>0</w:t>
            </w:r>
            <w:r>
              <w:rPr>
                <w:sz w:val="18"/>
                <w:szCs w:val="18"/>
              </w:rPr>
              <w:t>)</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605"/>
              <w:rPr>
                <w:sz w:val="18"/>
                <w:szCs w:val="18"/>
              </w:rPr>
            </w:pPr>
            <w:r>
              <w:rPr>
                <w:sz w:val="18"/>
                <w:szCs w:val="18"/>
              </w:rPr>
              <w:t>Total Public Storage shareholders’ equity</w:t>
            </w:r>
            <w:r>
              <w:rPr>
                <w:sz w:val="18"/>
                <w:szCs w:val="18"/>
              </w:rPr>
              <w:t xml:space="preserve"> </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9,062,91</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9,119,47</w:t>
            </w:r>
            <w:r>
              <w:rPr>
                <w:sz w:val="18"/>
                <w:szCs w:val="18"/>
              </w:rPr>
              <w:t>8</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Noncontrolling interest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16,75</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25,25</w:t>
            </w:r>
            <w:r>
              <w:rPr>
                <w:sz w:val="18"/>
                <w:szCs w:val="18"/>
              </w:rPr>
              <w:t>0</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Total equit</w:t>
            </w:r>
            <w:r>
              <w:rPr>
                <w:sz w:val="18"/>
                <w:szCs w:val="18"/>
              </w:rPr>
              <w:t>y</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9,079,66</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9,144,72</w:t>
            </w:r>
            <w:r>
              <w:rPr>
                <w:sz w:val="18"/>
                <w:szCs w:val="18"/>
              </w:rPr>
              <w:t>8</w:t>
            </w:r>
            <w:r>
              <w:rPr>
                <w:sz w:val="18"/>
                <w:szCs w:val="18"/>
              </w:rPr>
              <w:t> </w:t>
            </w:r>
          </w:p>
        </w:tc>
      </w:tr>
      <w:tr w:rsidR="00000000">
        <w:trPr>
          <w:divId w:val="2064938962"/>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965"/>
              <w:rPr>
                <w:sz w:val="18"/>
                <w:szCs w:val="18"/>
              </w:rPr>
            </w:pPr>
            <w:r>
              <w:rPr>
                <w:sz w:val="18"/>
                <w:szCs w:val="18"/>
              </w:rPr>
              <w:t>Total liabilities and equit</w:t>
            </w:r>
            <w:r>
              <w:rPr>
                <w:sz w:val="18"/>
                <w:szCs w:val="18"/>
              </w:rPr>
              <w:t>y</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11,365,44</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10,928,27</w:t>
            </w:r>
            <w:r>
              <w:rPr>
                <w:sz w:val="18"/>
                <w:szCs w:val="18"/>
              </w:rPr>
              <w:t>0</w:t>
            </w:r>
            <w:r>
              <w:rPr>
                <w:sz w:val="18"/>
                <w:szCs w:val="18"/>
              </w:rPr>
              <w:t> </w:t>
            </w:r>
          </w:p>
        </w:tc>
      </w:tr>
    </w:tbl>
    <w:p w:rsidR="00000000" w:rsidRDefault="00865332">
      <w:pPr>
        <w:pStyle w:val="a3"/>
        <w:spacing w:before="0" w:beforeAutospacing="0" w:after="0" w:afterAutospacing="0" w:line="259" w:lineRule="auto"/>
        <w:jc w:val="center"/>
        <w:divId w:val="1631207264"/>
        <w:rPr>
          <w:sz w:val="20"/>
          <w:szCs w:val="20"/>
        </w:rPr>
      </w:pPr>
      <w:r>
        <w:rPr>
          <w:sz w:val="20"/>
          <w:szCs w:val="20"/>
        </w:rPr>
        <w:t>See accompanying notes</w:t>
      </w:r>
      <w:r>
        <w:rPr>
          <w:sz w:val="20"/>
          <w:szCs w:val="20"/>
        </w:rPr>
        <w:t>.</w:t>
      </w:r>
    </w:p>
    <w:p w:rsidR="00000000" w:rsidRDefault="00865332">
      <w:pPr>
        <w:pStyle w:val="a3"/>
        <w:spacing w:before="0" w:beforeAutospacing="0" w:after="0" w:afterAutospacing="0" w:line="259" w:lineRule="auto"/>
        <w:jc w:val="center"/>
        <w:divId w:val="1631207264"/>
        <w:rPr>
          <w:sz w:val="20"/>
          <w:szCs w:val="20"/>
        </w:rPr>
      </w:pPr>
      <w:r>
        <w:rPr>
          <w:sz w:val="20"/>
          <w:szCs w:val="20"/>
        </w:rPr>
        <w:t>F-</w:t>
      </w:r>
      <w:r>
        <w:rPr>
          <w:sz w:val="20"/>
          <w:szCs w:val="20"/>
        </w:rPr>
        <w:t>3</w:t>
      </w:r>
    </w:p>
    <w:p w:rsidR="00000000" w:rsidRDefault="00865332">
      <w:pPr>
        <w:spacing w:before="360" w:after="360"/>
        <w:divId w:val="643659154"/>
        <w:rPr>
          <w:rFonts w:eastAsia="Times New Roman"/>
        </w:rPr>
      </w:pPr>
      <w:r>
        <w:rPr>
          <w:rFonts w:eastAsia="Times New Roman"/>
        </w:rPr>
        <w:pict>
          <v:rect id="_x0000_i1098" style="width:0;height:1.5pt" o:hralign="center" o:hrstd="t" o:hr="t" fillcolor="#a0a0a0" stroked="f"/>
        </w:pict>
      </w:r>
    </w:p>
    <w:p w:rsidR="00000000" w:rsidRDefault="00865332">
      <w:pPr>
        <w:pStyle w:val="a3"/>
        <w:spacing w:before="0" w:beforeAutospacing="0" w:after="0" w:afterAutospacing="0" w:line="259" w:lineRule="auto"/>
        <w:jc w:val="center"/>
        <w:divId w:val="1938097950"/>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938097950"/>
        <w:rPr>
          <w:sz w:val="20"/>
          <w:szCs w:val="20"/>
        </w:rPr>
      </w:pPr>
      <w:r>
        <w:rPr>
          <w:b/>
          <w:bCs/>
          <w:sz w:val="20"/>
          <w:szCs w:val="20"/>
        </w:rPr>
        <w:t>STATEMENTS OF INCOM</w:t>
      </w:r>
      <w:r>
        <w:rPr>
          <w:b/>
          <w:bCs/>
          <w:sz w:val="20"/>
          <w:szCs w:val="20"/>
        </w:rPr>
        <w:t>E</w:t>
      </w:r>
    </w:p>
    <w:p w:rsidR="00000000" w:rsidRDefault="00865332">
      <w:pPr>
        <w:pStyle w:val="a3"/>
        <w:spacing w:before="0" w:beforeAutospacing="0" w:after="0" w:afterAutospacing="0" w:line="259" w:lineRule="auto"/>
        <w:jc w:val="center"/>
        <w:divId w:val="1938097950"/>
        <w:rPr>
          <w:sz w:val="20"/>
          <w:szCs w:val="20"/>
        </w:rPr>
      </w:pPr>
      <w:r>
        <w:rPr>
          <w:b/>
          <w:bCs/>
          <w:sz w:val="20"/>
          <w:szCs w:val="20"/>
        </w:rPr>
        <w:t>(Amounts in thousands, except per share amounts</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81"/>
        <w:gridCol w:w="124"/>
        <w:gridCol w:w="1172"/>
        <w:gridCol w:w="124"/>
        <w:gridCol w:w="100"/>
        <w:gridCol w:w="1173"/>
        <w:gridCol w:w="125"/>
        <w:gridCol w:w="150"/>
        <w:gridCol w:w="957"/>
      </w:tblGrid>
      <w:tr w:rsidR="00000000">
        <w:trPr>
          <w:divId w:val="1334265568"/>
          <w:trHeight w:val="14"/>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59"/>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For the Years Ended December 31</w:t>
            </w:r>
            <w:r>
              <w:rPr>
                <w:sz w:val="18"/>
                <w:szCs w:val="18"/>
              </w:rPr>
              <w:t>,</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Self-storage facilities</w:t>
            </w:r>
            <w:r>
              <w:rPr>
                <w:sz w:val="18"/>
                <w:szCs w:val="18"/>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2,684,55</w:t>
            </w:r>
            <w:r>
              <w:rPr>
                <w:sz w:val="18"/>
                <w:szCs w:val="18"/>
              </w:rPr>
              <w:t>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2,597,60</w:t>
            </w:r>
            <w:r>
              <w:rPr>
                <w:sz w:val="18"/>
                <w:szCs w:val="18"/>
              </w:rPr>
              <w:t>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2,512,43</w:t>
            </w:r>
            <w:r>
              <w:rPr>
                <w:sz w:val="18"/>
                <w:szCs w:val="18"/>
              </w:rPr>
              <w:t>3</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Ancillary operations</w:t>
            </w:r>
            <w:r>
              <w:rPr>
                <w:sz w:val="18"/>
                <w:szCs w:val="18"/>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162,27</w:t>
            </w:r>
            <w:r>
              <w:rPr>
                <w:sz w:val="18"/>
                <w:szCs w:val="18"/>
              </w:rPr>
              <w:t>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156,67</w:t>
            </w:r>
            <w:r>
              <w:rPr>
                <w:sz w:val="18"/>
                <w:szCs w:val="18"/>
              </w:rPr>
              <w:t>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156,09</w:t>
            </w:r>
            <w:r>
              <w:rPr>
                <w:sz w:val="18"/>
                <w:szCs w:val="18"/>
              </w:rPr>
              <w:t>5</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2,846,82</w:t>
            </w:r>
            <w:r>
              <w:rPr>
                <w:sz w:val="18"/>
                <w:szCs w:val="18"/>
              </w:rPr>
              <w:t>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2,754,28</w:t>
            </w:r>
            <w:r>
              <w:rPr>
                <w:sz w:val="18"/>
                <w:szCs w:val="18"/>
              </w:rPr>
              <w:t>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2,668,52</w:t>
            </w:r>
            <w:r>
              <w:rPr>
                <w:sz w:val="18"/>
                <w:szCs w:val="18"/>
              </w:rPr>
              <w:t>8</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Expenses</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Self-storage cost of operations</w:t>
            </w:r>
            <w:r>
              <w:rPr>
                <w:sz w:val="18"/>
                <w:szCs w:val="18"/>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752,57</w:t>
            </w:r>
            <w:r>
              <w:rPr>
                <w:sz w:val="18"/>
                <w:szCs w:val="18"/>
              </w:rPr>
              <w:t>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695,73</w:t>
            </w:r>
            <w:r>
              <w:rPr>
                <w:sz w:val="18"/>
                <w:szCs w:val="18"/>
              </w:rPr>
              <w:t>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657,63</w:t>
            </w:r>
            <w:r>
              <w:rPr>
                <w:sz w:val="18"/>
                <w:szCs w:val="18"/>
              </w:rPr>
              <w:t>3</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Ancillary cost of operations</w:t>
            </w:r>
            <w:r>
              <w:rPr>
                <w:sz w:val="18"/>
                <w:szCs w:val="18"/>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44,20</w:t>
            </w:r>
            <w:r>
              <w:rPr>
                <w:sz w:val="18"/>
                <w:szCs w:val="18"/>
              </w:rPr>
              <w:t>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43,99</w:t>
            </w:r>
            <w:r>
              <w:rPr>
                <w:sz w:val="18"/>
                <w:szCs w:val="18"/>
              </w:rPr>
              <w:t>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50,34</w:t>
            </w:r>
            <w:r>
              <w:rPr>
                <w:sz w:val="18"/>
                <w:szCs w:val="18"/>
              </w:rPr>
              <w:t>5</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Depreciation and amortization</w:t>
            </w:r>
            <w:r>
              <w:rPr>
                <w:sz w:val="18"/>
                <w:szCs w:val="18"/>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512,91</w:t>
            </w:r>
            <w:r>
              <w:rPr>
                <w:sz w:val="18"/>
                <w:szCs w:val="18"/>
              </w:rPr>
              <w:t>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483,64</w:t>
            </w:r>
            <w:r>
              <w:rPr>
                <w:sz w:val="18"/>
                <w:szCs w:val="18"/>
              </w:rPr>
              <w:t>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454,52</w:t>
            </w:r>
            <w:r>
              <w:rPr>
                <w:sz w:val="18"/>
                <w:szCs w:val="18"/>
              </w:rPr>
              <w:t>6</w:t>
            </w:r>
            <w:r>
              <w:rPr>
                <w:sz w:val="18"/>
                <w:szCs w:val="18"/>
              </w:rPr>
              <w:t> </w:t>
            </w:r>
          </w:p>
        </w:tc>
      </w:tr>
      <w:tr w:rsidR="00000000">
        <w:trPr>
          <w:divId w:val="1334265568"/>
          <w:trHeight w:val="230"/>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General and administrative</w:t>
            </w:r>
            <w:r>
              <w:rPr>
                <w:sz w:val="18"/>
                <w:szCs w:val="18"/>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71,98</w:t>
            </w:r>
            <w:r>
              <w:rPr>
                <w:sz w:val="18"/>
                <w:szCs w:val="18"/>
              </w:rPr>
              <w:t>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118,72</w:t>
            </w:r>
            <w:r>
              <w:rPr>
                <w:sz w:val="18"/>
                <w:szCs w:val="18"/>
              </w:rPr>
              <w:t>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82,88</w:t>
            </w:r>
            <w:r>
              <w:rPr>
                <w:sz w:val="18"/>
                <w:szCs w:val="18"/>
              </w:rPr>
              <w:t>2</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Interest expense</w:t>
            </w:r>
            <w:r>
              <w:rPr>
                <w:sz w:val="18"/>
                <w:szCs w:val="18"/>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45,64</w:t>
            </w:r>
            <w:r>
              <w:rPr>
                <w:sz w:val="18"/>
                <w:szCs w:val="18"/>
              </w:rPr>
              <w:t>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32,54</w:t>
            </w:r>
            <w:r>
              <w:rPr>
                <w:sz w:val="18"/>
                <w:szCs w:val="18"/>
              </w:rPr>
              <w:t>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12,69</w:t>
            </w:r>
            <w:r>
              <w:rPr>
                <w:sz w:val="18"/>
                <w:szCs w:val="18"/>
              </w:rPr>
              <w:t>0</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1,427,32</w:t>
            </w:r>
            <w:r>
              <w:rPr>
                <w:sz w:val="18"/>
                <w:szCs w:val="18"/>
              </w:rPr>
              <w:t>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1,374,63</w:t>
            </w:r>
            <w:r>
              <w:rPr>
                <w:sz w:val="18"/>
                <w:szCs w:val="18"/>
              </w:rPr>
              <w:t>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1,258,07</w:t>
            </w:r>
            <w:r>
              <w:rPr>
                <w:sz w:val="18"/>
                <w:szCs w:val="18"/>
              </w:rPr>
              <w:t>6</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Other increase (decrease) to net income</w:t>
            </w:r>
            <w:r>
              <w:rPr>
                <w:b/>
                <w:bCs/>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Interest and other income</w:t>
            </w:r>
            <w:r>
              <w:rPr>
                <w:sz w:val="18"/>
                <w:szCs w:val="18"/>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28,43</w:t>
            </w:r>
            <w:r>
              <w:rPr>
                <w:sz w:val="18"/>
                <w:szCs w:val="18"/>
              </w:rPr>
              <w:t>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26,44</w:t>
            </w:r>
            <w:r>
              <w:rPr>
                <w:sz w:val="18"/>
                <w:szCs w:val="18"/>
              </w:rPr>
              <w:t>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18,77</w:t>
            </w:r>
            <w:r>
              <w:rPr>
                <w:sz w:val="18"/>
                <w:szCs w:val="18"/>
              </w:rPr>
              <w:t>1</w:t>
            </w:r>
            <w:r>
              <w:rPr>
                <w:sz w:val="18"/>
                <w:szCs w:val="18"/>
              </w:rPr>
              <w:t> </w:t>
            </w:r>
          </w:p>
        </w:tc>
      </w:tr>
      <w:tr w:rsidR="00000000">
        <w:trPr>
          <w:divId w:val="1334265568"/>
          <w:trHeight w:val="259"/>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Equity in earnings of unconsolidated real estate entities</w:t>
            </w:r>
            <w:r>
              <w:rPr>
                <w:sz w:val="18"/>
                <w:szCs w:val="18"/>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69,54</w:t>
            </w:r>
            <w:r>
              <w:rPr>
                <w:sz w:val="18"/>
                <w:szCs w:val="18"/>
              </w:rPr>
              <w:t>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103,49</w:t>
            </w:r>
            <w:r>
              <w:rPr>
                <w:sz w:val="18"/>
                <w:szCs w:val="18"/>
              </w:rPr>
              <w:t>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75,65</w:t>
            </w:r>
            <w:r>
              <w:rPr>
                <w:sz w:val="18"/>
                <w:szCs w:val="18"/>
              </w:rPr>
              <w:t>5</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Foreign currency exchange gain (loss</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7,82</w:t>
            </w:r>
            <w:r>
              <w:rPr>
                <w:sz w:val="18"/>
                <w:szCs w:val="18"/>
              </w:rPr>
              <w:t>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18,11</w:t>
            </w:r>
            <w:r>
              <w:rPr>
                <w:sz w:val="18"/>
                <w:szCs w:val="18"/>
              </w:rPr>
              <w:t>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50,04</w:t>
            </w:r>
            <w:r>
              <w:rPr>
                <w:sz w:val="18"/>
                <w:szCs w:val="18"/>
              </w:rPr>
              <w:t>5</w:t>
            </w:r>
            <w:r>
              <w:rPr>
                <w:sz w:val="18"/>
                <w:szCs w:val="18"/>
              </w:rPr>
              <w:t>)</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Casualty los</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7,78</w:t>
            </w:r>
            <w:r>
              <w:rPr>
                <w:sz w:val="18"/>
                <w:szCs w:val="18"/>
              </w:rPr>
              <w:t>9</w:t>
            </w:r>
            <w:r>
              <w:rPr>
                <w:sz w:val="18"/>
                <w:szCs w:val="18"/>
              </w:rPr>
              <w:t>)</w:t>
            </w:r>
          </w:p>
        </w:tc>
      </w:tr>
      <w:tr w:rsidR="00000000">
        <w:trPr>
          <w:divId w:val="1334265568"/>
          <w:trHeight w:val="259"/>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Gain on sale of real estate</w:t>
            </w:r>
            <w:r>
              <w:rPr>
                <w:sz w:val="18"/>
                <w:szCs w:val="18"/>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37,90</w:t>
            </w:r>
            <w:r>
              <w:rPr>
                <w:sz w:val="18"/>
                <w:szCs w:val="18"/>
              </w:rPr>
              <w:t>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1,42</w:t>
            </w:r>
            <w:r>
              <w:rPr>
                <w:sz w:val="18"/>
                <w:szCs w:val="18"/>
              </w:rPr>
              <w:t>1</w:t>
            </w:r>
            <w:r>
              <w:rPr>
                <w:sz w:val="18"/>
                <w:szCs w:val="18"/>
              </w:rPr>
              <w:t> </w:t>
            </w:r>
          </w:p>
        </w:tc>
      </w:tr>
      <w:tr w:rsidR="00000000">
        <w:trPr>
          <w:divId w:val="1334265568"/>
          <w:trHeight w:val="259"/>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Gain due to Shurgard public offerin</w:t>
            </w:r>
            <w:r>
              <w:rPr>
                <w:sz w:val="18"/>
                <w:szCs w:val="18"/>
              </w:rPr>
              <w:t>g</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151,61</w:t>
            </w:r>
            <w:r>
              <w:rPr>
                <w:sz w:val="18"/>
                <w:szCs w:val="18"/>
              </w:rPr>
              <w:t>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1,525,65</w:t>
            </w:r>
            <w:r>
              <w:rPr>
                <w:sz w:val="18"/>
                <w:szCs w:val="18"/>
              </w:rPr>
              <w:t>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1,717,22</w:t>
            </w:r>
            <w:r>
              <w:rPr>
                <w:sz w:val="18"/>
                <w:szCs w:val="18"/>
              </w:rPr>
              <w:t>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1,448,46</w:t>
            </w:r>
            <w:r>
              <w:rPr>
                <w:sz w:val="18"/>
                <w:szCs w:val="18"/>
              </w:rPr>
              <w:t>5</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5,11</w:t>
            </w:r>
            <w:r>
              <w:rPr>
                <w:sz w:val="18"/>
                <w:szCs w:val="18"/>
              </w:rPr>
              <w:t>7</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6,19</w:t>
            </w:r>
            <w:r>
              <w:rPr>
                <w:sz w:val="18"/>
                <w:szCs w:val="18"/>
              </w:rPr>
              <w:t>2</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6,24</w:t>
            </w:r>
            <w:r>
              <w:rPr>
                <w:sz w:val="18"/>
                <w:szCs w:val="18"/>
              </w:rPr>
              <w:t>8</w:t>
            </w:r>
            <w:r>
              <w:rPr>
                <w:sz w:val="18"/>
                <w:szCs w:val="18"/>
              </w:rPr>
              <w:t>)</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 allocable to Public Storage shareholders</w:t>
            </w:r>
            <w:r>
              <w:rPr>
                <w:sz w:val="18"/>
                <w:szCs w:val="18"/>
              </w:rPr>
              <w:t xml:space="preserve"> </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1,520,53</w:t>
            </w:r>
            <w:r>
              <w:rPr>
                <w:sz w:val="18"/>
                <w:szCs w:val="18"/>
              </w:rPr>
              <w:t>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1,711,03</w:t>
            </w:r>
            <w:r>
              <w:rPr>
                <w:sz w:val="18"/>
                <w:szCs w:val="18"/>
              </w:rPr>
              <w:t>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1,442,21</w:t>
            </w:r>
            <w:r>
              <w:rPr>
                <w:sz w:val="18"/>
                <w:szCs w:val="18"/>
              </w:rPr>
              <w:t>7</w:t>
            </w:r>
            <w:r>
              <w:rPr>
                <w:sz w:val="18"/>
                <w:szCs w:val="18"/>
              </w:rPr>
              <w:t> </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Allocation of net income to</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Preferred shareholders - distribution</w:t>
            </w:r>
            <w:r>
              <w:rPr>
                <w:sz w:val="18"/>
                <w:szCs w:val="18"/>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210,17</w:t>
            </w:r>
            <w:r>
              <w:rPr>
                <w:sz w:val="18"/>
                <w:szCs w:val="18"/>
              </w:rPr>
              <w:t>9</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216,31</w:t>
            </w:r>
            <w:r>
              <w:rPr>
                <w:sz w:val="18"/>
                <w:szCs w:val="18"/>
              </w:rPr>
              <w:t>6</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236,53</w:t>
            </w:r>
            <w:r>
              <w:rPr>
                <w:sz w:val="18"/>
                <w:szCs w:val="18"/>
              </w:rPr>
              <w:t>5</w:t>
            </w:r>
            <w:r>
              <w:rPr>
                <w:sz w:val="18"/>
                <w:szCs w:val="18"/>
              </w:rPr>
              <w:t>)</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Preferred shareholders - redemptions (Note 8</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32,69</w:t>
            </w:r>
            <w:r>
              <w:rPr>
                <w:sz w:val="18"/>
                <w:szCs w:val="18"/>
              </w:rPr>
              <w:t>3</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29,33</w:t>
            </w:r>
            <w:r>
              <w:rPr>
                <w:sz w:val="18"/>
                <w:szCs w:val="18"/>
              </w:rPr>
              <w:t>0</w:t>
            </w:r>
            <w:r>
              <w:rPr>
                <w:sz w:val="18"/>
                <w:szCs w:val="18"/>
              </w:rPr>
              <w:t>)</w:t>
            </w: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Restricted share units</w:t>
            </w:r>
            <w:r>
              <w:rPr>
                <w:sz w:val="18"/>
                <w:szCs w:val="18"/>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4,89</w:t>
            </w:r>
            <w:r>
              <w:rPr>
                <w:sz w:val="18"/>
                <w:szCs w:val="18"/>
              </w:rPr>
              <w:t>5</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5,81</w:t>
            </w:r>
            <w:r>
              <w:rPr>
                <w:sz w:val="18"/>
                <w:szCs w:val="18"/>
              </w:rPr>
              <w:t>5</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4,74</w:t>
            </w:r>
            <w:r>
              <w:rPr>
                <w:sz w:val="18"/>
                <w:szCs w:val="18"/>
              </w:rPr>
              <w:t>3</w:t>
            </w:r>
            <w:r>
              <w:rPr>
                <w:sz w:val="18"/>
                <w:szCs w:val="18"/>
              </w:rPr>
              <w:t>)</w:t>
            </w:r>
          </w:p>
        </w:tc>
      </w:tr>
      <w:tr w:rsidR="00000000">
        <w:trPr>
          <w:divId w:val="1334265568"/>
          <w:trHeight w:val="302"/>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 allocable to common shareholder</w:t>
            </w:r>
            <w:r>
              <w:rPr>
                <w:sz w:val="18"/>
                <w:szCs w:val="18"/>
              </w:rPr>
              <w:t>s</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1,272,76</w:t>
            </w:r>
            <w:r>
              <w:rPr>
                <w:sz w:val="18"/>
                <w:szCs w:val="18"/>
              </w:rPr>
              <w:t>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1,488,90</w:t>
            </w:r>
            <w:r>
              <w:rPr>
                <w:sz w:val="18"/>
                <w:szCs w:val="18"/>
              </w:rPr>
              <w:t>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1,171,60</w:t>
            </w:r>
            <w:r>
              <w:rPr>
                <w:sz w:val="18"/>
                <w:szCs w:val="18"/>
              </w:rPr>
              <w:t>9</w:t>
            </w:r>
            <w:r>
              <w:rPr>
                <w:sz w:val="18"/>
                <w:szCs w:val="18"/>
              </w:rPr>
              <w:t> </w:t>
            </w:r>
          </w:p>
        </w:tc>
      </w:tr>
      <w:tr w:rsidR="00000000">
        <w:trPr>
          <w:divId w:val="1334265568"/>
          <w:trHeight w:val="259"/>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 per common share</w:t>
            </w:r>
            <w:r>
              <w:rPr>
                <w:sz w:val="18"/>
                <w:szCs w:val="18"/>
              </w:rPr>
              <w:t>:</w:t>
            </w: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59"/>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Basi</w:t>
            </w:r>
            <w:r>
              <w:rPr>
                <w:sz w:val="18"/>
                <w:szCs w:val="18"/>
              </w:rPr>
              <w:t>c</w:t>
            </w: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7.3</w:t>
            </w:r>
            <w:r>
              <w:rPr>
                <w:sz w:val="18"/>
                <w:szCs w:val="18"/>
              </w:rPr>
              <w:t>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8.5</w:t>
            </w:r>
            <w:r>
              <w:rPr>
                <w:sz w:val="18"/>
                <w:szCs w:val="18"/>
              </w:rPr>
              <w:t>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6.7</w:t>
            </w:r>
            <w:r>
              <w:rPr>
                <w:sz w:val="18"/>
                <w:szCs w:val="18"/>
              </w:rPr>
              <w:t>5</w:t>
            </w:r>
            <w:r>
              <w:rPr>
                <w:sz w:val="18"/>
                <w:szCs w:val="18"/>
              </w:rPr>
              <w:t> </w:t>
            </w:r>
          </w:p>
        </w:tc>
      </w:tr>
      <w:tr w:rsidR="00000000">
        <w:trPr>
          <w:divId w:val="1334265568"/>
          <w:trHeight w:val="259"/>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Dilute</w:t>
            </w:r>
            <w:r>
              <w:rPr>
                <w:sz w:val="18"/>
                <w:szCs w:val="18"/>
              </w:rPr>
              <w:t>d</w:t>
            </w:r>
          </w:p>
        </w:tc>
        <w:tc>
          <w:tcPr>
            <w:tcW w:w="7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7.2</w:t>
            </w:r>
            <w:r>
              <w:rPr>
                <w:sz w:val="18"/>
                <w:szCs w:val="18"/>
              </w:rPr>
              <w:t>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8.5</w:t>
            </w:r>
            <w:r>
              <w:rPr>
                <w:sz w:val="18"/>
                <w:szCs w:val="18"/>
              </w:rPr>
              <w:t>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6.7</w:t>
            </w:r>
            <w:r>
              <w:rPr>
                <w:sz w:val="18"/>
                <w:szCs w:val="18"/>
              </w:rPr>
              <w:t>3</w:t>
            </w:r>
            <w:r>
              <w:rPr>
                <w:sz w:val="18"/>
                <w:szCs w:val="18"/>
              </w:rPr>
              <w:t> </w:t>
            </w:r>
          </w:p>
        </w:tc>
      </w:tr>
      <w:tr w:rsidR="00000000">
        <w:trPr>
          <w:divId w:val="1334265568"/>
          <w:trHeight w:val="72"/>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34265568"/>
          <w:trHeight w:val="245"/>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Basic weighted average common shares outstanding</w:t>
            </w:r>
            <w:r>
              <w:rPr>
                <w:sz w:val="18"/>
                <w:szCs w:val="18"/>
              </w:rPr>
              <w:t xml:space="preserve"> </w:t>
            </w: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174,28</w:t>
            </w:r>
            <w:r>
              <w:rPr>
                <w:sz w:val="18"/>
                <w:szCs w:val="18"/>
              </w:rPr>
              <w:t>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173,96</w:t>
            </w:r>
            <w:r>
              <w:rPr>
                <w:sz w:val="18"/>
                <w:szCs w:val="18"/>
              </w:rPr>
              <w:t>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173,61</w:t>
            </w:r>
            <w:r>
              <w:rPr>
                <w:sz w:val="18"/>
                <w:szCs w:val="18"/>
              </w:rPr>
              <w:t>3</w:t>
            </w:r>
            <w:r>
              <w:rPr>
                <w:sz w:val="18"/>
                <w:szCs w:val="18"/>
              </w:rPr>
              <w:t> </w:t>
            </w:r>
          </w:p>
        </w:tc>
      </w:tr>
      <w:tr w:rsidR="00000000">
        <w:trPr>
          <w:divId w:val="1334265568"/>
          <w:trHeight w:val="259"/>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Diluted weighted average common shares outstandin</w:t>
            </w:r>
            <w:r>
              <w:rPr>
                <w:sz w:val="18"/>
                <w:szCs w:val="18"/>
              </w:rPr>
              <w:t>g</w:t>
            </w: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174,53</w:t>
            </w:r>
            <w:r>
              <w:rPr>
                <w:sz w:val="18"/>
                <w:szCs w:val="18"/>
              </w:rPr>
              <w:t>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174,29</w:t>
            </w:r>
            <w:r>
              <w:rPr>
                <w:sz w:val="18"/>
                <w:szCs w:val="18"/>
              </w:rPr>
              <w:t>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174,15</w:t>
            </w:r>
            <w:r>
              <w:rPr>
                <w:sz w:val="18"/>
                <w:szCs w:val="18"/>
              </w:rPr>
              <w:t>1</w:t>
            </w:r>
            <w:r>
              <w:rPr>
                <w:sz w:val="18"/>
                <w:szCs w:val="18"/>
              </w:rPr>
              <w:t> </w:t>
            </w:r>
          </w:p>
        </w:tc>
      </w:tr>
      <w:tr w:rsidR="00000000">
        <w:trPr>
          <w:divId w:val="1334265568"/>
          <w:trHeight w:val="101"/>
        </w:trPr>
        <w:tc>
          <w:tcPr>
            <w:tcW w:w="26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493884287"/>
        <w:rPr>
          <w:sz w:val="20"/>
          <w:szCs w:val="20"/>
        </w:rPr>
      </w:pPr>
      <w:r>
        <w:rPr>
          <w:sz w:val="20"/>
          <w:szCs w:val="20"/>
        </w:rPr>
        <w:t>See accompanying notes</w:t>
      </w:r>
      <w:r>
        <w:rPr>
          <w:sz w:val="20"/>
          <w:szCs w:val="20"/>
        </w:rPr>
        <w:t>.</w:t>
      </w:r>
    </w:p>
    <w:p w:rsidR="00000000" w:rsidRDefault="00865332">
      <w:pPr>
        <w:pStyle w:val="a3"/>
        <w:spacing w:before="0" w:beforeAutospacing="0" w:after="0" w:afterAutospacing="0" w:line="259" w:lineRule="auto"/>
        <w:jc w:val="center"/>
        <w:divId w:val="493884287"/>
        <w:rPr>
          <w:sz w:val="20"/>
          <w:szCs w:val="20"/>
        </w:rPr>
      </w:pPr>
      <w:r>
        <w:rPr>
          <w:sz w:val="20"/>
          <w:szCs w:val="20"/>
        </w:rPr>
        <w:t>F-</w:t>
      </w:r>
      <w:r>
        <w:rPr>
          <w:sz w:val="20"/>
          <w:szCs w:val="20"/>
        </w:rPr>
        <w:t>4</w:t>
      </w:r>
    </w:p>
    <w:p w:rsidR="00000000" w:rsidRDefault="00865332">
      <w:pPr>
        <w:spacing w:before="360" w:after="360"/>
        <w:divId w:val="1558935153"/>
        <w:rPr>
          <w:rFonts w:eastAsia="Times New Roman"/>
        </w:rPr>
      </w:pPr>
      <w:r>
        <w:rPr>
          <w:rFonts w:eastAsia="Times New Roman"/>
        </w:rPr>
        <w:pict>
          <v:rect id="_x0000_i1099" style="width:0;height:1.5pt" o:hralign="center" o:hrstd="t" o:hr="t" fillcolor="#a0a0a0" stroked="f"/>
        </w:pict>
      </w:r>
    </w:p>
    <w:p w:rsidR="00000000" w:rsidRDefault="00865332">
      <w:pPr>
        <w:pStyle w:val="a3"/>
        <w:spacing w:before="0" w:beforeAutospacing="0" w:after="0" w:afterAutospacing="0" w:line="259" w:lineRule="auto"/>
        <w:jc w:val="center"/>
        <w:divId w:val="252474629"/>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252474629"/>
        <w:rPr>
          <w:sz w:val="20"/>
          <w:szCs w:val="20"/>
        </w:rPr>
      </w:pPr>
      <w:r>
        <w:rPr>
          <w:b/>
          <w:bCs/>
          <w:sz w:val="20"/>
          <w:szCs w:val="20"/>
        </w:rPr>
        <w:t>STATEMENTS OF COMPREHENSIVE INCOM</w:t>
      </w:r>
      <w:r>
        <w:rPr>
          <w:b/>
          <w:bCs/>
          <w:sz w:val="20"/>
          <w:szCs w:val="20"/>
        </w:rPr>
        <w:t>E</w:t>
      </w:r>
    </w:p>
    <w:p w:rsidR="00000000" w:rsidRDefault="00865332">
      <w:pPr>
        <w:pStyle w:val="a3"/>
        <w:spacing w:before="0" w:beforeAutospacing="0" w:after="0" w:afterAutospacing="0" w:line="259" w:lineRule="auto"/>
        <w:jc w:val="center"/>
        <w:divId w:val="252474629"/>
        <w:rPr>
          <w:sz w:val="20"/>
          <w:szCs w:val="20"/>
        </w:rPr>
      </w:pPr>
      <w:r>
        <w:rPr>
          <w:b/>
          <w:bCs/>
          <w:sz w:val="20"/>
          <w:szCs w:val="20"/>
        </w:rPr>
        <w:t>(Amounts in thousands</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14"/>
        <w:gridCol w:w="133"/>
        <w:gridCol w:w="1165"/>
        <w:gridCol w:w="166"/>
        <w:gridCol w:w="166"/>
        <w:gridCol w:w="1165"/>
        <w:gridCol w:w="166"/>
        <w:gridCol w:w="166"/>
        <w:gridCol w:w="1165"/>
      </w:tblGrid>
      <w:tr w:rsidR="00000000">
        <w:trPr>
          <w:divId w:val="2027050290"/>
          <w:trHeight w:val="14"/>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27050290"/>
          <w:trHeight w:val="605"/>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For the Years Ended December 31,</w:t>
            </w:r>
            <w:r>
              <w:rPr>
                <w:sz w:val="18"/>
                <w:szCs w:val="18"/>
              </w:rPr>
              <w:t xml:space="preserve"> </w:t>
            </w:r>
          </w:p>
        </w:tc>
      </w:tr>
      <w:tr w:rsidR="00000000">
        <w:trPr>
          <w:divId w:val="2027050290"/>
          <w:trHeight w:val="245"/>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2027050290"/>
          <w:trHeight w:val="245"/>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27050290"/>
          <w:trHeight w:val="245"/>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1,525,65</w:t>
            </w:r>
            <w:r>
              <w:rPr>
                <w:sz w:val="18"/>
                <w:szCs w:val="18"/>
              </w:rPr>
              <w:t>1</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1,717,22</w:t>
            </w:r>
            <w:r>
              <w:rPr>
                <w:sz w:val="18"/>
                <w:szCs w:val="18"/>
              </w:rPr>
              <w:t>3</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1,448,46</w:t>
            </w:r>
            <w:r>
              <w:rPr>
                <w:sz w:val="18"/>
                <w:szCs w:val="18"/>
              </w:rPr>
              <w:t>5</w:t>
            </w:r>
            <w:r>
              <w:rPr>
                <w:sz w:val="18"/>
                <w:szCs w:val="18"/>
              </w:rPr>
              <w:t> </w:t>
            </w:r>
          </w:p>
        </w:tc>
      </w:tr>
      <w:tr w:rsidR="00000000">
        <w:trPr>
          <w:divId w:val="2027050290"/>
          <w:trHeight w:val="302"/>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Other comprehensive income (loss)</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27050290"/>
          <w:trHeight w:val="302"/>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Aggregate foreign currency exchange gain (loss</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6,99</w:t>
            </w:r>
            <w:r>
              <w:rPr>
                <w:sz w:val="18"/>
                <w:szCs w:val="18"/>
              </w:rPr>
              <w:t>9</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1,91</w:t>
            </w:r>
            <w:r>
              <w:rPr>
                <w:sz w:val="18"/>
                <w:szCs w:val="18"/>
              </w:rPr>
              <w:t>4</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30,00</w:t>
            </w:r>
            <w:r>
              <w:rPr>
                <w:sz w:val="18"/>
                <w:szCs w:val="18"/>
              </w:rPr>
              <w:t>3</w:t>
            </w:r>
            <w:r>
              <w:rPr>
                <w:sz w:val="18"/>
                <w:szCs w:val="18"/>
              </w:rPr>
              <w:t>)</w:t>
            </w:r>
          </w:p>
        </w:tc>
      </w:tr>
      <w:tr w:rsidR="00000000">
        <w:trPr>
          <w:divId w:val="2027050290"/>
          <w:trHeight w:val="302"/>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Adjust for foreign currency exchange loss reflecte</w:t>
            </w:r>
            <w:r>
              <w:rPr>
                <w:sz w:val="18"/>
                <w:szCs w:val="18"/>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27050290"/>
          <w:trHeight w:val="245"/>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in gain on sale of real estate and gain on Shurgar</w:t>
            </w:r>
            <w:r>
              <w:rPr>
                <w:sz w:val="18"/>
                <w:szCs w:val="18"/>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27050290"/>
          <w:trHeight w:val="245"/>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public offerin</w:t>
            </w:r>
            <w:r>
              <w:rPr>
                <w:sz w:val="18"/>
                <w:szCs w:val="18"/>
              </w:rPr>
              <w:t>g</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27,20</w:t>
            </w:r>
            <w:r>
              <w:rPr>
                <w:sz w:val="18"/>
                <w:szCs w:val="18"/>
              </w:rPr>
              <w:t>7</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2027050290"/>
          <w:trHeight w:val="302"/>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Adjust for aggregate foreign currency exchang</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27050290"/>
          <w:trHeight w:val="259"/>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(gain) loss included in net incom</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7,82</w:t>
            </w:r>
            <w:r>
              <w:rPr>
                <w:sz w:val="18"/>
                <w:szCs w:val="18"/>
              </w:rPr>
              <w:t>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18,11</w:t>
            </w:r>
            <w:r>
              <w:rPr>
                <w:sz w:val="18"/>
                <w:szCs w:val="18"/>
              </w:rPr>
              <w:t>7</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50,04</w:t>
            </w:r>
            <w:r>
              <w:rPr>
                <w:sz w:val="18"/>
                <w:szCs w:val="18"/>
              </w:rPr>
              <w:t>5</w:t>
            </w:r>
            <w:r>
              <w:rPr>
                <w:sz w:val="18"/>
                <w:szCs w:val="18"/>
              </w:rPr>
              <w:t> </w:t>
            </w:r>
          </w:p>
        </w:tc>
      </w:tr>
      <w:tr w:rsidR="00000000">
        <w:trPr>
          <w:divId w:val="2027050290"/>
          <w:trHeight w:val="302"/>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Other comprehensive (loss) incom</w:t>
            </w:r>
            <w:r>
              <w:rPr>
                <w:sz w:val="18"/>
                <w:szCs w:val="18"/>
              </w:rPr>
              <w:t>e</w:t>
            </w: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83</w:t>
            </w:r>
            <w:r>
              <w:rPr>
                <w:sz w:val="18"/>
                <w:szCs w:val="18"/>
              </w:rPr>
              <w:t>0</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11,00</w:t>
            </w:r>
            <w:r>
              <w:rPr>
                <w:sz w:val="18"/>
                <w:szCs w:val="18"/>
              </w:rPr>
              <w:t>4</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20,04</w:t>
            </w:r>
            <w:r>
              <w:rPr>
                <w:sz w:val="18"/>
                <w:szCs w:val="18"/>
              </w:rPr>
              <w:t>2</w:t>
            </w:r>
            <w:r>
              <w:rPr>
                <w:sz w:val="18"/>
                <w:szCs w:val="18"/>
              </w:rPr>
              <w:t> </w:t>
            </w:r>
          </w:p>
        </w:tc>
      </w:tr>
      <w:tr w:rsidR="00000000">
        <w:trPr>
          <w:divId w:val="2027050290"/>
          <w:trHeight w:val="245"/>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Total comprehensive income</w:t>
            </w:r>
            <w:r>
              <w:rPr>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1,524,82</w:t>
            </w:r>
            <w:r>
              <w:rPr>
                <w:sz w:val="18"/>
                <w:szCs w:val="18"/>
              </w:rPr>
              <w:t>1</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1,728,22</w:t>
            </w:r>
            <w:r>
              <w:rPr>
                <w:sz w:val="18"/>
                <w:szCs w:val="18"/>
              </w:rPr>
              <w:t>7</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1,468,50</w:t>
            </w:r>
            <w:r>
              <w:rPr>
                <w:sz w:val="18"/>
                <w:szCs w:val="18"/>
              </w:rPr>
              <w:t>7</w:t>
            </w:r>
            <w:r>
              <w:rPr>
                <w:sz w:val="18"/>
                <w:szCs w:val="18"/>
              </w:rPr>
              <w:t> </w:t>
            </w:r>
          </w:p>
        </w:tc>
      </w:tr>
      <w:tr w:rsidR="00000000">
        <w:trPr>
          <w:divId w:val="2027050290"/>
          <w:trHeight w:val="245"/>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5,11</w:t>
            </w:r>
            <w:r>
              <w:rPr>
                <w:sz w:val="18"/>
                <w:szCs w:val="18"/>
              </w:rPr>
              <w:t>7</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6,19</w:t>
            </w:r>
            <w:r>
              <w:rPr>
                <w:sz w:val="18"/>
                <w:szCs w:val="18"/>
              </w:rPr>
              <w:t>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6,24</w:t>
            </w:r>
            <w:r>
              <w:rPr>
                <w:sz w:val="18"/>
                <w:szCs w:val="18"/>
              </w:rPr>
              <w:t>8</w:t>
            </w:r>
            <w:r>
              <w:rPr>
                <w:sz w:val="18"/>
                <w:szCs w:val="18"/>
              </w:rPr>
              <w:t>)</w:t>
            </w:r>
          </w:p>
        </w:tc>
      </w:tr>
      <w:tr w:rsidR="00000000">
        <w:trPr>
          <w:divId w:val="2027050290"/>
          <w:trHeight w:val="302"/>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Comprehensive income allocable t</w:t>
            </w:r>
            <w:r>
              <w:rPr>
                <w:sz w:val="18"/>
                <w:szCs w:val="18"/>
              </w:rPr>
              <w:t>o</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27050290"/>
          <w:trHeight w:val="259"/>
        </w:trPr>
        <w:tc>
          <w:tcPr>
            <w:tcW w:w="2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Public Storage shareholders</w:t>
            </w:r>
            <w:r>
              <w:rPr>
                <w:sz w:val="18"/>
                <w:szCs w:val="18"/>
              </w:rPr>
              <w:t xml:space="preserve">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1,519,70</w:t>
            </w:r>
            <w:r>
              <w:rPr>
                <w:sz w:val="18"/>
                <w:szCs w:val="18"/>
              </w:rPr>
              <w:t>4</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7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1,722,03</w:t>
            </w:r>
            <w:r>
              <w:rPr>
                <w:sz w:val="18"/>
                <w:szCs w:val="18"/>
              </w:rPr>
              <w:t>5</w:t>
            </w:r>
            <w:r>
              <w:rPr>
                <w:sz w:val="18"/>
                <w:szCs w:val="18"/>
              </w:rPr>
              <w:t>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7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1,462,25</w:t>
            </w:r>
            <w:r>
              <w:rPr>
                <w:sz w:val="18"/>
                <w:szCs w:val="18"/>
              </w:rPr>
              <w:t>9</w:t>
            </w:r>
            <w:r>
              <w:rPr>
                <w:sz w:val="18"/>
                <w:szCs w:val="18"/>
              </w:rPr>
              <w:t> </w:t>
            </w:r>
          </w:p>
        </w:tc>
      </w:tr>
    </w:tbl>
    <w:p w:rsidR="00000000" w:rsidRDefault="00865332">
      <w:pPr>
        <w:pStyle w:val="a3"/>
        <w:spacing w:before="0" w:beforeAutospacing="0" w:after="0" w:afterAutospacing="0" w:line="259" w:lineRule="auto"/>
        <w:jc w:val="center"/>
        <w:divId w:val="1997220529"/>
        <w:rPr>
          <w:sz w:val="20"/>
          <w:szCs w:val="20"/>
        </w:rPr>
      </w:pPr>
      <w:r>
        <w:rPr>
          <w:sz w:val="20"/>
          <w:szCs w:val="20"/>
        </w:rPr>
        <w:t>See accompanying notes</w:t>
      </w:r>
      <w:r>
        <w:rPr>
          <w:sz w:val="20"/>
          <w:szCs w:val="20"/>
        </w:rPr>
        <w:t>.</w:t>
      </w:r>
    </w:p>
    <w:p w:rsidR="00000000" w:rsidRDefault="00865332">
      <w:pPr>
        <w:pStyle w:val="a3"/>
        <w:spacing w:before="0" w:beforeAutospacing="0" w:after="0" w:afterAutospacing="0" w:line="259" w:lineRule="auto"/>
        <w:jc w:val="center"/>
        <w:divId w:val="1997220529"/>
        <w:rPr>
          <w:sz w:val="20"/>
          <w:szCs w:val="20"/>
        </w:rPr>
      </w:pPr>
      <w:r>
        <w:rPr>
          <w:sz w:val="20"/>
          <w:szCs w:val="20"/>
        </w:rPr>
        <w:t>F</w:t>
      </w:r>
      <w:r>
        <w:rPr>
          <w:sz w:val="20"/>
          <w:szCs w:val="20"/>
        </w:rPr>
        <w:t>-</w:t>
      </w:r>
      <w:r>
        <w:rPr>
          <w:rStyle w:val="ctheaderfooterpage"/>
          <w:sz w:val="20"/>
          <w:szCs w:val="20"/>
        </w:rPr>
        <w:t>5</w:t>
      </w:r>
    </w:p>
    <w:p w:rsidR="00000000" w:rsidRDefault="00865332">
      <w:pPr>
        <w:spacing w:before="360" w:after="360"/>
        <w:divId w:val="1945652592"/>
        <w:rPr>
          <w:rFonts w:eastAsia="Times New Roman"/>
        </w:rPr>
      </w:pPr>
      <w:r>
        <w:rPr>
          <w:rFonts w:eastAsia="Times New Roman"/>
        </w:rPr>
        <w:pict>
          <v:rect id="_x0000_i1100" style="width:0;height:1.5pt" o:hralign="center" o:hrstd="t" o:hr="t" fillcolor="#a0a0a0" stroked="f"/>
        </w:pict>
      </w:r>
    </w:p>
    <w:p w:rsidR="00000000" w:rsidRDefault="00865332">
      <w:pPr>
        <w:pStyle w:val="a3"/>
        <w:spacing w:before="0" w:beforeAutospacing="0" w:after="0" w:afterAutospacing="0" w:line="259" w:lineRule="auto"/>
        <w:jc w:val="center"/>
        <w:divId w:val="1681272952"/>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681272952"/>
        <w:rPr>
          <w:sz w:val="20"/>
          <w:szCs w:val="20"/>
        </w:rPr>
      </w:pPr>
      <w:r>
        <w:rPr>
          <w:b/>
          <w:bCs/>
          <w:sz w:val="20"/>
          <w:szCs w:val="20"/>
        </w:rPr>
        <w:t>STATEMENTS OF EQUIT</w:t>
      </w:r>
      <w:r>
        <w:rPr>
          <w:b/>
          <w:bCs/>
          <w:sz w:val="20"/>
          <w:szCs w:val="20"/>
        </w:rPr>
        <w:t>Y</w:t>
      </w:r>
    </w:p>
    <w:p w:rsidR="00000000" w:rsidRDefault="00865332">
      <w:pPr>
        <w:pStyle w:val="a3"/>
        <w:spacing w:before="0" w:beforeAutospacing="0" w:after="0" w:afterAutospacing="0" w:line="259" w:lineRule="auto"/>
        <w:jc w:val="center"/>
        <w:divId w:val="1681272952"/>
        <w:rPr>
          <w:sz w:val="20"/>
          <w:szCs w:val="20"/>
        </w:rPr>
      </w:pPr>
      <w:r>
        <w:rPr>
          <w:b/>
          <w:bCs/>
          <w:sz w:val="20"/>
          <w:szCs w:val="20"/>
        </w:rPr>
        <w:t>(Amounts in thousands, except share and per share amounts</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8"/>
        <w:gridCol w:w="553"/>
        <w:gridCol w:w="6"/>
        <w:gridCol w:w="90"/>
        <w:gridCol w:w="765"/>
        <w:gridCol w:w="6"/>
        <w:gridCol w:w="113"/>
        <w:gridCol w:w="847"/>
        <w:gridCol w:w="6"/>
        <w:gridCol w:w="158"/>
        <w:gridCol w:w="972"/>
        <w:gridCol w:w="6"/>
        <w:gridCol w:w="117"/>
        <w:gridCol w:w="883"/>
        <w:gridCol w:w="6"/>
        <w:gridCol w:w="160"/>
        <w:gridCol w:w="940"/>
        <w:gridCol w:w="6"/>
        <w:gridCol w:w="90"/>
        <w:gridCol w:w="840"/>
      </w:tblGrid>
      <w:tr w:rsidR="00000000">
        <w:trPr>
          <w:divId w:val="1261985482"/>
          <w:trHeight w:val="14"/>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45"/>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45"/>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45"/>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45"/>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1261985482"/>
          <w:trHeight w:val="245"/>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Balances at December 31, 201</w:t>
            </w:r>
            <w:r>
              <w:rPr>
                <w:b/>
                <w:bCs/>
                <w:sz w:val="18"/>
                <w:szCs w:val="18"/>
              </w:rPr>
              <w:t>6</w:t>
            </w: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3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4,367,50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2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17,32</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3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5,609,76</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487,58</w:t>
            </w:r>
            <w:r>
              <w:rPr>
                <w:color w:val="000000"/>
                <w:sz w:val="18"/>
                <w:szCs w:val="18"/>
              </w:rPr>
              <w:t>1</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3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95,10</w:t>
            </w:r>
            <w:r>
              <w:rPr>
                <w:color w:val="000000"/>
                <w:sz w:val="18"/>
                <w:szCs w:val="18"/>
              </w:rPr>
              <w:t>6</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9,411,91</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29,74</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9,441,65</w:t>
            </w:r>
            <w:r>
              <w:rPr>
                <w:color w:val="000000"/>
                <w:sz w:val="18"/>
                <w:szCs w:val="18"/>
              </w:rPr>
              <w:t>4</w:t>
            </w:r>
            <w:r>
              <w:rPr>
                <w:color w:val="000000"/>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Issuance of</w:t>
            </w:r>
            <w:r>
              <w:rPr>
                <w:sz w:val="18"/>
                <w:szCs w:val="18"/>
              </w:rPr>
              <w:t xml:space="preserve"> </w:t>
            </w:r>
            <w:r>
              <w:rPr>
                <w:sz w:val="18"/>
                <w:szCs w:val="18"/>
              </w:rPr>
              <w:t>23,20</w:t>
            </w:r>
            <w:r>
              <w:rPr>
                <w:sz w:val="18"/>
                <w:szCs w:val="18"/>
              </w:rPr>
              <w:t>0</w:t>
            </w:r>
            <w:r>
              <w:rPr>
                <w:sz w:val="18"/>
                <w:szCs w:val="18"/>
              </w:rPr>
              <w:t xml:space="preserve"> preferred shares (Note 8)</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580,00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18,82</w:t>
            </w:r>
            <w:r>
              <w:rPr>
                <w:color w:val="000000"/>
                <w:sz w:val="18"/>
                <w:szCs w:val="18"/>
              </w:rPr>
              <w:t>3</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561,17</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561,17</w:t>
            </w:r>
            <w:r>
              <w:rPr>
                <w:sz w:val="18"/>
                <w:szCs w:val="18"/>
              </w:rPr>
              <w:t>7</w:t>
            </w:r>
            <w:r>
              <w:rPr>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36,90</w:t>
            </w:r>
            <w:r>
              <w:rPr>
                <w:sz w:val="18"/>
                <w:szCs w:val="18"/>
              </w:rPr>
              <w:t>0</w:t>
            </w:r>
            <w:r>
              <w:rPr>
                <w:sz w:val="18"/>
                <w:szCs w:val="18"/>
              </w:rPr>
              <w:t xml:space="preserve"> preferred shares (Note 8)</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922,50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922,50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922,50</w:t>
            </w:r>
            <w:r>
              <w:rPr>
                <w:sz w:val="18"/>
                <w:szCs w:val="18"/>
              </w:rPr>
              <w:t>0</w:t>
            </w: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564,58</w:t>
            </w:r>
            <w:r>
              <w:rPr>
                <w:sz w:val="18"/>
                <w:szCs w:val="18"/>
              </w:rPr>
              <w:t>3</w:t>
            </w:r>
            <w:r>
              <w:rPr>
                <w:sz w:val="18"/>
                <w:szCs w:val="18"/>
              </w:rPr>
              <w:t xml:space="preserve"> shares) (Note 10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42,44</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42,50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42,50</w:t>
            </w:r>
            <w:r>
              <w:rPr>
                <w:sz w:val="18"/>
                <w:szCs w:val="18"/>
              </w:rPr>
              <w:t>0</w:t>
            </w:r>
            <w:r>
              <w:rPr>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paid in lieu of common shares (Note 10)</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22,71</w:t>
            </w: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22,71</w:t>
            </w: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22,71</w:t>
            </w:r>
            <w:r>
              <w:rPr>
                <w:sz w:val="18"/>
                <w:szCs w:val="18"/>
              </w:rPr>
              <w:t>1</w:t>
            </w:r>
            <w:r>
              <w:rPr>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Acquisition of noncontrolling 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7,70</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7,70</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6,72</w:t>
            </w:r>
            <w:r>
              <w:rPr>
                <w:color w:val="000000"/>
                <w:sz w:val="18"/>
                <w:szCs w:val="18"/>
              </w:rPr>
              <w:t>4</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14,42</w:t>
            </w:r>
            <w:r>
              <w:rPr>
                <w:sz w:val="18"/>
                <w:szCs w:val="18"/>
              </w:rPr>
              <w:t>5</w:t>
            </w: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2,48</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2,48</w:t>
            </w:r>
            <w:r>
              <w:rPr>
                <w:sz w:val="18"/>
                <w:szCs w:val="18"/>
              </w:rPr>
              <w:t>4</w:t>
            </w:r>
            <w:r>
              <w:rPr>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1,448,46</w:t>
            </w:r>
            <w:r>
              <w:rPr>
                <w:color w:val="000000"/>
                <w:sz w:val="18"/>
                <w:szCs w:val="18"/>
              </w:rPr>
              <w:t>5</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1,448,46</w:t>
            </w:r>
            <w:r>
              <w:rPr>
                <w:color w:val="000000"/>
                <w:sz w:val="18"/>
                <w:szCs w:val="18"/>
              </w:rPr>
              <w:t>5</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1,448,46</w:t>
            </w:r>
            <w:r>
              <w:rPr>
                <w:sz w:val="18"/>
                <w:szCs w:val="18"/>
              </w:rPr>
              <w:t>5</w:t>
            </w:r>
            <w:r>
              <w:rPr>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6,24</w:t>
            </w:r>
            <w:r>
              <w:rPr>
                <w:color w:val="000000"/>
                <w:sz w:val="18"/>
                <w:szCs w:val="18"/>
              </w:rPr>
              <w:t>8</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6,24</w:t>
            </w:r>
            <w:r>
              <w:rPr>
                <w:color w:val="000000"/>
                <w:sz w:val="18"/>
                <w:szCs w:val="18"/>
              </w:rPr>
              <w:t>8</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6,24</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Distributions to equity holders</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Preferred shares (Note 8)</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236,53</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236,53</w:t>
            </w:r>
            <w:r>
              <w:rPr>
                <w:color w:val="000000"/>
                <w:sz w:val="18"/>
                <w:szCs w:val="18"/>
              </w:rPr>
              <w:t>5</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236,53</w:t>
            </w:r>
            <w:r>
              <w:rPr>
                <w:sz w:val="18"/>
                <w:szCs w:val="18"/>
              </w:rPr>
              <w:t>5</w:t>
            </w: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7,39</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7,39</w:t>
            </w:r>
            <w:r>
              <w:rPr>
                <w:sz w:val="18"/>
                <w:szCs w:val="18"/>
              </w:rPr>
              <w:t>2</w:t>
            </w: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8.0</w:t>
            </w:r>
            <w:r>
              <w:rPr>
                <w:sz w:val="18"/>
                <w:szCs w:val="18"/>
              </w:rPr>
              <w:t>0</w:t>
            </w:r>
            <w:r>
              <w:rPr>
                <w:sz w:val="18"/>
                <w:szCs w:val="18"/>
              </w:rPr>
              <w:t xml:space="preserve"> per share)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1,393,81</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1,393,81</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1,393,81</w:t>
            </w:r>
            <w:r>
              <w:rPr>
                <w:sz w:val="18"/>
                <w:szCs w:val="18"/>
              </w:rPr>
              <w:t>2</w:t>
            </w: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Other comprehensive income (Note 2)</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20,04</w:t>
            </w: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20,04</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20,04</w:t>
            </w:r>
            <w:r>
              <w:rPr>
                <w:sz w:val="18"/>
                <w:szCs w:val="18"/>
              </w:rPr>
              <w:t>2</w:t>
            </w:r>
            <w:r>
              <w:rPr>
                <w:sz w:val="18"/>
                <w:szCs w:val="18"/>
              </w:rPr>
              <w:t> </w:t>
            </w:r>
          </w:p>
        </w:tc>
      </w:tr>
      <w:tr w:rsidR="00000000">
        <w:trPr>
          <w:divId w:val="1261985482"/>
          <w:trHeight w:val="302"/>
        </w:trPr>
        <w:tc>
          <w:tcPr>
            <w:tcW w:w="15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18"/>
                <w:szCs w:val="18"/>
              </w:rPr>
            </w:pPr>
            <w:r>
              <w:rPr>
                <w:b/>
                <w:bCs/>
                <w:sz w:val="18"/>
                <w:szCs w:val="18"/>
              </w:rPr>
              <w:t>Balances at December 31, 201</w:t>
            </w:r>
            <w:r>
              <w:rPr>
                <w:b/>
                <w:bCs/>
                <w:sz w:val="18"/>
                <w:szCs w:val="18"/>
              </w:rPr>
              <w:t>7</w:t>
            </w: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4,025,00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2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17,38</w:t>
            </w:r>
            <w:r>
              <w:rPr>
                <w:color w:val="000000"/>
                <w:sz w:val="18"/>
                <w:szCs w:val="18"/>
              </w:rPr>
              <w:t>5</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5,648,39</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675,71</w:t>
            </w:r>
            <w:r>
              <w:rPr>
                <w:color w:val="000000"/>
                <w:sz w:val="18"/>
                <w:szCs w:val="18"/>
              </w:rPr>
              <w:t>1</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75,06</w:t>
            </w:r>
            <w:r>
              <w:rPr>
                <w:color w:val="000000"/>
                <w:sz w:val="18"/>
                <w:szCs w:val="18"/>
              </w:rPr>
              <w:t>4</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8,940,00</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24,36</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8,964,36</w:t>
            </w:r>
            <w:r>
              <w:rPr>
                <w:color w:val="000000"/>
                <w:sz w:val="18"/>
                <w:szCs w:val="18"/>
              </w:rPr>
              <w:t>9</w:t>
            </w:r>
            <w:r>
              <w:rPr>
                <w:color w:val="000000"/>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277,51</w:t>
            </w:r>
            <w:r>
              <w:rPr>
                <w:sz w:val="18"/>
                <w:szCs w:val="18"/>
              </w:rPr>
              <w:t>1</w:t>
            </w:r>
            <w:r>
              <w:rPr>
                <w:sz w:val="18"/>
                <w:szCs w:val="18"/>
              </w:rPr>
              <w:t xml:space="preserve"> shares) (Note 10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8</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12,49</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12,52</w:t>
            </w:r>
            <w:r>
              <w:rPr>
                <w:color w:val="000000"/>
                <w:sz w:val="18"/>
                <w:szCs w:val="18"/>
              </w:rPr>
              <w:t>5</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12,52</w:t>
            </w:r>
            <w:r>
              <w:rPr>
                <w:sz w:val="18"/>
                <w:szCs w:val="18"/>
              </w:rPr>
              <w:t>5</w:t>
            </w:r>
            <w:r>
              <w:rPr>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paid in lieu of common shares (Note 10)</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57,58</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57,58</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57,58</w:t>
            </w:r>
            <w:r>
              <w:rPr>
                <w:sz w:val="18"/>
                <w:szCs w:val="18"/>
              </w:rPr>
              <w:t>9</w:t>
            </w:r>
            <w:r>
              <w:rPr>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1,72</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1,72</w:t>
            </w:r>
            <w:r>
              <w:rPr>
                <w:sz w:val="18"/>
                <w:szCs w:val="18"/>
              </w:rPr>
              <w:t>0</w:t>
            </w:r>
            <w:r>
              <w:rPr>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1,717,22</w:t>
            </w:r>
            <w:r>
              <w:rPr>
                <w:color w:val="000000"/>
                <w:sz w:val="18"/>
                <w:szCs w:val="18"/>
              </w:rPr>
              <w:t>3</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1,717,22</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1,717,22</w:t>
            </w:r>
            <w:r>
              <w:rPr>
                <w:sz w:val="18"/>
                <w:szCs w:val="18"/>
              </w:rPr>
              <w:t>3</w:t>
            </w:r>
            <w:r>
              <w:rPr>
                <w:sz w:val="18"/>
                <w:szCs w:val="18"/>
              </w:rPr>
              <w:t> </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6,19</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6,19</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6,19</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Distributions to equity holders</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Preferred shares (Note 8)</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216,31</w:t>
            </w:r>
            <w:r>
              <w:rPr>
                <w:color w:val="000000"/>
                <w:sz w:val="18"/>
                <w:szCs w:val="18"/>
              </w:rPr>
              <w:t>6</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216,31</w:t>
            </w:r>
            <w:r>
              <w:rPr>
                <w:color w:val="000000"/>
                <w:sz w:val="18"/>
                <w:szCs w:val="18"/>
              </w:rPr>
              <w:t>6</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216,31</w:t>
            </w:r>
            <w:r>
              <w:rPr>
                <w:sz w:val="18"/>
                <w:szCs w:val="18"/>
              </w:rPr>
              <w:t>6</w:t>
            </w: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7,02</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7,02</w:t>
            </w:r>
            <w:r>
              <w:rPr>
                <w:sz w:val="18"/>
                <w:szCs w:val="18"/>
              </w:rPr>
              <w:t>2</w:t>
            </w: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8.0</w:t>
            </w:r>
            <w:r>
              <w:rPr>
                <w:sz w:val="18"/>
                <w:szCs w:val="18"/>
              </w:rPr>
              <w:t>0</w:t>
            </w:r>
            <w:r>
              <w:rPr>
                <w:sz w:val="18"/>
                <w:szCs w:val="18"/>
              </w:rPr>
              <w:t xml:space="preserve"> </w:t>
            </w:r>
            <w:r>
              <w:rPr>
                <w:sz w:val="18"/>
                <w:szCs w:val="18"/>
              </w:rPr>
              <w:t>per share)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1,396,36</w:t>
            </w:r>
            <w:r>
              <w:rPr>
                <w:color w:val="000000"/>
                <w:sz w:val="18"/>
                <w:szCs w:val="18"/>
              </w:rPr>
              <w:t>4</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1,396,36</w:t>
            </w:r>
            <w:r>
              <w:rPr>
                <w:color w:val="000000"/>
                <w:sz w:val="18"/>
                <w:szCs w:val="18"/>
              </w:rPr>
              <w:t>4</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1,396,36</w:t>
            </w:r>
            <w:r>
              <w:rPr>
                <w:sz w:val="18"/>
                <w:szCs w:val="18"/>
              </w:rPr>
              <w:t>4</w:t>
            </w:r>
            <w:r>
              <w:rPr>
                <w:sz w:val="18"/>
                <w:szCs w:val="18"/>
              </w:rPr>
              <w:t>)</w:t>
            </w:r>
          </w:p>
        </w:tc>
      </w:tr>
      <w:tr w:rsidR="00000000">
        <w:trPr>
          <w:divId w:val="1261985482"/>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536822049"/>
        <w:rPr>
          <w:sz w:val="20"/>
          <w:szCs w:val="20"/>
        </w:rPr>
      </w:pPr>
      <w:r>
        <w:rPr>
          <w:sz w:val="20"/>
          <w:szCs w:val="20"/>
        </w:rPr>
        <w:t>See accompanying notes</w:t>
      </w:r>
      <w:r>
        <w:rPr>
          <w:sz w:val="20"/>
          <w:szCs w:val="20"/>
        </w:rPr>
        <w:t>.</w:t>
      </w:r>
    </w:p>
    <w:p w:rsidR="00000000" w:rsidRDefault="00865332">
      <w:pPr>
        <w:pStyle w:val="a3"/>
        <w:spacing w:before="0" w:beforeAutospacing="0" w:after="0" w:afterAutospacing="0" w:line="259" w:lineRule="auto"/>
        <w:jc w:val="center"/>
        <w:divId w:val="536822049"/>
        <w:rPr>
          <w:sz w:val="20"/>
          <w:szCs w:val="20"/>
        </w:rPr>
      </w:pPr>
      <w:r>
        <w:rPr>
          <w:sz w:val="20"/>
          <w:szCs w:val="20"/>
        </w:rPr>
        <w:t>F</w:t>
      </w:r>
      <w:r>
        <w:rPr>
          <w:sz w:val="20"/>
          <w:szCs w:val="20"/>
        </w:rPr>
        <w:t>-</w:t>
      </w:r>
      <w:r>
        <w:rPr>
          <w:rStyle w:val="ctheaderfooterpage"/>
          <w:sz w:val="20"/>
          <w:szCs w:val="20"/>
        </w:rPr>
        <w:t>6</w:t>
      </w:r>
    </w:p>
    <w:p w:rsidR="00000000" w:rsidRDefault="00865332">
      <w:pPr>
        <w:spacing w:before="360" w:after="360"/>
        <w:divId w:val="305670581"/>
        <w:rPr>
          <w:rFonts w:eastAsia="Times New Roman"/>
        </w:rPr>
      </w:pPr>
      <w:r>
        <w:rPr>
          <w:rFonts w:eastAsia="Times New Roman"/>
        </w:rPr>
        <w:pict>
          <v:rect id="_x0000_i1101" style="width:0;height:1.5pt" o:hralign="center" o:hrstd="t" o:hr="t" fillcolor="#a0a0a0" stroked="f"/>
        </w:pict>
      </w:r>
    </w:p>
    <w:p w:rsidR="00000000" w:rsidRDefault="00865332">
      <w:pPr>
        <w:pStyle w:val="a3"/>
        <w:spacing w:before="0" w:beforeAutospacing="0" w:after="0" w:afterAutospacing="0" w:line="259" w:lineRule="auto"/>
        <w:jc w:val="center"/>
        <w:divId w:val="834030261"/>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834030261"/>
        <w:rPr>
          <w:sz w:val="20"/>
          <w:szCs w:val="20"/>
        </w:rPr>
      </w:pPr>
      <w:r>
        <w:rPr>
          <w:b/>
          <w:bCs/>
          <w:sz w:val="20"/>
          <w:szCs w:val="20"/>
        </w:rPr>
        <w:t>STATEMENTS OF EQUIT</w:t>
      </w:r>
      <w:r>
        <w:rPr>
          <w:b/>
          <w:bCs/>
          <w:sz w:val="20"/>
          <w:szCs w:val="20"/>
        </w:rPr>
        <w:t>Y</w:t>
      </w:r>
    </w:p>
    <w:p w:rsidR="00000000" w:rsidRDefault="00865332">
      <w:pPr>
        <w:pStyle w:val="a3"/>
        <w:spacing w:before="0" w:beforeAutospacing="0" w:after="0" w:afterAutospacing="0" w:line="259" w:lineRule="auto"/>
        <w:jc w:val="center"/>
        <w:divId w:val="834030261"/>
        <w:rPr>
          <w:sz w:val="20"/>
          <w:szCs w:val="20"/>
        </w:rPr>
      </w:pPr>
      <w:r>
        <w:rPr>
          <w:b/>
          <w:bCs/>
          <w:sz w:val="20"/>
          <w:szCs w:val="20"/>
        </w:rPr>
        <w:t>(Amounts in thousands, except share and per share amounts</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840"/>
        <w:gridCol w:w="6"/>
        <w:gridCol w:w="118"/>
        <w:gridCol w:w="553"/>
        <w:gridCol w:w="6"/>
        <w:gridCol w:w="90"/>
        <w:gridCol w:w="765"/>
        <w:gridCol w:w="6"/>
        <w:gridCol w:w="113"/>
        <w:gridCol w:w="847"/>
        <w:gridCol w:w="6"/>
        <w:gridCol w:w="158"/>
        <w:gridCol w:w="972"/>
        <w:gridCol w:w="6"/>
        <w:gridCol w:w="117"/>
        <w:gridCol w:w="883"/>
        <w:gridCol w:w="6"/>
        <w:gridCol w:w="160"/>
        <w:gridCol w:w="940"/>
        <w:gridCol w:w="6"/>
        <w:gridCol w:w="90"/>
        <w:gridCol w:w="840"/>
      </w:tblGrid>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Other comprehensive income (Note 2)</w:t>
            </w:r>
            <w:r>
              <w:rPr>
                <w:sz w:val="18"/>
                <w:szCs w:val="18"/>
              </w:rPr>
              <w:t xml:space="preserve"> </w:t>
            </w: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11,00</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11,00</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11,00</w:t>
            </w:r>
            <w:r>
              <w:rPr>
                <w:sz w:val="18"/>
                <w:szCs w:val="18"/>
              </w:rPr>
              <w:t>4</w:t>
            </w:r>
            <w:r>
              <w:rPr>
                <w:sz w:val="18"/>
                <w:szCs w:val="18"/>
              </w:rPr>
              <w:t> </w:t>
            </w:r>
          </w:p>
        </w:tc>
      </w:tr>
      <w:tr w:rsidR="00000000">
        <w:trPr>
          <w:divId w:val="1615820387"/>
          <w:trHeight w:val="302"/>
        </w:trPr>
        <w:tc>
          <w:tcPr>
            <w:tcW w:w="15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18"/>
                <w:szCs w:val="18"/>
              </w:rPr>
            </w:pPr>
            <w:r>
              <w:rPr>
                <w:b/>
                <w:bCs/>
                <w:sz w:val="18"/>
                <w:szCs w:val="18"/>
              </w:rPr>
              <w:t>Balances at December 31, 201</w:t>
            </w:r>
            <w:r>
              <w:rPr>
                <w:b/>
                <w:bCs/>
                <w:sz w:val="18"/>
                <w:szCs w:val="18"/>
              </w:rPr>
              <w:t>8</w:t>
            </w: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2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17,41</w:t>
            </w:r>
            <w:r>
              <w:rPr>
                <w:sz w:val="18"/>
                <w:szCs w:val="18"/>
              </w:rPr>
              <w:t>3</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5,718,48</w:t>
            </w:r>
            <w:r>
              <w:rPr>
                <w:sz w:val="18"/>
                <w:szCs w:val="18"/>
              </w:rPr>
              <w:t>5</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577,36</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64,06</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9,119,47</w:t>
            </w:r>
            <w:r>
              <w:rPr>
                <w:sz w:val="18"/>
                <w:szCs w:val="18"/>
              </w:rPr>
              <w:t>8</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25,25</w:t>
            </w:r>
            <w:r>
              <w:rPr>
                <w:sz w:val="18"/>
                <w:szCs w:val="18"/>
              </w:rPr>
              <w:t>0</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9,144,72</w:t>
            </w:r>
            <w:r>
              <w:rPr>
                <w:sz w:val="18"/>
                <w:szCs w:val="18"/>
              </w:rPr>
              <w:t>8</w:t>
            </w:r>
            <w:r>
              <w:rPr>
                <w:sz w:val="18"/>
                <w:szCs w:val="18"/>
              </w:rPr>
              <w:t> </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Issuance of</w:t>
            </w:r>
            <w:r>
              <w:rPr>
                <w:sz w:val="18"/>
                <w:szCs w:val="18"/>
              </w:rPr>
              <w:t xml:space="preserve"> </w:t>
            </w:r>
            <w:r>
              <w:rPr>
                <w:sz w:val="18"/>
                <w:szCs w:val="18"/>
              </w:rPr>
              <w:t>43,60</w:t>
            </w:r>
            <w:r>
              <w:rPr>
                <w:sz w:val="18"/>
                <w:szCs w:val="18"/>
              </w:rPr>
              <w:t>0</w:t>
            </w:r>
            <w:r>
              <w:rPr>
                <w:sz w:val="18"/>
                <w:szCs w:val="18"/>
              </w:rPr>
              <w:t xml:space="preserve"> </w:t>
            </w:r>
            <w:r>
              <w:rPr>
                <w:sz w:val="18"/>
                <w:szCs w:val="18"/>
              </w:rPr>
              <w:t>preferred shares (Note 8)</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1,090,00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30,84</w:t>
            </w:r>
            <w:r>
              <w:rPr>
                <w:color w:val="000000"/>
                <w:sz w:val="18"/>
                <w:szCs w:val="18"/>
              </w:rPr>
              <w:t>4</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1,059,15</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1,059,15</w:t>
            </w:r>
            <w:r>
              <w:rPr>
                <w:sz w:val="18"/>
                <w:szCs w:val="18"/>
              </w:rPr>
              <w:t>6</w:t>
            </w:r>
            <w:r>
              <w:rPr>
                <w:sz w:val="18"/>
                <w:szCs w:val="18"/>
              </w:rPr>
              <w:t> </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42,00</w:t>
            </w:r>
            <w:r>
              <w:rPr>
                <w:sz w:val="18"/>
                <w:szCs w:val="18"/>
              </w:rPr>
              <w:t>0</w:t>
            </w:r>
            <w:r>
              <w:rPr>
                <w:sz w:val="18"/>
                <w:szCs w:val="18"/>
              </w:rPr>
              <w:t xml:space="preserve"> preferred shares (Note 8)</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1,050,00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1,050,00</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1,050,00</w:t>
            </w:r>
            <w:r>
              <w:rPr>
                <w:sz w:val="18"/>
                <w:szCs w:val="18"/>
              </w:rPr>
              <w:t>0</w:t>
            </w:r>
            <w:r>
              <w:rPr>
                <w:sz w:val="18"/>
                <w:szCs w:val="18"/>
              </w:rPr>
              <w:t>)</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287,73</w:t>
            </w:r>
            <w:r>
              <w:rPr>
                <w:sz w:val="18"/>
                <w:szCs w:val="18"/>
              </w:rPr>
              <w:t>4</w:t>
            </w:r>
            <w:r>
              <w:rPr>
                <w:sz w:val="18"/>
                <w:szCs w:val="18"/>
              </w:rPr>
              <w:t xml:space="preserve"> shares) (Note 10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33,53</w:t>
            </w:r>
            <w:r>
              <w:rPr>
                <w:color w:val="000000"/>
                <w:sz w:val="18"/>
                <w:szCs w:val="18"/>
              </w:rPr>
              <w:t>5</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33,56</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33,56</w:t>
            </w:r>
            <w:r>
              <w:rPr>
                <w:sz w:val="18"/>
                <w:szCs w:val="18"/>
              </w:rPr>
              <w:t>4</w:t>
            </w:r>
            <w:r>
              <w:rPr>
                <w:sz w:val="18"/>
                <w:szCs w:val="18"/>
              </w:rPr>
              <w:t> </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paid in lieu of common shares (Note 10)</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13,67</w:t>
            </w: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13,67</w:t>
            </w: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13,67</w:t>
            </w:r>
            <w:r>
              <w:rPr>
                <w:sz w:val="18"/>
                <w:szCs w:val="18"/>
              </w:rPr>
              <w:t>1</w:t>
            </w:r>
            <w:r>
              <w:rPr>
                <w:sz w:val="18"/>
                <w:szCs w:val="18"/>
              </w:rPr>
              <w:t> </w:t>
            </w:r>
          </w:p>
        </w:tc>
      </w:tr>
      <w:tr w:rsidR="00000000">
        <w:trPr>
          <w:divId w:val="1615820387"/>
          <w:trHeight w:val="245"/>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Acquisition of noncontrolling 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23,91</w:t>
            </w:r>
            <w:r>
              <w:rPr>
                <w:color w:val="000000"/>
                <w:sz w:val="18"/>
                <w:szCs w:val="18"/>
              </w:rPr>
              <w:t>3</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23,91</w:t>
            </w:r>
            <w:r>
              <w:rPr>
                <w:color w:val="000000"/>
                <w:sz w:val="18"/>
                <w:szCs w:val="18"/>
              </w:rPr>
              <w:t>3</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11,08</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35,00</w:t>
            </w:r>
            <w:r>
              <w:rPr>
                <w:sz w:val="18"/>
                <w:szCs w:val="18"/>
              </w:rPr>
              <w:t>0</w:t>
            </w:r>
            <w:r>
              <w:rPr>
                <w:sz w:val="18"/>
                <w:szCs w:val="18"/>
              </w:rPr>
              <w:t>)</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4,14</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4,14</w:t>
            </w:r>
            <w:r>
              <w:rPr>
                <w:sz w:val="18"/>
                <w:szCs w:val="18"/>
              </w:rPr>
              <w:t>8</w:t>
            </w:r>
            <w:r>
              <w:rPr>
                <w:sz w:val="18"/>
                <w:szCs w:val="18"/>
              </w:rPr>
              <w:t> </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1,525,65</w:t>
            </w:r>
            <w:r>
              <w:rPr>
                <w:color w:val="000000"/>
                <w:sz w:val="18"/>
                <w:szCs w:val="18"/>
              </w:rPr>
              <w:t>1</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1,525,65</w:t>
            </w: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1,525,65</w:t>
            </w:r>
            <w:r>
              <w:rPr>
                <w:sz w:val="18"/>
                <w:szCs w:val="18"/>
              </w:rPr>
              <w:t>1</w:t>
            </w:r>
            <w:r>
              <w:rPr>
                <w:sz w:val="18"/>
                <w:szCs w:val="18"/>
              </w:rPr>
              <w:t> </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5,11</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5,11</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5,11</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Distributions to</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Preferred shareholders (Note 8)</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210,17</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210,17</w:t>
            </w:r>
            <w:r>
              <w:rPr>
                <w:color w:val="000000"/>
                <w:sz w:val="18"/>
                <w:szCs w:val="18"/>
              </w:rPr>
              <w:t>9</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210,17</w:t>
            </w:r>
            <w:r>
              <w:rPr>
                <w:sz w:val="18"/>
                <w:szCs w:val="18"/>
              </w:rPr>
              <w:t>9</w:t>
            </w:r>
            <w:r>
              <w:rPr>
                <w:sz w:val="18"/>
                <w:szCs w:val="18"/>
              </w:rPr>
              <w:t>)</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6,67</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6,67</w:t>
            </w:r>
            <w:r>
              <w:rPr>
                <w:sz w:val="18"/>
                <w:szCs w:val="18"/>
              </w:rPr>
              <w:t>2</w:t>
            </w:r>
            <w:r>
              <w:rPr>
                <w:sz w:val="18"/>
                <w:szCs w:val="18"/>
              </w:rPr>
              <w:t>)</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8.0</w:t>
            </w:r>
            <w:r>
              <w:rPr>
                <w:sz w:val="18"/>
                <w:szCs w:val="18"/>
              </w:rPr>
              <w:t>0</w:t>
            </w:r>
            <w:r>
              <w:rPr>
                <w:sz w:val="18"/>
                <w:szCs w:val="18"/>
              </w:rPr>
              <w:t xml:space="preserve"> per share)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1,398,57</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1,398,57</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1,398,57</w:t>
            </w:r>
            <w:r>
              <w:rPr>
                <w:sz w:val="18"/>
                <w:szCs w:val="18"/>
              </w:rPr>
              <w:t>0</w:t>
            </w:r>
            <w:r>
              <w:rPr>
                <w:sz w:val="18"/>
                <w:szCs w:val="18"/>
              </w:rPr>
              <w:t>)</w:t>
            </w:r>
          </w:p>
        </w:tc>
      </w:tr>
      <w:tr w:rsidR="00000000">
        <w:trPr>
          <w:divId w:val="1615820387"/>
          <w:trHeight w:val="259"/>
        </w:trPr>
        <w:tc>
          <w:tcPr>
            <w:tcW w:w="1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3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83</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83</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83</w:t>
            </w:r>
            <w:r>
              <w:rPr>
                <w:sz w:val="18"/>
                <w:szCs w:val="18"/>
              </w:rPr>
              <w:t>0</w:t>
            </w:r>
            <w:r>
              <w:rPr>
                <w:sz w:val="18"/>
                <w:szCs w:val="18"/>
              </w:rPr>
              <w:t>)</w:t>
            </w:r>
          </w:p>
        </w:tc>
      </w:tr>
      <w:tr w:rsidR="00000000">
        <w:trPr>
          <w:divId w:val="1615820387"/>
          <w:trHeight w:val="302"/>
        </w:trPr>
        <w:tc>
          <w:tcPr>
            <w:tcW w:w="15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18"/>
                <w:szCs w:val="18"/>
              </w:rPr>
            </w:pPr>
            <w:r>
              <w:rPr>
                <w:b/>
                <w:bCs/>
                <w:sz w:val="18"/>
                <w:szCs w:val="18"/>
              </w:rPr>
              <w:t>Balances at December 31, 201</w:t>
            </w:r>
            <w:r>
              <w:rPr>
                <w:b/>
                <w:bCs/>
                <w:sz w:val="18"/>
                <w:szCs w:val="18"/>
              </w:rPr>
              <w:t>9</w:t>
            </w: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4,065,00</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23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17,44</w:t>
            </w:r>
            <w:r>
              <w:rPr>
                <w:sz w:val="18"/>
                <w:szCs w:val="18"/>
              </w:rPr>
              <w:t>2</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5,710,93</w:t>
            </w:r>
            <w:r>
              <w:rPr>
                <w:sz w:val="18"/>
                <w:szCs w:val="18"/>
              </w:rPr>
              <w:t>4</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665,57</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64,89</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9,062,91</w:t>
            </w:r>
            <w:r>
              <w:rPr>
                <w:sz w:val="18"/>
                <w:szCs w:val="18"/>
              </w:rPr>
              <w:t>1</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16,75</w:t>
            </w:r>
            <w:r>
              <w:rPr>
                <w:sz w:val="18"/>
                <w:szCs w:val="18"/>
              </w:rPr>
              <w:t>6</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9,079,66</w:t>
            </w:r>
            <w:r>
              <w:rPr>
                <w:sz w:val="18"/>
                <w:szCs w:val="18"/>
              </w:rPr>
              <w:t>7</w:t>
            </w:r>
            <w:r>
              <w:rPr>
                <w:sz w:val="18"/>
                <w:szCs w:val="18"/>
              </w:rPr>
              <w:t> </w:t>
            </w:r>
          </w:p>
        </w:tc>
      </w:tr>
    </w:tbl>
    <w:p w:rsidR="00000000" w:rsidRDefault="00865332">
      <w:pPr>
        <w:pStyle w:val="a3"/>
        <w:spacing w:before="0" w:beforeAutospacing="0" w:after="0" w:afterAutospacing="0" w:line="259" w:lineRule="auto"/>
        <w:jc w:val="center"/>
        <w:divId w:val="1396465416"/>
        <w:rPr>
          <w:sz w:val="20"/>
          <w:szCs w:val="20"/>
        </w:rPr>
      </w:pPr>
      <w:r>
        <w:rPr>
          <w:sz w:val="20"/>
          <w:szCs w:val="20"/>
        </w:rPr>
        <w:t>See accompanying notes</w:t>
      </w:r>
      <w:r>
        <w:rPr>
          <w:sz w:val="20"/>
          <w:szCs w:val="20"/>
        </w:rPr>
        <w:t>.</w:t>
      </w:r>
    </w:p>
    <w:p w:rsidR="00000000" w:rsidRDefault="00865332">
      <w:pPr>
        <w:pStyle w:val="a3"/>
        <w:spacing w:before="0" w:beforeAutospacing="0" w:after="0" w:afterAutospacing="0" w:line="259" w:lineRule="auto"/>
        <w:jc w:val="center"/>
        <w:divId w:val="1396465416"/>
        <w:rPr>
          <w:sz w:val="20"/>
          <w:szCs w:val="20"/>
        </w:rPr>
      </w:pPr>
      <w:r>
        <w:rPr>
          <w:sz w:val="20"/>
          <w:szCs w:val="20"/>
        </w:rPr>
        <w:t>F</w:t>
      </w:r>
      <w:r>
        <w:rPr>
          <w:sz w:val="20"/>
          <w:szCs w:val="20"/>
        </w:rPr>
        <w:t>-</w:t>
      </w:r>
      <w:r>
        <w:rPr>
          <w:rStyle w:val="ctheaderfooterpage"/>
          <w:sz w:val="20"/>
          <w:szCs w:val="20"/>
        </w:rPr>
        <w:t>7</w:t>
      </w:r>
    </w:p>
    <w:p w:rsidR="00000000" w:rsidRDefault="00865332">
      <w:pPr>
        <w:spacing w:before="360" w:after="360"/>
        <w:divId w:val="1247615510"/>
        <w:rPr>
          <w:rFonts w:eastAsia="Times New Roman"/>
        </w:rPr>
      </w:pPr>
      <w:r>
        <w:rPr>
          <w:rFonts w:eastAsia="Times New Roman"/>
        </w:rPr>
        <w:pict>
          <v:rect id="_x0000_i1102" style="width:0;height:1.5pt" o:hralign="center" o:hrstd="t" o:hr="t" fillcolor="#a0a0a0" stroked="f"/>
        </w:pict>
      </w:r>
    </w:p>
    <w:p w:rsidR="00000000" w:rsidRDefault="00865332">
      <w:pPr>
        <w:pStyle w:val="a3"/>
        <w:spacing w:before="0" w:beforeAutospacing="0" w:after="0" w:afterAutospacing="0" w:line="259" w:lineRule="auto"/>
        <w:jc w:val="center"/>
        <w:divId w:val="1525828645"/>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525828645"/>
        <w:rPr>
          <w:sz w:val="20"/>
          <w:szCs w:val="20"/>
        </w:rPr>
      </w:pPr>
      <w:r>
        <w:rPr>
          <w:b/>
          <w:bCs/>
          <w:sz w:val="20"/>
          <w:szCs w:val="20"/>
        </w:rPr>
        <w:t>STATEMENTS OF CASH FLOW</w:t>
      </w:r>
      <w:r>
        <w:rPr>
          <w:b/>
          <w:bCs/>
          <w:sz w:val="20"/>
          <w:szCs w:val="20"/>
        </w:rPr>
        <w:t>S</w:t>
      </w:r>
    </w:p>
    <w:p w:rsidR="00000000" w:rsidRDefault="00865332">
      <w:pPr>
        <w:pStyle w:val="a3"/>
        <w:spacing w:before="0" w:beforeAutospacing="0" w:after="0" w:afterAutospacing="0" w:line="259" w:lineRule="auto"/>
        <w:jc w:val="center"/>
        <w:divId w:val="1525828645"/>
        <w:rPr>
          <w:sz w:val="20"/>
          <w:szCs w:val="20"/>
        </w:rPr>
      </w:pPr>
      <w:r>
        <w:rPr>
          <w:b/>
          <w:bCs/>
          <w:sz w:val="20"/>
          <w:szCs w:val="20"/>
        </w:rPr>
        <w:t>(Amounts in thousands</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816"/>
        <w:gridCol w:w="150"/>
        <w:gridCol w:w="897"/>
        <w:gridCol w:w="183"/>
        <w:gridCol w:w="150"/>
        <w:gridCol w:w="897"/>
        <w:gridCol w:w="183"/>
        <w:gridCol w:w="133"/>
        <w:gridCol w:w="897"/>
      </w:tblGrid>
      <w:tr w:rsidR="00000000">
        <w:trPr>
          <w:divId w:val="542598847"/>
          <w:trHeight w:val="14"/>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302"/>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For the Years Ended December 31</w:t>
            </w:r>
            <w:r>
              <w:rPr>
                <w:sz w:val="18"/>
                <w:szCs w:val="18"/>
              </w:rPr>
              <w:t>,</w:t>
            </w:r>
          </w:p>
        </w:tc>
      </w:tr>
      <w:tr w:rsidR="00000000">
        <w:trPr>
          <w:divId w:val="542598847"/>
          <w:trHeight w:val="245"/>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542598847"/>
          <w:trHeight w:val="245"/>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Cash flows from operating activities</w:t>
            </w:r>
            <w:r>
              <w:rPr>
                <w:sz w:val="18"/>
                <w:szCs w:val="18"/>
              </w:rPr>
              <w:t>:</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Net income</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1,525,65</w:t>
            </w:r>
            <w:r>
              <w:rPr>
                <w:sz w:val="18"/>
                <w:szCs w:val="18"/>
              </w:rPr>
              <w:t>1</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1,717,22</w:t>
            </w:r>
            <w:r>
              <w:rPr>
                <w:sz w:val="18"/>
                <w:szCs w:val="18"/>
              </w:rPr>
              <w:t>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1,448,46</w:t>
            </w:r>
            <w:r>
              <w:rPr>
                <w:sz w:val="18"/>
                <w:szCs w:val="18"/>
              </w:rPr>
              <w:t>5</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Adjustments to reconcile net income to net cash flow</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from operating activities</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74"/>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Gain due to Shurgard public offerin</w:t>
            </w:r>
            <w:r>
              <w:rPr>
                <w:sz w:val="18"/>
                <w:szCs w:val="18"/>
              </w:rPr>
              <w:t>g</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151,61</w:t>
            </w:r>
            <w:r>
              <w:rPr>
                <w:sz w:val="18"/>
                <w:szCs w:val="18"/>
              </w:rPr>
              <w:t>6</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542598847"/>
          <w:trHeight w:val="274"/>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Gain on real estate investment sale</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34</w:t>
            </w:r>
            <w:r>
              <w:rPr>
                <w:sz w:val="18"/>
                <w:szCs w:val="18"/>
              </w:rPr>
              <w:t>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37,90</w:t>
            </w:r>
            <w:r>
              <w:rPr>
                <w:sz w:val="18"/>
                <w:szCs w:val="18"/>
              </w:rPr>
              <w:t>3</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1,42</w:t>
            </w:r>
            <w:r>
              <w:rPr>
                <w:sz w:val="18"/>
                <w:szCs w:val="18"/>
              </w:rPr>
              <w:t>1</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Assets damaged due to hurricane</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3,28</w:t>
            </w:r>
            <w:r>
              <w:rPr>
                <w:sz w:val="18"/>
                <w:szCs w:val="18"/>
              </w:rPr>
              <w:t>6</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Depreciation and amortizatio</w:t>
            </w:r>
            <w:r>
              <w:rPr>
                <w:sz w:val="18"/>
                <w:szCs w:val="18"/>
              </w:rPr>
              <w:t>n</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512,91</w:t>
            </w:r>
            <w:r>
              <w:rPr>
                <w:sz w:val="18"/>
                <w:szCs w:val="18"/>
              </w:rPr>
              <w:t>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483,64</w:t>
            </w:r>
            <w:r>
              <w:rPr>
                <w:sz w:val="18"/>
                <w:szCs w:val="18"/>
              </w:rPr>
              <w:t>6</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454,52</w:t>
            </w:r>
            <w:r>
              <w:rPr>
                <w:sz w:val="18"/>
                <w:szCs w:val="18"/>
              </w:rPr>
              <w:t>6</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Equity in earnings of unconsolidated real estate entitie</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69,54</w:t>
            </w:r>
            <w:r>
              <w:rPr>
                <w:sz w:val="18"/>
                <w:szCs w:val="18"/>
              </w:rPr>
              <w:t>7</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103,49</w:t>
            </w:r>
            <w:r>
              <w:rPr>
                <w:sz w:val="18"/>
                <w:szCs w:val="18"/>
              </w:rPr>
              <w:t>5</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75,65</w:t>
            </w:r>
            <w:r>
              <w:rPr>
                <w:sz w:val="18"/>
                <w:szCs w:val="18"/>
              </w:rPr>
              <w:t>5</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Distributions from retained earnings of unconsolidated</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30"/>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real estate entitie</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73,25</w:t>
            </w:r>
            <w:r>
              <w:rPr>
                <w:sz w:val="18"/>
                <w:szCs w:val="18"/>
              </w:rPr>
              <w:t>9</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109,75</w:t>
            </w:r>
            <w:r>
              <w:rPr>
                <w:sz w:val="18"/>
                <w:szCs w:val="18"/>
              </w:rPr>
              <w:t>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53,74</w:t>
            </w:r>
            <w:r>
              <w:rPr>
                <w:sz w:val="18"/>
                <w:szCs w:val="18"/>
              </w:rPr>
              <w:t>9</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Foreign currency exchange (gain) los</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7,82</w:t>
            </w:r>
            <w:r>
              <w:rPr>
                <w:sz w:val="18"/>
                <w:szCs w:val="18"/>
              </w:rPr>
              <w:t>9</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18,11</w:t>
            </w:r>
            <w:r>
              <w:rPr>
                <w:sz w:val="18"/>
                <w:szCs w:val="18"/>
              </w:rPr>
              <w:t>7</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50,04</w:t>
            </w:r>
            <w:r>
              <w:rPr>
                <w:sz w:val="18"/>
                <w:szCs w:val="18"/>
              </w:rPr>
              <w:t>5</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Share-based compensation expens</w:t>
            </w:r>
            <w:r>
              <w:rPr>
                <w:sz w:val="18"/>
                <w:szCs w:val="18"/>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25,83</w:t>
            </w:r>
            <w:r>
              <w:rPr>
                <w:sz w:val="18"/>
                <w:szCs w:val="18"/>
              </w:rPr>
              <w:t>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69,93</w:t>
            </w:r>
            <w:r>
              <w:rPr>
                <w:sz w:val="18"/>
                <w:szCs w:val="18"/>
              </w:rPr>
              <w:t>6</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37,54</w:t>
            </w:r>
            <w:r>
              <w:rPr>
                <w:sz w:val="18"/>
                <w:szCs w:val="18"/>
              </w:rPr>
              <w:t>8</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Other</w:t>
            </w:r>
            <w:r>
              <w:rPr>
                <w:sz w:val="18"/>
                <w:szCs w:val="18"/>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7,69</w:t>
            </w:r>
            <w:r>
              <w:rPr>
                <w:sz w:val="18"/>
                <w:szCs w:val="18"/>
              </w:rPr>
              <w:t>9</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5,79</w:t>
            </w:r>
            <w:r>
              <w:rPr>
                <w:sz w:val="18"/>
                <w:szCs w:val="18"/>
              </w:rPr>
              <w:t>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2,34</w:t>
            </w:r>
            <w:r>
              <w:rPr>
                <w:sz w:val="18"/>
                <w:szCs w:val="18"/>
              </w:rPr>
              <w:t>6</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Total adjustments</w:t>
            </w:r>
            <w:r>
              <w:rPr>
                <w:sz w:val="18"/>
                <w:szCs w:val="18"/>
              </w:rPr>
              <w:t xml:space="preserve"> </w:t>
            </w: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541,99</w:t>
            </w:r>
            <w:r>
              <w:rPr>
                <w:sz w:val="18"/>
                <w:szCs w:val="18"/>
              </w:rPr>
              <w:t>2</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346,41</w:t>
            </w:r>
            <w:r>
              <w:rPr>
                <w:sz w:val="18"/>
                <w:szCs w:val="18"/>
              </w:rPr>
              <w:t>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524,42</w:t>
            </w:r>
            <w:r>
              <w:rPr>
                <w:sz w:val="18"/>
                <w:szCs w:val="18"/>
              </w:rPr>
              <w:t>4</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Net cash flows from operating activities</w:t>
            </w:r>
            <w:r>
              <w:rPr>
                <w:sz w:val="18"/>
                <w:szCs w:val="18"/>
              </w:rPr>
              <w:t xml:space="preserve"> </w:t>
            </w: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2,067,64</w:t>
            </w:r>
            <w:r>
              <w:rPr>
                <w:sz w:val="18"/>
                <w:szCs w:val="18"/>
              </w:rPr>
              <w:t>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2,063,63</w:t>
            </w:r>
            <w:r>
              <w:rPr>
                <w:sz w:val="18"/>
                <w:szCs w:val="18"/>
              </w:rPr>
              <w:t>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1,972,88</w:t>
            </w:r>
            <w:r>
              <w:rPr>
                <w:sz w:val="18"/>
                <w:szCs w:val="18"/>
              </w:rPr>
              <w:t>9</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Cash flows from investing activities</w:t>
            </w:r>
            <w:r>
              <w:rPr>
                <w:sz w:val="18"/>
                <w:szCs w:val="18"/>
              </w:rPr>
              <w:t>:</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Payments for capital expenditures to maintain real estate facilities for:</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Costs incurred during the perio</w:t>
            </w:r>
            <w:r>
              <w:rPr>
                <w:sz w:val="18"/>
                <w:szCs w:val="18"/>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175,98</w:t>
            </w:r>
            <w:r>
              <w:rPr>
                <w:sz w:val="18"/>
                <w:szCs w:val="18"/>
              </w:rPr>
              <w:t>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127,96</w:t>
            </w:r>
            <w:r>
              <w:rPr>
                <w:sz w:val="18"/>
                <w:szCs w:val="18"/>
              </w:rPr>
              <w:t>6</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111,63</w:t>
            </w:r>
            <w:r>
              <w:rPr>
                <w:sz w:val="18"/>
                <w:szCs w:val="18"/>
              </w:rPr>
              <w:t>1</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Costs incurred in previous period</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11,33</w:t>
            </w:r>
            <w:r>
              <w:rPr>
                <w:sz w:val="18"/>
                <w:szCs w:val="18"/>
              </w:rPr>
              <w:t>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13,00</w:t>
            </w:r>
            <w:r>
              <w:rPr>
                <w:sz w:val="18"/>
                <w:szCs w:val="18"/>
              </w:rPr>
              <w:t>5</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8,96</w:t>
            </w:r>
            <w:r>
              <w:rPr>
                <w:sz w:val="18"/>
                <w:szCs w:val="18"/>
              </w:rPr>
              <w:t>4</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Payments for development and expansion of real estate facilities for</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Costs incurred during the perio</w:t>
            </w:r>
            <w:r>
              <w:rPr>
                <w:sz w:val="18"/>
                <w:szCs w:val="18"/>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203,33</w:t>
            </w:r>
            <w:r>
              <w:rPr>
                <w:sz w:val="18"/>
                <w:szCs w:val="18"/>
              </w:rPr>
              <w:t>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281,24</w:t>
            </w:r>
            <w:r>
              <w:rPr>
                <w:sz w:val="18"/>
                <w:szCs w:val="18"/>
              </w:rPr>
              <w:t>0</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289,23</w:t>
            </w:r>
            <w:r>
              <w:rPr>
                <w:sz w:val="18"/>
                <w:szCs w:val="18"/>
              </w:rPr>
              <w:t>8</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Costs incurred in previous period</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81,35</w:t>
            </w:r>
            <w:r>
              <w:rPr>
                <w:sz w:val="18"/>
                <w:szCs w:val="18"/>
              </w:rPr>
              <w:t>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58,79</w:t>
            </w:r>
            <w:r>
              <w:rPr>
                <w:sz w:val="18"/>
                <w:szCs w:val="18"/>
              </w:rPr>
              <w:t>2</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48,05</w:t>
            </w:r>
            <w:r>
              <w:rPr>
                <w:sz w:val="18"/>
                <w:szCs w:val="18"/>
              </w:rPr>
              <w:t>5</w:t>
            </w:r>
            <w:r>
              <w:rPr>
                <w:sz w:val="18"/>
                <w:szCs w:val="18"/>
              </w:rPr>
              <w:t>)</w:t>
            </w:r>
          </w:p>
        </w:tc>
      </w:tr>
      <w:tr w:rsidR="00000000">
        <w:trPr>
          <w:divId w:val="542598847"/>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Acquisition of real estate facilities and intangible asset</w:t>
            </w:r>
            <w:r>
              <w:rPr>
                <w:sz w:val="18"/>
                <w:szCs w:val="18"/>
              </w:rPr>
              <w:t>s</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437,75</w:t>
            </w:r>
            <w:r>
              <w:rPr>
                <w:sz w:val="18"/>
                <w:szCs w:val="18"/>
              </w:rPr>
              <w:t>8</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181,02</w:t>
            </w:r>
            <w:r>
              <w:rPr>
                <w:sz w:val="18"/>
                <w:szCs w:val="18"/>
              </w:rPr>
              <w:t>0</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285,27</w:t>
            </w:r>
            <w:r>
              <w:rPr>
                <w:sz w:val="18"/>
                <w:szCs w:val="18"/>
              </w:rPr>
              <w:t>9</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Distributions in excess of retained earnings fro</w:t>
            </w:r>
            <w:r>
              <w:rPr>
                <w:sz w:val="18"/>
                <w:szCs w:val="18"/>
              </w:rPr>
              <w:t>m</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unconsolidated real estate entitie</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11,63</w:t>
            </w:r>
            <w:r>
              <w:rPr>
                <w:sz w:val="18"/>
                <w:szCs w:val="18"/>
              </w:rPr>
              <w:t>0</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91,92</w:t>
            </w:r>
            <w:r>
              <w:rPr>
                <w:sz w:val="18"/>
                <w:szCs w:val="18"/>
              </w:rPr>
              <w:t>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Proceeds from sale of real estate investment</w:t>
            </w:r>
            <w:r>
              <w:rPr>
                <w:sz w:val="18"/>
                <w:szCs w:val="18"/>
              </w:rPr>
              <w:t>s</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76</w:t>
            </w:r>
            <w:r>
              <w:rPr>
                <w:sz w:val="18"/>
                <w:szCs w:val="18"/>
              </w:rPr>
              <w:t>2</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54,18</w:t>
            </w:r>
            <w:r>
              <w:rPr>
                <w:sz w:val="18"/>
                <w:szCs w:val="18"/>
              </w:rPr>
              <w:t>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6,10</w:t>
            </w:r>
            <w:r>
              <w:rPr>
                <w:sz w:val="18"/>
                <w:szCs w:val="18"/>
              </w:rPr>
              <w:t>3</w:t>
            </w:r>
            <w:r>
              <w:rPr>
                <w:sz w:val="18"/>
                <w:szCs w:val="18"/>
              </w:rPr>
              <w:t> </w:t>
            </w:r>
          </w:p>
        </w:tc>
      </w:tr>
      <w:tr w:rsidR="00000000">
        <w:trPr>
          <w:divId w:val="542598847"/>
          <w:trHeight w:val="360"/>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Net cash flows used in investing activities</w:t>
            </w:r>
            <w:r>
              <w:rPr>
                <w:sz w:val="18"/>
                <w:szCs w:val="18"/>
              </w:rPr>
              <w:t xml:space="preserve"> </w:t>
            </w: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897,36</w:t>
            </w:r>
            <w:r>
              <w:rPr>
                <w:sz w:val="18"/>
                <w:szCs w:val="18"/>
              </w:rPr>
              <w:t>0</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515,91</w:t>
            </w:r>
            <w:r>
              <w:rPr>
                <w:sz w:val="18"/>
                <w:szCs w:val="18"/>
              </w:rPr>
              <w:t>2</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737,06</w:t>
            </w:r>
            <w:r>
              <w:rPr>
                <w:sz w:val="18"/>
                <w:szCs w:val="18"/>
              </w:rPr>
              <w:t>4</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Cash flows from financing activities</w:t>
            </w:r>
            <w:r>
              <w:rPr>
                <w:sz w:val="18"/>
                <w:szCs w:val="18"/>
              </w:rPr>
              <w:t>:</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Repayments on notes payabl</w:t>
            </w:r>
            <w:r>
              <w:rPr>
                <w:sz w:val="18"/>
                <w:szCs w:val="18"/>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1,92</w:t>
            </w:r>
            <w:r>
              <w:rPr>
                <w:sz w:val="18"/>
                <w:szCs w:val="18"/>
              </w:rPr>
              <w:t>0</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1,78</w:t>
            </w:r>
            <w:r>
              <w:rPr>
                <w:sz w:val="18"/>
                <w:szCs w:val="18"/>
              </w:rPr>
              <w:t>4</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1,70</w:t>
            </w:r>
            <w:r>
              <w:rPr>
                <w:sz w:val="18"/>
                <w:szCs w:val="18"/>
              </w:rPr>
              <w:t>1</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Issuance of notes payable, net of issuance cost</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496,90</w:t>
            </w:r>
            <w:r>
              <w:rPr>
                <w:sz w:val="18"/>
                <w:szCs w:val="18"/>
              </w:rPr>
              <w:t>0</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992,07</w:t>
            </w:r>
            <w:r>
              <w:rPr>
                <w:sz w:val="18"/>
                <w:szCs w:val="18"/>
              </w:rPr>
              <w:t>7</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Issuance of preferred shares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1,059,15</w:t>
            </w:r>
            <w:r>
              <w:rPr>
                <w:sz w:val="18"/>
                <w:szCs w:val="18"/>
              </w:rPr>
              <w:t>6</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561,17</w:t>
            </w:r>
            <w:r>
              <w:rPr>
                <w:sz w:val="18"/>
                <w:szCs w:val="18"/>
              </w:rPr>
              <w:t>7</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Issuance of common shares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33,56</w:t>
            </w:r>
            <w:r>
              <w:rPr>
                <w:sz w:val="18"/>
                <w:szCs w:val="18"/>
              </w:rPr>
              <w:t>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12,52</w:t>
            </w:r>
            <w:r>
              <w:rPr>
                <w:sz w:val="18"/>
                <w:szCs w:val="18"/>
              </w:rPr>
              <w:t>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42,50</w:t>
            </w:r>
            <w:r>
              <w:rPr>
                <w:sz w:val="18"/>
                <w:szCs w:val="18"/>
              </w:rPr>
              <w:t>0</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Redemption of preferred shares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1,050,00</w:t>
            </w:r>
            <w:r>
              <w:rPr>
                <w:sz w:val="18"/>
                <w:szCs w:val="18"/>
              </w:rPr>
              <w:t>0</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922,50</w:t>
            </w:r>
            <w:r>
              <w:rPr>
                <w:sz w:val="18"/>
                <w:szCs w:val="18"/>
              </w:rPr>
              <w:t>0</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Cash paid upon vesting of restricted share unit</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12,16</w:t>
            </w:r>
            <w:r>
              <w:rPr>
                <w:sz w:val="18"/>
                <w:szCs w:val="18"/>
              </w:rPr>
              <w:t>2</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12,34</w:t>
            </w:r>
            <w:r>
              <w:rPr>
                <w:sz w:val="18"/>
                <w:szCs w:val="18"/>
              </w:rPr>
              <w:t>7</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14,09</w:t>
            </w:r>
            <w:r>
              <w:rPr>
                <w:sz w:val="18"/>
                <w:szCs w:val="18"/>
              </w:rPr>
              <w:t>2</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Acquisition of noncontrolling interests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35,00</w:t>
            </w:r>
            <w:r>
              <w:rPr>
                <w:sz w:val="18"/>
                <w:szCs w:val="18"/>
              </w:rPr>
              <w:t>0</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14,42</w:t>
            </w:r>
            <w:r>
              <w:rPr>
                <w:sz w:val="18"/>
                <w:szCs w:val="18"/>
              </w:rPr>
              <w:t>5</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Contributions by noncontrolling interests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4,14</w:t>
            </w:r>
            <w:r>
              <w:rPr>
                <w:sz w:val="18"/>
                <w:szCs w:val="18"/>
              </w:rPr>
              <w:t>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1,72</w:t>
            </w:r>
            <w:r>
              <w:rPr>
                <w:sz w:val="18"/>
                <w:szCs w:val="18"/>
              </w:rPr>
              <w:t>0</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2,48</w:t>
            </w:r>
            <w:r>
              <w:rPr>
                <w:sz w:val="18"/>
                <w:szCs w:val="18"/>
              </w:rPr>
              <w:t>4</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Distributions paid to preferred shareholders,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542598847"/>
          <w:trHeight w:val="230"/>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common shareholders and restricted share unitholder</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1,608,74</w:t>
            </w:r>
            <w:r>
              <w:rPr>
                <w:sz w:val="18"/>
                <w:szCs w:val="18"/>
              </w:rPr>
              <w:t>9</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1,612,68</w:t>
            </w:r>
            <w:r>
              <w:rPr>
                <w:sz w:val="18"/>
                <w:szCs w:val="18"/>
              </w:rPr>
              <w:t>0</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1,630,34</w:t>
            </w:r>
            <w:r>
              <w:rPr>
                <w:sz w:val="18"/>
                <w:szCs w:val="18"/>
              </w:rPr>
              <w:t>7</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18"/>
                <w:szCs w:val="18"/>
              </w:rPr>
            </w:pPr>
            <w:r>
              <w:rPr>
                <w:sz w:val="18"/>
                <w:szCs w:val="18"/>
              </w:rPr>
              <w:t>Distributions paid to noncontrolling interests</w:t>
            </w:r>
            <w:r>
              <w:rPr>
                <w:sz w:val="18"/>
                <w:szCs w:val="18"/>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6,67</w:t>
            </w:r>
            <w:r>
              <w:rPr>
                <w:sz w:val="18"/>
                <w:szCs w:val="18"/>
              </w:rPr>
              <w:t>2</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7,02</w:t>
            </w:r>
            <w:r>
              <w:rPr>
                <w:sz w:val="18"/>
                <w:szCs w:val="18"/>
              </w:rPr>
              <w:t>2</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7,39</w:t>
            </w:r>
            <w:r>
              <w:rPr>
                <w:sz w:val="18"/>
                <w:szCs w:val="18"/>
              </w:rPr>
              <w:t>2</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Net cash flows used in financing activities</w:t>
            </w:r>
            <w:r>
              <w:rPr>
                <w:sz w:val="18"/>
                <w:szCs w:val="18"/>
              </w:rPr>
              <w:t xml:space="preserve"> </w:t>
            </w: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1,120,73</w:t>
            </w:r>
            <w:r>
              <w:rPr>
                <w:sz w:val="18"/>
                <w:szCs w:val="18"/>
              </w:rPr>
              <w:t>5</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1,619,58</w:t>
            </w:r>
            <w:r>
              <w:rPr>
                <w:sz w:val="18"/>
                <w:szCs w:val="18"/>
              </w:rPr>
              <w:t>8</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992,21</w:t>
            </w:r>
            <w:r>
              <w:rPr>
                <w:sz w:val="18"/>
                <w:szCs w:val="18"/>
              </w:rPr>
              <w:t>9</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cash flows from operating, investing, and financing activities</w:t>
            </w:r>
            <w:r>
              <w:rPr>
                <w:sz w:val="18"/>
                <w:szCs w:val="18"/>
              </w:rPr>
              <w:t xml:space="preserve"> </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49,54</w:t>
            </w:r>
            <w:r>
              <w:rPr>
                <w:sz w:val="18"/>
                <w:szCs w:val="18"/>
              </w:rPr>
              <w:t>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71,86</w:t>
            </w:r>
            <w:r>
              <w:rPr>
                <w:sz w:val="18"/>
                <w:szCs w:val="18"/>
              </w:rPr>
              <w:t>3</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243,60</w:t>
            </w:r>
            <w:r>
              <w:rPr>
                <w:sz w:val="18"/>
                <w:szCs w:val="18"/>
              </w:rPr>
              <w:t>6</w:t>
            </w:r>
            <w:r>
              <w:rPr>
                <w:sz w:val="18"/>
                <w:szCs w:val="18"/>
              </w:rPr>
              <w:t> </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effect of foreign exchange translation</w:t>
            </w:r>
            <w:r>
              <w:rPr>
                <w:sz w:val="18"/>
                <w:szCs w:val="18"/>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w:t>
            </w:r>
            <w:r>
              <w:rPr>
                <w:sz w:val="18"/>
                <w:szCs w:val="18"/>
              </w:rPr>
              <w:t>3</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17</w:t>
            </w:r>
            <w:r>
              <w:rPr>
                <w:sz w:val="18"/>
                <w:szCs w:val="18"/>
              </w:rPr>
              <w:t>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12</w:t>
            </w:r>
            <w:r>
              <w:rPr>
                <w:sz w:val="18"/>
                <w:szCs w:val="18"/>
              </w:rPr>
              <w:t>6</w:t>
            </w:r>
            <w:r>
              <w:rPr>
                <w:sz w:val="18"/>
                <w:szCs w:val="18"/>
              </w:rPr>
              <w:t>)</w:t>
            </w:r>
          </w:p>
        </w:tc>
      </w:tr>
      <w:tr w:rsidR="00000000">
        <w:trPr>
          <w:divId w:val="542598847"/>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Increase (decrease) in cash and equivalents, including restricted cas</w:t>
            </w:r>
            <w:r>
              <w:rPr>
                <w:sz w:val="18"/>
                <w:szCs w:val="18"/>
              </w:rPr>
              <w:t>h</w:t>
            </w: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49,53</w:t>
            </w:r>
            <w:r>
              <w:rPr>
                <w:sz w:val="18"/>
                <w:szCs w:val="18"/>
              </w:rPr>
              <w:t>5</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72,03</w:t>
            </w:r>
            <w:r>
              <w:rPr>
                <w:sz w:val="18"/>
                <w:szCs w:val="18"/>
              </w:rPr>
              <w:t>4</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243,48</w:t>
            </w:r>
            <w:r>
              <w:rPr>
                <w:sz w:val="18"/>
                <w:szCs w:val="18"/>
              </w:rPr>
              <w:t>0</w:t>
            </w:r>
            <w:r>
              <w:rPr>
                <w:sz w:val="18"/>
                <w:szCs w:val="18"/>
              </w:rPr>
              <w:t> </w:t>
            </w:r>
          </w:p>
        </w:tc>
      </w:tr>
      <w:tr w:rsidR="00000000">
        <w:trPr>
          <w:divId w:val="542598847"/>
          <w:trHeight w:val="115"/>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divId w:val="5425988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816"/>
        <w:gridCol w:w="150"/>
        <w:gridCol w:w="897"/>
        <w:gridCol w:w="183"/>
        <w:gridCol w:w="150"/>
        <w:gridCol w:w="897"/>
        <w:gridCol w:w="183"/>
        <w:gridCol w:w="133"/>
        <w:gridCol w:w="897"/>
      </w:tblGrid>
      <w:tr w:rsidR="00000000">
        <w:trPr>
          <w:divId w:val="542598847"/>
          <w:trHeight w:val="14"/>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jc w:val="center"/>
        <w:divId w:val="1224946386"/>
        <w:rPr>
          <w:sz w:val="20"/>
          <w:szCs w:val="20"/>
        </w:rPr>
      </w:pPr>
      <w:r>
        <w:rPr>
          <w:sz w:val="20"/>
          <w:szCs w:val="20"/>
        </w:rPr>
        <w:t>See accompanying notes</w:t>
      </w:r>
      <w:r>
        <w:rPr>
          <w:sz w:val="20"/>
          <w:szCs w:val="20"/>
        </w:rPr>
        <w:t>.</w:t>
      </w:r>
    </w:p>
    <w:p w:rsidR="00000000" w:rsidRDefault="00865332">
      <w:pPr>
        <w:pStyle w:val="a3"/>
        <w:spacing w:before="0" w:beforeAutospacing="0" w:after="0" w:afterAutospacing="0" w:line="259" w:lineRule="auto"/>
        <w:jc w:val="center"/>
        <w:divId w:val="1224946386"/>
        <w:rPr>
          <w:sz w:val="20"/>
          <w:szCs w:val="20"/>
        </w:rPr>
      </w:pPr>
      <w:r>
        <w:rPr>
          <w:sz w:val="20"/>
          <w:szCs w:val="20"/>
        </w:rPr>
        <w:t>F</w:t>
      </w:r>
      <w:r>
        <w:rPr>
          <w:sz w:val="20"/>
          <w:szCs w:val="20"/>
        </w:rPr>
        <w:t>-</w:t>
      </w:r>
      <w:r>
        <w:rPr>
          <w:rStyle w:val="ctheaderfooterpage"/>
          <w:sz w:val="20"/>
          <w:szCs w:val="20"/>
        </w:rPr>
        <w:t>8</w:t>
      </w:r>
    </w:p>
    <w:p w:rsidR="00000000" w:rsidRDefault="00865332">
      <w:pPr>
        <w:spacing w:before="360" w:after="360"/>
        <w:divId w:val="805008027"/>
        <w:rPr>
          <w:rFonts w:eastAsia="Times New Roman"/>
        </w:rPr>
      </w:pPr>
      <w:r>
        <w:rPr>
          <w:rFonts w:eastAsia="Times New Roman"/>
        </w:rPr>
        <w:pict>
          <v:rect id="_x0000_i1103" style="width:0;height:1.5pt" o:hralign="center" o:hrstd="t" o:hr="t" fillcolor="#a0a0a0" stroked="f"/>
        </w:pict>
      </w:r>
    </w:p>
    <w:p w:rsidR="00000000" w:rsidRDefault="00865332">
      <w:pPr>
        <w:pStyle w:val="a3"/>
        <w:spacing w:before="0" w:beforeAutospacing="0" w:after="0" w:afterAutospacing="0" w:line="259" w:lineRule="auto"/>
        <w:jc w:val="center"/>
        <w:divId w:val="1087775197"/>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087775197"/>
        <w:rPr>
          <w:sz w:val="20"/>
          <w:szCs w:val="20"/>
        </w:rPr>
      </w:pPr>
      <w:r>
        <w:rPr>
          <w:b/>
          <w:bCs/>
          <w:sz w:val="20"/>
          <w:szCs w:val="20"/>
        </w:rPr>
        <w:t>STATEMENTS OF CASH FLOW</w:t>
      </w:r>
      <w:r>
        <w:rPr>
          <w:b/>
          <w:bCs/>
          <w:sz w:val="20"/>
          <w:szCs w:val="20"/>
        </w:rPr>
        <w:t>S</w:t>
      </w:r>
    </w:p>
    <w:p w:rsidR="00000000" w:rsidRDefault="00865332">
      <w:pPr>
        <w:pStyle w:val="a3"/>
        <w:spacing w:before="0" w:beforeAutospacing="0" w:after="0" w:afterAutospacing="0" w:line="259" w:lineRule="auto"/>
        <w:jc w:val="center"/>
        <w:divId w:val="1087775197"/>
        <w:rPr>
          <w:sz w:val="20"/>
          <w:szCs w:val="20"/>
        </w:rPr>
      </w:pPr>
      <w:r>
        <w:rPr>
          <w:b/>
          <w:bCs/>
          <w:sz w:val="20"/>
          <w:szCs w:val="20"/>
        </w:rPr>
        <w:t>(Amounts in thousands</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816"/>
        <w:gridCol w:w="150"/>
        <w:gridCol w:w="897"/>
        <w:gridCol w:w="183"/>
        <w:gridCol w:w="150"/>
        <w:gridCol w:w="897"/>
        <w:gridCol w:w="183"/>
        <w:gridCol w:w="133"/>
        <w:gridCol w:w="897"/>
      </w:tblGrid>
      <w:tr w:rsidR="00000000">
        <w:trPr>
          <w:divId w:val="1350374169"/>
          <w:trHeight w:val="461"/>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For the Years Ended December 31</w:t>
            </w:r>
            <w:r>
              <w:rPr>
                <w:sz w:val="18"/>
                <w:szCs w:val="18"/>
              </w:rPr>
              <w:t>,</w:t>
            </w:r>
          </w:p>
        </w:tc>
      </w:tr>
      <w:tr w:rsidR="00000000">
        <w:trPr>
          <w:divId w:val="1350374169"/>
          <w:trHeight w:val="230"/>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11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1350374169"/>
          <w:trHeight w:val="230"/>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Cash and equivalents, including restricted cash at beginning of the period:</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361,21</w:t>
            </w:r>
            <w:r>
              <w:rPr>
                <w:sz w:val="18"/>
                <w:szCs w:val="18"/>
              </w:rPr>
              <w:t>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433,37</w:t>
            </w:r>
            <w:r>
              <w:rPr>
                <w:sz w:val="18"/>
                <w:szCs w:val="18"/>
              </w:rPr>
              <w:t>6</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183,68</w:t>
            </w:r>
            <w:r>
              <w:rPr>
                <w:sz w:val="18"/>
                <w:szCs w:val="18"/>
              </w:rPr>
              <w:t>8</w:t>
            </w:r>
            <w:r>
              <w:rPr>
                <w:sz w:val="18"/>
                <w:szCs w:val="18"/>
              </w:rPr>
              <w:t> </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22,80</w:t>
            </w:r>
            <w:r>
              <w:rPr>
                <w:sz w:val="18"/>
                <w:szCs w:val="18"/>
              </w:rPr>
              <w:t>1</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22,67</w:t>
            </w:r>
            <w:r>
              <w:rPr>
                <w:sz w:val="18"/>
                <w:szCs w:val="18"/>
              </w:rPr>
              <w:t>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28,88</w:t>
            </w:r>
            <w:r>
              <w:rPr>
                <w:sz w:val="18"/>
                <w:szCs w:val="18"/>
              </w:rPr>
              <w:t>5</w:t>
            </w:r>
            <w:r>
              <w:rPr>
                <w:sz w:val="18"/>
                <w:szCs w:val="18"/>
              </w:rPr>
              <w:t> </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384,01</w:t>
            </w:r>
            <w:r>
              <w:rPr>
                <w:sz w:val="18"/>
                <w:szCs w:val="18"/>
              </w:rPr>
              <w:t>9</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456,05</w:t>
            </w:r>
            <w:r>
              <w:rPr>
                <w:sz w:val="18"/>
                <w:szCs w:val="18"/>
              </w:rPr>
              <w:t>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212,57</w:t>
            </w:r>
            <w:r>
              <w:rPr>
                <w:sz w:val="18"/>
                <w:szCs w:val="18"/>
              </w:rPr>
              <w:t>3</w:t>
            </w:r>
            <w:r>
              <w:rPr>
                <w:sz w:val="18"/>
                <w:szCs w:val="18"/>
              </w:rPr>
              <w:t> </w:t>
            </w:r>
          </w:p>
        </w:tc>
      </w:tr>
      <w:tr w:rsidR="00000000">
        <w:trPr>
          <w:divId w:val="1350374169"/>
          <w:trHeight w:val="115"/>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Cash and equivalents, including restricted cash at end of the period:</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409,74</w:t>
            </w:r>
            <w:r>
              <w:rPr>
                <w:sz w:val="18"/>
                <w:szCs w:val="18"/>
              </w:rPr>
              <w:t>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361,21</w:t>
            </w:r>
            <w:r>
              <w:rPr>
                <w:sz w:val="18"/>
                <w:szCs w:val="18"/>
              </w:rPr>
              <w:t>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433,37</w:t>
            </w:r>
            <w:r>
              <w:rPr>
                <w:sz w:val="18"/>
                <w:szCs w:val="18"/>
              </w:rPr>
              <w:t>6</w:t>
            </w:r>
            <w:r>
              <w:rPr>
                <w:sz w:val="18"/>
                <w:szCs w:val="18"/>
              </w:rPr>
              <w:t> </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23,81</w:t>
            </w:r>
            <w:r>
              <w:rPr>
                <w:sz w:val="18"/>
                <w:szCs w:val="18"/>
              </w:rPr>
              <w:t>1</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22,80</w:t>
            </w:r>
            <w:r>
              <w:rPr>
                <w:sz w:val="18"/>
                <w:szCs w:val="18"/>
              </w:rPr>
              <w:t>1</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22,67</w:t>
            </w:r>
            <w:r>
              <w:rPr>
                <w:sz w:val="18"/>
                <w:szCs w:val="18"/>
              </w:rPr>
              <w:t>7</w:t>
            </w:r>
            <w:r>
              <w:rPr>
                <w:sz w:val="18"/>
                <w:szCs w:val="18"/>
              </w:rPr>
              <w:t> </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433,55</w:t>
            </w:r>
            <w:r>
              <w:rPr>
                <w:sz w:val="18"/>
                <w:szCs w:val="18"/>
              </w:rPr>
              <w:t>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384,01</w:t>
            </w:r>
            <w:r>
              <w:rPr>
                <w:sz w:val="18"/>
                <w:szCs w:val="18"/>
              </w:rPr>
              <w:t>9</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456,05</w:t>
            </w:r>
            <w:r>
              <w:rPr>
                <w:sz w:val="18"/>
                <w:szCs w:val="18"/>
              </w:rPr>
              <w:t>3</w:t>
            </w:r>
            <w:r>
              <w:rPr>
                <w:sz w:val="18"/>
                <w:szCs w:val="18"/>
              </w:rPr>
              <w:t> </w:t>
            </w:r>
          </w:p>
        </w:tc>
      </w:tr>
      <w:tr w:rsidR="00000000">
        <w:trPr>
          <w:divId w:val="1350374169"/>
          <w:trHeight w:val="230"/>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350374169"/>
          <w:trHeight w:val="245"/>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Supplemental schedule of non-cash investing an</w:t>
            </w:r>
            <w:r>
              <w:rPr>
                <w:b/>
                <w:bCs/>
                <w:sz w:val="18"/>
                <w:szCs w:val="18"/>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350374169"/>
          <w:trHeight w:val="245"/>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financing activities</w:t>
            </w:r>
            <w:r>
              <w:rPr>
                <w:b/>
                <w:bCs/>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Costs incurred during the period remaining unpaid at period end for</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Capital expenditures to maintain real estate facilities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16,55</w:t>
            </w:r>
            <w:r>
              <w:rPr>
                <w:sz w:val="18"/>
                <w:szCs w:val="18"/>
              </w:rPr>
              <w:t>8</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11,43</w:t>
            </w:r>
            <w:r>
              <w:rPr>
                <w:sz w:val="18"/>
                <w:szCs w:val="18"/>
              </w:rPr>
              <w:t>1</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13,14</w:t>
            </w:r>
            <w:r>
              <w:rPr>
                <w:sz w:val="18"/>
                <w:szCs w:val="18"/>
              </w:rPr>
              <w:t>9</w:t>
            </w:r>
            <w:r>
              <w:rPr>
                <w:sz w:val="18"/>
                <w:szCs w:val="18"/>
              </w:rPr>
              <w:t>)</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Construction or expansion of real estate facilitie</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32,35</w:t>
            </w:r>
            <w:r>
              <w:rPr>
                <w:sz w:val="18"/>
                <w:szCs w:val="18"/>
              </w:rPr>
              <w:t>6</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81,15</w:t>
            </w:r>
            <w:r>
              <w:rPr>
                <w:sz w:val="18"/>
                <w:szCs w:val="18"/>
              </w:rPr>
              <w:t>7</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60,47</w:t>
            </w:r>
            <w:r>
              <w:rPr>
                <w:sz w:val="18"/>
                <w:szCs w:val="18"/>
              </w:rPr>
              <w:t>4</w:t>
            </w:r>
            <w:r>
              <w:rPr>
                <w:sz w:val="18"/>
                <w:szCs w:val="18"/>
              </w:rPr>
              <w:t>)</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Accrued and other liabilitie</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48,91</w:t>
            </w:r>
            <w:r>
              <w:rPr>
                <w:sz w:val="18"/>
                <w:szCs w:val="18"/>
              </w:rPr>
              <w:t>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92,58</w:t>
            </w:r>
            <w:r>
              <w:rPr>
                <w:sz w:val="18"/>
                <w:szCs w:val="18"/>
              </w:rPr>
              <w:t>8</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73,62</w:t>
            </w:r>
            <w:r>
              <w:rPr>
                <w:sz w:val="18"/>
                <w:szCs w:val="18"/>
              </w:rPr>
              <w:t>3</w:t>
            </w:r>
            <w:r>
              <w:rPr>
                <w:sz w:val="18"/>
                <w:szCs w:val="18"/>
              </w:rPr>
              <w:t> </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Real estate acquired in exchange for assumption of notes payabl</w:t>
            </w:r>
            <w:r>
              <w:rPr>
                <w:sz w:val="18"/>
                <w:szCs w:val="18"/>
              </w:rPr>
              <w:t>e</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1,81</w:t>
            </w:r>
            <w:r>
              <w:rPr>
                <w:sz w:val="18"/>
                <w:szCs w:val="18"/>
              </w:rPr>
              <w:t>7</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payable assumed in connection with acquisition of real estat</w:t>
            </w:r>
            <w:r>
              <w:rPr>
                <w:sz w:val="18"/>
                <w:szCs w:val="18"/>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1,81</w:t>
            </w:r>
            <w:r>
              <w:rPr>
                <w:sz w:val="18"/>
                <w:szCs w:val="18"/>
              </w:rPr>
              <w:t>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Reclassification of existing investment to real estate in connectio</w:t>
            </w:r>
            <w:r>
              <w:rPr>
                <w:sz w:val="18"/>
                <w:szCs w:val="18"/>
              </w:rPr>
              <w:t>n</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with property acquisition (Note 3)</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Real estate facilitie</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6,31</w:t>
            </w:r>
            <w:r>
              <w:rPr>
                <w:sz w:val="18"/>
                <w:szCs w:val="18"/>
              </w:rPr>
              <w:t>0</w:t>
            </w:r>
            <w:r>
              <w:rPr>
                <w:sz w:val="18"/>
                <w:szCs w:val="18"/>
              </w:rPr>
              <w:t>)</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sz w:val="18"/>
                <w:szCs w:val="18"/>
              </w:rPr>
              <w:t>Investments in unconsolidated real estate entitie</w:t>
            </w:r>
            <w:r>
              <w:rPr>
                <w:sz w:val="18"/>
                <w:szCs w:val="18"/>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6,31</w:t>
            </w:r>
            <w:r>
              <w:rPr>
                <w:sz w:val="18"/>
                <w:szCs w:val="18"/>
              </w:rPr>
              <w:t>0</w:t>
            </w:r>
            <w:r>
              <w:rPr>
                <w:sz w:val="18"/>
                <w:szCs w:val="18"/>
              </w:rPr>
              <w:t> </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sz w:val="18"/>
                <w:szCs w:val="18"/>
              </w:rPr>
              <w:t>Other disclosures</w:t>
            </w:r>
            <w:r>
              <w:rPr>
                <w:b/>
                <w:bCs/>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Foreign currency translation adjustment</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Real estate facilities, net of accumulated depreciation</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w:t>
            </w:r>
            <w:r>
              <w:rPr>
                <w:sz w:val="18"/>
                <w:szCs w:val="18"/>
              </w:rPr>
              <w:t>3</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65</w:t>
            </w:r>
            <w:r>
              <w:rPr>
                <w:sz w:val="18"/>
                <w:szCs w:val="18"/>
              </w:rPr>
              <w:t>9</w:t>
            </w:r>
            <w:r>
              <w:rPr>
                <w:sz w:val="18"/>
                <w:szCs w:val="18"/>
              </w:rPr>
              <w:t>)</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Investments in unconsolidated real estate entities</w:t>
            </w:r>
            <w:r>
              <w:rPr>
                <w:sz w:val="18"/>
                <w:szCs w:val="18"/>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83</w:t>
            </w:r>
            <w:r>
              <w:rPr>
                <w:sz w:val="18"/>
                <w:szCs w:val="18"/>
              </w:rPr>
              <w:t>0</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15,99</w:t>
            </w:r>
            <w:r>
              <w:rPr>
                <w:sz w:val="18"/>
                <w:szCs w:val="18"/>
              </w:rPr>
              <w:t>7</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19,37</w:t>
            </w:r>
            <w:r>
              <w:rPr>
                <w:sz w:val="18"/>
                <w:szCs w:val="18"/>
              </w:rPr>
              <w:t>0</w:t>
            </w:r>
            <w:r>
              <w:rPr>
                <w:sz w:val="18"/>
                <w:szCs w:val="18"/>
              </w:rPr>
              <w:t>)</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Notes payabl</w:t>
            </w:r>
            <w:r>
              <w:rPr>
                <w:sz w:val="18"/>
                <w:szCs w:val="18"/>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7,84</w:t>
            </w:r>
            <w:r>
              <w:rPr>
                <w:sz w:val="18"/>
                <w:szCs w:val="18"/>
              </w:rPr>
              <w:t>2</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18,28</w:t>
            </w:r>
            <w:r>
              <w:rPr>
                <w:sz w:val="18"/>
                <w:szCs w:val="18"/>
              </w:rPr>
              <w:t>5</w:t>
            </w:r>
            <w:r>
              <w:rPr>
                <w:sz w:val="18"/>
                <w:szCs w:val="18"/>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49,90</w:t>
            </w:r>
            <w:r>
              <w:rPr>
                <w:sz w:val="18"/>
                <w:szCs w:val="18"/>
              </w:rPr>
              <w:t>6</w:t>
            </w:r>
            <w:r>
              <w:rPr>
                <w:sz w:val="18"/>
                <w:szCs w:val="18"/>
              </w:rPr>
              <w:t> </w:t>
            </w:r>
          </w:p>
        </w:tc>
      </w:tr>
      <w:tr w:rsidR="00000000">
        <w:trPr>
          <w:divId w:val="1350374169"/>
          <w:trHeight w:val="259"/>
        </w:trPr>
        <w:tc>
          <w:tcPr>
            <w:tcW w:w="29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18"/>
                <w:szCs w:val="18"/>
              </w:rPr>
            </w:pPr>
            <w:r>
              <w:rPr>
                <w:sz w:val="18"/>
                <w:szCs w:val="18"/>
              </w:rPr>
              <w:t>Accumulated other comprehensive gain (loss</w:t>
            </w:r>
            <w:r>
              <w:rPr>
                <w:sz w:val="18"/>
                <w:szCs w:val="18"/>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6,99</w:t>
            </w:r>
            <w:r>
              <w:rPr>
                <w:sz w:val="18"/>
                <w:szCs w:val="18"/>
              </w:rPr>
              <w:t>9</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1,91</w:t>
            </w:r>
            <w:r>
              <w:rPr>
                <w:sz w:val="18"/>
                <w:szCs w:val="18"/>
              </w:rPr>
              <w:t>4</w:t>
            </w:r>
            <w:r>
              <w:rPr>
                <w:sz w:val="18"/>
                <w:szCs w:val="18"/>
              </w:rPr>
              <w:t> </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30,00</w:t>
            </w:r>
            <w:r>
              <w:rPr>
                <w:sz w:val="18"/>
                <w:szCs w:val="18"/>
              </w:rPr>
              <w:t>3</w:t>
            </w:r>
            <w:r>
              <w:rPr>
                <w:sz w:val="18"/>
                <w:szCs w:val="18"/>
              </w:rPr>
              <w:t>)</w:t>
            </w:r>
          </w:p>
        </w:tc>
      </w:tr>
    </w:tbl>
    <w:p w:rsidR="00000000" w:rsidRDefault="00865332">
      <w:pPr>
        <w:pStyle w:val="a3"/>
        <w:spacing w:before="0" w:beforeAutospacing="0" w:after="0" w:afterAutospacing="0" w:line="259" w:lineRule="auto"/>
        <w:jc w:val="center"/>
        <w:divId w:val="774985307"/>
        <w:rPr>
          <w:sz w:val="20"/>
          <w:szCs w:val="20"/>
        </w:rPr>
      </w:pPr>
      <w:r>
        <w:rPr>
          <w:sz w:val="20"/>
          <w:szCs w:val="20"/>
        </w:rPr>
        <w:t>See accompanying notes</w:t>
      </w:r>
      <w:r>
        <w:rPr>
          <w:sz w:val="20"/>
          <w:szCs w:val="20"/>
        </w:rPr>
        <w:t>.</w:t>
      </w:r>
    </w:p>
    <w:p w:rsidR="00000000" w:rsidRDefault="00865332">
      <w:pPr>
        <w:pStyle w:val="a3"/>
        <w:spacing w:before="0" w:beforeAutospacing="0" w:after="0" w:afterAutospacing="0" w:line="259" w:lineRule="auto"/>
        <w:jc w:val="center"/>
        <w:divId w:val="774985307"/>
        <w:rPr>
          <w:sz w:val="20"/>
          <w:szCs w:val="20"/>
        </w:rPr>
      </w:pPr>
      <w:r>
        <w:rPr>
          <w:sz w:val="20"/>
          <w:szCs w:val="20"/>
        </w:rPr>
        <w:t>F</w:t>
      </w:r>
      <w:r>
        <w:rPr>
          <w:sz w:val="20"/>
          <w:szCs w:val="20"/>
        </w:rPr>
        <w:t>-</w:t>
      </w:r>
      <w:r>
        <w:rPr>
          <w:rStyle w:val="ctheaderfooterpage"/>
          <w:sz w:val="20"/>
          <w:szCs w:val="20"/>
        </w:rPr>
        <w:t>9</w:t>
      </w:r>
    </w:p>
    <w:p w:rsidR="00000000" w:rsidRDefault="00865332">
      <w:pPr>
        <w:spacing w:before="360" w:after="360"/>
        <w:divId w:val="1608997296"/>
        <w:rPr>
          <w:rFonts w:eastAsia="Times New Roman"/>
        </w:rPr>
      </w:pPr>
      <w:r>
        <w:rPr>
          <w:rFonts w:eastAsia="Times New Roman"/>
        </w:rPr>
        <w:pict>
          <v:rect id="_x0000_i1104" style="width:0;height:1.5pt" o:hralign="center" o:hrstd="t" o:hr="t" fillcolor="#a0a0a0" stroked="f"/>
        </w:pict>
      </w:r>
    </w:p>
    <w:p w:rsidR="00000000" w:rsidRDefault="00865332">
      <w:pPr>
        <w:pStyle w:val="a3"/>
        <w:spacing w:before="0" w:beforeAutospacing="0" w:after="0" w:afterAutospacing="0" w:line="259" w:lineRule="auto"/>
        <w:jc w:val="center"/>
        <w:divId w:val="283461649"/>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283461649"/>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283461649"/>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hanging="360"/>
        <w:divId w:val="1423529131"/>
        <w:rPr>
          <w:sz w:val="20"/>
          <w:szCs w:val="20"/>
        </w:rPr>
      </w:pPr>
      <w:r>
        <w:rPr>
          <w:sz w:val="20"/>
          <w:szCs w:val="20"/>
        </w:rPr>
        <w:t>1</w:t>
      </w:r>
      <w:r>
        <w:rPr>
          <w:sz w:val="20"/>
          <w:szCs w:val="20"/>
        </w:rPr>
        <w:t>.</w:t>
      </w:r>
      <w:r>
        <w:rPr>
          <w:sz w:val="20"/>
          <w:szCs w:val="20"/>
          <w:u w:val="single"/>
        </w:rPr>
        <w:t>Description of the Busines</w:t>
      </w:r>
      <w:r>
        <w:rPr>
          <w:sz w:val="20"/>
          <w:szCs w:val="20"/>
          <w:u w:val="single"/>
        </w:rPr>
        <w:t>s</w:t>
      </w:r>
    </w:p>
    <w:p w:rsidR="00000000" w:rsidRDefault="00865332">
      <w:pPr>
        <w:pStyle w:val="a3"/>
        <w:spacing w:before="0" w:beforeAutospacing="0" w:after="0" w:afterAutospacing="0" w:line="259" w:lineRule="auto"/>
        <w:ind w:left="360" w:firstLine="720"/>
        <w:jc w:val="both"/>
        <w:divId w:val="1423529131"/>
        <w:rPr>
          <w:sz w:val="20"/>
          <w:szCs w:val="20"/>
        </w:rPr>
      </w:pPr>
      <w:r>
        <w:rPr>
          <w:sz w:val="20"/>
          <w:szCs w:val="20"/>
        </w:rPr>
        <w:t>Public Storage (referred to herein as “the Company,” “we,” “us,” or “our”</w:t>
      </w:r>
      <w:r>
        <w:rPr>
          <w:sz w:val="20"/>
          <w:szCs w:val="20"/>
        </w:rPr>
        <w:t>), a Maryland real estate investment trust (“REIT”), was organized in 1980. Our principal business activities include the ownership and operation of self-storage facilities which offer storage spaces for lease, generally on a month-to-month basis, for pers</w:t>
      </w:r>
      <w:r>
        <w:rPr>
          <w:sz w:val="20"/>
          <w:szCs w:val="20"/>
        </w:rPr>
        <w:t>onal and business use, ancillary activities such as merchandise sales and tenant reinsurance to the tenants at our self-storage facilities, as well as the acquisition and development of additional self-storage space.</w:t>
      </w:r>
      <w:r>
        <w:rPr>
          <w:sz w:val="20"/>
          <w:szCs w:val="20"/>
        </w:rPr>
        <w:t xml:space="preserve"> </w:t>
      </w:r>
    </w:p>
    <w:p w:rsidR="00000000" w:rsidRDefault="00865332">
      <w:pPr>
        <w:pStyle w:val="a3"/>
        <w:spacing w:before="0" w:beforeAutospacing="0" w:after="0" w:afterAutospacing="0" w:line="259" w:lineRule="auto"/>
        <w:ind w:left="360" w:firstLine="720"/>
        <w:jc w:val="both"/>
        <w:divId w:val="1423529131"/>
        <w:rPr>
          <w:sz w:val="20"/>
          <w:szCs w:val="20"/>
        </w:rPr>
      </w:pPr>
      <w:r>
        <w:rPr>
          <w:sz w:val="20"/>
          <w:szCs w:val="20"/>
        </w:rPr>
        <w:t>At December 31, 2019, we have direct a</w:t>
      </w:r>
      <w:r>
        <w:rPr>
          <w:sz w:val="20"/>
          <w:szCs w:val="20"/>
        </w:rPr>
        <w:t>nd indirect equity interests in</w:t>
      </w:r>
      <w:r>
        <w:rPr>
          <w:sz w:val="20"/>
          <w:szCs w:val="20"/>
        </w:rPr>
        <w:t xml:space="preserve"> </w:t>
      </w:r>
      <w:r>
        <w:rPr>
          <w:sz w:val="20"/>
          <w:szCs w:val="20"/>
        </w:rPr>
        <w:t>2,48</w:t>
      </w:r>
      <w:r>
        <w:rPr>
          <w:sz w:val="20"/>
          <w:szCs w:val="20"/>
        </w:rPr>
        <w:t>3</w:t>
      </w:r>
      <w:r>
        <w:rPr>
          <w:sz w:val="20"/>
          <w:szCs w:val="20"/>
        </w:rPr>
        <w:t xml:space="preserve"> self-storage facilities (with approximately</w:t>
      </w:r>
      <w:r>
        <w:rPr>
          <w:sz w:val="20"/>
          <w:szCs w:val="20"/>
        </w:rPr>
        <w:t xml:space="preserve"> </w:t>
      </w:r>
      <w:r>
        <w:rPr>
          <w:sz w:val="20"/>
          <w:szCs w:val="20"/>
        </w:rPr>
        <w:t>16</w:t>
      </w:r>
      <w:r>
        <w:rPr>
          <w:sz w:val="20"/>
          <w:szCs w:val="20"/>
        </w:rPr>
        <w:t>9</w:t>
      </w:r>
      <w:r>
        <w:rPr>
          <w:sz w:val="20"/>
          <w:szCs w:val="20"/>
        </w:rPr>
        <w:t xml:space="preserve"> million net rentable square feet) located in</w:t>
      </w:r>
      <w:r>
        <w:rPr>
          <w:sz w:val="20"/>
          <w:szCs w:val="20"/>
        </w:rPr>
        <w:t xml:space="preserve"> </w:t>
      </w:r>
      <w:r>
        <w:rPr>
          <w:sz w:val="20"/>
          <w:szCs w:val="20"/>
        </w:rPr>
        <w:t>3</w:t>
      </w:r>
      <w:r>
        <w:rPr>
          <w:sz w:val="20"/>
          <w:szCs w:val="20"/>
        </w:rPr>
        <w:t>8</w:t>
      </w:r>
      <w:r>
        <w:rPr>
          <w:sz w:val="20"/>
          <w:szCs w:val="20"/>
        </w:rPr>
        <w:t xml:space="preserve"> states in the United States (“U.S.”) operating under the “Public Storage” name, and</w:t>
      </w:r>
      <w:r>
        <w:rPr>
          <w:sz w:val="20"/>
          <w:szCs w:val="20"/>
        </w:rPr>
        <w:t xml:space="preserve"> </w:t>
      </w:r>
      <w:r>
        <w:rPr>
          <w:sz w:val="20"/>
          <w:szCs w:val="20"/>
        </w:rPr>
        <w:t>0.</w:t>
      </w:r>
      <w:r>
        <w:rPr>
          <w:sz w:val="20"/>
          <w:szCs w:val="20"/>
        </w:rPr>
        <w:t>9</w:t>
      </w:r>
      <w:r>
        <w:rPr>
          <w:sz w:val="20"/>
          <w:szCs w:val="20"/>
        </w:rPr>
        <w:t xml:space="preserve"> million net rentable square feet o</w:t>
      </w:r>
      <w:r>
        <w:rPr>
          <w:sz w:val="20"/>
          <w:szCs w:val="20"/>
        </w:rPr>
        <w:t>f commercial and retail space.</w:t>
      </w:r>
      <w:r>
        <w:rPr>
          <w:sz w:val="20"/>
          <w:szCs w:val="20"/>
        </w:rPr>
        <w:t xml:space="preserve"> </w:t>
      </w:r>
    </w:p>
    <w:p w:rsidR="00000000" w:rsidRDefault="00865332">
      <w:pPr>
        <w:pStyle w:val="a3"/>
        <w:spacing w:before="0" w:beforeAutospacing="0" w:after="0" w:afterAutospacing="0" w:line="259" w:lineRule="auto"/>
        <w:ind w:left="360" w:firstLine="720"/>
        <w:jc w:val="both"/>
        <w:divId w:val="1423529131"/>
        <w:rPr>
          <w:sz w:val="20"/>
          <w:szCs w:val="20"/>
        </w:rPr>
      </w:pPr>
      <w:r>
        <w:rPr>
          <w:sz w:val="20"/>
          <w:szCs w:val="20"/>
        </w:rPr>
        <w:t>We own</w:t>
      </w:r>
      <w:r>
        <w:rPr>
          <w:sz w:val="20"/>
          <w:szCs w:val="20"/>
        </w:rPr>
        <w:t xml:space="preserve"> </w:t>
      </w:r>
      <w:r>
        <w:rPr>
          <w:sz w:val="20"/>
          <w:szCs w:val="20"/>
        </w:rPr>
        <w:t>31.</w:t>
      </w:r>
      <w:r>
        <w:rPr>
          <w:sz w:val="20"/>
          <w:szCs w:val="20"/>
        </w:rPr>
        <w:t>3</w:t>
      </w:r>
      <w:r>
        <w:rPr>
          <w:sz w:val="20"/>
          <w:szCs w:val="20"/>
        </w:rPr>
        <w:t xml:space="preserve"> million common shares (an approximate</w:t>
      </w:r>
      <w:r>
        <w:rPr>
          <w:sz w:val="20"/>
          <w:szCs w:val="20"/>
        </w:rPr>
        <w:t xml:space="preserve"> </w:t>
      </w:r>
      <w:r>
        <w:rPr>
          <w:sz w:val="20"/>
          <w:szCs w:val="20"/>
        </w:rPr>
        <w:t>3</w:t>
      </w:r>
      <w:r>
        <w:rPr>
          <w:sz w:val="20"/>
          <w:szCs w:val="20"/>
        </w:rPr>
        <w:t>5</w:t>
      </w:r>
      <w:r>
        <w:rPr>
          <w:sz w:val="20"/>
          <w:szCs w:val="20"/>
        </w:rPr>
        <w:t>% interest) of Shurgard Self Storage SA (“Shurgard”) a public company traded on Euronext Brussels under the “SHUR” symbol, which owns</w:t>
      </w:r>
      <w:r>
        <w:rPr>
          <w:sz w:val="20"/>
          <w:szCs w:val="20"/>
        </w:rPr>
        <w:t xml:space="preserve"> </w:t>
      </w:r>
      <w:r>
        <w:rPr>
          <w:sz w:val="20"/>
          <w:szCs w:val="20"/>
        </w:rPr>
        <w:t>23</w:t>
      </w:r>
      <w:r>
        <w:rPr>
          <w:sz w:val="20"/>
          <w:szCs w:val="20"/>
        </w:rPr>
        <w:t>4</w:t>
      </w:r>
      <w:r>
        <w:rPr>
          <w:sz w:val="20"/>
          <w:szCs w:val="20"/>
        </w:rPr>
        <w:t xml:space="preserve"> self-storage facilities (with appr</w:t>
      </w:r>
      <w:r>
        <w:rPr>
          <w:sz w:val="20"/>
          <w:szCs w:val="20"/>
        </w:rPr>
        <w:t>oximately</w:t>
      </w:r>
      <w:r>
        <w:rPr>
          <w:sz w:val="20"/>
          <w:szCs w:val="20"/>
        </w:rPr>
        <w:t xml:space="preserve"> </w:t>
      </w:r>
      <w:r>
        <w:rPr>
          <w:sz w:val="20"/>
          <w:szCs w:val="20"/>
        </w:rPr>
        <w:t>1</w:t>
      </w:r>
      <w:r>
        <w:rPr>
          <w:sz w:val="20"/>
          <w:szCs w:val="20"/>
        </w:rPr>
        <w:t>3</w:t>
      </w:r>
      <w:r>
        <w:rPr>
          <w:sz w:val="20"/>
          <w:szCs w:val="20"/>
        </w:rPr>
        <w:t> million net rentable square feet) located in</w:t>
      </w:r>
      <w:r>
        <w:rPr>
          <w:sz w:val="20"/>
          <w:szCs w:val="20"/>
        </w:rPr>
        <w:t xml:space="preserve"> </w:t>
      </w:r>
      <w:r>
        <w:rPr>
          <w:sz w:val="20"/>
          <w:szCs w:val="20"/>
        </w:rPr>
        <w:t>seve</w:t>
      </w:r>
      <w:r>
        <w:rPr>
          <w:sz w:val="20"/>
          <w:szCs w:val="20"/>
        </w:rPr>
        <w:t>n</w:t>
      </w:r>
      <w:r>
        <w:rPr>
          <w:sz w:val="20"/>
          <w:szCs w:val="20"/>
        </w:rPr>
        <w:t xml:space="preserve"> Western European countries, all operating under the “Shurgard” name. We also own an aggregate approximate</w:t>
      </w:r>
      <w:r>
        <w:rPr>
          <w:sz w:val="20"/>
          <w:szCs w:val="20"/>
        </w:rPr>
        <w:t xml:space="preserve"> </w:t>
      </w:r>
      <w:r>
        <w:rPr>
          <w:sz w:val="20"/>
          <w:szCs w:val="20"/>
        </w:rPr>
        <w:t>4</w:t>
      </w:r>
      <w:r>
        <w:rPr>
          <w:sz w:val="20"/>
          <w:szCs w:val="20"/>
        </w:rPr>
        <w:t>2</w:t>
      </w:r>
      <w:r>
        <w:rPr>
          <w:sz w:val="20"/>
          <w:szCs w:val="20"/>
        </w:rPr>
        <w:t>% common equity interest in PS Business Parks, Inc. (“PSB”), a REIT traded on the Ne</w:t>
      </w:r>
      <w:r>
        <w:rPr>
          <w:sz w:val="20"/>
          <w:szCs w:val="20"/>
        </w:rPr>
        <w:t>w York Stock Exchange under the “PSB” symbol, which owns</w:t>
      </w:r>
      <w:r>
        <w:rPr>
          <w:sz w:val="20"/>
          <w:szCs w:val="20"/>
        </w:rPr>
        <w:t xml:space="preserve"> </w:t>
      </w:r>
      <w:r>
        <w:rPr>
          <w:sz w:val="20"/>
          <w:szCs w:val="20"/>
        </w:rPr>
        <w:t>27.</w:t>
      </w:r>
      <w:r>
        <w:rPr>
          <w:sz w:val="20"/>
          <w:szCs w:val="20"/>
        </w:rPr>
        <w:t>6</w:t>
      </w:r>
      <w:r>
        <w:rPr>
          <w:sz w:val="20"/>
          <w:szCs w:val="20"/>
        </w:rPr>
        <w:t xml:space="preserve"> million aggregate net rentable square feet of commercial properties, primarily multi-tenant industrial, flex, and office space, located in</w:t>
      </w:r>
      <w:r>
        <w:rPr>
          <w:sz w:val="20"/>
          <w:szCs w:val="20"/>
        </w:rPr>
        <w:t xml:space="preserve"> </w:t>
      </w:r>
      <w:r>
        <w:rPr>
          <w:sz w:val="20"/>
          <w:szCs w:val="20"/>
        </w:rPr>
        <w:t>si</w:t>
      </w:r>
      <w:r>
        <w:rPr>
          <w:sz w:val="20"/>
          <w:szCs w:val="20"/>
        </w:rPr>
        <w:t>x</w:t>
      </w:r>
      <w:r>
        <w:rPr>
          <w:sz w:val="20"/>
          <w:szCs w:val="20"/>
        </w:rPr>
        <w:t xml:space="preserve"> states</w:t>
      </w:r>
      <w:r>
        <w:rPr>
          <w:sz w:val="20"/>
          <w:szCs w:val="20"/>
        </w:rPr>
        <w:t>.</w:t>
      </w:r>
    </w:p>
    <w:p w:rsidR="00000000" w:rsidRDefault="00865332">
      <w:pPr>
        <w:pStyle w:val="a3"/>
        <w:spacing w:before="0" w:beforeAutospacing="0" w:after="0" w:afterAutospacing="0" w:line="259" w:lineRule="auto"/>
        <w:ind w:left="360" w:firstLine="720"/>
        <w:jc w:val="both"/>
        <w:divId w:val="1423529131"/>
        <w:rPr>
          <w:sz w:val="20"/>
          <w:szCs w:val="20"/>
        </w:rPr>
      </w:pPr>
      <w:r>
        <w:rPr>
          <w:sz w:val="20"/>
          <w:szCs w:val="20"/>
        </w:rPr>
        <w:t>Disclosures of the number and square footag</w:t>
      </w:r>
      <w:r>
        <w:rPr>
          <w:sz w:val="20"/>
          <w:szCs w:val="20"/>
        </w:rPr>
        <w:t>e of facilities, as well as the number and coverage of tenant reinsurance policies (Note 13) are unaudited and outside the scope of our independent registered public accounting firm’s review of our financial statements in accordance with the standards of t</w:t>
      </w:r>
      <w:r>
        <w:rPr>
          <w:sz w:val="20"/>
          <w:szCs w:val="20"/>
        </w:rPr>
        <w:t>he Public Company Accounting Oversight Board (U.S.).</w:t>
      </w:r>
      <w:r>
        <w:rPr>
          <w:sz w:val="20"/>
          <w:szCs w:val="20"/>
        </w:rPr>
        <w:t xml:space="preserve"> </w:t>
      </w:r>
    </w:p>
    <w:p w:rsidR="00000000" w:rsidRDefault="00865332">
      <w:pPr>
        <w:pStyle w:val="a3"/>
        <w:spacing w:before="0" w:beforeAutospacing="0" w:after="0" w:afterAutospacing="0" w:line="259" w:lineRule="auto"/>
        <w:ind w:left="360" w:hanging="360"/>
        <w:divId w:val="1423529131"/>
        <w:rPr>
          <w:sz w:val="20"/>
          <w:szCs w:val="20"/>
        </w:rPr>
      </w:pPr>
      <w:r>
        <w:rPr>
          <w:sz w:val="20"/>
          <w:szCs w:val="20"/>
        </w:rPr>
        <w:t>2</w:t>
      </w:r>
      <w:r>
        <w:rPr>
          <w:sz w:val="20"/>
          <w:szCs w:val="20"/>
        </w:rPr>
        <w:t>.</w:t>
      </w:r>
      <w:r>
        <w:rPr>
          <w:sz w:val="20"/>
          <w:szCs w:val="20"/>
          <w:u w:val="single"/>
        </w:rPr>
        <w:t>Summary of Significant Accounting Policie</w:t>
      </w:r>
      <w:r>
        <w:rPr>
          <w:sz w:val="20"/>
          <w:szCs w:val="20"/>
          <w:u w:val="single"/>
        </w:rPr>
        <w:t>s</w:t>
      </w:r>
    </w:p>
    <w:p w:rsidR="00000000" w:rsidRDefault="00865332">
      <w:pPr>
        <w:pStyle w:val="a3"/>
        <w:spacing w:before="0" w:beforeAutospacing="0" w:after="0" w:afterAutospacing="0" w:line="259" w:lineRule="auto"/>
        <w:ind w:left="360"/>
        <w:jc w:val="both"/>
        <w:divId w:val="1423529131"/>
        <w:rPr>
          <w:sz w:val="20"/>
          <w:szCs w:val="20"/>
        </w:rPr>
      </w:pPr>
      <w:r>
        <w:rPr>
          <w:sz w:val="20"/>
          <w:szCs w:val="20"/>
          <w:u w:val="single"/>
        </w:rPr>
        <w:t>Basis of Presentatio</w:t>
      </w:r>
      <w:r>
        <w:rPr>
          <w:sz w:val="20"/>
          <w:szCs w:val="20"/>
          <w:u w:val="single"/>
        </w:rPr>
        <w:t>n</w:t>
      </w:r>
    </w:p>
    <w:p w:rsidR="00000000" w:rsidRDefault="00865332">
      <w:pPr>
        <w:pStyle w:val="a3"/>
        <w:spacing w:before="0" w:beforeAutospacing="0" w:after="0" w:afterAutospacing="0" w:line="259" w:lineRule="auto"/>
        <w:ind w:left="360" w:firstLine="720"/>
        <w:jc w:val="both"/>
        <w:divId w:val="1423529131"/>
        <w:rPr>
          <w:sz w:val="20"/>
          <w:szCs w:val="20"/>
        </w:rPr>
      </w:pPr>
      <w:r>
        <w:rPr>
          <w:sz w:val="20"/>
          <w:szCs w:val="20"/>
        </w:rPr>
        <w:t>The financial statements are presented on an accrual basis in accordance with U.S. generally accepted accounting principles (“GAAP”) as</w:t>
      </w:r>
      <w:r>
        <w:rPr>
          <w:sz w:val="20"/>
          <w:szCs w:val="20"/>
        </w:rPr>
        <w:t xml:space="preserve"> defined in the Financial Accounting Standards Board Accounting Standards Codification (the “Codification”).</w:t>
      </w:r>
      <w:r>
        <w:rPr>
          <w:sz w:val="20"/>
          <w:szCs w:val="20"/>
        </w:rPr>
        <w:t xml:space="preserve"> </w:t>
      </w:r>
    </w:p>
    <w:p w:rsidR="00000000" w:rsidRDefault="00865332">
      <w:pPr>
        <w:pStyle w:val="a3"/>
        <w:spacing w:before="0" w:beforeAutospacing="0" w:after="0" w:afterAutospacing="0" w:line="259" w:lineRule="auto"/>
        <w:ind w:left="360" w:firstLine="720"/>
        <w:jc w:val="both"/>
        <w:divId w:val="1423529131"/>
        <w:rPr>
          <w:sz w:val="20"/>
          <w:szCs w:val="20"/>
        </w:rPr>
      </w:pPr>
      <w:r>
        <w:rPr>
          <w:sz w:val="20"/>
          <w:szCs w:val="20"/>
        </w:rPr>
        <w:t>Certain amounts previously reported in our December 31, 2018 and 2017 financial statements have been reclassified to conform to the December 31, 2</w:t>
      </w:r>
      <w:r>
        <w:rPr>
          <w:sz w:val="20"/>
          <w:szCs w:val="20"/>
        </w:rPr>
        <w:t>019 presentation, including separate presentation on our Statements of Cash Flows of our cash payments for real estate investments between cash paid for amounts incurred during the current period and amounts incurred during previous periods.</w:t>
      </w:r>
      <w:r>
        <w:rPr>
          <w:sz w:val="20"/>
          <w:szCs w:val="20"/>
        </w:rPr>
        <w:t xml:space="preserve"> </w:t>
      </w:r>
    </w:p>
    <w:p w:rsidR="00000000" w:rsidRDefault="00865332">
      <w:pPr>
        <w:pStyle w:val="a3"/>
        <w:spacing w:before="0" w:beforeAutospacing="0" w:after="0" w:afterAutospacing="0" w:line="259" w:lineRule="auto"/>
        <w:ind w:left="360"/>
        <w:jc w:val="both"/>
        <w:divId w:val="1423529131"/>
        <w:rPr>
          <w:sz w:val="20"/>
          <w:szCs w:val="20"/>
        </w:rPr>
      </w:pPr>
      <w:r>
        <w:rPr>
          <w:sz w:val="20"/>
          <w:szCs w:val="20"/>
          <w:u w:val="single"/>
        </w:rPr>
        <w:t>Consolidation</w:t>
      </w:r>
      <w:r>
        <w:rPr>
          <w:sz w:val="20"/>
          <w:szCs w:val="20"/>
          <w:u w:val="single"/>
        </w:rPr>
        <w:t xml:space="preserve"> and Equity Method of Accountin</w:t>
      </w:r>
      <w:r>
        <w:rPr>
          <w:sz w:val="20"/>
          <w:szCs w:val="20"/>
          <w:u w:val="single"/>
        </w:rPr>
        <w:t>g</w:t>
      </w:r>
    </w:p>
    <w:p w:rsidR="00000000" w:rsidRDefault="00865332">
      <w:pPr>
        <w:pStyle w:val="a3"/>
        <w:spacing w:before="0" w:beforeAutospacing="0" w:after="0" w:afterAutospacing="0" w:line="259" w:lineRule="auto"/>
        <w:ind w:left="360" w:firstLine="720"/>
        <w:jc w:val="both"/>
        <w:divId w:val="1423529131"/>
        <w:rPr>
          <w:sz w:val="20"/>
          <w:szCs w:val="20"/>
        </w:rPr>
      </w:pPr>
      <w:r>
        <w:rPr>
          <w:sz w:val="20"/>
          <w:szCs w:val="20"/>
        </w:rPr>
        <w:t>We consider entities to be Variable Interest Entities (“VIEs”) when they have insufficient equity to finance their activities without additional subordinated financial support provided by other parties, or the equity holder</w:t>
      </w:r>
      <w:r>
        <w:rPr>
          <w:sz w:val="20"/>
          <w:szCs w:val="20"/>
        </w:rPr>
        <w:t>s as a group do not have a controlling financial interest. We consolidate VIEs when we have (i) the power to direct the activities most significantly impacting economic performance, and (ii) either the obligation to absorb losses or the right to receive be</w:t>
      </w:r>
      <w:r>
        <w:rPr>
          <w:sz w:val="20"/>
          <w:szCs w:val="20"/>
        </w:rPr>
        <w:t>nefits from the VIE. We have no involvement with any material VIEs. We consolidate all other entities when we control them through voting shares or contractual rights. The entities we consolidate, for the period in which the reference applies, are referred</w:t>
      </w:r>
      <w:r>
        <w:rPr>
          <w:sz w:val="20"/>
          <w:szCs w:val="20"/>
        </w:rPr>
        <w:t xml:space="preserve"> to collectively as the “Subsidiaries,” and we eliminate intercompany transactions and balances.</w:t>
      </w:r>
      <w:r>
        <w:rPr>
          <w:sz w:val="20"/>
          <w:szCs w:val="20"/>
        </w:rPr>
        <w:t xml:space="preserve"> </w:t>
      </w:r>
    </w:p>
    <w:p w:rsidR="00000000" w:rsidRDefault="00865332">
      <w:pPr>
        <w:pStyle w:val="a3"/>
        <w:spacing w:before="0" w:beforeAutospacing="0" w:after="0" w:afterAutospacing="0" w:line="259" w:lineRule="auto"/>
        <w:jc w:val="center"/>
        <w:divId w:val="1159425329"/>
        <w:rPr>
          <w:sz w:val="20"/>
          <w:szCs w:val="20"/>
        </w:rPr>
      </w:pPr>
      <w:r>
        <w:rPr>
          <w:sz w:val="20"/>
          <w:szCs w:val="20"/>
        </w:rPr>
        <w:t>F</w:t>
      </w:r>
      <w:r>
        <w:rPr>
          <w:sz w:val="20"/>
          <w:szCs w:val="20"/>
        </w:rPr>
        <w:t>-</w:t>
      </w:r>
      <w:r>
        <w:rPr>
          <w:rStyle w:val="ctheaderfooterpage"/>
          <w:sz w:val="20"/>
          <w:szCs w:val="20"/>
        </w:rPr>
        <w:t>1</w:t>
      </w:r>
      <w:r>
        <w:rPr>
          <w:rStyle w:val="ctheaderfooterpage"/>
          <w:sz w:val="20"/>
          <w:szCs w:val="20"/>
        </w:rPr>
        <w:t>0</w:t>
      </w:r>
    </w:p>
    <w:p w:rsidR="00000000" w:rsidRDefault="00865332">
      <w:pPr>
        <w:spacing w:before="360" w:after="360"/>
        <w:divId w:val="846290040"/>
        <w:rPr>
          <w:rFonts w:eastAsia="Times New Roman"/>
        </w:rPr>
      </w:pPr>
      <w:r>
        <w:rPr>
          <w:rFonts w:eastAsia="Times New Roman"/>
        </w:rPr>
        <w:pict>
          <v:rect id="_x0000_i1105" style="width:0;height:1.5pt" o:hralign="center" o:hrstd="t" o:hr="t" fillcolor="#a0a0a0" stroked="f"/>
        </w:pict>
      </w:r>
    </w:p>
    <w:p w:rsidR="00000000" w:rsidRDefault="00865332">
      <w:pPr>
        <w:pStyle w:val="a3"/>
        <w:spacing w:before="0" w:beforeAutospacing="0" w:after="0" w:afterAutospacing="0" w:line="259" w:lineRule="auto"/>
        <w:jc w:val="center"/>
        <w:divId w:val="232006409"/>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232006409"/>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232006409"/>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We account for our investments in entities that we do</w:t>
      </w:r>
      <w:r>
        <w:rPr>
          <w:sz w:val="20"/>
          <w:szCs w:val="20"/>
        </w:rPr>
        <w:t xml:space="preserve"> not consolidate but have significant influence over using the equity method of accounting. These entities, for the periods in which the reference applies, are referred to collectively as the “Unconsolidated Real Estate Entities,” eliminating intra-entity </w:t>
      </w:r>
      <w:r>
        <w:rPr>
          <w:sz w:val="20"/>
          <w:szCs w:val="20"/>
        </w:rPr>
        <w:t>profits and losses and amortizing any differences between the cost of our investment and the underlying equity in net assets against equity in earnings as if the Unconsolidated Real Estate Entity were a consolidated subsidiary. Equity in earnings of uncons</w:t>
      </w:r>
      <w:r>
        <w:rPr>
          <w:sz w:val="20"/>
          <w:szCs w:val="20"/>
        </w:rPr>
        <w:t>olidated real estate entities represents our pro-rata share of the earnings of the Unconsolidated Real Estate Entities.</w:t>
      </w:r>
      <w:r>
        <w:rPr>
          <w:sz w:val="20"/>
          <w:szCs w:val="20"/>
        </w:rPr>
        <w:t xml:space="preserve"> </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When we begin consolidating an entity, we reflect our preexisting equity interest at book value. All changes in consolidation status ar</w:t>
      </w:r>
      <w:r>
        <w:rPr>
          <w:sz w:val="20"/>
          <w:szCs w:val="20"/>
        </w:rPr>
        <w:t>e reflected prospectively</w:t>
      </w:r>
      <w:r>
        <w:rPr>
          <w:sz w:val="20"/>
          <w:szCs w:val="20"/>
        </w:rPr>
        <w:t>.</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Collectively, at December 31, 2019, the Company and the Subsidiaries own</w:t>
      </w:r>
      <w:r>
        <w:rPr>
          <w:sz w:val="20"/>
          <w:szCs w:val="20"/>
        </w:rPr>
        <w:t xml:space="preserve"> </w:t>
      </w:r>
      <w:r>
        <w:rPr>
          <w:sz w:val="20"/>
          <w:szCs w:val="20"/>
        </w:rPr>
        <w:t>2,48</w:t>
      </w:r>
      <w:r>
        <w:rPr>
          <w:sz w:val="20"/>
          <w:szCs w:val="20"/>
        </w:rPr>
        <w:t>3</w:t>
      </w:r>
      <w:r>
        <w:rPr>
          <w:sz w:val="20"/>
          <w:szCs w:val="20"/>
        </w:rPr>
        <w:t xml:space="preserve"> self-storage facilities and</w:t>
      </w:r>
      <w:r>
        <w:rPr>
          <w:sz w:val="20"/>
          <w:szCs w:val="20"/>
        </w:rPr>
        <w:t xml:space="preserve"> </w:t>
      </w:r>
      <w:r>
        <w:rPr>
          <w:sz w:val="20"/>
          <w:szCs w:val="20"/>
        </w:rPr>
        <w:t>fou</w:t>
      </w:r>
      <w:r>
        <w:rPr>
          <w:sz w:val="20"/>
          <w:szCs w:val="20"/>
        </w:rPr>
        <w:t>r</w:t>
      </w:r>
      <w:r>
        <w:rPr>
          <w:sz w:val="20"/>
          <w:szCs w:val="20"/>
        </w:rPr>
        <w:t xml:space="preserve"> commercial facilities in the U.S. At December 31, 2019, the Unconsolidated Real Estate Entities are comprised of PSB </w:t>
      </w:r>
      <w:r>
        <w:rPr>
          <w:sz w:val="20"/>
          <w:szCs w:val="20"/>
        </w:rPr>
        <w:t>and Shurgard</w:t>
      </w:r>
      <w:r>
        <w:rPr>
          <w:sz w:val="20"/>
          <w:szCs w:val="20"/>
        </w:rPr>
        <w:t>.</w:t>
      </w:r>
    </w:p>
    <w:p w:rsidR="00000000" w:rsidRDefault="00865332">
      <w:pPr>
        <w:pStyle w:val="a3"/>
        <w:spacing w:before="0" w:beforeAutospacing="0" w:after="0" w:afterAutospacing="0" w:line="259" w:lineRule="auto"/>
        <w:ind w:firstLine="360"/>
        <w:divId w:val="322512613"/>
        <w:rPr>
          <w:sz w:val="20"/>
          <w:szCs w:val="20"/>
        </w:rPr>
      </w:pPr>
      <w:r>
        <w:rPr>
          <w:sz w:val="20"/>
          <w:szCs w:val="20"/>
          <w:u w:val="single"/>
        </w:rPr>
        <w:t>Use of Estimate</w:t>
      </w:r>
      <w:r>
        <w:rPr>
          <w:sz w:val="20"/>
          <w:szCs w:val="20"/>
          <w:u w:val="single"/>
        </w:rPr>
        <w:t>s</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The financial statements and accompanying notes reflect our estimates and assumptions. Actual results could differ from those estimates and assumptions</w:t>
      </w:r>
      <w:r>
        <w:rPr>
          <w:sz w:val="20"/>
          <w:szCs w:val="20"/>
        </w:rPr>
        <w:t>.</w:t>
      </w:r>
    </w:p>
    <w:p w:rsidR="00000000" w:rsidRDefault="00865332">
      <w:pPr>
        <w:pStyle w:val="a3"/>
        <w:spacing w:before="0" w:beforeAutospacing="0" w:after="0" w:afterAutospacing="0" w:line="259" w:lineRule="auto"/>
        <w:ind w:left="360"/>
        <w:jc w:val="both"/>
        <w:divId w:val="322512613"/>
        <w:rPr>
          <w:sz w:val="20"/>
          <w:szCs w:val="20"/>
        </w:rPr>
      </w:pPr>
      <w:r>
        <w:rPr>
          <w:sz w:val="20"/>
          <w:szCs w:val="20"/>
          <w:u w:val="single"/>
        </w:rPr>
        <w:t>Income Taxe</w:t>
      </w:r>
      <w:r>
        <w:rPr>
          <w:sz w:val="20"/>
          <w:szCs w:val="20"/>
          <w:u w:val="single"/>
        </w:rPr>
        <w:t>s</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We have elected to be treated as a REIT, as defined in the Internal Revenue Code of 1986, as amended (the “Code”). As a REIT, we do not incur federal income tax if we distribute</w:t>
      </w:r>
      <w:r>
        <w:rPr>
          <w:sz w:val="20"/>
          <w:szCs w:val="20"/>
        </w:rPr>
        <w:t xml:space="preserve"> </w:t>
      </w:r>
      <w:r>
        <w:rPr>
          <w:sz w:val="20"/>
          <w:szCs w:val="20"/>
        </w:rPr>
        <w:t>10</w:t>
      </w:r>
      <w:r>
        <w:rPr>
          <w:sz w:val="20"/>
          <w:szCs w:val="20"/>
        </w:rPr>
        <w:t>0</w:t>
      </w:r>
      <w:r>
        <w:rPr>
          <w:sz w:val="20"/>
          <w:szCs w:val="20"/>
        </w:rPr>
        <w:t>% of our REIT taxable income each year, and if we meet certain organization</w:t>
      </w:r>
      <w:r>
        <w:rPr>
          <w:sz w:val="20"/>
          <w:szCs w:val="20"/>
        </w:rPr>
        <w:t>al and operational rules. We believe we have met these REIT requirements for all periods presented herein. Accordingly, we have recorded no federal income tax expense related to our REIT taxable income.</w:t>
      </w:r>
      <w:r>
        <w:rPr>
          <w:sz w:val="20"/>
          <w:szCs w:val="20"/>
        </w:rPr>
        <w:t xml:space="preserve"> </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Our merchandise and tenant reinsurance operations ar</w:t>
      </w:r>
      <w:r>
        <w:rPr>
          <w:sz w:val="20"/>
          <w:szCs w:val="20"/>
        </w:rPr>
        <w:t>e subject to corporate income tax and such taxes are included in ancillary cost of operations. We also incur income and other taxes in certain states, which are included in general and administrative expense.</w:t>
      </w:r>
      <w:r>
        <w:rPr>
          <w:sz w:val="20"/>
          <w:szCs w:val="20"/>
        </w:rPr>
        <w:t xml:space="preserve"> </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 xml:space="preserve">We recognize tax benefits of uncertain income </w:t>
      </w:r>
      <w:r>
        <w:rPr>
          <w:sz w:val="20"/>
          <w:szCs w:val="20"/>
        </w:rPr>
        <w:t>tax positions that are subject to audit only if we believe it is more likely than not that the position would ultimately be sustained assuming the relevant taxing authorities had full knowledge of the relevant facts and circumstances of our positions. As o</w:t>
      </w:r>
      <w:r>
        <w:rPr>
          <w:sz w:val="20"/>
          <w:szCs w:val="20"/>
        </w:rPr>
        <w:t>f December 31, 2019, we had</w:t>
      </w:r>
      <w:r>
        <w:rPr>
          <w:sz w:val="20"/>
          <w:szCs w:val="20"/>
        </w:rPr>
        <w:t xml:space="preserve"> </w:t>
      </w:r>
      <w:r>
        <w:rPr>
          <w:sz w:val="20"/>
          <w:szCs w:val="20"/>
        </w:rPr>
        <w:t>n</w:t>
      </w:r>
      <w:r>
        <w:rPr>
          <w:sz w:val="20"/>
          <w:szCs w:val="20"/>
        </w:rPr>
        <w:t>o</w:t>
      </w:r>
      <w:r>
        <w:rPr>
          <w:sz w:val="20"/>
          <w:szCs w:val="20"/>
        </w:rPr>
        <w:t xml:space="preserve"> tax benefits that were not recognized</w:t>
      </w:r>
      <w:r>
        <w:rPr>
          <w:sz w:val="20"/>
          <w:szCs w:val="20"/>
        </w:rPr>
        <w:t>.</w:t>
      </w:r>
    </w:p>
    <w:p w:rsidR="00000000" w:rsidRDefault="00865332">
      <w:pPr>
        <w:pStyle w:val="a3"/>
        <w:spacing w:before="0" w:beforeAutospacing="0" w:after="0" w:afterAutospacing="0" w:line="259" w:lineRule="auto"/>
        <w:ind w:left="360"/>
        <w:jc w:val="both"/>
        <w:divId w:val="322512613"/>
        <w:rPr>
          <w:sz w:val="20"/>
          <w:szCs w:val="20"/>
        </w:rPr>
      </w:pPr>
      <w:r>
        <w:rPr>
          <w:sz w:val="20"/>
          <w:szCs w:val="20"/>
          <w:u w:val="single"/>
        </w:rPr>
        <w:t>Real Estate Facilitie</w:t>
      </w:r>
      <w:r>
        <w:rPr>
          <w:sz w:val="20"/>
          <w:szCs w:val="20"/>
          <w:u w:val="single"/>
        </w:rPr>
        <w:t>s</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Real estate facilities are recorded at cost. We capitalize all costs incurred to acquire, develop, construct, renovate and improve facilities, including interest a</w:t>
      </w:r>
      <w:r>
        <w:rPr>
          <w:sz w:val="20"/>
          <w:szCs w:val="20"/>
        </w:rPr>
        <w:t>nd property taxes incurred during the construction period. We allocate the net acquisition cost of acquired real estate facilities to the underlying land, buildings, and identified intangible assets based upon their respective individual estimated fair val</w:t>
      </w:r>
      <w:r>
        <w:rPr>
          <w:sz w:val="20"/>
          <w:szCs w:val="20"/>
        </w:rPr>
        <w:t>ues.</w:t>
      </w:r>
      <w:r>
        <w:rPr>
          <w:sz w:val="20"/>
          <w:szCs w:val="20"/>
        </w:rPr>
        <w:t xml:space="preserve"> </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Costs associated with dispositions of real estate, as well as repairs and maintenance costs, are expensed as incurred. We depreciate buildings and improvements on a straight-line basis over estimated useful lives ranging generally between</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2</w:t>
      </w:r>
      <w:r>
        <w:rPr>
          <w:sz w:val="20"/>
          <w:szCs w:val="20"/>
        </w:rPr>
        <w:t>5</w:t>
      </w:r>
      <w:r>
        <w:rPr>
          <w:sz w:val="20"/>
          <w:szCs w:val="20"/>
        </w:rPr>
        <w:t xml:space="preserve"> yea</w:t>
      </w:r>
      <w:r>
        <w:rPr>
          <w:sz w:val="20"/>
          <w:szCs w:val="20"/>
        </w:rPr>
        <w:t>rs</w:t>
      </w:r>
      <w:r>
        <w:rPr>
          <w:sz w:val="20"/>
          <w:szCs w:val="20"/>
        </w:rPr>
        <w:t>.</w:t>
      </w:r>
    </w:p>
    <w:p w:rsidR="00000000" w:rsidRDefault="00865332">
      <w:pPr>
        <w:pStyle w:val="a3"/>
        <w:spacing w:before="0" w:beforeAutospacing="0" w:after="0" w:afterAutospacing="0" w:line="259" w:lineRule="auto"/>
        <w:ind w:left="360" w:firstLine="720"/>
        <w:jc w:val="both"/>
        <w:divId w:val="322512613"/>
        <w:rPr>
          <w:sz w:val="20"/>
          <w:szCs w:val="20"/>
        </w:rPr>
      </w:pPr>
      <w:r>
        <w:rPr>
          <w:sz w:val="20"/>
          <w:szCs w:val="20"/>
        </w:rPr>
        <w:t>When we sell a full or partial interest in a real estate facility without retaining a controlling interest following sale, we recognize a gain or loss on sale as if</w:t>
      </w:r>
      <w:r>
        <w:rPr>
          <w:sz w:val="20"/>
          <w:szCs w:val="20"/>
        </w:rPr>
        <w:t xml:space="preserve"> </w:t>
      </w:r>
      <w:r>
        <w:rPr>
          <w:sz w:val="20"/>
          <w:szCs w:val="20"/>
        </w:rPr>
        <w:t>10</w:t>
      </w:r>
      <w:r>
        <w:rPr>
          <w:sz w:val="20"/>
          <w:szCs w:val="20"/>
        </w:rPr>
        <w:t>0</w:t>
      </w:r>
      <w:r>
        <w:rPr>
          <w:sz w:val="20"/>
          <w:szCs w:val="20"/>
        </w:rPr>
        <w:t>% of the property was sold at fair value. If we retain</w:t>
      </w:r>
      <w:r>
        <w:rPr>
          <w:sz w:val="20"/>
          <w:szCs w:val="20"/>
        </w:rPr>
        <w:t xml:space="preserve"> </w:t>
      </w:r>
    </w:p>
    <w:p w:rsidR="00000000" w:rsidRDefault="00865332">
      <w:pPr>
        <w:pStyle w:val="a3"/>
        <w:spacing w:before="0" w:beforeAutospacing="0" w:after="0" w:afterAutospacing="0" w:line="259" w:lineRule="auto"/>
        <w:jc w:val="center"/>
        <w:divId w:val="1098016398"/>
        <w:rPr>
          <w:sz w:val="20"/>
          <w:szCs w:val="20"/>
        </w:rPr>
      </w:pPr>
      <w:r>
        <w:rPr>
          <w:sz w:val="20"/>
          <w:szCs w:val="20"/>
        </w:rPr>
        <w:t>F</w:t>
      </w:r>
      <w:r>
        <w:rPr>
          <w:sz w:val="20"/>
          <w:szCs w:val="20"/>
        </w:rPr>
        <w:t>-</w:t>
      </w:r>
      <w:r>
        <w:rPr>
          <w:rStyle w:val="ctheaderfooterpage"/>
          <w:sz w:val="20"/>
          <w:szCs w:val="20"/>
        </w:rPr>
        <w:t>1</w:t>
      </w:r>
      <w:r>
        <w:rPr>
          <w:rStyle w:val="ctheaderfooterpage"/>
          <w:sz w:val="20"/>
          <w:szCs w:val="20"/>
        </w:rPr>
        <w:t>1</w:t>
      </w:r>
    </w:p>
    <w:p w:rsidR="00000000" w:rsidRDefault="00865332">
      <w:pPr>
        <w:spacing w:before="360" w:after="360"/>
        <w:divId w:val="1542356001"/>
        <w:rPr>
          <w:rFonts w:eastAsia="Times New Roman"/>
        </w:rPr>
      </w:pPr>
      <w:r>
        <w:rPr>
          <w:rFonts w:eastAsia="Times New Roman"/>
        </w:rPr>
        <w:pict>
          <v:rect id="_x0000_i1106" style="width:0;height:1.5pt" o:hralign="center" o:hrstd="t" o:hr="t" fillcolor="#a0a0a0" stroked="f"/>
        </w:pict>
      </w:r>
    </w:p>
    <w:p w:rsidR="00000000" w:rsidRDefault="00865332">
      <w:pPr>
        <w:pStyle w:val="a3"/>
        <w:spacing w:before="0" w:beforeAutospacing="0" w:after="0" w:afterAutospacing="0" w:line="259" w:lineRule="auto"/>
        <w:jc w:val="center"/>
        <w:divId w:val="2130125845"/>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2130125845"/>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2130125845"/>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jc w:val="both"/>
        <w:divId w:val="666633924"/>
        <w:rPr>
          <w:sz w:val="20"/>
          <w:szCs w:val="20"/>
        </w:rPr>
      </w:pPr>
      <w:r>
        <w:rPr>
          <w:sz w:val="20"/>
          <w:szCs w:val="20"/>
        </w:rPr>
        <w:t xml:space="preserve">a controlling interest following the sale, we record a noncontrolling interest for the book value of the partial interest sold, and recognize additional paid-in capital for the difference between the consideration received and the partial interest at book </w:t>
      </w:r>
      <w:r>
        <w:rPr>
          <w:sz w:val="20"/>
          <w:szCs w:val="20"/>
        </w:rPr>
        <w:t>value</w:t>
      </w:r>
      <w:r>
        <w:rPr>
          <w:sz w:val="20"/>
          <w:szCs w:val="20"/>
        </w:rPr>
        <w:t>.</w:t>
      </w:r>
    </w:p>
    <w:p w:rsidR="00000000" w:rsidRDefault="00865332">
      <w:pPr>
        <w:pStyle w:val="a3"/>
        <w:spacing w:before="0" w:beforeAutospacing="0" w:after="0" w:afterAutospacing="0" w:line="259" w:lineRule="auto"/>
        <w:ind w:left="360"/>
        <w:jc w:val="both"/>
        <w:divId w:val="666633924"/>
        <w:rPr>
          <w:sz w:val="20"/>
          <w:szCs w:val="20"/>
        </w:rPr>
      </w:pPr>
      <w:r>
        <w:rPr>
          <w:sz w:val="20"/>
          <w:szCs w:val="20"/>
          <w:u w:val="single"/>
        </w:rPr>
        <w:t>Other Asset</w:t>
      </w:r>
      <w:r>
        <w:rPr>
          <w:sz w:val="20"/>
          <w:szCs w:val="20"/>
          <w:u w:val="single"/>
        </w:rPr>
        <w:t>s</w:t>
      </w:r>
    </w:p>
    <w:p w:rsidR="00000000" w:rsidRDefault="00865332">
      <w:pPr>
        <w:pStyle w:val="a3"/>
        <w:spacing w:before="0" w:beforeAutospacing="0" w:after="0" w:afterAutospacing="0" w:line="259" w:lineRule="auto"/>
        <w:ind w:left="360" w:firstLine="720"/>
        <w:jc w:val="both"/>
        <w:divId w:val="666633924"/>
        <w:rPr>
          <w:sz w:val="20"/>
          <w:szCs w:val="20"/>
        </w:rPr>
      </w:pPr>
      <w:r>
        <w:rPr>
          <w:sz w:val="20"/>
          <w:szCs w:val="20"/>
        </w:rPr>
        <w:t>Other assets primarily consist of rents receivable from our tenants, prepaid expenses, restricted cash and right-to-use assets (Note 12).</w:t>
      </w:r>
      <w:r>
        <w:rPr>
          <w:sz w:val="20"/>
          <w:szCs w:val="20"/>
        </w:rPr>
        <w:t xml:space="preserve"> </w:t>
      </w:r>
    </w:p>
    <w:p w:rsidR="00000000" w:rsidRDefault="00865332">
      <w:pPr>
        <w:pStyle w:val="a3"/>
        <w:spacing w:before="0" w:beforeAutospacing="0" w:after="0" w:afterAutospacing="0" w:line="259" w:lineRule="auto"/>
        <w:ind w:firstLine="360"/>
        <w:divId w:val="666633924"/>
        <w:rPr>
          <w:sz w:val="20"/>
          <w:szCs w:val="20"/>
        </w:rPr>
      </w:pPr>
      <w:r>
        <w:rPr>
          <w:sz w:val="20"/>
          <w:szCs w:val="20"/>
          <w:u w:val="single"/>
        </w:rPr>
        <w:t>Accrued and Other Liabilitie</w:t>
      </w:r>
      <w:r>
        <w:rPr>
          <w:sz w:val="20"/>
          <w:szCs w:val="20"/>
          <w:u w:val="single"/>
        </w:rPr>
        <w:t>s</w:t>
      </w:r>
    </w:p>
    <w:p w:rsidR="00000000" w:rsidRDefault="00865332">
      <w:pPr>
        <w:pStyle w:val="a3"/>
        <w:spacing w:before="0" w:beforeAutospacing="0" w:after="0" w:afterAutospacing="0" w:line="259" w:lineRule="auto"/>
        <w:ind w:left="360" w:firstLine="720"/>
        <w:jc w:val="both"/>
        <w:divId w:val="666633924"/>
        <w:rPr>
          <w:sz w:val="20"/>
          <w:szCs w:val="20"/>
        </w:rPr>
      </w:pPr>
      <w:r>
        <w:rPr>
          <w:sz w:val="20"/>
          <w:szCs w:val="20"/>
        </w:rPr>
        <w:t>Accrued and other liabilities consist primarily of rents prepaid by</w:t>
      </w:r>
      <w:r>
        <w:rPr>
          <w:sz w:val="20"/>
          <w:szCs w:val="20"/>
        </w:rPr>
        <w:t xml:space="preserve"> our tenants, trade payables, property tax accruals, accrued payroll, accrued tenant reinsurance losses, lease liabilities (Note 12), and contingent loss accruals when probable and estimable. We believe the fair value of our accrued and other liabilities a</w:t>
      </w:r>
      <w:r>
        <w:rPr>
          <w:sz w:val="20"/>
          <w:szCs w:val="20"/>
        </w:rPr>
        <w:t>pproximates book value, due primarily to the short period until repayment. We disclose the nature of significant unaccrued losses that are reasonably possible of occurring and, if estimable, a range of exposure.</w:t>
      </w:r>
      <w:r>
        <w:rPr>
          <w:sz w:val="20"/>
          <w:szCs w:val="20"/>
        </w:rPr>
        <w:t xml:space="preserve"> </w:t>
      </w:r>
    </w:p>
    <w:p w:rsidR="00000000" w:rsidRDefault="00865332">
      <w:pPr>
        <w:pStyle w:val="a3"/>
        <w:spacing w:before="0" w:beforeAutospacing="0" w:after="0" w:afterAutospacing="0" w:line="259" w:lineRule="auto"/>
        <w:ind w:left="360"/>
        <w:jc w:val="both"/>
        <w:divId w:val="666633924"/>
        <w:rPr>
          <w:sz w:val="20"/>
          <w:szCs w:val="20"/>
        </w:rPr>
      </w:pPr>
      <w:r>
        <w:rPr>
          <w:sz w:val="20"/>
          <w:szCs w:val="20"/>
          <w:u w:val="single"/>
        </w:rPr>
        <w:t>Cash Equivalents, Restricted Cash, Marketab</w:t>
      </w:r>
      <w:r>
        <w:rPr>
          <w:sz w:val="20"/>
          <w:szCs w:val="20"/>
          <w:u w:val="single"/>
        </w:rPr>
        <w:t>le Securities and Other Financial Instrument</w:t>
      </w:r>
      <w:r>
        <w:rPr>
          <w:sz w:val="20"/>
          <w:szCs w:val="20"/>
          <w:u w:val="single"/>
        </w:rPr>
        <w:t>s</w:t>
      </w:r>
    </w:p>
    <w:p w:rsidR="00000000" w:rsidRDefault="00865332">
      <w:pPr>
        <w:pStyle w:val="a3"/>
        <w:spacing w:before="0" w:beforeAutospacing="0" w:after="0" w:afterAutospacing="0" w:line="259" w:lineRule="auto"/>
        <w:ind w:left="360" w:firstLine="720"/>
        <w:jc w:val="both"/>
        <w:divId w:val="666633924"/>
        <w:rPr>
          <w:sz w:val="20"/>
          <w:szCs w:val="20"/>
        </w:rPr>
      </w:pPr>
      <w:r>
        <w:rPr>
          <w:sz w:val="20"/>
          <w:szCs w:val="20"/>
        </w:rPr>
        <w:t>Cash equivalents represent highly liquid financial instruments such as money market funds with daily liquidity or short-term commercial paper or treasury securities maturing within three months of acquisition. Cash and equivalents which are restricted from</w:t>
      </w:r>
      <w:r>
        <w:rPr>
          <w:sz w:val="20"/>
          <w:szCs w:val="20"/>
        </w:rPr>
        <w:t xml:space="preserve"> general corporate use are included in other assets. We believe that the book value of all such financial instruments for all periods presented approximates fair value, due to the short period to maturity</w:t>
      </w:r>
      <w:r>
        <w:rPr>
          <w:sz w:val="20"/>
          <w:szCs w:val="20"/>
        </w:rPr>
        <w:t>.</w:t>
      </w:r>
    </w:p>
    <w:p w:rsidR="00000000" w:rsidRDefault="00865332">
      <w:pPr>
        <w:pStyle w:val="a3"/>
        <w:spacing w:before="0" w:beforeAutospacing="0" w:after="0" w:afterAutospacing="0" w:line="259" w:lineRule="auto"/>
        <w:ind w:left="360"/>
        <w:jc w:val="both"/>
        <w:divId w:val="666633924"/>
        <w:rPr>
          <w:sz w:val="20"/>
          <w:szCs w:val="20"/>
        </w:rPr>
      </w:pPr>
      <w:r>
        <w:rPr>
          <w:sz w:val="20"/>
          <w:szCs w:val="20"/>
          <w:u w:val="single"/>
        </w:rPr>
        <w:t>Fair Valu</w:t>
      </w:r>
      <w:r>
        <w:rPr>
          <w:sz w:val="20"/>
          <w:szCs w:val="20"/>
          <w:u w:val="single"/>
        </w:rPr>
        <w:t>e</w:t>
      </w:r>
    </w:p>
    <w:p w:rsidR="00000000" w:rsidRDefault="00865332">
      <w:pPr>
        <w:pStyle w:val="a3"/>
        <w:spacing w:before="0" w:beforeAutospacing="0" w:after="0" w:afterAutospacing="0" w:line="259" w:lineRule="auto"/>
        <w:ind w:left="360" w:firstLine="720"/>
        <w:jc w:val="both"/>
        <w:divId w:val="666633924"/>
        <w:rPr>
          <w:sz w:val="20"/>
          <w:szCs w:val="20"/>
        </w:rPr>
      </w:pPr>
      <w:r>
        <w:rPr>
          <w:color w:val="000000"/>
          <w:sz w:val="20"/>
          <w:szCs w:val="20"/>
        </w:rPr>
        <w:t>As used herein, the term “fair value” i</w:t>
      </w:r>
      <w:r>
        <w:rPr>
          <w:color w:val="000000"/>
          <w:sz w:val="20"/>
          <w:szCs w:val="20"/>
        </w:rPr>
        <w:t>s the price that would be received to sell an asset or paid to transfer a liability in an orderly transaction between market participants. Our estimates of fair value involve considerable judgment and are not necessarily indicative of the amounts that coul</w:t>
      </w:r>
      <w:r>
        <w:rPr>
          <w:color w:val="000000"/>
          <w:sz w:val="20"/>
          <w:szCs w:val="20"/>
        </w:rPr>
        <w:t>d be realized in current market exchanges</w:t>
      </w:r>
      <w:r>
        <w:rPr>
          <w:color w:val="000000"/>
          <w:sz w:val="20"/>
          <w:szCs w:val="20"/>
        </w:rPr>
        <w:t>.</w:t>
      </w:r>
    </w:p>
    <w:p w:rsidR="00000000" w:rsidRDefault="00865332">
      <w:pPr>
        <w:pStyle w:val="a3"/>
        <w:spacing w:before="0" w:beforeAutospacing="0" w:after="0" w:afterAutospacing="0" w:line="259" w:lineRule="auto"/>
        <w:ind w:left="360" w:firstLine="720"/>
        <w:jc w:val="both"/>
        <w:divId w:val="666633924"/>
        <w:rPr>
          <w:sz w:val="20"/>
          <w:szCs w:val="20"/>
        </w:rPr>
      </w:pPr>
      <w:r>
        <w:rPr>
          <w:sz w:val="20"/>
          <w:szCs w:val="20"/>
        </w:rPr>
        <w:t xml:space="preserve">We estimate the fair value of our cash and equivalents, marketable securities, other assets, debt, and other liabilities by discounting the related future cash flows at a rate based upon quoted interest rates for </w:t>
      </w:r>
      <w:r>
        <w:rPr>
          <w:sz w:val="20"/>
          <w:szCs w:val="20"/>
        </w:rPr>
        <w:t>securities that have similar characteristics such as credit quality and time to maturity. Such quoted interest rates are referred to generally as “Level 2” inputs</w:t>
      </w:r>
      <w:r>
        <w:rPr>
          <w:sz w:val="20"/>
          <w:szCs w:val="20"/>
        </w:rPr>
        <w:t>.</w:t>
      </w:r>
    </w:p>
    <w:p w:rsidR="00000000" w:rsidRDefault="00865332">
      <w:pPr>
        <w:pStyle w:val="a3"/>
        <w:spacing w:before="0" w:beforeAutospacing="0" w:after="0" w:afterAutospacing="0" w:line="259" w:lineRule="auto"/>
        <w:ind w:left="360" w:firstLine="720"/>
        <w:jc w:val="both"/>
        <w:divId w:val="666633924"/>
        <w:rPr>
          <w:sz w:val="20"/>
          <w:szCs w:val="20"/>
        </w:rPr>
      </w:pPr>
      <w:r>
        <w:rPr>
          <w:sz w:val="20"/>
          <w:szCs w:val="20"/>
        </w:rPr>
        <w:t>We use significant judgment to estimate fair values of investments in real estate, goodwill,</w:t>
      </w:r>
      <w:r>
        <w:rPr>
          <w:sz w:val="20"/>
          <w:szCs w:val="20"/>
        </w:rPr>
        <w:t xml:space="preserve"> and other intangible assets. In estimating their values, we consider significant unobservable inputs such as market prices of land, market capitalization rates, expected returns, earnings multiples, projected levels of earnings, costs of construction, and</w:t>
      </w:r>
      <w:r>
        <w:rPr>
          <w:sz w:val="20"/>
          <w:szCs w:val="20"/>
        </w:rPr>
        <w:t xml:space="preserve"> functional depreciation. These inputs are referred to generally as “Level 3” inputs.</w:t>
      </w:r>
      <w:r>
        <w:rPr>
          <w:sz w:val="20"/>
          <w:szCs w:val="20"/>
        </w:rPr>
        <w:t xml:space="preserve"> </w:t>
      </w:r>
    </w:p>
    <w:p w:rsidR="00000000" w:rsidRDefault="00865332">
      <w:pPr>
        <w:pStyle w:val="a3"/>
        <w:spacing w:before="0" w:beforeAutospacing="0" w:after="0" w:afterAutospacing="0" w:line="259" w:lineRule="auto"/>
        <w:ind w:left="360"/>
        <w:jc w:val="both"/>
        <w:divId w:val="666633924"/>
        <w:rPr>
          <w:sz w:val="20"/>
          <w:szCs w:val="20"/>
        </w:rPr>
      </w:pPr>
      <w:r>
        <w:rPr>
          <w:sz w:val="20"/>
          <w:szCs w:val="20"/>
          <w:u w:val="single"/>
        </w:rPr>
        <w:t>Currency and Credit Ris</w:t>
      </w:r>
      <w:r>
        <w:rPr>
          <w:sz w:val="20"/>
          <w:szCs w:val="20"/>
          <w:u w:val="single"/>
        </w:rPr>
        <w:t>k</w:t>
      </w:r>
    </w:p>
    <w:p w:rsidR="00000000" w:rsidRDefault="00865332">
      <w:pPr>
        <w:pStyle w:val="a3"/>
        <w:spacing w:before="0" w:beforeAutospacing="0" w:after="0" w:afterAutospacing="0" w:line="259" w:lineRule="auto"/>
        <w:ind w:left="360" w:firstLine="720"/>
        <w:jc w:val="both"/>
        <w:divId w:val="666633924"/>
        <w:rPr>
          <w:sz w:val="20"/>
          <w:szCs w:val="20"/>
        </w:rPr>
      </w:pPr>
      <w:r>
        <w:rPr>
          <w:sz w:val="20"/>
          <w:szCs w:val="20"/>
        </w:rPr>
        <w:t>Financial instruments that are exposed to credit risk consist primarily of cash and equivalents, certain portions of other assets including rent</w:t>
      </w:r>
      <w:r>
        <w:rPr>
          <w:sz w:val="20"/>
          <w:szCs w:val="20"/>
        </w:rPr>
        <w:t>s receivable from our tenants and restricted cash. Cash equivalents we invest in are either money market funds with a rating of at least AAA by Standard &amp; Poor’s, commercial paper that is rated A1 by Standard &amp; Poor’s or deposits with highly rated commerci</w:t>
      </w:r>
      <w:r>
        <w:rPr>
          <w:sz w:val="20"/>
          <w:szCs w:val="20"/>
        </w:rPr>
        <w:t>al banks</w:t>
      </w:r>
      <w:r>
        <w:rPr>
          <w:sz w:val="20"/>
          <w:szCs w:val="20"/>
        </w:rPr>
        <w:t>.</w:t>
      </w:r>
    </w:p>
    <w:p w:rsidR="00000000" w:rsidRDefault="00865332">
      <w:pPr>
        <w:pStyle w:val="a3"/>
        <w:spacing w:before="0" w:beforeAutospacing="0" w:after="0" w:afterAutospacing="0" w:line="259" w:lineRule="auto"/>
        <w:jc w:val="center"/>
        <w:divId w:val="192809569"/>
        <w:rPr>
          <w:sz w:val="20"/>
          <w:szCs w:val="20"/>
        </w:rPr>
      </w:pPr>
      <w:r>
        <w:rPr>
          <w:sz w:val="20"/>
          <w:szCs w:val="20"/>
        </w:rPr>
        <w:t>F</w:t>
      </w:r>
      <w:r>
        <w:rPr>
          <w:sz w:val="20"/>
          <w:szCs w:val="20"/>
        </w:rPr>
        <w:t>-</w:t>
      </w:r>
      <w:r>
        <w:rPr>
          <w:rStyle w:val="ctheaderfooterpage"/>
          <w:sz w:val="20"/>
          <w:szCs w:val="20"/>
        </w:rPr>
        <w:t>1</w:t>
      </w:r>
      <w:r>
        <w:rPr>
          <w:rStyle w:val="ctheaderfooterpage"/>
          <w:sz w:val="20"/>
          <w:szCs w:val="20"/>
        </w:rPr>
        <w:t>2</w:t>
      </w:r>
    </w:p>
    <w:p w:rsidR="00000000" w:rsidRDefault="00865332">
      <w:pPr>
        <w:spacing w:before="360" w:after="360"/>
        <w:divId w:val="1493716676"/>
        <w:rPr>
          <w:rFonts w:eastAsia="Times New Roman"/>
        </w:rPr>
      </w:pPr>
      <w:r>
        <w:rPr>
          <w:rFonts w:eastAsia="Times New Roman"/>
        </w:rPr>
        <w:pict>
          <v:rect id="_x0000_i1107" style="width:0;height:1.5pt" o:hralign="center" o:hrstd="t" o:hr="t" fillcolor="#a0a0a0" stroked="f"/>
        </w:pict>
      </w:r>
    </w:p>
    <w:p w:rsidR="00000000" w:rsidRDefault="00865332">
      <w:pPr>
        <w:pStyle w:val="a3"/>
        <w:spacing w:before="0" w:beforeAutospacing="0" w:after="0" w:afterAutospacing="0" w:line="259" w:lineRule="auto"/>
        <w:jc w:val="center"/>
        <w:divId w:val="752314875"/>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752314875"/>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752314875"/>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firstLine="720"/>
        <w:jc w:val="both"/>
        <w:divId w:val="1467308895"/>
        <w:rPr>
          <w:sz w:val="20"/>
          <w:szCs w:val="20"/>
        </w:rPr>
      </w:pPr>
      <w:r>
        <w:rPr>
          <w:sz w:val="20"/>
          <w:szCs w:val="20"/>
        </w:rPr>
        <w:t>At December 31, 2019, due primarily to our investment in Shurgard (Note 4) and our notes payable denominated in Euros (Note 6), our operating</w:t>
      </w:r>
      <w:r>
        <w:rPr>
          <w:sz w:val="20"/>
          <w:szCs w:val="20"/>
        </w:rPr>
        <w:t xml:space="preserve"> results and financial position are affected by fluctuations in currency exchange rates between the Euro, and to a lesser extent, other European currencies, against the U.S. Dollar.</w:t>
      </w:r>
      <w:r>
        <w:rPr>
          <w:sz w:val="20"/>
          <w:szCs w:val="20"/>
        </w:rPr>
        <w:t xml:space="preserve"> </w:t>
      </w:r>
    </w:p>
    <w:p w:rsidR="00000000" w:rsidRDefault="00865332">
      <w:pPr>
        <w:pStyle w:val="a3"/>
        <w:spacing w:before="0" w:beforeAutospacing="0" w:after="0" w:afterAutospacing="0" w:line="259" w:lineRule="auto"/>
        <w:ind w:left="360"/>
        <w:jc w:val="both"/>
        <w:divId w:val="1467308895"/>
        <w:rPr>
          <w:sz w:val="20"/>
          <w:szCs w:val="20"/>
        </w:rPr>
      </w:pPr>
      <w:r>
        <w:rPr>
          <w:sz w:val="20"/>
          <w:szCs w:val="20"/>
          <w:u w:val="single"/>
        </w:rPr>
        <w:t>Goodwill and Other Intangible Assets</w:t>
      </w:r>
      <w:r>
        <w:rPr>
          <w:sz w:val="20"/>
          <w:szCs w:val="20"/>
          <w:u w:val="single"/>
        </w:rPr>
        <w:t xml:space="preserve"> </w:t>
      </w:r>
    </w:p>
    <w:p w:rsidR="00000000" w:rsidRDefault="00865332">
      <w:pPr>
        <w:pStyle w:val="a3"/>
        <w:spacing w:before="0" w:beforeAutospacing="0" w:after="0" w:afterAutospacing="0" w:line="259" w:lineRule="auto"/>
        <w:ind w:left="360" w:firstLine="720"/>
        <w:jc w:val="both"/>
        <w:divId w:val="1467308895"/>
        <w:rPr>
          <w:sz w:val="20"/>
          <w:szCs w:val="20"/>
        </w:rPr>
      </w:pPr>
      <w:r>
        <w:rPr>
          <w:sz w:val="20"/>
          <w:szCs w:val="20"/>
        </w:rPr>
        <w:t xml:space="preserve">Intangible assets are comprised of </w:t>
      </w:r>
      <w:r>
        <w:rPr>
          <w:sz w:val="20"/>
          <w:szCs w:val="20"/>
        </w:rPr>
        <w:t>goodwill, the “Shurgard” trade name and acquired customers in place.</w:t>
      </w:r>
      <w:r>
        <w:rPr>
          <w:sz w:val="20"/>
          <w:szCs w:val="20"/>
        </w:rPr>
        <w:t xml:space="preserve"> </w:t>
      </w:r>
    </w:p>
    <w:p w:rsidR="00000000" w:rsidRDefault="00865332">
      <w:pPr>
        <w:pStyle w:val="a3"/>
        <w:spacing w:before="0" w:beforeAutospacing="0" w:after="0" w:afterAutospacing="0" w:line="259" w:lineRule="auto"/>
        <w:ind w:left="360" w:firstLine="720"/>
        <w:jc w:val="both"/>
        <w:divId w:val="1467308895"/>
        <w:rPr>
          <w:sz w:val="20"/>
          <w:szCs w:val="20"/>
        </w:rPr>
      </w:pPr>
      <w:r>
        <w:rPr>
          <w:sz w:val="20"/>
          <w:szCs w:val="20"/>
        </w:rPr>
        <w:t xml:space="preserve">Goodwill totaled </w:t>
      </w:r>
      <w:r>
        <w:rPr>
          <w:sz w:val="20"/>
          <w:szCs w:val="20"/>
        </w:rPr>
        <w:t>$</w:t>
      </w:r>
      <w:r>
        <w:rPr>
          <w:sz w:val="20"/>
          <w:szCs w:val="20"/>
        </w:rPr>
        <w:t>174.</w:t>
      </w:r>
      <w:r>
        <w:rPr>
          <w:sz w:val="20"/>
          <w:szCs w:val="20"/>
        </w:rPr>
        <w:t>6</w:t>
      </w:r>
      <w:r>
        <w:rPr>
          <w:sz w:val="20"/>
          <w:szCs w:val="20"/>
        </w:rPr>
        <w:t xml:space="preserve"> million at December 31, 2019 and 2018. The “Shurgard” trade name, which is used by Shurgard pursuant to a fee-based licensing agreement, has a book value of </w:t>
      </w:r>
      <w:r>
        <w:rPr>
          <w:sz w:val="20"/>
          <w:szCs w:val="20"/>
        </w:rPr>
        <w:t>$</w:t>
      </w:r>
      <w:r>
        <w:rPr>
          <w:sz w:val="20"/>
          <w:szCs w:val="20"/>
        </w:rPr>
        <w:t>18.</w:t>
      </w:r>
      <w:r>
        <w:rPr>
          <w:sz w:val="20"/>
          <w:szCs w:val="20"/>
        </w:rPr>
        <w:t>8</w:t>
      </w:r>
      <w:r>
        <w:rPr>
          <w:sz w:val="20"/>
          <w:szCs w:val="20"/>
        </w:rPr>
        <w:t> million at December 31, 2019 and 2018. Goodwill and the “Shurgard” trade name have indefinite lives and are not amortized</w:t>
      </w:r>
      <w:r>
        <w:rPr>
          <w:sz w:val="20"/>
          <w:szCs w:val="20"/>
        </w:rPr>
        <w:t>.</w:t>
      </w:r>
    </w:p>
    <w:p w:rsidR="00000000" w:rsidRDefault="00865332">
      <w:pPr>
        <w:pStyle w:val="a3"/>
        <w:spacing w:before="0" w:beforeAutospacing="0" w:after="0" w:afterAutospacing="0" w:line="259" w:lineRule="auto"/>
        <w:ind w:left="360" w:firstLine="720"/>
        <w:jc w:val="both"/>
        <w:divId w:val="1467308895"/>
        <w:rPr>
          <w:sz w:val="20"/>
          <w:szCs w:val="20"/>
        </w:rPr>
      </w:pPr>
      <w:r>
        <w:rPr>
          <w:sz w:val="20"/>
          <w:szCs w:val="20"/>
        </w:rPr>
        <w:t>Our finite-lived assets are comprised primarily of acquired customers in place and are amortized relative to the benefit of the cust</w:t>
      </w:r>
      <w:r>
        <w:rPr>
          <w:sz w:val="20"/>
          <w:szCs w:val="20"/>
        </w:rPr>
        <w:t xml:space="preserve">omers in place to each period. At December 31, 2019, these intangibles had a net book value of </w:t>
      </w:r>
      <w:r>
        <w:rPr>
          <w:sz w:val="20"/>
          <w:szCs w:val="20"/>
        </w:rPr>
        <w:t>$</w:t>
      </w:r>
      <w:r>
        <w:rPr>
          <w:sz w:val="20"/>
          <w:szCs w:val="20"/>
        </w:rPr>
        <w:t>12.</w:t>
      </w:r>
      <w:r>
        <w:rPr>
          <w:sz w:val="20"/>
          <w:szCs w:val="20"/>
        </w:rPr>
        <w:t>5</w:t>
      </w:r>
      <w:r>
        <w:rPr>
          <w:sz w:val="20"/>
          <w:szCs w:val="20"/>
        </w:rPr>
        <w:t xml:space="preserve"> million (</w:t>
      </w:r>
      <w:r>
        <w:rPr>
          <w:sz w:val="20"/>
          <w:szCs w:val="20"/>
        </w:rPr>
        <w:t>$</w:t>
      </w:r>
      <w:r>
        <w:rPr>
          <w:sz w:val="20"/>
          <w:szCs w:val="20"/>
        </w:rPr>
        <w:t>16.</w:t>
      </w:r>
      <w:r>
        <w:rPr>
          <w:sz w:val="20"/>
          <w:szCs w:val="20"/>
        </w:rPr>
        <w:t>5</w:t>
      </w:r>
      <w:r>
        <w:rPr>
          <w:sz w:val="20"/>
          <w:szCs w:val="20"/>
        </w:rPr>
        <w:t xml:space="preserve"> million at December 31, 2018). Accumulated amortization totaled </w:t>
      </w:r>
      <w:r>
        <w:rPr>
          <w:sz w:val="20"/>
          <w:szCs w:val="20"/>
        </w:rPr>
        <w:t>$</w:t>
      </w:r>
      <w:r>
        <w:rPr>
          <w:sz w:val="20"/>
          <w:szCs w:val="20"/>
        </w:rPr>
        <w:t>27.</w:t>
      </w:r>
      <w:r>
        <w:rPr>
          <w:sz w:val="20"/>
          <w:szCs w:val="20"/>
        </w:rPr>
        <w:t>5</w:t>
      </w:r>
      <w:r>
        <w:rPr>
          <w:sz w:val="20"/>
          <w:szCs w:val="20"/>
        </w:rPr>
        <w:t xml:space="preserve"> million at December 31, 2019 (</w:t>
      </w:r>
      <w:r>
        <w:rPr>
          <w:sz w:val="20"/>
          <w:szCs w:val="20"/>
        </w:rPr>
        <w:t>$</w:t>
      </w:r>
      <w:r>
        <w:rPr>
          <w:sz w:val="20"/>
          <w:szCs w:val="20"/>
        </w:rPr>
        <w:t>29.</w:t>
      </w:r>
      <w:r>
        <w:rPr>
          <w:sz w:val="20"/>
          <w:szCs w:val="20"/>
        </w:rPr>
        <w:t>6</w:t>
      </w:r>
      <w:r>
        <w:rPr>
          <w:sz w:val="20"/>
          <w:szCs w:val="20"/>
        </w:rPr>
        <w:t xml:space="preserve"> million at December 31, 2018), and</w:t>
      </w:r>
      <w:r>
        <w:rPr>
          <w:sz w:val="20"/>
          <w:szCs w:val="20"/>
        </w:rPr>
        <w:t xml:space="preserve"> amortization expense of </w:t>
      </w:r>
      <w:r>
        <w:rPr>
          <w:sz w:val="20"/>
          <w:szCs w:val="20"/>
        </w:rPr>
        <w:t>$</w:t>
      </w:r>
      <w:r>
        <w:rPr>
          <w:sz w:val="20"/>
          <w:szCs w:val="20"/>
        </w:rPr>
        <w:t>16.</w:t>
      </w:r>
      <w:r>
        <w:rPr>
          <w:sz w:val="20"/>
          <w:szCs w:val="20"/>
        </w:rPr>
        <w:t>8</w:t>
      </w:r>
      <w:r>
        <w:rPr>
          <w:sz w:val="20"/>
          <w:szCs w:val="20"/>
        </w:rPr>
        <w:t xml:space="preserve"> million, </w:t>
      </w:r>
      <w:r>
        <w:rPr>
          <w:sz w:val="20"/>
          <w:szCs w:val="20"/>
        </w:rPr>
        <w:t>$</w:t>
      </w:r>
      <w:r>
        <w:rPr>
          <w:sz w:val="20"/>
          <w:szCs w:val="20"/>
        </w:rPr>
        <w:t>16.</w:t>
      </w:r>
      <w:r>
        <w:rPr>
          <w:sz w:val="20"/>
          <w:szCs w:val="20"/>
        </w:rPr>
        <w:t>6</w:t>
      </w:r>
      <w:r>
        <w:rPr>
          <w:sz w:val="20"/>
          <w:szCs w:val="20"/>
        </w:rPr>
        <w:t xml:space="preserve"> million and </w:t>
      </w:r>
      <w:r>
        <w:rPr>
          <w:sz w:val="20"/>
          <w:szCs w:val="20"/>
        </w:rPr>
        <w:t>$</w:t>
      </w:r>
      <w:r>
        <w:rPr>
          <w:sz w:val="20"/>
          <w:szCs w:val="20"/>
        </w:rPr>
        <w:t>15.</w:t>
      </w:r>
      <w:r>
        <w:rPr>
          <w:sz w:val="20"/>
          <w:szCs w:val="20"/>
        </w:rPr>
        <w:t>0</w:t>
      </w:r>
      <w:r>
        <w:rPr>
          <w:sz w:val="20"/>
          <w:szCs w:val="20"/>
        </w:rPr>
        <w:t xml:space="preserve"> million was recorded in 2019, 2018 and 2017, respectively. The estimated future amortization expense for our finite-lived intangible assets at December 31, 2019 is approximately </w:t>
      </w:r>
      <w:r>
        <w:rPr>
          <w:sz w:val="20"/>
          <w:szCs w:val="20"/>
        </w:rPr>
        <w:t>$</w:t>
      </w:r>
      <w:r>
        <w:rPr>
          <w:sz w:val="20"/>
          <w:szCs w:val="20"/>
        </w:rPr>
        <w:t>10.</w:t>
      </w:r>
      <w:r>
        <w:rPr>
          <w:sz w:val="20"/>
          <w:szCs w:val="20"/>
        </w:rPr>
        <w:t>8</w:t>
      </w:r>
      <w:r>
        <w:rPr>
          <w:sz w:val="20"/>
          <w:szCs w:val="20"/>
        </w:rPr>
        <w:t xml:space="preserve"> million </w:t>
      </w:r>
      <w:r>
        <w:rPr>
          <w:sz w:val="20"/>
          <w:szCs w:val="20"/>
        </w:rPr>
        <w:t xml:space="preserve">in 2020, </w:t>
      </w:r>
      <w:r>
        <w:rPr>
          <w:sz w:val="20"/>
          <w:szCs w:val="20"/>
        </w:rPr>
        <w:t>$</w:t>
      </w:r>
      <w:r>
        <w:rPr>
          <w:sz w:val="20"/>
          <w:szCs w:val="20"/>
        </w:rPr>
        <w:t>1.</w:t>
      </w:r>
      <w:r>
        <w:rPr>
          <w:sz w:val="20"/>
          <w:szCs w:val="20"/>
        </w:rPr>
        <w:t>3</w:t>
      </w:r>
      <w:r>
        <w:rPr>
          <w:sz w:val="20"/>
          <w:szCs w:val="20"/>
        </w:rPr>
        <w:t xml:space="preserve"> million in 2021 and </w:t>
      </w:r>
      <w:r>
        <w:rPr>
          <w:sz w:val="20"/>
          <w:szCs w:val="20"/>
        </w:rPr>
        <w:t>$</w:t>
      </w:r>
      <w:r>
        <w:rPr>
          <w:sz w:val="20"/>
          <w:szCs w:val="20"/>
        </w:rPr>
        <w:t>0.</w:t>
      </w:r>
      <w:r>
        <w:rPr>
          <w:sz w:val="20"/>
          <w:szCs w:val="20"/>
        </w:rPr>
        <w:t>4</w:t>
      </w:r>
      <w:r>
        <w:rPr>
          <w:sz w:val="20"/>
          <w:szCs w:val="20"/>
        </w:rPr>
        <w:t xml:space="preserve"> million thereafter. During 2019, 2018 and 2017, intangibles increased </w:t>
      </w:r>
      <w:r>
        <w:rPr>
          <w:sz w:val="20"/>
          <w:szCs w:val="20"/>
        </w:rPr>
        <w:t>$</w:t>
      </w:r>
      <w:r>
        <w:rPr>
          <w:sz w:val="20"/>
          <w:szCs w:val="20"/>
        </w:rPr>
        <w:t>18.</w:t>
      </w:r>
      <w:r>
        <w:rPr>
          <w:sz w:val="20"/>
          <w:szCs w:val="20"/>
        </w:rPr>
        <w:t>5</w:t>
      </w:r>
      <w:r>
        <w:rPr>
          <w:sz w:val="20"/>
          <w:szCs w:val="20"/>
        </w:rPr>
        <w:t xml:space="preserve"> million, </w:t>
      </w:r>
      <w:r>
        <w:rPr>
          <w:sz w:val="20"/>
          <w:szCs w:val="20"/>
        </w:rPr>
        <w:t>$</w:t>
      </w:r>
      <w:r>
        <w:rPr>
          <w:sz w:val="20"/>
          <w:szCs w:val="20"/>
        </w:rPr>
        <w:t>11.</w:t>
      </w:r>
      <w:r>
        <w:rPr>
          <w:sz w:val="20"/>
          <w:szCs w:val="20"/>
        </w:rPr>
        <w:t>6</w:t>
      </w:r>
      <w:r>
        <w:rPr>
          <w:sz w:val="20"/>
          <w:szCs w:val="20"/>
        </w:rPr>
        <w:t xml:space="preserve"> million and </w:t>
      </w:r>
      <w:r>
        <w:rPr>
          <w:sz w:val="20"/>
          <w:szCs w:val="20"/>
        </w:rPr>
        <w:t>$</w:t>
      </w:r>
      <w:r>
        <w:rPr>
          <w:sz w:val="20"/>
          <w:szCs w:val="20"/>
        </w:rPr>
        <w:t>17.</w:t>
      </w:r>
      <w:r>
        <w:rPr>
          <w:sz w:val="20"/>
          <w:szCs w:val="20"/>
        </w:rPr>
        <w:t>2</w:t>
      </w:r>
      <w:r>
        <w:rPr>
          <w:sz w:val="20"/>
          <w:szCs w:val="20"/>
        </w:rPr>
        <w:t xml:space="preserve"> million, respectively, in connection with the acquisition of self-storage facilities (Note 3)</w:t>
      </w:r>
      <w:r>
        <w:rPr>
          <w:sz w:val="20"/>
          <w:szCs w:val="20"/>
        </w:rPr>
        <w:t>.</w:t>
      </w:r>
    </w:p>
    <w:p w:rsidR="00000000" w:rsidRDefault="00865332">
      <w:pPr>
        <w:pStyle w:val="a3"/>
        <w:spacing w:before="0" w:beforeAutospacing="0" w:after="0" w:afterAutospacing="0" w:line="259" w:lineRule="auto"/>
        <w:ind w:left="360"/>
        <w:jc w:val="both"/>
        <w:divId w:val="1467308895"/>
        <w:rPr>
          <w:sz w:val="20"/>
          <w:szCs w:val="20"/>
        </w:rPr>
      </w:pPr>
      <w:r>
        <w:rPr>
          <w:sz w:val="20"/>
          <w:szCs w:val="20"/>
          <w:u w:val="single"/>
        </w:rPr>
        <w:t>Evaluation of</w:t>
      </w:r>
      <w:r>
        <w:rPr>
          <w:sz w:val="20"/>
          <w:szCs w:val="20"/>
          <w:u w:val="single"/>
        </w:rPr>
        <w:t xml:space="preserve"> Asset Impairmen</w:t>
      </w:r>
      <w:r>
        <w:rPr>
          <w:sz w:val="20"/>
          <w:szCs w:val="20"/>
          <w:u w:val="single"/>
        </w:rPr>
        <w:t>t</w:t>
      </w:r>
    </w:p>
    <w:p w:rsidR="00000000" w:rsidRDefault="00865332">
      <w:pPr>
        <w:pStyle w:val="a3"/>
        <w:spacing w:before="0" w:beforeAutospacing="0" w:after="0" w:afterAutospacing="0" w:line="259" w:lineRule="auto"/>
        <w:ind w:left="360" w:firstLine="720"/>
        <w:jc w:val="both"/>
        <w:divId w:val="1467308895"/>
        <w:rPr>
          <w:sz w:val="20"/>
          <w:szCs w:val="20"/>
        </w:rPr>
      </w:pPr>
      <w:r>
        <w:rPr>
          <w:sz w:val="20"/>
          <w:szCs w:val="20"/>
        </w:rPr>
        <w:t>We evaluate our real estate and finite-lived intangible assets for impairment each quarter. If there are indicators of impairment and we determine that the asset is not recoverable from future undiscounted cash flows to be received throug</w:t>
      </w:r>
      <w:r>
        <w:rPr>
          <w:sz w:val="20"/>
          <w:szCs w:val="20"/>
        </w:rPr>
        <w:t>h the asset’s remaining life (or, if earlier, the expected disposal date), we record an impairment charge to the extent the carrying amount exceeds the asset’s estimated fair value or net proceeds from expected disposal.</w:t>
      </w:r>
      <w:r>
        <w:rPr>
          <w:sz w:val="20"/>
          <w:szCs w:val="20"/>
        </w:rPr>
        <w:t xml:space="preserve"> </w:t>
      </w:r>
    </w:p>
    <w:p w:rsidR="00000000" w:rsidRDefault="00865332">
      <w:pPr>
        <w:pStyle w:val="a3"/>
        <w:spacing w:before="0" w:beforeAutospacing="0" w:after="0" w:afterAutospacing="0" w:line="259" w:lineRule="auto"/>
        <w:ind w:left="360" w:firstLine="720"/>
        <w:jc w:val="both"/>
        <w:divId w:val="1467308895"/>
        <w:rPr>
          <w:sz w:val="20"/>
          <w:szCs w:val="20"/>
        </w:rPr>
      </w:pPr>
      <w:r>
        <w:rPr>
          <w:sz w:val="20"/>
          <w:szCs w:val="20"/>
        </w:rPr>
        <w:t>We evaluate our investments in unc</w:t>
      </w:r>
      <w:r>
        <w:rPr>
          <w:sz w:val="20"/>
          <w:szCs w:val="20"/>
        </w:rPr>
        <w:t>onsolidated real estate entities for impairment on a quarterly basis. We record an impairment charge to the extent the carrying amount exceeds estimated fair value, when we believe any such shortfall is other than temporary.</w:t>
      </w:r>
      <w:r>
        <w:rPr>
          <w:sz w:val="20"/>
          <w:szCs w:val="20"/>
        </w:rPr>
        <w:t xml:space="preserve"> </w:t>
      </w:r>
    </w:p>
    <w:p w:rsidR="00000000" w:rsidRDefault="00865332">
      <w:pPr>
        <w:pStyle w:val="a3"/>
        <w:spacing w:before="0" w:beforeAutospacing="0" w:after="0" w:afterAutospacing="0" w:line="259" w:lineRule="auto"/>
        <w:ind w:left="360" w:firstLine="720"/>
        <w:jc w:val="both"/>
        <w:divId w:val="1467308895"/>
        <w:rPr>
          <w:sz w:val="20"/>
          <w:szCs w:val="20"/>
        </w:rPr>
      </w:pPr>
      <w:r>
        <w:rPr>
          <w:sz w:val="20"/>
          <w:szCs w:val="20"/>
        </w:rPr>
        <w:t>We evaluate goodwill for impai</w:t>
      </w:r>
      <w:r>
        <w:rPr>
          <w:sz w:val="20"/>
          <w:szCs w:val="20"/>
        </w:rPr>
        <w:t>rment annually and whenever relevant events, circumstances and other related factors indicate that fair value of the related reporting unit may be less than the carrying amount. If we determine that the fair value of the reporting unit exceeds the aggregat</w:t>
      </w:r>
      <w:r>
        <w:rPr>
          <w:sz w:val="20"/>
          <w:szCs w:val="20"/>
        </w:rPr>
        <w:t>e carrying amount, no impairment charge is recorded. Otherwise, we record an impairment charge to the extent the carrying amount of the goodwill exceeds the amount that would be allocated to goodwill if the reporting unit were acquired for estimated fair v</w:t>
      </w:r>
      <w:r>
        <w:rPr>
          <w:sz w:val="20"/>
          <w:szCs w:val="20"/>
        </w:rPr>
        <w:t>alue.</w:t>
      </w:r>
      <w:r>
        <w:rPr>
          <w:sz w:val="20"/>
          <w:szCs w:val="20"/>
        </w:rPr>
        <w:t xml:space="preserve"> </w:t>
      </w:r>
    </w:p>
    <w:p w:rsidR="00000000" w:rsidRDefault="00865332">
      <w:pPr>
        <w:pStyle w:val="a3"/>
        <w:spacing w:before="0" w:beforeAutospacing="0" w:after="0" w:afterAutospacing="0" w:line="259" w:lineRule="auto"/>
        <w:ind w:left="360" w:firstLine="720"/>
        <w:jc w:val="both"/>
        <w:divId w:val="1467308895"/>
        <w:rPr>
          <w:sz w:val="20"/>
          <w:szCs w:val="20"/>
        </w:rPr>
      </w:pPr>
      <w:r>
        <w:rPr>
          <w:sz w:val="20"/>
          <w:szCs w:val="20"/>
        </w:rPr>
        <w:t>We evaluate other indefinite-lived intangible assets, such as the “Shurgard” trade name for impairment at least annually and whenever relevant events, circumstances and other related factors indicate that the fair value is less than the carrying amo</w:t>
      </w:r>
      <w:r>
        <w:rPr>
          <w:sz w:val="20"/>
          <w:szCs w:val="20"/>
        </w:rPr>
        <w:t>unt. When we conclude that it is likely that the asset is not impaired, we do not record an impairment charge and no further analysis is performed. Otherwise, we record an impairment charge to the extent the carrying amount exceeds the asset’s estimated fa</w:t>
      </w:r>
      <w:r>
        <w:rPr>
          <w:sz w:val="20"/>
          <w:szCs w:val="20"/>
        </w:rPr>
        <w:t>ir value.</w:t>
      </w:r>
      <w:r>
        <w:rPr>
          <w:sz w:val="20"/>
          <w:szCs w:val="20"/>
        </w:rPr>
        <w:t xml:space="preserve"> </w:t>
      </w:r>
    </w:p>
    <w:p w:rsidR="00000000" w:rsidRDefault="00865332">
      <w:pPr>
        <w:pStyle w:val="a3"/>
        <w:spacing w:before="0" w:beforeAutospacing="0" w:after="0" w:afterAutospacing="0" w:line="259" w:lineRule="auto"/>
        <w:ind w:left="360" w:firstLine="720"/>
        <w:jc w:val="both"/>
        <w:divId w:val="1467308895"/>
        <w:rPr>
          <w:sz w:val="20"/>
          <w:szCs w:val="20"/>
        </w:rPr>
      </w:pPr>
      <w:r>
        <w:rPr>
          <w:sz w:val="20"/>
          <w:szCs w:val="20"/>
        </w:rPr>
        <w:t>N</w:t>
      </w:r>
      <w:r>
        <w:rPr>
          <w:sz w:val="20"/>
          <w:szCs w:val="20"/>
        </w:rPr>
        <w:t>o</w:t>
      </w:r>
      <w:r>
        <w:rPr>
          <w:sz w:val="20"/>
          <w:szCs w:val="20"/>
        </w:rPr>
        <w:t xml:space="preserve"> impairments were recorded in any of our evaluations for any period presented herein</w:t>
      </w:r>
      <w:r>
        <w:rPr>
          <w:sz w:val="20"/>
          <w:szCs w:val="20"/>
        </w:rPr>
        <w:t>.</w:t>
      </w:r>
    </w:p>
    <w:p w:rsidR="00000000" w:rsidRDefault="00865332">
      <w:pPr>
        <w:pStyle w:val="a3"/>
        <w:spacing w:before="0" w:beforeAutospacing="0" w:after="0" w:afterAutospacing="0" w:line="259" w:lineRule="auto"/>
        <w:jc w:val="center"/>
        <w:divId w:val="27537692"/>
        <w:rPr>
          <w:sz w:val="20"/>
          <w:szCs w:val="20"/>
        </w:rPr>
      </w:pPr>
      <w:r>
        <w:rPr>
          <w:sz w:val="20"/>
          <w:szCs w:val="20"/>
        </w:rPr>
        <w:t>F</w:t>
      </w:r>
      <w:r>
        <w:rPr>
          <w:sz w:val="20"/>
          <w:szCs w:val="20"/>
        </w:rPr>
        <w:t>-</w:t>
      </w:r>
      <w:r>
        <w:rPr>
          <w:rStyle w:val="ctheaderfooterpage"/>
          <w:sz w:val="20"/>
          <w:szCs w:val="20"/>
        </w:rPr>
        <w:t>1</w:t>
      </w:r>
      <w:r>
        <w:rPr>
          <w:rStyle w:val="ctheaderfooterpage"/>
          <w:sz w:val="20"/>
          <w:szCs w:val="20"/>
        </w:rPr>
        <w:t>3</w:t>
      </w:r>
    </w:p>
    <w:p w:rsidR="00000000" w:rsidRDefault="00865332">
      <w:pPr>
        <w:spacing w:before="360" w:after="360"/>
        <w:divId w:val="1885484611"/>
        <w:rPr>
          <w:rFonts w:eastAsia="Times New Roman"/>
        </w:rPr>
      </w:pPr>
      <w:r>
        <w:rPr>
          <w:rFonts w:eastAsia="Times New Roman"/>
        </w:rPr>
        <w:pict>
          <v:rect id="_x0000_i1108" style="width:0;height:1.5pt" o:hralign="center" o:hrstd="t" o:hr="t" fillcolor="#a0a0a0" stroked="f"/>
        </w:pict>
      </w:r>
    </w:p>
    <w:p w:rsidR="00000000" w:rsidRDefault="00865332">
      <w:pPr>
        <w:pStyle w:val="a3"/>
        <w:spacing w:before="0" w:beforeAutospacing="0" w:after="0" w:afterAutospacing="0" w:line="259" w:lineRule="auto"/>
        <w:jc w:val="center"/>
        <w:divId w:val="569996676"/>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569996676"/>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569996676"/>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jc w:val="both"/>
        <w:divId w:val="930745551"/>
        <w:rPr>
          <w:sz w:val="20"/>
          <w:szCs w:val="20"/>
        </w:rPr>
      </w:pPr>
      <w:r>
        <w:rPr>
          <w:sz w:val="20"/>
          <w:szCs w:val="20"/>
          <w:u w:val="single"/>
        </w:rPr>
        <w:t>Casualty Los</w:t>
      </w:r>
      <w:r>
        <w:rPr>
          <w:sz w:val="20"/>
          <w:szCs w:val="20"/>
          <w:u w:val="single"/>
        </w:rPr>
        <w:t>s</w:t>
      </w:r>
    </w:p>
    <w:p w:rsidR="00000000" w:rsidRDefault="00865332">
      <w:pPr>
        <w:pStyle w:val="a3"/>
        <w:spacing w:before="0" w:beforeAutospacing="0" w:after="0" w:afterAutospacing="0" w:line="259" w:lineRule="auto"/>
        <w:ind w:left="360" w:firstLine="720"/>
        <w:jc w:val="both"/>
        <w:divId w:val="930745551"/>
        <w:rPr>
          <w:sz w:val="20"/>
          <w:szCs w:val="20"/>
        </w:rPr>
      </w:pPr>
      <w:r>
        <w:rPr>
          <w:sz w:val="20"/>
          <w:szCs w:val="20"/>
        </w:rPr>
        <w:t>We record casualty losses for a) the book value of assets destroyed and b) incremental repair, clean-up, and other costs associated with the ca</w:t>
      </w:r>
      <w:r>
        <w:rPr>
          <w:sz w:val="20"/>
          <w:szCs w:val="20"/>
        </w:rPr>
        <w:t xml:space="preserve">sualty. Insurance proceeds are recorded as a reduction in casualty loss when all uncertainties of collection are satisfied. During 2017, we incurred casualty losses totaling </w:t>
      </w:r>
      <w:r>
        <w:rPr>
          <w:sz w:val="20"/>
          <w:szCs w:val="20"/>
        </w:rPr>
        <w:t>$</w:t>
      </w:r>
      <w:r>
        <w:rPr>
          <w:sz w:val="20"/>
          <w:szCs w:val="20"/>
        </w:rPr>
        <w:t>7.</w:t>
      </w:r>
      <w:r>
        <w:rPr>
          <w:sz w:val="20"/>
          <w:szCs w:val="20"/>
        </w:rPr>
        <w:t>8</w:t>
      </w:r>
      <w:r>
        <w:rPr>
          <w:sz w:val="20"/>
          <w:szCs w:val="20"/>
        </w:rPr>
        <w:t xml:space="preserve"> million, comprised of </w:t>
      </w:r>
      <w:r>
        <w:rPr>
          <w:sz w:val="20"/>
          <w:szCs w:val="20"/>
        </w:rPr>
        <w:t>$</w:t>
      </w:r>
      <w:r>
        <w:rPr>
          <w:sz w:val="20"/>
          <w:szCs w:val="20"/>
        </w:rPr>
        <w:t>3.</w:t>
      </w:r>
      <w:r>
        <w:rPr>
          <w:sz w:val="20"/>
          <w:szCs w:val="20"/>
        </w:rPr>
        <w:t>3</w:t>
      </w:r>
      <w:r>
        <w:rPr>
          <w:sz w:val="20"/>
          <w:szCs w:val="20"/>
        </w:rPr>
        <w:t xml:space="preserve"> million in book value of assets damaged and </w:t>
      </w:r>
      <w:r>
        <w:rPr>
          <w:sz w:val="20"/>
          <w:szCs w:val="20"/>
        </w:rPr>
        <w:t>$</w:t>
      </w:r>
      <w:r>
        <w:rPr>
          <w:sz w:val="20"/>
          <w:szCs w:val="20"/>
        </w:rPr>
        <w:t>4.</w:t>
      </w:r>
      <w:r>
        <w:rPr>
          <w:sz w:val="20"/>
          <w:szCs w:val="20"/>
        </w:rPr>
        <w:t>5</w:t>
      </w:r>
      <w:r>
        <w:rPr>
          <w:sz w:val="20"/>
          <w:szCs w:val="20"/>
        </w:rPr>
        <w:t xml:space="preserve"> m</w:t>
      </w:r>
      <w:r>
        <w:rPr>
          <w:sz w:val="20"/>
          <w:szCs w:val="20"/>
        </w:rPr>
        <w:t>illion in repairs and maintenance incurred in connection with Hurricanes Harvey and Irma.</w:t>
      </w:r>
      <w:r>
        <w:rPr>
          <w:sz w:val="20"/>
          <w:szCs w:val="20"/>
        </w:rPr>
        <w:t xml:space="preserve"> </w:t>
      </w:r>
    </w:p>
    <w:p w:rsidR="00000000" w:rsidRDefault="00865332">
      <w:pPr>
        <w:pStyle w:val="a3"/>
        <w:spacing w:before="0" w:beforeAutospacing="0" w:after="0" w:afterAutospacing="0" w:line="259" w:lineRule="auto"/>
        <w:ind w:left="360"/>
        <w:jc w:val="both"/>
        <w:divId w:val="930745551"/>
        <w:rPr>
          <w:sz w:val="20"/>
          <w:szCs w:val="20"/>
        </w:rPr>
      </w:pPr>
      <w:r>
        <w:rPr>
          <w:sz w:val="20"/>
          <w:szCs w:val="20"/>
          <w:u w:val="single"/>
        </w:rPr>
        <w:t>Revenue and Expense Recognitio</w:t>
      </w:r>
      <w:r>
        <w:rPr>
          <w:sz w:val="20"/>
          <w:szCs w:val="20"/>
          <w:u w:val="single"/>
        </w:rPr>
        <w:t>n</w:t>
      </w:r>
    </w:p>
    <w:p w:rsidR="00000000" w:rsidRDefault="00865332">
      <w:pPr>
        <w:pStyle w:val="a3"/>
        <w:spacing w:before="0" w:beforeAutospacing="0" w:after="0" w:afterAutospacing="0" w:line="259" w:lineRule="auto"/>
        <w:ind w:left="360" w:firstLine="720"/>
        <w:jc w:val="both"/>
        <w:divId w:val="930745551"/>
        <w:rPr>
          <w:sz w:val="20"/>
          <w:szCs w:val="20"/>
        </w:rPr>
      </w:pPr>
      <w:r>
        <w:rPr>
          <w:sz w:val="20"/>
          <w:szCs w:val="20"/>
        </w:rPr>
        <w:t>Revenues from self-storage facilities, which are primarily composed of rental income earned pursuant to month-to-month leases, as wel</w:t>
      </w:r>
      <w:r>
        <w:rPr>
          <w:sz w:val="20"/>
          <w:szCs w:val="20"/>
        </w:rPr>
        <w:t>l as associated late charges and administrative fees, are recognized as earned. Promotional discounts reduce rental income over the promotional period, which is generally one month. Ancillary revenues and interest and other income are recognized when earne</w:t>
      </w:r>
      <w:r>
        <w:rPr>
          <w:sz w:val="20"/>
          <w:szCs w:val="20"/>
        </w:rPr>
        <w:t>d.</w:t>
      </w:r>
      <w:r>
        <w:rPr>
          <w:sz w:val="20"/>
          <w:szCs w:val="20"/>
        </w:rPr>
        <w:t xml:space="preserve"> </w:t>
      </w:r>
    </w:p>
    <w:p w:rsidR="00000000" w:rsidRDefault="00865332">
      <w:pPr>
        <w:pStyle w:val="a3"/>
        <w:spacing w:before="0" w:beforeAutospacing="0" w:after="0" w:afterAutospacing="0" w:line="259" w:lineRule="auto"/>
        <w:ind w:left="360" w:firstLine="720"/>
        <w:jc w:val="both"/>
        <w:divId w:val="930745551"/>
        <w:rPr>
          <w:sz w:val="20"/>
          <w:szCs w:val="20"/>
        </w:rPr>
      </w:pPr>
      <w:r>
        <w:rPr>
          <w:sz w:val="20"/>
          <w:szCs w:val="20"/>
        </w:rPr>
        <w:t>We accrue for property tax expense based upon actual amounts billed and, in some circumstances, estimates when bills or assessments have not been received from the taxing authorities. If these estimates are incorrect, the timing and amount of expense r</w:t>
      </w:r>
      <w:r>
        <w:rPr>
          <w:sz w:val="20"/>
          <w:szCs w:val="20"/>
        </w:rPr>
        <w:t>ecognition could be incorrect. Cost of operations (including advertising expenditures), general and administrative expense, and interest expense are expensed as incurred.</w:t>
      </w:r>
      <w:r>
        <w:rPr>
          <w:sz w:val="20"/>
          <w:szCs w:val="20"/>
        </w:rPr>
        <w:t xml:space="preserve"> </w:t>
      </w:r>
    </w:p>
    <w:p w:rsidR="00000000" w:rsidRDefault="00865332">
      <w:pPr>
        <w:pStyle w:val="a3"/>
        <w:spacing w:before="0" w:beforeAutospacing="0" w:after="0" w:afterAutospacing="0" w:line="259" w:lineRule="auto"/>
        <w:ind w:left="360"/>
        <w:jc w:val="both"/>
        <w:divId w:val="930745551"/>
        <w:rPr>
          <w:sz w:val="20"/>
          <w:szCs w:val="20"/>
        </w:rPr>
      </w:pPr>
      <w:r>
        <w:rPr>
          <w:sz w:val="20"/>
          <w:szCs w:val="20"/>
          <w:u w:val="single"/>
        </w:rPr>
        <w:t>Foreign Currency Exchange Translation</w:t>
      </w:r>
      <w:r>
        <w:rPr>
          <w:sz w:val="20"/>
          <w:szCs w:val="20"/>
          <w:u w:val="single"/>
        </w:rPr>
        <w:t xml:space="preserve"> </w:t>
      </w:r>
    </w:p>
    <w:p w:rsidR="00000000" w:rsidRDefault="00865332">
      <w:pPr>
        <w:pStyle w:val="a3"/>
        <w:spacing w:before="0" w:beforeAutospacing="0" w:after="0" w:afterAutospacing="0" w:line="259" w:lineRule="auto"/>
        <w:ind w:left="360" w:firstLine="720"/>
        <w:jc w:val="both"/>
        <w:divId w:val="930745551"/>
        <w:rPr>
          <w:sz w:val="20"/>
          <w:szCs w:val="20"/>
        </w:rPr>
      </w:pPr>
      <w:r>
        <w:rPr>
          <w:sz w:val="20"/>
          <w:szCs w:val="20"/>
        </w:rPr>
        <w:t>The local currency (primarily the Euro) is th</w:t>
      </w:r>
      <w:r>
        <w:rPr>
          <w:sz w:val="20"/>
          <w:szCs w:val="20"/>
        </w:rPr>
        <w:t xml:space="preserve">e functional currency for our interests in foreign operations. The related balance sheet amounts are translated into U.S. Dollars at the exchange rates at the respective financial statement date, while amounts on our statements of income are translated at </w:t>
      </w:r>
      <w:r>
        <w:rPr>
          <w:sz w:val="20"/>
          <w:szCs w:val="20"/>
        </w:rPr>
        <w:t>the average exchange rates during the respective period. When financial instruments denominated in a currency other than the U.S. Dollar are expected to be settled in cash in the foreseeable future, the impact of changes in the U.S. Dollar equivalent are r</w:t>
      </w:r>
      <w:r>
        <w:rPr>
          <w:sz w:val="20"/>
          <w:szCs w:val="20"/>
        </w:rPr>
        <w:t>eflected in current earnings. The Euro was translated at exchange rates of approximately</w:t>
      </w:r>
      <w:r>
        <w:rPr>
          <w:sz w:val="20"/>
          <w:szCs w:val="20"/>
        </w:rPr>
        <w:t xml:space="preserve"> </w:t>
      </w:r>
      <w:r>
        <w:rPr>
          <w:sz w:val="20"/>
          <w:szCs w:val="20"/>
        </w:rPr>
        <w:t>1.12</w:t>
      </w:r>
      <w:r>
        <w:rPr>
          <w:sz w:val="20"/>
          <w:szCs w:val="20"/>
        </w:rPr>
        <w:t>2</w:t>
      </w:r>
      <w:r>
        <w:rPr>
          <w:sz w:val="20"/>
          <w:szCs w:val="20"/>
        </w:rPr>
        <w:t xml:space="preserve"> </w:t>
      </w:r>
      <w:r>
        <w:rPr>
          <w:sz w:val="20"/>
          <w:szCs w:val="20"/>
        </w:rPr>
        <w:t xml:space="preserve">U.S. Dollars per Euro at December 31, 2019 </w:t>
      </w:r>
      <w:r>
        <w:rPr>
          <w:sz w:val="20"/>
          <w:szCs w:val="20"/>
        </w:rPr>
        <w:t>(</w:t>
      </w:r>
      <w:r>
        <w:rPr>
          <w:sz w:val="20"/>
          <w:szCs w:val="20"/>
        </w:rPr>
        <w:t>1.14</w:t>
      </w:r>
      <w:r>
        <w:rPr>
          <w:sz w:val="20"/>
          <w:szCs w:val="20"/>
        </w:rPr>
        <w:t>4</w:t>
      </w:r>
      <w:r>
        <w:rPr>
          <w:sz w:val="20"/>
          <w:szCs w:val="20"/>
        </w:rPr>
        <w:t xml:space="preserve"> at December 31, 2018), and average exchange rates of</w:t>
      </w:r>
      <w:r>
        <w:rPr>
          <w:sz w:val="20"/>
          <w:szCs w:val="20"/>
        </w:rPr>
        <w:t xml:space="preserve"> </w:t>
      </w:r>
      <w:r>
        <w:rPr>
          <w:sz w:val="20"/>
          <w:szCs w:val="20"/>
        </w:rPr>
        <w:t>1.12</w:t>
      </w:r>
      <w:r>
        <w:rPr>
          <w:sz w:val="20"/>
          <w:szCs w:val="20"/>
        </w:rPr>
        <w:t>0</w:t>
      </w:r>
      <w:r>
        <w:rPr>
          <w:sz w:val="20"/>
          <w:szCs w:val="20"/>
        </w:rPr>
        <w:t>,</w:t>
      </w:r>
      <w:r>
        <w:rPr>
          <w:sz w:val="20"/>
          <w:szCs w:val="20"/>
        </w:rPr>
        <w:t xml:space="preserve"> </w:t>
      </w:r>
      <w:r>
        <w:rPr>
          <w:sz w:val="20"/>
          <w:szCs w:val="20"/>
        </w:rPr>
        <w:t>1.18</w:t>
      </w:r>
      <w:r>
        <w:rPr>
          <w:sz w:val="20"/>
          <w:szCs w:val="20"/>
        </w:rPr>
        <w:t>1</w:t>
      </w:r>
      <w:r>
        <w:rPr>
          <w:sz w:val="20"/>
          <w:szCs w:val="20"/>
        </w:rPr>
        <w:t xml:space="preserve"> and</w:t>
      </w:r>
      <w:r>
        <w:rPr>
          <w:sz w:val="20"/>
          <w:szCs w:val="20"/>
        </w:rPr>
        <w:t xml:space="preserve"> </w:t>
      </w:r>
      <w:r>
        <w:rPr>
          <w:sz w:val="20"/>
          <w:szCs w:val="20"/>
        </w:rPr>
        <w:t>1.12</w:t>
      </w:r>
      <w:r>
        <w:rPr>
          <w:sz w:val="20"/>
          <w:szCs w:val="20"/>
        </w:rPr>
        <w:t>9</w:t>
      </w:r>
      <w:r>
        <w:rPr>
          <w:sz w:val="20"/>
          <w:szCs w:val="20"/>
        </w:rPr>
        <w:t xml:space="preserve"> for the years ended December 31, 20</w:t>
      </w:r>
      <w:r>
        <w:rPr>
          <w:sz w:val="20"/>
          <w:szCs w:val="20"/>
        </w:rPr>
        <w:t>19, 2018 and 2017, respectively. Cumulative translation adjustments, to the extent not included in cumulative net income, are included in equity as a component of accumulated other comprehensive income (loss).</w:t>
      </w:r>
      <w:r>
        <w:rPr>
          <w:sz w:val="20"/>
          <w:szCs w:val="20"/>
        </w:rPr>
        <w:t xml:space="preserve"> </w:t>
      </w:r>
    </w:p>
    <w:p w:rsidR="00000000" w:rsidRDefault="00865332">
      <w:pPr>
        <w:pStyle w:val="a3"/>
        <w:spacing w:before="0" w:beforeAutospacing="0" w:after="0" w:afterAutospacing="0" w:line="259" w:lineRule="auto"/>
        <w:ind w:firstLine="360"/>
        <w:jc w:val="both"/>
        <w:divId w:val="930745551"/>
        <w:rPr>
          <w:sz w:val="20"/>
          <w:szCs w:val="20"/>
        </w:rPr>
      </w:pPr>
      <w:r>
        <w:rPr>
          <w:sz w:val="20"/>
          <w:szCs w:val="20"/>
          <w:u w:val="single"/>
        </w:rPr>
        <w:t>Comprehensive Income</w:t>
      </w:r>
      <w:r>
        <w:rPr>
          <w:sz w:val="20"/>
          <w:szCs w:val="20"/>
          <w:u w:val="single"/>
        </w:rPr>
        <w:t xml:space="preserve"> </w:t>
      </w:r>
    </w:p>
    <w:p w:rsidR="00000000" w:rsidRDefault="00865332">
      <w:pPr>
        <w:pStyle w:val="a3"/>
        <w:spacing w:before="0" w:beforeAutospacing="0" w:after="0" w:afterAutospacing="0" w:line="259" w:lineRule="auto"/>
        <w:ind w:left="360" w:firstLine="720"/>
        <w:jc w:val="both"/>
        <w:divId w:val="930745551"/>
        <w:rPr>
          <w:sz w:val="20"/>
          <w:szCs w:val="20"/>
        </w:rPr>
      </w:pPr>
      <w:r>
        <w:rPr>
          <w:sz w:val="20"/>
          <w:szCs w:val="20"/>
        </w:rPr>
        <w:t>Total comprehensive inc</w:t>
      </w:r>
      <w:r>
        <w:rPr>
          <w:sz w:val="20"/>
          <w:szCs w:val="20"/>
        </w:rPr>
        <w:t xml:space="preserve">ome represents net income, adjusted for changes in other comprehensive income (loss) for the applicable period. The aggregate foreign currency exchange gains and losses reflected on our statements of comprehensive income are comprised primarily of foreign </w:t>
      </w:r>
      <w:r>
        <w:rPr>
          <w:sz w:val="20"/>
          <w:szCs w:val="20"/>
        </w:rPr>
        <w:t>currency exchange gains and losses on our investment in Shurgard and our unsecured notes denominated in Euros</w:t>
      </w:r>
      <w:r>
        <w:rPr>
          <w:sz w:val="20"/>
          <w:szCs w:val="20"/>
        </w:rPr>
        <w:t>.</w:t>
      </w:r>
    </w:p>
    <w:p w:rsidR="00000000" w:rsidRDefault="00865332">
      <w:pPr>
        <w:pStyle w:val="a3"/>
        <w:spacing w:before="0" w:beforeAutospacing="0" w:after="0" w:afterAutospacing="0" w:line="276" w:lineRule="auto"/>
        <w:ind w:firstLine="360"/>
        <w:divId w:val="930745551"/>
        <w:rPr>
          <w:sz w:val="20"/>
          <w:szCs w:val="20"/>
        </w:rPr>
      </w:pPr>
      <w:r>
        <w:rPr>
          <w:sz w:val="20"/>
          <w:szCs w:val="20"/>
          <w:u w:val="single"/>
        </w:rPr>
        <w:t>Net Income per Common Shar</w:t>
      </w:r>
      <w:r>
        <w:rPr>
          <w:sz w:val="20"/>
          <w:szCs w:val="20"/>
          <w:u w:val="single"/>
        </w:rPr>
        <w:t>e</w:t>
      </w:r>
    </w:p>
    <w:p w:rsidR="00000000" w:rsidRDefault="00865332">
      <w:pPr>
        <w:pStyle w:val="a3"/>
        <w:spacing w:before="0" w:beforeAutospacing="0" w:after="0" w:afterAutospacing="0" w:line="259" w:lineRule="auto"/>
        <w:ind w:left="360" w:firstLine="720"/>
        <w:jc w:val="both"/>
        <w:divId w:val="930745551"/>
        <w:rPr>
          <w:sz w:val="20"/>
          <w:szCs w:val="20"/>
        </w:rPr>
      </w:pPr>
      <w:r>
        <w:rPr>
          <w:sz w:val="20"/>
          <w:szCs w:val="20"/>
        </w:rPr>
        <w:t>Net income is allocated to (i) noncontrolling interests based upon their share of the net income of the Subsidiaries,</w:t>
      </w:r>
      <w:r>
        <w:rPr>
          <w:sz w:val="20"/>
          <w:szCs w:val="20"/>
        </w:rPr>
        <w:t xml:space="preserve"> (ii) preferred shareholders, to the extent redemption cost exceeds the related original net issuance proceeds (an “EITF D-42 allocation”), and (iii) the remaining net income is allocated to each of our equity securities based upon the dividends declared o</w:t>
      </w:r>
      <w:r>
        <w:rPr>
          <w:sz w:val="20"/>
          <w:szCs w:val="20"/>
        </w:rPr>
        <w:t>r accumulated during the period, combined with participation rights in undistributed earnings.</w:t>
      </w:r>
      <w:r>
        <w:rPr>
          <w:sz w:val="20"/>
          <w:szCs w:val="20"/>
        </w:rPr>
        <w:t xml:space="preserve"> </w:t>
      </w:r>
    </w:p>
    <w:p w:rsidR="00000000" w:rsidRDefault="00865332">
      <w:pPr>
        <w:pStyle w:val="a3"/>
        <w:spacing w:before="0" w:beforeAutospacing="0" w:after="0" w:afterAutospacing="0" w:line="259" w:lineRule="auto"/>
        <w:ind w:left="360" w:firstLine="720"/>
        <w:jc w:val="both"/>
        <w:divId w:val="930745551"/>
        <w:rPr>
          <w:sz w:val="20"/>
          <w:szCs w:val="20"/>
        </w:rPr>
      </w:pPr>
      <w:r>
        <w:rPr>
          <w:sz w:val="20"/>
          <w:szCs w:val="20"/>
        </w:rPr>
        <w:t>Basic and diluted net income per common share are each calculated based upon net income allocable to common shareholders presented on the face of our income sta</w:t>
      </w:r>
      <w:r>
        <w:rPr>
          <w:sz w:val="20"/>
          <w:szCs w:val="20"/>
        </w:rPr>
        <w:t>tement, divided by (i) in the case of basic net income per common share, weighted average common shares, and (ii) in the case of diluted income per common share,</w:t>
      </w:r>
      <w:r>
        <w:rPr>
          <w:sz w:val="20"/>
          <w:szCs w:val="20"/>
        </w:rPr>
        <w:t xml:space="preserve"> </w:t>
      </w:r>
    </w:p>
    <w:p w:rsidR="00000000" w:rsidRDefault="00865332">
      <w:pPr>
        <w:pStyle w:val="a3"/>
        <w:spacing w:before="0" w:beforeAutospacing="0" w:after="0" w:afterAutospacing="0" w:line="259" w:lineRule="auto"/>
        <w:jc w:val="center"/>
        <w:divId w:val="2122650272"/>
        <w:rPr>
          <w:sz w:val="20"/>
          <w:szCs w:val="20"/>
        </w:rPr>
      </w:pPr>
      <w:r>
        <w:rPr>
          <w:sz w:val="20"/>
          <w:szCs w:val="20"/>
        </w:rPr>
        <w:t>F</w:t>
      </w:r>
      <w:r>
        <w:rPr>
          <w:sz w:val="20"/>
          <w:szCs w:val="20"/>
        </w:rPr>
        <w:t>-</w:t>
      </w:r>
      <w:r>
        <w:rPr>
          <w:rStyle w:val="ctheaderfooterpage"/>
          <w:sz w:val="20"/>
          <w:szCs w:val="20"/>
        </w:rPr>
        <w:t>1</w:t>
      </w:r>
      <w:r>
        <w:rPr>
          <w:rStyle w:val="ctheaderfooterpage"/>
          <w:sz w:val="20"/>
          <w:szCs w:val="20"/>
        </w:rPr>
        <w:t>4</w:t>
      </w:r>
    </w:p>
    <w:p w:rsidR="00000000" w:rsidRDefault="00865332">
      <w:pPr>
        <w:spacing w:before="360" w:after="360"/>
        <w:divId w:val="2009483566"/>
        <w:rPr>
          <w:rFonts w:eastAsia="Times New Roman"/>
        </w:rPr>
      </w:pPr>
      <w:r>
        <w:rPr>
          <w:rFonts w:eastAsia="Times New Roman"/>
        </w:rPr>
        <w:pict>
          <v:rect id="_x0000_i1109" style="width:0;height:1.5pt" o:hralign="center" o:hrstd="t" o:hr="t" fillcolor="#a0a0a0" stroked="f"/>
        </w:pict>
      </w:r>
    </w:p>
    <w:p w:rsidR="00000000" w:rsidRDefault="00865332">
      <w:pPr>
        <w:pStyle w:val="a3"/>
        <w:spacing w:before="0" w:beforeAutospacing="0" w:after="0" w:afterAutospacing="0" w:line="259" w:lineRule="auto"/>
        <w:jc w:val="center"/>
        <w:divId w:val="383793846"/>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383793846"/>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383793846"/>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jc w:val="both"/>
        <w:divId w:val="867371127"/>
        <w:rPr>
          <w:sz w:val="20"/>
          <w:szCs w:val="20"/>
        </w:rPr>
      </w:pPr>
      <w:r>
        <w:rPr>
          <w:sz w:val="20"/>
          <w:szCs w:val="20"/>
        </w:rPr>
        <w:t>weighted average common shares adjusted for the impact, if dilutive, of stock options outstanding (Note 10). The following table reconciles from basic to dil</w:t>
      </w:r>
      <w:r>
        <w:rPr>
          <w:sz w:val="20"/>
          <w:szCs w:val="20"/>
        </w:rPr>
        <w:t>uted common shares outstanding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73"/>
        <w:gridCol w:w="4062"/>
        <w:gridCol w:w="150"/>
        <w:gridCol w:w="1096"/>
        <w:gridCol w:w="133"/>
        <w:gridCol w:w="150"/>
        <w:gridCol w:w="1096"/>
        <w:gridCol w:w="216"/>
        <w:gridCol w:w="150"/>
        <w:gridCol w:w="1080"/>
      </w:tblGrid>
      <w:tr w:rsidR="00000000">
        <w:trPr>
          <w:divId w:val="867371127"/>
          <w:trHeight w:val="14"/>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For the Years Ended December 31</w:t>
            </w:r>
            <w:r>
              <w:rPr>
                <w:sz w:val="20"/>
                <w:szCs w:val="20"/>
              </w:rPr>
              <w:t>,</w:t>
            </w:r>
          </w:p>
        </w:tc>
      </w:tr>
      <w:tr w:rsidR="00000000">
        <w:trPr>
          <w:divId w:val="867371127"/>
          <w:trHeight w:val="230"/>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1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r>
      <w:tr w:rsidR="00000000">
        <w:trPr>
          <w:divId w:val="867371127"/>
          <w:trHeight w:val="2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6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6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u w:val="single"/>
              </w:rPr>
              <w:t>Weighted average common shares and equivalent</w:t>
            </w:r>
            <w:r>
              <w:rPr>
                <w:sz w:val="20"/>
                <w:szCs w:val="20"/>
                <w:u w:val="single"/>
              </w:rPr>
              <w:t>s</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u w:val="single"/>
              </w:rPr>
              <w:t>outstanding</w:t>
            </w:r>
            <w:r>
              <w:rPr>
                <w:sz w:val="20"/>
                <w:szCs w:val="20"/>
                <w:u w:val="single"/>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Basic weighted average commo</w:t>
            </w:r>
            <w:r>
              <w:rPr>
                <w:sz w:val="20"/>
                <w:szCs w:val="20"/>
              </w:rPr>
              <w:t>n</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174,28</w:t>
            </w:r>
            <w:r>
              <w:rPr>
                <w:sz w:val="20"/>
                <w:szCs w:val="20"/>
              </w:rPr>
              <w:t>7</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173,96</w:t>
            </w:r>
            <w:r>
              <w:rPr>
                <w:sz w:val="20"/>
                <w:szCs w:val="20"/>
              </w:rPr>
              <w:t>9</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173,61</w:t>
            </w:r>
            <w:r>
              <w:rPr>
                <w:sz w:val="20"/>
                <w:szCs w:val="20"/>
              </w:rPr>
              <w:t>3</w:t>
            </w:r>
          </w:p>
        </w:tc>
      </w:tr>
      <w:tr w:rsidR="00000000">
        <w:trPr>
          <w:divId w:val="867371127"/>
          <w:trHeight w:val="25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 xml:space="preserve">Net effect of dilutive stock options </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based on treasury stock method</w:t>
            </w:r>
            <w:r>
              <w:rPr>
                <w:sz w:val="20"/>
                <w:szCs w:val="20"/>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24</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w:t>
            </w:r>
            <w:r>
              <w:rPr>
                <w:sz w:val="20"/>
                <w:szCs w:val="20"/>
              </w:rPr>
              <w:t>8</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53</w:t>
            </w:r>
            <w:r>
              <w:rPr>
                <w:sz w:val="20"/>
                <w:szCs w:val="20"/>
              </w:rPr>
              <w:t>8</w:t>
            </w:r>
          </w:p>
        </w:tc>
      </w:tr>
      <w:tr w:rsidR="00000000">
        <w:trPr>
          <w:divId w:val="867371127"/>
          <w:trHeight w:val="25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Diluted weighted average common</w:t>
            </w:r>
            <w:r>
              <w:rPr>
                <w:sz w:val="20"/>
                <w:szCs w:val="20"/>
              </w:rPr>
              <w:t xml:space="preserve"> </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174,53</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174,29</w:t>
            </w:r>
            <w:r>
              <w:rPr>
                <w:sz w:val="20"/>
                <w:szCs w:val="20"/>
              </w:rPr>
              <w:t>7</w:t>
            </w:r>
          </w:p>
        </w:tc>
        <w:tc>
          <w:tcPr>
            <w:tcW w:w="1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174,15</w:t>
            </w:r>
            <w:r>
              <w:rPr>
                <w:sz w:val="20"/>
                <w:szCs w:val="20"/>
              </w:rPr>
              <w:t>1</w:t>
            </w:r>
          </w:p>
        </w:tc>
      </w:tr>
    </w:tbl>
    <w:p w:rsidR="00000000" w:rsidRDefault="00865332">
      <w:pPr>
        <w:pStyle w:val="a3"/>
        <w:spacing w:before="0" w:beforeAutospacing="0" w:after="0" w:afterAutospacing="0" w:line="259" w:lineRule="auto"/>
        <w:divId w:val="867371127"/>
        <w:rPr>
          <w:sz w:val="20"/>
          <w:szCs w:val="20"/>
        </w:rPr>
      </w:pPr>
      <w:r>
        <w:rPr>
          <w:sz w:val="20"/>
          <w:szCs w:val="20"/>
        </w:rPr>
        <w:t>3</w:t>
      </w:r>
      <w:r>
        <w:rPr>
          <w:sz w:val="20"/>
          <w:szCs w:val="20"/>
        </w:rPr>
        <w:t>.</w:t>
      </w:r>
      <w:r>
        <w:rPr>
          <w:sz w:val="20"/>
          <w:szCs w:val="20"/>
          <w:u w:val="single"/>
        </w:rPr>
        <w:t>Real Estate Facilitie</w:t>
      </w:r>
      <w:r>
        <w:rPr>
          <w:sz w:val="20"/>
          <w:szCs w:val="20"/>
          <w:u w:val="single"/>
        </w:rPr>
        <w:t>s</w:t>
      </w:r>
    </w:p>
    <w:p w:rsidR="00000000" w:rsidRDefault="00865332">
      <w:pPr>
        <w:pStyle w:val="a3"/>
        <w:spacing w:before="0" w:beforeAutospacing="0" w:after="0" w:afterAutospacing="0" w:line="259" w:lineRule="auto"/>
        <w:ind w:left="360" w:firstLine="720"/>
        <w:divId w:val="867371127"/>
        <w:rPr>
          <w:sz w:val="20"/>
          <w:szCs w:val="20"/>
        </w:rPr>
      </w:pPr>
      <w:r>
        <w:rPr>
          <w:sz w:val="20"/>
          <w:szCs w:val="20"/>
        </w:rPr>
        <w:t>Activity in real estate facilities during 2019, 2018 and 2017 is as follows:</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29"/>
        <w:gridCol w:w="4511"/>
        <w:gridCol w:w="113"/>
        <w:gridCol w:w="973"/>
        <w:gridCol w:w="154"/>
        <w:gridCol w:w="113"/>
        <w:gridCol w:w="973"/>
        <w:gridCol w:w="154"/>
        <w:gridCol w:w="113"/>
        <w:gridCol w:w="973"/>
      </w:tblGrid>
      <w:tr w:rsidR="00000000">
        <w:trPr>
          <w:divId w:val="867371127"/>
          <w:trHeight w:val="14"/>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867371127"/>
          <w:trHeight w:val="7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For the Years Ended December 31</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r>
      <w:tr w:rsidR="00000000">
        <w:trPr>
          <w:divId w:val="867371127"/>
          <w:trHeight w:val="245"/>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8"/>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Operating facilities, at cost</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15,296,84</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14,665,98</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13,963,22</w:t>
            </w:r>
            <w:r>
              <w:rPr>
                <w:sz w:val="20"/>
                <w:szCs w:val="20"/>
              </w:rPr>
              <w:t>9</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Costs incurred for capital expenditures to maintain</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real estate facilitie</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192,53</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139,39</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124,78</w:t>
            </w:r>
            <w:r>
              <w:rPr>
                <w:sz w:val="20"/>
                <w:szCs w:val="20"/>
              </w:rPr>
              <w:t>0</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Acquisitions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421,09</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169,43</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274,11</w:t>
            </w:r>
            <w:r>
              <w:rPr>
                <w:sz w:val="20"/>
                <w:szCs w:val="20"/>
              </w:rPr>
              <w:t>5</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Disposition</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42</w:t>
            </w:r>
            <w:r>
              <w:rPr>
                <w:sz w:val="20"/>
                <w:szCs w:val="20"/>
              </w:rPr>
              <w:t>6</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25,63</w:t>
            </w:r>
            <w:r>
              <w:rPr>
                <w:sz w:val="20"/>
                <w:szCs w:val="20"/>
              </w:rPr>
              <w:t>3</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1,09</w:t>
            </w:r>
            <w:r>
              <w:rPr>
                <w:sz w:val="20"/>
                <w:szCs w:val="20"/>
              </w:rPr>
              <w:t>2</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color w:val="000000"/>
                <w:sz w:val="20"/>
                <w:szCs w:val="20"/>
              </w:rPr>
              <w:t>Hurricane damag</w:t>
            </w:r>
            <w:r>
              <w:rPr>
                <w:color w:val="000000"/>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8,22</w:t>
            </w:r>
            <w:r>
              <w:rPr>
                <w:sz w:val="20"/>
                <w:szCs w:val="20"/>
              </w:rPr>
              <w:t>6</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379,09</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348,27</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311,55</w:t>
            </w:r>
            <w:r>
              <w:rPr>
                <w:sz w:val="20"/>
                <w:szCs w:val="20"/>
              </w:rPr>
              <w:t>9</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Impact of foreign exchange rate changes</w:t>
            </w:r>
            <w:r>
              <w:rPr>
                <w:sz w:val="20"/>
                <w:szCs w:val="20"/>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61</w:t>
            </w:r>
            <w:r>
              <w:rPr>
                <w:sz w:val="20"/>
                <w:szCs w:val="20"/>
              </w:rPr>
              <w:t>5</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w:t>
            </w:r>
            <w:r>
              <w:rPr>
                <w:sz w:val="20"/>
                <w:szCs w:val="20"/>
              </w:rPr>
              <w:t>4</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Ending balance</w:t>
            </w:r>
            <w:r>
              <w:rPr>
                <w:sz w:val="20"/>
                <w:szCs w:val="20"/>
              </w:rPr>
              <w:t xml:space="preserve"> </w:t>
            </w: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16,289,14</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15,296,84</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14,665,98</w:t>
            </w:r>
            <w:r>
              <w:rPr>
                <w:sz w:val="20"/>
                <w:szCs w:val="20"/>
              </w:rPr>
              <w:t>9</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Accumulated depreciation</w:t>
            </w:r>
            <w:r>
              <w:rPr>
                <w:sz w:val="20"/>
                <w:szCs w:val="20"/>
              </w:rPr>
              <w:t>:</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6,140,07</w:t>
            </w:r>
            <w:r>
              <w:rPr>
                <w:sz w:val="20"/>
                <w:szCs w:val="20"/>
              </w:rPr>
              <w:t>2</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5,700,33</w:t>
            </w:r>
            <w:r>
              <w:rPr>
                <w:sz w:val="20"/>
                <w:szCs w:val="20"/>
              </w:rPr>
              <w:t>1</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5,270,96</w:t>
            </w:r>
            <w:r>
              <w:rPr>
                <w:sz w:val="20"/>
                <w:szCs w:val="20"/>
              </w:rPr>
              <w:t>3</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Depreciation expense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483,40</w:t>
            </w:r>
            <w:r>
              <w:rPr>
                <w:sz w:val="20"/>
                <w:szCs w:val="20"/>
              </w:rPr>
              <w:t>8</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457,02</w:t>
            </w:r>
            <w:r>
              <w:rPr>
                <w:sz w:val="20"/>
                <w:szCs w:val="20"/>
              </w:rPr>
              <w:t>9</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433,46</w:t>
            </w:r>
            <w:r>
              <w:rPr>
                <w:sz w:val="20"/>
                <w:szCs w:val="20"/>
              </w:rPr>
              <w:t>6</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color w:val="000000"/>
                <w:sz w:val="20"/>
                <w:szCs w:val="20"/>
              </w:rPr>
              <w:t>Disposition</w:t>
            </w:r>
            <w:r>
              <w:rPr>
                <w:color w:val="000000"/>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16,87</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3</w:t>
            </w:r>
          </w:p>
        </w:tc>
      </w:tr>
      <w:tr w:rsidR="00000000">
        <w:trPr>
          <w:divId w:val="867371127"/>
          <w:trHeight w:val="245"/>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Hurricane damag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4,94</w:t>
            </w:r>
            <w:r>
              <w:rPr>
                <w:sz w:val="20"/>
                <w:szCs w:val="20"/>
              </w:rPr>
              <w:t>0</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color w:val="000000"/>
                <w:sz w:val="20"/>
                <w:szCs w:val="20"/>
              </w:rPr>
              <w:t>Impact of foreign exchange rate changes</w:t>
            </w:r>
            <w:r>
              <w:rPr>
                <w:color w:val="000000"/>
                <w:sz w:val="20"/>
                <w:szCs w:val="20"/>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41</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96</w:t>
            </w:r>
            <w:r>
              <w:rPr>
                <w:sz w:val="20"/>
                <w:szCs w:val="20"/>
              </w:rPr>
              <w:t>5</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6,623,47</w:t>
            </w:r>
            <w:r>
              <w:rPr>
                <w:color w:val="000000"/>
                <w:sz w:val="20"/>
                <w:szCs w:val="20"/>
              </w:rPr>
              <w:t>5</w:t>
            </w:r>
            <w:r>
              <w:rPr>
                <w:color w:val="000000"/>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6,140,07</w:t>
            </w:r>
            <w:r>
              <w:rPr>
                <w:sz w:val="20"/>
                <w:szCs w:val="20"/>
              </w:rPr>
              <w:t>2</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5,700,33</w:t>
            </w:r>
            <w:r>
              <w:rPr>
                <w:sz w:val="20"/>
                <w:szCs w:val="20"/>
              </w:rPr>
              <w:t>1</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Construction in process</w:t>
            </w:r>
            <w:r>
              <w:rPr>
                <w:color w:val="000000"/>
                <w:sz w:val="20"/>
                <w:szCs w:val="20"/>
              </w:rPr>
              <w:t>:</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color w:val="000000"/>
                <w:sz w:val="20"/>
                <w:szCs w:val="20"/>
              </w:rPr>
              <w:t>Beginning balance</w:t>
            </w:r>
            <w:r>
              <w:rPr>
                <w:color w:val="000000"/>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285,33</w:t>
            </w:r>
            <w:r>
              <w:rPr>
                <w:color w:val="000000"/>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264,44</w:t>
            </w:r>
            <w:r>
              <w:rPr>
                <w:sz w:val="20"/>
                <w:szCs w:val="20"/>
              </w:rPr>
              <w:t>1</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230,31</w:t>
            </w:r>
            <w:r>
              <w:rPr>
                <w:sz w:val="20"/>
                <w:szCs w:val="20"/>
              </w:rPr>
              <w:t>0</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color w:val="000000"/>
                <w:sz w:val="20"/>
                <w:szCs w:val="20"/>
              </w:rPr>
              <w:t>Costs incurred for development and expansio</w:t>
            </w:r>
            <w:r>
              <w:rPr>
                <w:color w:val="000000"/>
                <w:sz w:val="20"/>
                <w:szCs w:val="20"/>
              </w:rPr>
              <w:t>n</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of real estate facilitie</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235,68</w:t>
            </w:r>
            <w:r>
              <w:rPr>
                <w:color w:val="000000"/>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362,39</w:t>
            </w:r>
            <w:r>
              <w:rPr>
                <w:sz w:val="20"/>
                <w:szCs w:val="20"/>
              </w:rPr>
              <w:t>7</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349,71</w:t>
            </w:r>
            <w:r>
              <w:rPr>
                <w:sz w:val="20"/>
                <w:szCs w:val="20"/>
              </w:rPr>
              <w:t>2</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379,09</w:t>
            </w:r>
            <w:r>
              <w:rPr>
                <w:color w:val="000000"/>
                <w:sz w:val="20"/>
                <w:szCs w:val="20"/>
              </w:rPr>
              <w:t>2</w:t>
            </w:r>
            <w:r>
              <w:rPr>
                <w:color w:val="000000"/>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348,27</w:t>
            </w:r>
            <w:r>
              <w:rPr>
                <w:sz w:val="20"/>
                <w:szCs w:val="20"/>
              </w:rPr>
              <w:t>0</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311,55</w:t>
            </w:r>
            <w:r>
              <w:rPr>
                <w:sz w:val="20"/>
                <w:szCs w:val="20"/>
              </w:rPr>
              <w:t>9</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color w:val="000000"/>
                <w:sz w:val="20"/>
                <w:szCs w:val="20"/>
              </w:rPr>
              <w:t>Disposition</w:t>
            </w:r>
            <w:r>
              <w:rPr>
                <w:color w:val="000000"/>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2,69</w:t>
            </w:r>
            <w:r>
              <w:rPr>
                <w:sz w:val="20"/>
                <w:szCs w:val="20"/>
              </w:rPr>
              <w:t>8</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20"/>
                <w:szCs w:val="20"/>
              </w:rPr>
            </w:pPr>
            <w:r>
              <w:rPr>
                <w:sz w:val="20"/>
                <w:szCs w:val="20"/>
              </w:rPr>
              <w:t>(</w:t>
            </w:r>
            <w:r>
              <w:rPr>
                <w:sz w:val="20"/>
                <w:szCs w:val="20"/>
              </w:rPr>
              <w:t>4,02</w:t>
            </w:r>
            <w:r>
              <w:rPr>
                <w:sz w:val="20"/>
                <w:szCs w:val="20"/>
              </w:rPr>
              <w:t>2</w:t>
            </w: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sz w:val="20"/>
                <w:szCs w:val="20"/>
              </w:rPr>
              <w:t>Transfer from other asset</w:t>
            </w:r>
            <w:r>
              <w:rPr>
                <w:sz w:val="20"/>
                <w:szCs w:val="20"/>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9,46</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141,93</w:t>
            </w:r>
            <w:r>
              <w:rPr>
                <w:color w:val="000000"/>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285,33</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264,44</w:t>
            </w:r>
            <w:r>
              <w:rPr>
                <w:sz w:val="20"/>
                <w:szCs w:val="20"/>
              </w:rPr>
              <w:t>1</w:t>
            </w:r>
          </w:p>
        </w:tc>
      </w:tr>
      <w:tr w:rsidR="00000000">
        <w:trPr>
          <w:divId w:val="867371127"/>
          <w:trHeight w:val="259"/>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27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color w:val="000000"/>
                <w:sz w:val="20"/>
                <w:szCs w:val="20"/>
              </w:rPr>
              <w:t>Total real estate facilities at December 31</w:t>
            </w:r>
            <w:r>
              <w:rPr>
                <w:color w:val="000000"/>
                <w:sz w:val="20"/>
                <w:szCs w:val="20"/>
              </w:rPr>
              <w:t>,</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color w:val="000000"/>
                <w:sz w:val="20"/>
                <w:szCs w:val="20"/>
              </w:rPr>
              <w:t>$</w:t>
            </w:r>
          </w:p>
        </w:tc>
        <w:tc>
          <w:tcPr>
            <w:tcW w:w="5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color w:val="000000"/>
                <w:sz w:val="20"/>
                <w:szCs w:val="20"/>
              </w:rPr>
              <w:t>9,807,60</w:t>
            </w:r>
            <w:r>
              <w:rPr>
                <w:color w:val="000000"/>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9,442,11</w:t>
            </w:r>
            <w:r>
              <w:rPr>
                <w:sz w:val="20"/>
                <w:szCs w:val="20"/>
              </w:rPr>
              <w:t>1</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9,230,09</w:t>
            </w:r>
            <w:r>
              <w:rPr>
                <w:sz w:val="20"/>
                <w:szCs w:val="20"/>
              </w:rPr>
              <w:t>9</w:t>
            </w:r>
          </w:p>
        </w:tc>
      </w:tr>
    </w:tbl>
    <w:p w:rsidR="00000000" w:rsidRDefault="00865332">
      <w:pPr>
        <w:pStyle w:val="a3"/>
        <w:spacing w:before="0" w:beforeAutospacing="0" w:after="0" w:afterAutospacing="0" w:line="259" w:lineRule="auto"/>
        <w:jc w:val="center"/>
        <w:divId w:val="1001276661"/>
        <w:rPr>
          <w:sz w:val="20"/>
          <w:szCs w:val="20"/>
        </w:rPr>
      </w:pPr>
      <w:r>
        <w:rPr>
          <w:sz w:val="20"/>
          <w:szCs w:val="20"/>
        </w:rPr>
        <w:t>F</w:t>
      </w:r>
      <w:r>
        <w:rPr>
          <w:sz w:val="20"/>
          <w:szCs w:val="20"/>
        </w:rPr>
        <w:t>-</w:t>
      </w:r>
      <w:r>
        <w:rPr>
          <w:rStyle w:val="ctheaderfooterpage"/>
          <w:sz w:val="20"/>
          <w:szCs w:val="20"/>
        </w:rPr>
        <w:t>1</w:t>
      </w:r>
      <w:r>
        <w:rPr>
          <w:rStyle w:val="ctheaderfooterpage"/>
          <w:sz w:val="20"/>
          <w:szCs w:val="20"/>
        </w:rPr>
        <w:t>5</w:t>
      </w:r>
    </w:p>
    <w:p w:rsidR="00000000" w:rsidRDefault="00865332">
      <w:pPr>
        <w:spacing w:before="360" w:after="360"/>
        <w:divId w:val="1232305195"/>
        <w:rPr>
          <w:rFonts w:eastAsia="Times New Roman"/>
        </w:rPr>
      </w:pPr>
      <w:r>
        <w:rPr>
          <w:rFonts w:eastAsia="Times New Roman"/>
        </w:rPr>
        <w:pict>
          <v:rect id="_x0000_i1110" style="width:0;height:1.5pt" o:hralign="center" o:hrstd="t" o:hr="t" fillcolor="#a0a0a0" stroked="f"/>
        </w:pict>
      </w:r>
    </w:p>
    <w:p w:rsidR="00000000" w:rsidRDefault="00865332">
      <w:pPr>
        <w:pStyle w:val="a3"/>
        <w:spacing w:before="0" w:beforeAutospacing="0" w:after="0" w:afterAutospacing="0" w:line="259" w:lineRule="auto"/>
        <w:jc w:val="center"/>
        <w:divId w:val="384523145"/>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384523145"/>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384523145"/>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firstLine="720"/>
        <w:jc w:val="both"/>
        <w:divId w:val="405688201"/>
        <w:rPr>
          <w:sz w:val="20"/>
          <w:szCs w:val="20"/>
        </w:rPr>
      </w:pPr>
      <w:r>
        <w:rPr>
          <w:sz w:val="20"/>
          <w:szCs w:val="20"/>
        </w:rPr>
        <w:t>During 2019, we acquired</w:t>
      </w:r>
      <w:r>
        <w:rPr>
          <w:sz w:val="20"/>
          <w:szCs w:val="20"/>
        </w:rPr>
        <w:t xml:space="preserve"> </w:t>
      </w:r>
      <w:r>
        <w:rPr>
          <w:sz w:val="20"/>
          <w:szCs w:val="20"/>
        </w:rPr>
        <w:t>4</w:t>
      </w:r>
      <w:r>
        <w:rPr>
          <w:sz w:val="20"/>
          <w:szCs w:val="20"/>
        </w:rPr>
        <w:t>4</w:t>
      </w:r>
      <w:r>
        <w:rPr>
          <w:sz w:val="20"/>
          <w:szCs w:val="20"/>
        </w:rPr>
        <w:t xml:space="preserve"> self-storage facilities and</w:t>
      </w:r>
      <w:r>
        <w:rPr>
          <w:sz w:val="20"/>
          <w:szCs w:val="20"/>
        </w:rPr>
        <w:t xml:space="preserve"> </w:t>
      </w:r>
      <w:r>
        <w:rPr>
          <w:sz w:val="20"/>
          <w:szCs w:val="20"/>
        </w:rPr>
        <w:t>on</w:t>
      </w:r>
      <w:r>
        <w:rPr>
          <w:sz w:val="20"/>
          <w:szCs w:val="20"/>
        </w:rPr>
        <w:t>e</w:t>
      </w:r>
      <w:r>
        <w:rPr>
          <w:sz w:val="20"/>
          <w:szCs w:val="20"/>
        </w:rPr>
        <w:t xml:space="preserve"> commercial facility </w:t>
      </w:r>
      <w:r>
        <w:rPr>
          <w:sz w:val="20"/>
          <w:szCs w:val="20"/>
        </w:rPr>
        <w:t>(</w:t>
      </w:r>
      <w:r>
        <w:rPr>
          <w:sz w:val="20"/>
          <w:szCs w:val="20"/>
        </w:rPr>
        <w:t>3,133,00</w:t>
      </w:r>
      <w:r>
        <w:rPr>
          <w:sz w:val="20"/>
          <w:szCs w:val="20"/>
        </w:rPr>
        <w:t>0</w:t>
      </w:r>
      <w:r>
        <w:rPr>
          <w:sz w:val="20"/>
          <w:szCs w:val="20"/>
        </w:rPr>
        <w:t> net rentable square feet of storage space and</w:t>
      </w:r>
      <w:r>
        <w:rPr>
          <w:sz w:val="20"/>
          <w:szCs w:val="20"/>
        </w:rPr>
        <w:t xml:space="preserve"> </w:t>
      </w:r>
      <w:r>
        <w:rPr>
          <w:sz w:val="20"/>
          <w:szCs w:val="20"/>
        </w:rPr>
        <w:t>46,00</w:t>
      </w:r>
      <w:r>
        <w:rPr>
          <w:sz w:val="20"/>
          <w:szCs w:val="20"/>
        </w:rPr>
        <w:t>0</w:t>
      </w:r>
      <w:r>
        <w:rPr>
          <w:sz w:val="20"/>
          <w:szCs w:val="20"/>
        </w:rPr>
        <w:t xml:space="preserve"> net rentable </w:t>
      </w:r>
      <w:r>
        <w:rPr>
          <w:sz w:val="20"/>
          <w:szCs w:val="20"/>
        </w:rPr>
        <w:t xml:space="preserve">square feet of commercial space), for a total cost of </w:t>
      </w:r>
      <w:r>
        <w:rPr>
          <w:sz w:val="20"/>
          <w:szCs w:val="20"/>
        </w:rPr>
        <w:t>$</w:t>
      </w:r>
      <w:r>
        <w:rPr>
          <w:sz w:val="20"/>
          <w:szCs w:val="20"/>
        </w:rPr>
        <w:t>439.</w:t>
      </w:r>
      <w:r>
        <w:rPr>
          <w:sz w:val="20"/>
          <w:szCs w:val="20"/>
        </w:rPr>
        <w:t>6</w:t>
      </w:r>
      <w:r>
        <w:rPr>
          <w:sz w:val="20"/>
          <w:szCs w:val="20"/>
        </w:rPr>
        <w:t xml:space="preserve"> million, consisting of </w:t>
      </w:r>
      <w:r>
        <w:rPr>
          <w:sz w:val="20"/>
          <w:szCs w:val="20"/>
        </w:rPr>
        <w:t>$</w:t>
      </w:r>
      <w:r>
        <w:rPr>
          <w:sz w:val="20"/>
          <w:szCs w:val="20"/>
        </w:rPr>
        <w:t>437.</w:t>
      </w:r>
      <w:r>
        <w:rPr>
          <w:sz w:val="20"/>
          <w:szCs w:val="20"/>
        </w:rPr>
        <w:t>8</w:t>
      </w:r>
      <w:r>
        <w:rPr>
          <w:sz w:val="20"/>
          <w:szCs w:val="20"/>
        </w:rPr>
        <w:t xml:space="preserve"> million in cash and the assumption of </w:t>
      </w:r>
      <w:r>
        <w:rPr>
          <w:sz w:val="20"/>
          <w:szCs w:val="20"/>
        </w:rPr>
        <w:t>$</w:t>
      </w:r>
      <w:r>
        <w:rPr>
          <w:sz w:val="20"/>
          <w:szCs w:val="20"/>
        </w:rPr>
        <w:t>1.</w:t>
      </w:r>
      <w:r>
        <w:rPr>
          <w:sz w:val="20"/>
          <w:szCs w:val="20"/>
        </w:rPr>
        <w:t>8</w:t>
      </w:r>
      <w:r>
        <w:rPr>
          <w:sz w:val="20"/>
          <w:szCs w:val="20"/>
        </w:rPr>
        <w:t xml:space="preserve"> million in mortgage notes. Approximately </w:t>
      </w:r>
      <w:r>
        <w:rPr>
          <w:sz w:val="20"/>
          <w:szCs w:val="20"/>
        </w:rPr>
        <w:t>$</w:t>
      </w:r>
      <w:r>
        <w:rPr>
          <w:sz w:val="20"/>
          <w:szCs w:val="20"/>
        </w:rPr>
        <w:t>18.</w:t>
      </w:r>
      <w:r>
        <w:rPr>
          <w:sz w:val="20"/>
          <w:szCs w:val="20"/>
        </w:rPr>
        <w:t>5</w:t>
      </w:r>
      <w:r>
        <w:rPr>
          <w:sz w:val="20"/>
          <w:szCs w:val="20"/>
        </w:rPr>
        <w:t xml:space="preserve"> million of the total cost was allocated to intangible assets. We completed </w:t>
      </w:r>
      <w:r>
        <w:rPr>
          <w:sz w:val="20"/>
          <w:szCs w:val="20"/>
        </w:rPr>
        <w:t xml:space="preserve">development and redevelopment activities costing </w:t>
      </w:r>
      <w:r>
        <w:rPr>
          <w:sz w:val="20"/>
          <w:szCs w:val="20"/>
        </w:rPr>
        <w:t>$</w:t>
      </w:r>
      <w:r>
        <w:rPr>
          <w:sz w:val="20"/>
          <w:szCs w:val="20"/>
        </w:rPr>
        <w:t>379.</w:t>
      </w:r>
      <w:r>
        <w:rPr>
          <w:sz w:val="20"/>
          <w:szCs w:val="20"/>
        </w:rPr>
        <w:t>1</w:t>
      </w:r>
      <w:r>
        <w:rPr>
          <w:sz w:val="20"/>
          <w:szCs w:val="20"/>
        </w:rPr>
        <w:t> million during 2019, adding</w:t>
      </w:r>
      <w:r>
        <w:rPr>
          <w:sz w:val="20"/>
          <w:szCs w:val="20"/>
        </w:rPr>
        <w:t xml:space="preserve"> </w:t>
      </w:r>
      <w:r>
        <w:rPr>
          <w:sz w:val="20"/>
          <w:szCs w:val="20"/>
        </w:rPr>
        <w:t>3.</w:t>
      </w:r>
      <w:r>
        <w:rPr>
          <w:sz w:val="20"/>
          <w:szCs w:val="20"/>
        </w:rPr>
        <w:t>7</w:t>
      </w:r>
      <w:r>
        <w:rPr>
          <w:sz w:val="20"/>
          <w:szCs w:val="20"/>
        </w:rPr>
        <w:t xml:space="preserve"> million net rentable square feet of self-storage space. Construction in process at December 31, 2019 consists of projects to develop new self-storage facilities and exp</w:t>
      </w:r>
      <w:r>
        <w:rPr>
          <w:sz w:val="20"/>
          <w:szCs w:val="20"/>
        </w:rPr>
        <w:t>and existing self-storage facilities.</w:t>
      </w:r>
      <w:r>
        <w:rPr>
          <w:sz w:val="20"/>
          <w:szCs w:val="20"/>
        </w:rPr>
        <w:t xml:space="preserve"> </w:t>
      </w:r>
    </w:p>
    <w:p w:rsidR="00000000" w:rsidRDefault="00865332">
      <w:pPr>
        <w:pStyle w:val="a3"/>
        <w:spacing w:before="0" w:beforeAutospacing="0" w:after="0" w:afterAutospacing="0" w:line="259" w:lineRule="auto"/>
        <w:ind w:left="360" w:firstLine="720"/>
        <w:jc w:val="both"/>
        <w:divId w:val="405688201"/>
        <w:rPr>
          <w:sz w:val="20"/>
          <w:szCs w:val="20"/>
        </w:rPr>
      </w:pPr>
      <w:r>
        <w:rPr>
          <w:sz w:val="20"/>
          <w:szCs w:val="20"/>
        </w:rPr>
        <w:t xml:space="preserve">During 2019, we paid a total of </w:t>
      </w:r>
      <w:r>
        <w:rPr>
          <w:sz w:val="20"/>
          <w:szCs w:val="20"/>
        </w:rPr>
        <w:t>$</w:t>
      </w:r>
      <w:r>
        <w:rPr>
          <w:sz w:val="20"/>
          <w:szCs w:val="20"/>
        </w:rPr>
        <w:t>284.</w:t>
      </w:r>
      <w:r>
        <w:rPr>
          <w:sz w:val="20"/>
          <w:szCs w:val="20"/>
        </w:rPr>
        <w:t>7</w:t>
      </w:r>
      <w:r>
        <w:rPr>
          <w:sz w:val="20"/>
          <w:szCs w:val="20"/>
        </w:rPr>
        <w:t xml:space="preserve"> million with respect to the development and expansion of real estate facilities, including </w:t>
      </w:r>
      <w:r>
        <w:rPr>
          <w:sz w:val="20"/>
          <w:szCs w:val="20"/>
        </w:rPr>
        <w:t>$</w:t>
      </w:r>
      <w:r>
        <w:rPr>
          <w:sz w:val="20"/>
          <w:szCs w:val="20"/>
        </w:rPr>
        <w:t>81.</w:t>
      </w:r>
      <w:r>
        <w:rPr>
          <w:sz w:val="20"/>
          <w:szCs w:val="20"/>
        </w:rPr>
        <w:t>4</w:t>
      </w:r>
      <w:r>
        <w:rPr>
          <w:sz w:val="20"/>
          <w:szCs w:val="20"/>
        </w:rPr>
        <w:t xml:space="preserve"> million to repay amounts accrued at December 31, 2018. Of the </w:t>
      </w:r>
      <w:r>
        <w:rPr>
          <w:sz w:val="20"/>
          <w:szCs w:val="20"/>
        </w:rPr>
        <w:t>$</w:t>
      </w:r>
      <w:r>
        <w:rPr>
          <w:sz w:val="20"/>
          <w:szCs w:val="20"/>
        </w:rPr>
        <w:t>235.</w:t>
      </w:r>
      <w:r>
        <w:rPr>
          <w:sz w:val="20"/>
          <w:szCs w:val="20"/>
        </w:rPr>
        <w:t>7</w:t>
      </w:r>
      <w:r>
        <w:rPr>
          <w:sz w:val="20"/>
          <w:szCs w:val="20"/>
        </w:rPr>
        <w:t xml:space="preserve"> million in c</w:t>
      </w:r>
      <w:r>
        <w:rPr>
          <w:sz w:val="20"/>
          <w:szCs w:val="20"/>
        </w:rPr>
        <w:t xml:space="preserve">osts incurred during 2019, </w:t>
      </w:r>
      <w:r>
        <w:rPr>
          <w:sz w:val="20"/>
          <w:szCs w:val="20"/>
        </w:rPr>
        <w:t>$</w:t>
      </w:r>
      <w:r>
        <w:rPr>
          <w:sz w:val="20"/>
          <w:szCs w:val="20"/>
        </w:rPr>
        <w:t>32.</w:t>
      </w:r>
      <w:r>
        <w:rPr>
          <w:sz w:val="20"/>
          <w:szCs w:val="20"/>
        </w:rPr>
        <w:t>4</w:t>
      </w:r>
      <w:r>
        <w:rPr>
          <w:sz w:val="20"/>
          <w:szCs w:val="20"/>
        </w:rPr>
        <w:t xml:space="preserve"> million remains unpaid at December 31, 2019.</w:t>
      </w:r>
      <w:r>
        <w:rPr>
          <w:sz w:val="20"/>
          <w:szCs w:val="20"/>
        </w:rPr>
        <w:t xml:space="preserve"> </w:t>
      </w:r>
    </w:p>
    <w:p w:rsidR="00000000" w:rsidRDefault="00865332">
      <w:pPr>
        <w:pStyle w:val="a3"/>
        <w:spacing w:before="0" w:beforeAutospacing="0" w:after="0" w:afterAutospacing="0" w:line="259" w:lineRule="auto"/>
        <w:ind w:left="360" w:firstLine="720"/>
        <w:jc w:val="both"/>
        <w:divId w:val="405688201"/>
        <w:rPr>
          <w:sz w:val="20"/>
          <w:szCs w:val="20"/>
        </w:rPr>
      </w:pPr>
      <w:r>
        <w:rPr>
          <w:sz w:val="20"/>
          <w:szCs w:val="20"/>
        </w:rPr>
        <w:t xml:space="preserve">During 2019, we paid a total of </w:t>
      </w:r>
      <w:r>
        <w:rPr>
          <w:sz w:val="20"/>
          <w:szCs w:val="20"/>
        </w:rPr>
        <w:t>$</w:t>
      </w:r>
      <w:r>
        <w:rPr>
          <w:sz w:val="20"/>
          <w:szCs w:val="20"/>
        </w:rPr>
        <w:t>187.</w:t>
      </w:r>
      <w:r>
        <w:rPr>
          <w:sz w:val="20"/>
          <w:szCs w:val="20"/>
        </w:rPr>
        <w:t>3</w:t>
      </w:r>
      <w:r>
        <w:rPr>
          <w:sz w:val="20"/>
          <w:szCs w:val="20"/>
        </w:rPr>
        <w:t xml:space="preserve"> million with respect to capital expenditures to maintain real estate facilities, including </w:t>
      </w:r>
      <w:r>
        <w:rPr>
          <w:sz w:val="20"/>
          <w:szCs w:val="20"/>
        </w:rPr>
        <w:t>$</w:t>
      </w:r>
      <w:r>
        <w:rPr>
          <w:sz w:val="20"/>
          <w:szCs w:val="20"/>
        </w:rPr>
        <w:t>11.</w:t>
      </w:r>
      <w:r>
        <w:rPr>
          <w:sz w:val="20"/>
          <w:szCs w:val="20"/>
        </w:rPr>
        <w:t>3</w:t>
      </w:r>
      <w:r>
        <w:rPr>
          <w:sz w:val="20"/>
          <w:szCs w:val="20"/>
        </w:rPr>
        <w:t xml:space="preserve"> million to repay amounts accrued at Decem</w:t>
      </w:r>
      <w:r>
        <w:rPr>
          <w:sz w:val="20"/>
          <w:szCs w:val="20"/>
        </w:rPr>
        <w:t xml:space="preserve">ber 31, 2018. Of the </w:t>
      </w:r>
      <w:r>
        <w:rPr>
          <w:sz w:val="20"/>
          <w:szCs w:val="20"/>
        </w:rPr>
        <w:t>$</w:t>
      </w:r>
      <w:r>
        <w:rPr>
          <w:sz w:val="20"/>
          <w:szCs w:val="20"/>
        </w:rPr>
        <w:t>192.</w:t>
      </w:r>
      <w:r>
        <w:rPr>
          <w:sz w:val="20"/>
          <w:szCs w:val="20"/>
        </w:rPr>
        <w:t>5</w:t>
      </w:r>
      <w:r>
        <w:rPr>
          <w:sz w:val="20"/>
          <w:szCs w:val="20"/>
        </w:rPr>
        <w:t xml:space="preserve"> million in costs incurred during 2019, </w:t>
      </w:r>
      <w:r>
        <w:rPr>
          <w:sz w:val="20"/>
          <w:szCs w:val="20"/>
        </w:rPr>
        <w:t>$</w:t>
      </w:r>
      <w:r>
        <w:rPr>
          <w:sz w:val="20"/>
          <w:szCs w:val="20"/>
        </w:rPr>
        <w:t>16.</w:t>
      </w:r>
      <w:r>
        <w:rPr>
          <w:sz w:val="20"/>
          <w:szCs w:val="20"/>
        </w:rPr>
        <w:t>6</w:t>
      </w:r>
      <w:r>
        <w:rPr>
          <w:sz w:val="20"/>
          <w:szCs w:val="20"/>
        </w:rPr>
        <w:t> million remains unpaid at December 31, 2019</w:t>
      </w:r>
      <w:r>
        <w:rPr>
          <w:sz w:val="20"/>
          <w:szCs w:val="20"/>
        </w:rPr>
        <w:t>.</w:t>
      </w:r>
    </w:p>
    <w:p w:rsidR="00000000" w:rsidRDefault="00865332">
      <w:pPr>
        <w:pStyle w:val="a3"/>
        <w:spacing w:before="0" w:beforeAutospacing="0" w:after="0" w:afterAutospacing="0" w:line="259" w:lineRule="auto"/>
        <w:ind w:left="360" w:firstLine="720"/>
        <w:jc w:val="both"/>
        <w:divId w:val="405688201"/>
        <w:rPr>
          <w:sz w:val="20"/>
          <w:szCs w:val="20"/>
        </w:rPr>
      </w:pPr>
      <w:r>
        <w:rPr>
          <w:sz w:val="20"/>
          <w:szCs w:val="20"/>
        </w:rPr>
        <w:t>During 2018, we acquired</w:t>
      </w:r>
      <w:r>
        <w:rPr>
          <w:sz w:val="20"/>
          <w:szCs w:val="20"/>
        </w:rPr>
        <w:t xml:space="preserve"> </w:t>
      </w:r>
      <w:r>
        <w:rPr>
          <w:sz w:val="20"/>
          <w:szCs w:val="20"/>
        </w:rPr>
        <w:t>2</w:t>
      </w:r>
      <w:r>
        <w:rPr>
          <w:sz w:val="20"/>
          <w:szCs w:val="20"/>
        </w:rPr>
        <w:t>5</w:t>
      </w:r>
      <w:r>
        <w:rPr>
          <w:sz w:val="20"/>
          <w:szCs w:val="20"/>
        </w:rPr>
        <w:t xml:space="preserve"> self-storage facilities </w:t>
      </w:r>
      <w:r>
        <w:rPr>
          <w:sz w:val="20"/>
          <w:szCs w:val="20"/>
        </w:rPr>
        <w:t>(</w:t>
      </w:r>
      <w:r>
        <w:rPr>
          <w:sz w:val="20"/>
          <w:szCs w:val="20"/>
        </w:rPr>
        <w:t>1.</w:t>
      </w:r>
      <w:r>
        <w:rPr>
          <w:sz w:val="20"/>
          <w:szCs w:val="20"/>
        </w:rPr>
        <w:t>6</w:t>
      </w:r>
      <w:r>
        <w:rPr>
          <w:sz w:val="20"/>
          <w:szCs w:val="20"/>
        </w:rPr>
        <w:t xml:space="preserve"> million net rentable square feet), for a total cost of </w:t>
      </w:r>
      <w:r>
        <w:rPr>
          <w:sz w:val="20"/>
          <w:szCs w:val="20"/>
        </w:rPr>
        <w:t>$</w:t>
      </w:r>
      <w:r>
        <w:rPr>
          <w:sz w:val="20"/>
          <w:szCs w:val="20"/>
        </w:rPr>
        <w:t>181.</w:t>
      </w:r>
      <w:r>
        <w:rPr>
          <w:sz w:val="20"/>
          <w:szCs w:val="20"/>
        </w:rPr>
        <w:t>0</w:t>
      </w:r>
      <w:r>
        <w:rPr>
          <w:sz w:val="20"/>
          <w:szCs w:val="20"/>
        </w:rPr>
        <w:t xml:space="preserve"> million in cash, of</w:t>
      </w:r>
      <w:r>
        <w:rPr>
          <w:sz w:val="20"/>
          <w:szCs w:val="20"/>
        </w:rPr>
        <w:t xml:space="preserve"> which </w:t>
      </w:r>
      <w:r>
        <w:rPr>
          <w:sz w:val="20"/>
          <w:szCs w:val="20"/>
        </w:rPr>
        <w:t>$</w:t>
      </w:r>
      <w:r>
        <w:rPr>
          <w:sz w:val="20"/>
          <w:szCs w:val="20"/>
        </w:rPr>
        <w:t>11.</w:t>
      </w:r>
      <w:r>
        <w:rPr>
          <w:sz w:val="20"/>
          <w:szCs w:val="20"/>
        </w:rPr>
        <w:t>6</w:t>
      </w:r>
      <w:r>
        <w:rPr>
          <w:sz w:val="20"/>
          <w:szCs w:val="20"/>
        </w:rPr>
        <w:t xml:space="preserve"> million was allocated to intangible assets. We completed development and redevelopment activities costing </w:t>
      </w:r>
      <w:r>
        <w:rPr>
          <w:sz w:val="20"/>
          <w:szCs w:val="20"/>
        </w:rPr>
        <w:t>$</w:t>
      </w:r>
      <w:r>
        <w:rPr>
          <w:sz w:val="20"/>
          <w:szCs w:val="20"/>
        </w:rPr>
        <w:t>348.</w:t>
      </w:r>
      <w:r>
        <w:rPr>
          <w:sz w:val="20"/>
          <w:szCs w:val="20"/>
        </w:rPr>
        <w:t>3</w:t>
      </w:r>
      <w:r>
        <w:rPr>
          <w:sz w:val="20"/>
          <w:szCs w:val="20"/>
        </w:rPr>
        <w:t xml:space="preserve"> </w:t>
      </w:r>
      <w:r>
        <w:rPr>
          <w:sz w:val="20"/>
          <w:szCs w:val="20"/>
        </w:rPr>
        <w:t>million during 2018, adding</w:t>
      </w:r>
      <w:r>
        <w:rPr>
          <w:sz w:val="20"/>
          <w:szCs w:val="20"/>
        </w:rPr>
        <w:t xml:space="preserve"> </w:t>
      </w:r>
      <w:r>
        <w:rPr>
          <w:sz w:val="20"/>
          <w:szCs w:val="20"/>
        </w:rPr>
        <w:t>3.</w:t>
      </w:r>
      <w:r>
        <w:rPr>
          <w:sz w:val="20"/>
          <w:szCs w:val="20"/>
        </w:rPr>
        <w:t>0</w:t>
      </w:r>
      <w:r>
        <w:rPr>
          <w:sz w:val="20"/>
          <w:szCs w:val="20"/>
        </w:rPr>
        <w:t xml:space="preserve"> million net rentable square feet of self-storage space. Construction in process at December 31, 20</w:t>
      </w:r>
      <w:r>
        <w:rPr>
          <w:sz w:val="20"/>
          <w:szCs w:val="20"/>
        </w:rPr>
        <w:t xml:space="preserve">18 consists of projects to develop new self-storage facilities and redevelop existing self-storage facilities. On October 18, 2018, we sold our property in West London to Shurgard for </w:t>
      </w:r>
      <w:r>
        <w:rPr>
          <w:sz w:val="20"/>
          <w:szCs w:val="20"/>
        </w:rPr>
        <w:t>$</w:t>
      </w:r>
      <w:r>
        <w:rPr>
          <w:sz w:val="20"/>
          <w:szCs w:val="20"/>
        </w:rPr>
        <w:t>42.</w:t>
      </w:r>
      <w:r>
        <w:rPr>
          <w:sz w:val="20"/>
          <w:szCs w:val="20"/>
        </w:rPr>
        <w:t>1</w:t>
      </w:r>
      <w:r>
        <w:rPr>
          <w:sz w:val="20"/>
          <w:szCs w:val="20"/>
        </w:rPr>
        <w:t xml:space="preserve"> million and recorded a related gain on sale of real estate of appr</w:t>
      </w:r>
      <w:r>
        <w:rPr>
          <w:sz w:val="20"/>
          <w:szCs w:val="20"/>
        </w:rPr>
        <w:t xml:space="preserve">oximately </w:t>
      </w:r>
      <w:r>
        <w:rPr>
          <w:sz w:val="20"/>
          <w:szCs w:val="20"/>
        </w:rPr>
        <w:t>$</w:t>
      </w:r>
      <w:r>
        <w:rPr>
          <w:sz w:val="20"/>
          <w:szCs w:val="20"/>
        </w:rPr>
        <w:t>31.</w:t>
      </w:r>
      <w:r>
        <w:rPr>
          <w:sz w:val="20"/>
          <w:szCs w:val="20"/>
        </w:rPr>
        <w:t>5</w:t>
      </w:r>
      <w:r>
        <w:rPr>
          <w:sz w:val="20"/>
          <w:szCs w:val="20"/>
        </w:rPr>
        <w:t xml:space="preserve"> million. This gain was net of the recognition of a cumulative other comprehensive loss totaling </w:t>
      </w:r>
      <w:r>
        <w:rPr>
          <w:sz w:val="20"/>
          <w:szCs w:val="20"/>
        </w:rPr>
        <w:t>$</w:t>
      </w:r>
      <w:r>
        <w:rPr>
          <w:sz w:val="20"/>
          <w:szCs w:val="20"/>
        </w:rPr>
        <w:t>4.</w:t>
      </w:r>
      <w:r>
        <w:rPr>
          <w:sz w:val="20"/>
          <w:szCs w:val="20"/>
        </w:rPr>
        <w:t>8</w:t>
      </w:r>
      <w:r>
        <w:rPr>
          <w:sz w:val="20"/>
          <w:szCs w:val="20"/>
        </w:rPr>
        <w:t xml:space="preserve"> million with respect to foreign currency translation. On October 25, 2018, we sold a commercial facility for </w:t>
      </w:r>
      <w:r>
        <w:rPr>
          <w:sz w:val="20"/>
          <w:szCs w:val="20"/>
        </w:rPr>
        <w:t>$</w:t>
      </w:r>
      <w:r>
        <w:rPr>
          <w:sz w:val="20"/>
          <w:szCs w:val="20"/>
        </w:rPr>
        <w:t>8.</w:t>
      </w:r>
      <w:r>
        <w:rPr>
          <w:sz w:val="20"/>
          <w:szCs w:val="20"/>
        </w:rPr>
        <w:t>7</w:t>
      </w:r>
      <w:r>
        <w:rPr>
          <w:sz w:val="20"/>
          <w:szCs w:val="20"/>
        </w:rPr>
        <w:t> million and recorded a re</w:t>
      </w:r>
      <w:r>
        <w:rPr>
          <w:sz w:val="20"/>
          <w:szCs w:val="20"/>
        </w:rPr>
        <w:t xml:space="preserve">lated gain on sale of real estate of approximately </w:t>
      </w:r>
      <w:r>
        <w:rPr>
          <w:sz w:val="20"/>
          <w:szCs w:val="20"/>
        </w:rPr>
        <w:t>$</w:t>
      </w:r>
      <w:r>
        <w:rPr>
          <w:sz w:val="20"/>
          <w:szCs w:val="20"/>
        </w:rPr>
        <w:t>4.</w:t>
      </w:r>
      <w:r>
        <w:rPr>
          <w:sz w:val="20"/>
          <w:szCs w:val="20"/>
        </w:rPr>
        <w:t>6</w:t>
      </w:r>
      <w:r>
        <w:rPr>
          <w:sz w:val="20"/>
          <w:szCs w:val="20"/>
        </w:rPr>
        <w:t xml:space="preserve"> million. During 2018, we also sold portions of real estate facilities in connection with eminent domain proceedings for </w:t>
      </w:r>
      <w:r>
        <w:rPr>
          <w:sz w:val="20"/>
          <w:szCs w:val="20"/>
        </w:rPr>
        <w:t>$</w:t>
      </w:r>
      <w:r>
        <w:rPr>
          <w:sz w:val="20"/>
          <w:szCs w:val="20"/>
        </w:rPr>
        <w:t>3.</w:t>
      </w:r>
      <w:r>
        <w:rPr>
          <w:sz w:val="20"/>
          <w:szCs w:val="20"/>
        </w:rPr>
        <w:t>4</w:t>
      </w:r>
      <w:r>
        <w:rPr>
          <w:sz w:val="20"/>
          <w:szCs w:val="20"/>
        </w:rPr>
        <w:t xml:space="preserve"> million in cash proceeds and recorded a related gain on sale of real estate</w:t>
      </w:r>
      <w:r>
        <w:rPr>
          <w:sz w:val="20"/>
          <w:szCs w:val="20"/>
        </w:rPr>
        <w:t xml:space="preserve"> of approximately </w:t>
      </w:r>
      <w:r>
        <w:rPr>
          <w:sz w:val="20"/>
          <w:szCs w:val="20"/>
        </w:rPr>
        <w:t>$</w:t>
      </w:r>
      <w:r>
        <w:rPr>
          <w:sz w:val="20"/>
          <w:szCs w:val="20"/>
        </w:rPr>
        <w:t>1.</w:t>
      </w:r>
      <w:r>
        <w:rPr>
          <w:sz w:val="20"/>
          <w:szCs w:val="20"/>
        </w:rPr>
        <w:t>8</w:t>
      </w:r>
      <w:r>
        <w:rPr>
          <w:sz w:val="20"/>
          <w:szCs w:val="20"/>
        </w:rPr>
        <w:t xml:space="preserve"> million. During 2018, we also transferred </w:t>
      </w:r>
      <w:r>
        <w:rPr>
          <w:sz w:val="20"/>
          <w:szCs w:val="20"/>
        </w:rPr>
        <w:t>$</w:t>
      </w:r>
      <w:r>
        <w:rPr>
          <w:sz w:val="20"/>
          <w:szCs w:val="20"/>
        </w:rPr>
        <w:t>9.</w:t>
      </w:r>
      <w:r>
        <w:rPr>
          <w:sz w:val="20"/>
          <w:szCs w:val="20"/>
        </w:rPr>
        <w:t>5</w:t>
      </w:r>
      <w:r>
        <w:rPr>
          <w:sz w:val="20"/>
          <w:szCs w:val="20"/>
        </w:rPr>
        <w:t xml:space="preserve"> million of accumulated construction costs from other assets to construction in process</w:t>
      </w:r>
      <w:r>
        <w:rPr>
          <w:sz w:val="20"/>
          <w:szCs w:val="20"/>
        </w:rPr>
        <w:t>.</w:t>
      </w:r>
    </w:p>
    <w:p w:rsidR="00000000" w:rsidRDefault="00865332">
      <w:pPr>
        <w:pStyle w:val="a3"/>
        <w:spacing w:before="0" w:beforeAutospacing="0" w:after="0" w:afterAutospacing="0" w:line="259" w:lineRule="auto"/>
        <w:ind w:left="360" w:firstLine="720"/>
        <w:jc w:val="both"/>
        <w:divId w:val="405688201"/>
        <w:rPr>
          <w:sz w:val="20"/>
          <w:szCs w:val="20"/>
        </w:rPr>
      </w:pPr>
      <w:r>
        <w:rPr>
          <w:sz w:val="20"/>
          <w:szCs w:val="20"/>
        </w:rPr>
        <w:t xml:space="preserve">During 2018, we paid a total of </w:t>
      </w:r>
      <w:r>
        <w:rPr>
          <w:sz w:val="20"/>
          <w:szCs w:val="20"/>
        </w:rPr>
        <w:t>$</w:t>
      </w:r>
      <w:r>
        <w:rPr>
          <w:sz w:val="20"/>
          <w:szCs w:val="20"/>
        </w:rPr>
        <w:t>340.</w:t>
      </w:r>
      <w:r>
        <w:rPr>
          <w:sz w:val="20"/>
          <w:szCs w:val="20"/>
        </w:rPr>
        <w:t>0</w:t>
      </w:r>
      <w:r>
        <w:rPr>
          <w:sz w:val="20"/>
          <w:szCs w:val="20"/>
        </w:rPr>
        <w:t xml:space="preserve"> million with respect to the development and expansion of re</w:t>
      </w:r>
      <w:r>
        <w:rPr>
          <w:sz w:val="20"/>
          <w:szCs w:val="20"/>
        </w:rPr>
        <w:t xml:space="preserve">al estate facilities, including </w:t>
      </w:r>
      <w:r>
        <w:rPr>
          <w:sz w:val="20"/>
          <w:szCs w:val="20"/>
        </w:rPr>
        <w:t>$</w:t>
      </w:r>
      <w:r>
        <w:rPr>
          <w:sz w:val="20"/>
          <w:szCs w:val="20"/>
        </w:rPr>
        <w:t>58.</w:t>
      </w:r>
      <w:r>
        <w:rPr>
          <w:sz w:val="20"/>
          <w:szCs w:val="20"/>
        </w:rPr>
        <w:t>8</w:t>
      </w:r>
      <w:r>
        <w:rPr>
          <w:sz w:val="20"/>
          <w:szCs w:val="20"/>
        </w:rPr>
        <w:t xml:space="preserve"> million to repay amounts accrued at December 31, 2017. Of the </w:t>
      </w:r>
      <w:r>
        <w:rPr>
          <w:sz w:val="20"/>
          <w:szCs w:val="20"/>
        </w:rPr>
        <w:t>$</w:t>
      </w:r>
      <w:r>
        <w:rPr>
          <w:sz w:val="20"/>
          <w:szCs w:val="20"/>
        </w:rPr>
        <w:t>362.</w:t>
      </w:r>
      <w:r>
        <w:rPr>
          <w:sz w:val="20"/>
          <w:szCs w:val="20"/>
        </w:rPr>
        <w:t>4</w:t>
      </w:r>
      <w:r>
        <w:rPr>
          <w:sz w:val="20"/>
          <w:szCs w:val="20"/>
        </w:rPr>
        <w:t xml:space="preserve"> million in costs incurred during 2018, </w:t>
      </w:r>
      <w:r>
        <w:rPr>
          <w:sz w:val="20"/>
          <w:szCs w:val="20"/>
        </w:rPr>
        <w:t>$</w:t>
      </w:r>
      <w:r>
        <w:rPr>
          <w:sz w:val="20"/>
          <w:szCs w:val="20"/>
        </w:rPr>
        <w:t>81.</w:t>
      </w:r>
      <w:r>
        <w:rPr>
          <w:sz w:val="20"/>
          <w:szCs w:val="20"/>
        </w:rPr>
        <w:t>2</w:t>
      </w:r>
      <w:r>
        <w:rPr>
          <w:sz w:val="20"/>
          <w:szCs w:val="20"/>
        </w:rPr>
        <w:t xml:space="preserve"> million remained unpaid at December 31, 2018.</w:t>
      </w:r>
      <w:r>
        <w:rPr>
          <w:sz w:val="20"/>
          <w:szCs w:val="20"/>
        </w:rPr>
        <w:t xml:space="preserve"> </w:t>
      </w:r>
    </w:p>
    <w:p w:rsidR="00000000" w:rsidRDefault="00865332">
      <w:pPr>
        <w:pStyle w:val="a3"/>
        <w:spacing w:before="0" w:beforeAutospacing="0" w:after="0" w:afterAutospacing="0" w:line="259" w:lineRule="auto"/>
        <w:ind w:left="360" w:firstLine="720"/>
        <w:jc w:val="both"/>
        <w:divId w:val="405688201"/>
        <w:rPr>
          <w:sz w:val="20"/>
          <w:szCs w:val="20"/>
        </w:rPr>
      </w:pPr>
      <w:r>
        <w:rPr>
          <w:sz w:val="20"/>
          <w:szCs w:val="20"/>
        </w:rPr>
        <w:t xml:space="preserve">During 2018, we paid a total of </w:t>
      </w:r>
      <w:r>
        <w:rPr>
          <w:sz w:val="20"/>
          <w:szCs w:val="20"/>
        </w:rPr>
        <w:t>$</w:t>
      </w:r>
      <w:r>
        <w:rPr>
          <w:sz w:val="20"/>
          <w:szCs w:val="20"/>
        </w:rPr>
        <w:t>141.</w:t>
      </w:r>
      <w:r>
        <w:rPr>
          <w:sz w:val="20"/>
          <w:szCs w:val="20"/>
        </w:rPr>
        <w:t>0</w:t>
      </w:r>
      <w:r>
        <w:rPr>
          <w:sz w:val="20"/>
          <w:szCs w:val="20"/>
        </w:rPr>
        <w:t xml:space="preserve"> million with respe</w:t>
      </w:r>
      <w:r>
        <w:rPr>
          <w:sz w:val="20"/>
          <w:szCs w:val="20"/>
        </w:rPr>
        <w:t xml:space="preserve">ct to capital expenditures to maintain real estate facilities, including </w:t>
      </w:r>
      <w:r>
        <w:rPr>
          <w:sz w:val="20"/>
          <w:szCs w:val="20"/>
        </w:rPr>
        <w:t>$</w:t>
      </w:r>
      <w:r>
        <w:rPr>
          <w:sz w:val="20"/>
          <w:szCs w:val="20"/>
        </w:rPr>
        <w:t>13.</w:t>
      </w:r>
      <w:r>
        <w:rPr>
          <w:sz w:val="20"/>
          <w:szCs w:val="20"/>
        </w:rPr>
        <w:t>0</w:t>
      </w:r>
      <w:r>
        <w:rPr>
          <w:sz w:val="20"/>
          <w:szCs w:val="20"/>
        </w:rPr>
        <w:t xml:space="preserve"> million to repay amounts accrued at December 31, 2017. Of the </w:t>
      </w:r>
      <w:r>
        <w:rPr>
          <w:sz w:val="20"/>
          <w:szCs w:val="20"/>
        </w:rPr>
        <w:t>$</w:t>
      </w:r>
      <w:r>
        <w:rPr>
          <w:sz w:val="20"/>
          <w:szCs w:val="20"/>
        </w:rPr>
        <w:t>139.</w:t>
      </w:r>
      <w:r>
        <w:rPr>
          <w:sz w:val="20"/>
          <w:szCs w:val="20"/>
        </w:rPr>
        <w:t>4</w:t>
      </w:r>
      <w:r>
        <w:rPr>
          <w:sz w:val="20"/>
          <w:szCs w:val="20"/>
        </w:rPr>
        <w:t xml:space="preserve"> million in costs incurred during 2018, </w:t>
      </w:r>
      <w:r>
        <w:rPr>
          <w:sz w:val="20"/>
          <w:szCs w:val="20"/>
        </w:rPr>
        <w:t>$</w:t>
      </w:r>
      <w:r>
        <w:rPr>
          <w:sz w:val="20"/>
          <w:szCs w:val="20"/>
        </w:rPr>
        <w:t>11.</w:t>
      </w:r>
      <w:r>
        <w:rPr>
          <w:sz w:val="20"/>
          <w:szCs w:val="20"/>
        </w:rPr>
        <w:t>4</w:t>
      </w:r>
      <w:r>
        <w:rPr>
          <w:sz w:val="20"/>
          <w:szCs w:val="20"/>
        </w:rPr>
        <w:t> million remained unpaid at December 31, 2018</w:t>
      </w:r>
      <w:r>
        <w:rPr>
          <w:sz w:val="20"/>
          <w:szCs w:val="20"/>
        </w:rPr>
        <w:t>.</w:t>
      </w:r>
    </w:p>
    <w:p w:rsidR="00000000" w:rsidRDefault="00865332">
      <w:pPr>
        <w:pStyle w:val="a3"/>
        <w:spacing w:before="0" w:beforeAutospacing="0" w:after="0" w:afterAutospacing="0" w:line="259" w:lineRule="auto"/>
        <w:ind w:left="360" w:firstLine="720"/>
        <w:jc w:val="both"/>
        <w:divId w:val="405688201"/>
        <w:rPr>
          <w:sz w:val="20"/>
          <w:szCs w:val="20"/>
        </w:rPr>
      </w:pPr>
      <w:r>
        <w:rPr>
          <w:sz w:val="20"/>
          <w:szCs w:val="20"/>
        </w:rPr>
        <w:t>During 2017, we acquired</w:t>
      </w:r>
      <w:r>
        <w:rPr>
          <w:sz w:val="20"/>
          <w:szCs w:val="20"/>
        </w:rPr>
        <w:t xml:space="preserve"> </w:t>
      </w:r>
      <w:r>
        <w:rPr>
          <w:sz w:val="20"/>
          <w:szCs w:val="20"/>
        </w:rPr>
        <w:t>2</w:t>
      </w:r>
      <w:r>
        <w:rPr>
          <w:sz w:val="20"/>
          <w:szCs w:val="20"/>
        </w:rPr>
        <w:t>2</w:t>
      </w:r>
      <w:r>
        <w:rPr>
          <w:sz w:val="20"/>
          <w:szCs w:val="20"/>
        </w:rPr>
        <w:t xml:space="preserve"> self-storage facilities from third parties </w:t>
      </w:r>
      <w:r>
        <w:rPr>
          <w:sz w:val="20"/>
          <w:szCs w:val="20"/>
        </w:rPr>
        <w:t>(</w:t>
      </w:r>
      <w:r>
        <w:rPr>
          <w:sz w:val="20"/>
          <w:szCs w:val="20"/>
        </w:rPr>
        <w:t>1,365,00</w:t>
      </w:r>
      <w:r>
        <w:rPr>
          <w:sz w:val="20"/>
          <w:szCs w:val="20"/>
        </w:rPr>
        <w:t>0</w:t>
      </w:r>
      <w:r>
        <w:rPr>
          <w:sz w:val="20"/>
          <w:szCs w:val="20"/>
        </w:rPr>
        <w:t xml:space="preserve"> net rentable square feet), for a total cost of </w:t>
      </w:r>
      <w:r>
        <w:rPr>
          <w:sz w:val="20"/>
          <w:szCs w:val="20"/>
        </w:rPr>
        <w:t>$</w:t>
      </w:r>
      <w:r>
        <w:rPr>
          <w:sz w:val="20"/>
          <w:szCs w:val="20"/>
        </w:rPr>
        <w:t>149.</w:t>
      </w:r>
      <w:r>
        <w:rPr>
          <w:sz w:val="20"/>
          <w:szCs w:val="20"/>
        </w:rPr>
        <w:t>8</w:t>
      </w:r>
      <w:r>
        <w:rPr>
          <w:sz w:val="20"/>
          <w:szCs w:val="20"/>
        </w:rPr>
        <w:t xml:space="preserve"> million, in cash. Approximately </w:t>
      </w:r>
      <w:r>
        <w:rPr>
          <w:sz w:val="20"/>
          <w:szCs w:val="20"/>
        </w:rPr>
        <w:t>$</w:t>
      </w:r>
      <w:r>
        <w:rPr>
          <w:sz w:val="20"/>
          <w:szCs w:val="20"/>
        </w:rPr>
        <w:t>8.</w:t>
      </w:r>
      <w:r>
        <w:rPr>
          <w:sz w:val="20"/>
          <w:szCs w:val="20"/>
        </w:rPr>
        <w:t>2</w:t>
      </w:r>
      <w:r>
        <w:rPr>
          <w:sz w:val="20"/>
          <w:szCs w:val="20"/>
        </w:rPr>
        <w:t> million of the total cost was allocated to intangible assets.</w:t>
      </w:r>
      <w:r>
        <w:rPr>
          <w:sz w:val="20"/>
          <w:szCs w:val="20"/>
        </w:rPr>
        <w:t xml:space="preserve"> </w:t>
      </w:r>
      <w:r>
        <w:rPr>
          <w:sz w:val="20"/>
          <w:szCs w:val="20"/>
        </w:rPr>
        <w:t>On December 31, 2017,</w:t>
      </w:r>
      <w:r>
        <w:rPr>
          <w:sz w:val="20"/>
          <w:szCs w:val="20"/>
        </w:rPr>
        <w:t xml:space="preserve"> we acquired the remaining</w:t>
      </w:r>
      <w:r>
        <w:rPr>
          <w:sz w:val="20"/>
          <w:szCs w:val="20"/>
        </w:rPr>
        <w:t xml:space="preserve"> </w:t>
      </w:r>
      <w:r>
        <w:rPr>
          <w:sz w:val="20"/>
          <w:szCs w:val="20"/>
        </w:rPr>
        <w:t>74.2</w:t>
      </w:r>
      <w:r>
        <w:rPr>
          <w:sz w:val="20"/>
          <w:szCs w:val="20"/>
        </w:rPr>
        <w:t>5</w:t>
      </w:r>
      <w:r>
        <w:rPr>
          <w:sz w:val="20"/>
          <w:szCs w:val="20"/>
        </w:rPr>
        <w:t>% of the interests which we did not own in one of the unconsolidated entities that owned</w:t>
      </w:r>
      <w:r>
        <w:rPr>
          <w:sz w:val="20"/>
          <w:szCs w:val="20"/>
        </w:rPr>
        <w:t xml:space="preserve"> </w:t>
      </w:r>
      <w:r>
        <w:rPr>
          <w:sz w:val="20"/>
          <w:szCs w:val="20"/>
        </w:rPr>
        <w:t>1</w:t>
      </w:r>
      <w:r>
        <w:rPr>
          <w:sz w:val="20"/>
          <w:szCs w:val="20"/>
        </w:rPr>
        <w:t>2</w:t>
      </w:r>
      <w:r>
        <w:rPr>
          <w:sz w:val="20"/>
          <w:szCs w:val="20"/>
        </w:rPr>
        <w:t xml:space="preserve"> self-storage facilities </w:t>
      </w:r>
      <w:r>
        <w:rPr>
          <w:sz w:val="20"/>
          <w:szCs w:val="20"/>
        </w:rPr>
        <w:t>(</w:t>
      </w:r>
      <w:r>
        <w:rPr>
          <w:sz w:val="20"/>
          <w:szCs w:val="20"/>
        </w:rPr>
        <w:t>749,00</w:t>
      </w:r>
      <w:r>
        <w:rPr>
          <w:sz w:val="20"/>
          <w:szCs w:val="20"/>
        </w:rPr>
        <w:t>0</w:t>
      </w:r>
      <w:r>
        <w:rPr>
          <w:sz w:val="20"/>
          <w:szCs w:val="20"/>
        </w:rPr>
        <w:t xml:space="preserve"> net rentable square feet) for a total cost of </w:t>
      </w:r>
      <w:r>
        <w:rPr>
          <w:sz w:val="20"/>
          <w:szCs w:val="20"/>
        </w:rPr>
        <w:t>$</w:t>
      </w:r>
      <w:r>
        <w:rPr>
          <w:sz w:val="20"/>
          <w:szCs w:val="20"/>
        </w:rPr>
        <w:t>135.</w:t>
      </w:r>
      <w:r>
        <w:rPr>
          <w:sz w:val="20"/>
          <w:szCs w:val="20"/>
        </w:rPr>
        <w:t>5</w:t>
      </w:r>
      <w:r>
        <w:rPr>
          <w:sz w:val="20"/>
          <w:szCs w:val="20"/>
        </w:rPr>
        <w:t xml:space="preserve"> million in cash.</w:t>
      </w:r>
      <w:r>
        <w:rPr>
          <w:sz w:val="20"/>
          <w:szCs w:val="20"/>
        </w:rPr>
        <w:t xml:space="preserve"> </w:t>
      </w:r>
      <w:r>
        <w:rPr>
          <w:sz w:val="20"/>
          <w:szCs w:val="20"/>
        </w:rPr>
        <w:t xml:space="preserve">Approximately </w:t>
      </w:r>
      <w:r>
        <w:rPr>
          <w:sz w:val="20"/>
          <w:szCs w:val="20"/>
        </w:rPr>
        <w:t>$</w:t>
      </w:r>
      <w:r>
        <w:rPr>
          <w:sz w:val="20"/>
          <w:szCs w:val="20"/>
        </w:rPr>
        <w:t>9.</w:t>
      </w:r>
      <w:r>
        <w:rPr>
          <w:sz w:val="20"/>
          <w:szCs w:val="20"/>
        </w:rPr>
        <w:t>0</w:t>
      </w:r>
      <w:r>
        <w:rPr>
          <w:sz w:val="20"/>
          <w:szCs w:val="20"/>
        </w:rPr>
        <w:t> million of</w:t>
      </w:r>
      <w:r>
        <w:rPr>
          <w:sz w:val="20"/>
          <w:szCs w:val="20"/>
        </w:rPr>
        <w:t xml:space="preserve"> the </w:t>
      </w:r>
      <w:r>
        <w:rPr>
          <w:sz w:val="20"/>
          <w:szCs w:val="20"/>
        </w:rPr>
        <w:t>$</w:t>
      </w:r>
      <w:r>
        <w:rPr>
          <w:sz w:val="20"/>
          <w:szCs w:val="20"/>
        </w:rPr>
        <w:t>141.</w:t>
      </w:r>
      <w:r>
        <w:rPr>
          <w:sz w:val="20"/>
          <w:szCs w:val="20"/>
        </w:rPr>
        <w:t>8</w:t>
      </w:r>
      <w:r>
        <w:rPr>
          <w:sz w:val="20"/>
          <w:szCs w:val="20"/>
        </w:rPr>
        <w:t xml:space="preserve"> million acquisition cost (which includes the </w:t>
      </w:r>
      <w:r>
        <w:rPr>
          <w:sz w:val="20"/>
          <w:szCs w:val="20"/>
        </w:rPr>
        <w:t>$</w:t>
      </w:r>
      <w:r>
        <w:rPr>
          <w:sz w:val="20"/>
          <w:szCs w:val="20"/>
        </w:rPr>
        <w:t>6.</w:t>
      </w:r>
      <w:r>
        <w:rPr>
          <w:sz w:val="20"/>
          <w:szCs w:val="20"/>
        </w:rPr>
        <w:t>3</w:t>
      </w:r>
      <w:r>
        <w:rPr>
          <w:sz w:val="20"/>
          <w:szCs w:val="20"/>
        </w:rPr>
        <w:t xml:space="preserve"> million book value of our existing investment) was allocated to intangible assets and </w:t>
      </w:r>
      <w:r>
        <w:rPr>
          <w:sz w:val="20"/>
          <w:szCs w:val="20"/>
        </w:rPr>
        <w:t>$</w:t>
      </w:r>
      <w:r>
        <w:rPr>
          <w:sz w:val="20"/>
          <w:szCs w:val="20"/>
        </w:rPr>
        <w:t>0.</w:t>
      </w:r>
      <w:r>
        <w:rPr>
          <w:sz w:val="20"/>
          <w:szCs w:val="20"/>
        </w:rPr>
        <w:t>3</w:t>
      </w:r>
      <w:r>
        <w:rPr>
          <w:sz w:val="20"/>
          <w:szCs w:val="20"/>
        </w:rPr>
        <w:t> million was allocated to other assets.</w:t>
      </w:r>
      <w:r>
        <w:rPr>
          <w:sz w:val="20"/>
          <w:szCs w:val="20"/>
        </w:rPr>
        <w:t xml:space="preserve"> </w:t>
      </w:r>
    </w:p>
    <w:p w:rsidR="00000000" w:rsidRDefault="00865332">
      <w:pPr>
        <w:pStyle w:val="a3"/>
        <w:spacing w:before="0" w:beforeAutospacing="0" w:after="0" w:afterAutospacing="0" w:line="259" w:lineRule="auto"/>
        <w:ind w:left="360" w:firstLine="720"/>
        <w:jc w:val="both"/>
        <w:divId w:val="405688201"/>
        <w:rPr>
          <w:sz w:val="20"/>
          <w:szCs w:val="20"/>
        </w:rPr>
      </w:pPr>
      <w:r>
        <w:rPr>
          <w:sz w:val="20"/>
          <w:szCs w:val="20"/>
        </w:rPr>
        <w:t>We completed development and redevelopment activities during 20</w:t>
      </w:r>
      <w:r>
        <w:rPr>
          <w:sz w:val="20"/>
          <w:szCs w:val="20"/>
        </w:rPr>
        <w:t>17, adding</w:t>
      </w:r>
      <w:r>
        <w:rPr>
          <w:sz w:val="20"/>
          <w:szCs w:val="20"/>
        </w:rPr>
        <w:t xml:space="preserve"> </w:t>
      </w:r>
      <w:r>
        <w:rPr>
          <w:sz w:val="20"/>
          <w:szCs w:val="20"/>
        </w:rPr>
        <w:t>2.</w:t>
      </w:r>
      <w:r>
        <w:rPr>
          <w:sz w:val="20"/>
          <w:szCs w:val="20"/>
        </w:rPr>
        <w:t>7</w:t>
      </w:r>
      <w:r>
        <w:rPr>
          <w:sz w:val="20"/>
          <w:szCs w:val="20"/>
        </w:rPr>
        <w:t xml:space="preserve"> million net rentable square feet of self-storage space, at an aggregate cost of </w:t>
      </w:r>
      <w:r>
        <w:rPr>
          <w:sz w:val="20"/>
          <w:szCs w:val="20"/>
        </w:rPr>
        <w:t>$</w:t>
      </w:r>
      <w:r>
        <w:rPr>
          <w:sz w:val="20"/>
          <w:szCs w:val="20"/>
        </w:rPr>
        <w:t>311.</w:t>
      </w:r>
      <w:r>
        <w:rPr>
          <w:sz w:val="20"/>
          <w:szCs w:val="20"/>
        </w:rPr>
        <w:t>6</w:t>
      </w:r>
      <w:r>
        <w:rPr>
          <w:sz w:val="20"/>
          <w:szCs w:val="20"/>
        </w:rPr>
        <w:t xml:space="preserve"> million. During 2017, we sold real estate for a total of approximately </w:t>
      </w:r>
      <w:r>
        <w:rPr>
          <w:sz w:val="20"/>
          <w:szCs w:val="20"/>
        </w:rPr>
        <w:t>$</w:t>
      </w:r>
      <w:r>
        <w:rPr>
          <w:sz w:val="20"/>
          <w:szCs w:val="20"/>
        </w:rPr>
        <w:t>6.</w:t>
      </w:r>
      <w:r>
        <w:rPr>
          <w:sz w:val="20"/>
          <w:szCs w:val="20"/>
        </w:rPr>
        <w:t>4</w:t>
      </w:r>
      <w:r>
        <w:rPr>
          <w:sz w:val="20"/>
          <w:szCs w:val="20"/>
        </w:rPr>
        <w:t xml:space="preserve"> million in cash proceeds, of which </w:t>
      </w:r>
      <w:r>
        <w:rPr>
          <w:sz w:val="20"/>
          <w:szCs w:val="20"/>
        </w:rPr>
        <w:t>$</w:t>
      </w:r>
      <w:r>
        <w:rPr>
          <w:sz w:val="20"/>
          <w:szCs w:val="20"/>
        </w:rPr>
        <w:t>0.</w:t>
      </w:r>
      <w:r>
        <w:rPr>
          <w:sz w:val="20"/>
          <w:szCs w:val="20"/>
        </w:rPr>
        <w:t>3</w:t>
      </w:r>
      <w:r>
        <w:rPr>
          <w:sz w:val="20"/>
          <w:szCs w:val="20"/>
        </w:rPr>
        <w:t xml:space="preserve"> million was collected in 2016, and rec</w:t>
      </w:r>
      <w:r>
        <w:rPr>
          <w:sz w:val="20"/>
          <w:szCs w:val="20"/>
        </w:rPr>
        <w:t xml:space="preserve">orded a related gain on real estate investment sales of approximately </w:t>
      </w:r>
      <w:r>
        <w:rPr>
          <w:sz w:val="20"/>
          <w:szCs w:val="20"/>
        </w:rPr>
        <w:t>$</w:t>
      </w:r>
      <w:r>
        <w:rPr>
          <w:sz w:val="20"/>
          <w:szCs w:val="20"/>
        </w:rPr>
        <w:t>1.</w:t>
      </w:r>
      <w:r>
        <w:rPr>
          <w:sz w:val="20"/>
          <w:szCs w:val="20"/>
        </w:rPr>
        <w:t>4</w:t>
      </w:r>
      <w:r>
        <w:rPr>
          <w:sz w:val="20"/>
          <w:szCs w:val="20"/>
        </w:rPr>
        <w:t xml:space="preserve"> million in 2017</w:t>
      </w:r>
      <w:r>
        <w:rPr>
          <w:sz w:val="20"/>
          <w:szCs w:val="20"/>
        </w:rPr>
        <w:t>.</w:t>
      </w:r>
    </w:p>
    <w:p w:rsidR="00000000" w:rsidRDefault="00865332">
      <w:pPr>
        <w:pStyle w:val="a3"/>
        <w:spacing w:before="0" w:beforeAutospacing="0" w:after="0" w:afterAutospacing="0" w:line="259" w:lineRule="auto"/>
        <w:jc w:val="center"/>
        <w:divId w:val="1532644207"/>
        <w:rPr>
          <w:sz w:val="20"/>
          <w:szCs w:val="20"/>
        </w:rPr>
      </w:pPr>
      <w:r>
        <w:rPr>
          <w:sz w:val="20"/>
          <w:szCs w:val="20"/>
        </w:rPr>
        <w:t>F</w:t>
      </w:r>
      <w:r>
        <w:rPr>
          <w:sz w:val="20"/>
          <w:szCs w:val="20"/>
        </w:rPr>
        <w:t>-</w:t>
      </w:r>
      <w:r>
        <w:rPr>
          <w:rStyle w:val="ctheaderfooterpage"/>
          <w:sz w:val="20"/>
          <w:szCs w:val="20"/>
        </w:rPr>
        <w:t>1</w:t>
      </w:r>
      <w:r>
        <w:rPr>
          <w:rStyle w:val="ctheaderfooterpage"/>
          <w:sz w:val="20"/>
          <w:szCs w:val="20"/>
        </w:rPr>
        <w:t>6</w:t>
      </w:r>
    </w:p>
    <w:p w:rsidR="00000000" w:rsidRDefault="00865332">
      <w:pPr>
        <w:spacing w:before="360" w:after="360"/>
        <w:divId w:val="178278078"/>
        <w:rPr>
          <w:rFonts w:eastAsia="Times New Roman"/>
        </w:rPr>
      </w:pPr>
      <w:r>
        <w:rPr>
          <w:rFonts w:eastAsia="Times New Roman"/>
        </w:rPr>
        <w:pict>
          <v:rect id="_x0000_i1111" style="width:0;height:1.5pt" o:hralign="center" o:hrstd="t" o:hr="t" fillcolor="#a0a0a0" stroked="f"/>
        </w:pict>
      </w:r>
    </w:p>
    <w:p w:rsidR="00000000" w:rsidRDefault="00865332">
      <w:pPr>
        <w:pStyle w:val="a3"/>
        <w:spacing w:before="0" w:beforeAutospacing="0" w:after="0" w:afterAutospacing="0" w:line="259" w:lineRule="auto"/>
        <w:jc w:val="center"/>
        <w:divId w:val="311063180"/>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311063180"/>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311063180"/>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 xml:space="preserve">During 2017, we paid a total of </w:t>
      </w:r>
      <w:r>
        <w:rPr>
          <w:sz w:val="20"/>
          <w:szCs w:val="20"/>
        </w:rPr>
        <w:t>$</w:t>
      </w:r>
      <w:r>
        <w:rPr>
          <w:sz w:val="20"/>
          <w:szCs w:val="20"/>
        </w:rPr>
        <w:t>337.</w:t>
      </w:r>
      <w:r>
        <w:rPr>
          <w:sz w:val="20"/>
          <w:szCs w:val="20"/>
        </w:rPr>
        <w:t>3</w:t>
      </w:r>
      <w:r>
        <w:rPr>
          <w:sz w:val="20"/>
          <w:szCs w:val="20"/>
        </w:rPr>
        <w:t xml:space="preserve"> million with respect to the development and expansion of real estate facilities, including </w:t>
      </w:r>
      <w:r>
        <w:rPr>
          <w:sz w:val="20"/>
          <w:szCs w:val="20"/>
        </w:rPr>
        <w:t>$</w:t>
      </w:r>
      <w:r>
        <w:rPr>
          <w:sz w:val="20"/>
          <w:szCs w:val="20"/>
        </w:rPr>
        <w:t>48.</w:t>
      </w:r>
      <w:r>
        <w:rPr>
          <w:sz w:val="20"/>
          <w:szCs w:val="20"/>
        </w:rPr>
        <w:t>1</w:t>
      </w:r>
      <w:r>
        <w:rPr>
          <w:sz w:val="20"/>
          <w:szCs w:val="20"/>
        </w:rPr>
        <w:t xml:space="preserve"> million to repay amounts accrued at December 31, 2016. Of the </w:t>
      </w:r>
      <w:r>
        <w:rPr>
          <w:sz w:val="20"/>
          <w:szCs w:val="20"/>
        </w:rPr>
        <w:t>$</w:t>
      </w:r>
      <w:r>
        <w:rPr>
          <w:sz w:val="20"/>
          <w:szCs w:val="20"/>
        </w:rPr>
        <w:t>349.</w:t>
      </w:r>
      <w:r>
        <w:rPr>
          <w:sz w:val="20"/>
          <w:szCs w:val="20"/>
        </w:rPr>
        <w:t>7</w:t>
      </w:r>
      <w:r>
        <w:rPr>
          <w:sz w:val="20"/>
          <w:szCs w:val="20"/>
        </w:rPr>
        <w:t xml:space="preserve"> million in costs incurred during 2017, </w:t>
      </w:r>
      <w:r>
        <w:rPr>
          <w:sz w:val="20"/>
          <w:szCs w:val="20"/>
        </w:rPr>
        <w:t>$</w:t>
      </w:r>
      <w:r>
        <w:rPr>
          <w:sz w:val="20"/>
          <w:szCs w:val="20"/>
        </w:rPr>
        <w:t>60.</w:t>
      </w:r>
      <w:r>
        <w:rPr>
          <w:sz w:val="20"/>
          <w:szCs w:val="20"/>
        </w:rPr>
        <w:t>5</w:t>
      </w:r>
      <w:r>
        <w:rPr>
          <w:sz w:val="20"/>
          <w:szCs w:val="20"/>
        </w:rPr>
        <w:t xml:space="preserve"> millio</w:t>
      </w:r>
      <w:r>
        <w:rPr>
          <w:sz w:val="20"/>
          <w:szCs w:val="20"/>
        </w:rPr>
        <w:t>n remained unpaid at December 31, 2017.</w:t>
      </w:r>
      <w:r>
        <w:rPr>
          <w:sz w:val="20"/>
          <w:szCs w:val="20"/>
        </w:rPr>
        <w:t xml:space="preserve"> </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 xml:space="preserve">During 2017, we paid a total of </w:t>
      </w:r>
      <w:r>
        <w:rPr>
          <w:sz w:val="20"/>
          <w:szCs w:val="20"/>
        </w:rPr>
        <w:t>$</w:t>
      </w:r>
      <w:r>
        <w:rPr>
          <w:sz w:val="20"/>
          <w:szCs w:val="20"/>
        </w:rPr>
        <w:t>120.</w:t>
      </w:r>
      <w:r>
        <w:rPr>
          <w:sz w:val="20"/>
          <w:szCs w:val="20"/>
        </w:rPr>
        <w:t>6</w:t>
      </w:r>
      <w:r>
        <w:rPr>
          <w:sz w:val="20"/>
          <w:szCs w:val="20"/>
        </w:rPr>
        <w:t xml:space="preserve"> million with respect to capital expenditures to maintain real estate facilities, including </w:t>
      </w:r>
      <w:r>
        <w:rPr>
          <w:sz w:val="20"/>
          <w:szCs w:val="20"/>
        </w:rPr>
        <w:t>$</w:t>
      </w:r>
      <w:r>
        <w:rPr>
          <w:sz w:val="20"/>
          <w:szCs w:val="20"/>
        </w:rPr>
        <w:t>9.</w:t>
      </w:r>
      <w:r>
        <w:rPr>
          <w:sz w:val="20"/>
          <w:szCs w:val="20"/>
        </w:rPr>
        <w:t>0</w:t>
      </w:r>
      <w:r>
        <w:rPr>
          <w:sz w:val="20"/>
          <w:szCs w:val="20"/>
        </w:rPr>
        <w:t xml:space="preserve"> million to repay amounts accrued at December 31, 2016. Of the </w:t>
      </w:r>
      <w:r>
        <w:rPr>
          <w:sz w:val="20"/>
          <w:szCs w:val="20"/>
        </w:rPr>
        <w:t>$</w:t>
      </w:r>
      <w:r>
        <w:rPr>
          <w:sz w:val="20"/>
          <w:szCs w:val="20"/>
        </w:rPr>
        <w:t>124.</w:t>
      </w:r>
      <w:r>
        <w:rPr>
          <w:sz w:val="20"/>
          <w:szCs w:val="20"/>
        </w:rPr>
        <w:t>8</w:t>
      </w:r>
      <w:r>
        <w:rPr>
          <w:sz w:val="20"/>
          <w:szCs w:val="20"/>
        </w:rPr>
        <w:t xml:space="preserve"> million in </w:t>
      </w:r>
      <w:r>
        <w:rPr>
          <w:sz w:val="20"/>
          <w:szCs w:val="20"/>
        </w:rPr>
        <w:t xml:space="preserve">costs incurred during 2017, </w:t>
      </w:r>
      <w:r>
        <w:rPr>
          <w:sz w:val="20"/>
          <w:szCs w:val="20"/>
        </w:rPr>
        <w:t>$</w:t>
      </w:r>
      <w:r>
        <w:rPr>
          <w:sz w:val="20"/>
          <w:szCs w:val="20"/>
        </w:rPr>
        <w:t>13.</w:t>
      </w:r>
      <w:r>
        <w:rPr>
          <w:sz w:val="20"/>
          <w:szCs w:val="20"/>
        </w:rPr>
        <w:t>1</w:t>
      </w:r>
      <w:r>
        <w:rPr>
          <w:sz w:val="20"/>
          <w:szCs w:val="20"/>
        </w:rPr>
        <w:t> million remained unpaid at December 31, 2017</w:t>
      </w:r>
      <w:r>
        <w:rPr>
          <w:sz w:val="20"/>
          <w:szCs w:val="20"/>
        </w:rPr>
        <w:t>.</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 xml:space="preserve">At December 31, 2019, the adjusted basis of real estate facilities for U.S. federal tax purposes was approximately </w:t>
      </w:r>
      <w:r>
        <w:rPr>
          <w:sz w:val="20"/>
          <w:szCs w:val="20"/>
        </w:rPr>
        <w:t>$</w:t>
      </w:r>
      <w:r>
        <w:rPr>
          <w:sz w:val="20"/>
          <w:szCs w:val="20"/>
        </w:rPr>
        <w:t>10.</w:t>
      </w:r>
      <w:r>
        <w:rPr>
          <w:sz w:val="20"/>
          <w:szCs w:val="20"/>
        </w:rPr>
        <w:t>6</w:t>
      </w:r>
      <w:r>
        <w:rPr>
          <w:sz w:val="20"/>
          <w:szCs w:val="20"/>
        </w:rPr>
        <w:t xml:space="preserve"> billion (unaudited)</w:t>
      </w:r>
      <w:r>
        <w:rPr>
          <w:sz w:val="20"/>
          <w:szCs w:val="20"/>
        </w:rPr>
        <w:t>.</w:t>
      </w:r>
    </w:p>
    <w:p w:rsidR="00000000" w:rsidRDefault="00865332">
      <w:pPr>
        <w:pStyle w:val="a3"/>
        <w:spacing w:before="0" w:beforeAutospacing="0" w:after="0" w:afterAutospacing="0" w:line="259" w:lineRule="auto"/>
        <w:ind w:left="360" w:hanging="360"/>
        <w:jc w:val="both"/>
        <w:divId w:val="1840734433"/>
        <w:rPr>
          <w:sz w:val="20"/>
          <w:szCs w:val="20"/>
        </w:rPr>
      </w:pPr>
      <w:r>
        <w:rPr>
          <w:sz w:val="20"/>
          <w:szCs w:val="20"/>
        </w:rPr>
        <w:t>4</w:t>
      </w:r>
      <w:r>
        <w:rPr>
          <w:sz w:val="20"/>
          <w:szCs w:val="20"/>
        </w:rPr>
        <w:t>.</w:t>
      </w:r>
      <w:r>
        <w:rPr>
          <w:sz w:val="20"/>
          <w:szCs w:val="20"/>
          <w:u w:val="single"/>
        </w:rPr>
        <w:t>Investments in Unconsolidated Re</w:t>
      </w:r>
      <w:r>
        <w:rPr>
          <w:sz w:val="20"/>
          <w:szCs w:val="20"/>
          <w:u w:val="single"/>
        </w:rPr>
        <w:t>al Estate Entitie</w:t>
      </w:r>
      <w:r>
        <w:rPr>
          <w:sz w:val="20"/>
          <w:szCs w:val="20"/>
          <w:u w:val="single"/>
        </w:rPr>
        <w:t>s</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The following table sets forth our investments in, and equity in earnings of, the Unconsolidated Real Estate Entities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00"/>
        <w:gridCol w:w="1562"/>
        <w:gridCol w:w="133"/>
        <w:gridCol w:w="1063"/>
        <w:gridCol w:w="199"/>
        <w:gridCol w:w="133"/>
        <w:gridCol w:w="1063"/>
        <w:gridCol w:w="133"/>
        <w:gridCol w:w="133"/>
        <w:gridCol w:w="1063"/>
        <w:gridCol w:w="199"/>
        <w:gridCol w:w="133"/>
        <w:gridCol w:w="1063"/>
        <w:gridCol w:w="199"/>
        <w:gridCol w:w="133"/>
        <w:gridCol w:w="897"/>
      </w:tblGrid>
      <w:tr w:rsidR="00000000">
        <w:trPr>
          <w:divId w:val="1840734433"/>
          <w:trHeight w:val="14"/>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40734433"/>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Investments in Unconsolidated Real Estat</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Equity in Earnings of Unconsolidated Real Estat</w:t>
            </w:r>
            <w:r>
              <w:rPr>
                <w:sz w:val="20"/>
                <w:szCs w:val="20"/>
              </w:rPr>
              <w:t>e</w:t>
            </w:r>
          </w:p>
        </w:tc>
      </w:tr>
      <w:tr w:rsidR="00000000">
        <w:trPr>
          <w:divId w:val="1840734433"/>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Entities at December 31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Entities for the Year Ended December 31</w:t>
            </w:r>
            <w:r>
              <w:rPr>
                <w:sz w:val="20"/>
                <w:szCs w:val="20"/>
              </w:rPr>
              <w:t>,</w:t>
            </w:r>
          </w:p>
        </w:tc>
      </w:tr>
      <w:tr w:rsidR="00000000">
        <w:trPr>
          <w:divId w:val="1840734433"/>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1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7</w:t>
            </w:r>
          </w:p>
        </w:tc>
      </w:tr>
      <w:tr w:rsidR="00000000">
        <w:trPr>
          <w:divId w:val="1840734433"/>
          <w:trHeight w:val="101"/>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840734433"/>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PSB</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427,87</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434,53</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54,09</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89,36</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46,54</w:t>
            </w:r>
            <w:r>
              <w:rPr>
                <w:sz w:val="20"/>
                <w:szCs w:val="20"/>
              </w:rPr>
              <w:t>4</w:t>
            </w:r>
          </w:p>
        </w:tc>
      </w:tr>
      <w:tr w:rsidR="00000000">
        <w:trPr>
          <w:divId w:val="1840734433"/>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Shurgar</w:t>
            </w:r>
            <w:r>
              <w:rPr>
                <w:sz w:val="20"/>
                <w:szCs w:val="20"/>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339,94</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349,45</w:t>
            </w:r>
            <w:r>
              <w:rPr>
                <w:sz w:val="20"/>
                <w:szCs w:val="20"/>
              </w:rPr>
              <w:t>5</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15,45</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14,13</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25,94</w:t>
            </w:r>
            <w:r>
              <w:rPr>
                <w:sz w:val="20"/>
                <w:szCs w:val="20"/>
              </w:rPr>
              <w:t>8</w:t>
            </w:r>
          </w:p>
        </w:tc>
      </w:tr>
      <w:tr w:rsidR="00000000">
        <w:trPr>
          <w:divId w:val="1840734433"/>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Other Investment</w:t>
            </w:r>
            <w:r>
              <w:rPr>
                <w:sz w:val="20"/>
                <w:szCs w:val="20"/>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3,16</w:t>
            </w:r>
            <w:r>
              <w:rPr>
                <w:sz w:val="20"/>
                <w:szCs w:val="20"/>
              </w:rPr>
              <w:t>3</w:t>
            </w:r>
          </w:p>
        </w:tc>
      </w:tr>
      <w:tr w:rsidR="00000000">
        <w:trPr>
          <w:divId w:val="1840734433"/>
          <w:trHeight w:val="259"/>
        </w:trPr>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20"/>
                <w:szCs w:val="20"/>
              </w:rPr>
            </w:pPr>
            <w:r>
              <w:rPr>
                <w:sz w:val="20"/>
                <w:szCs w:val="20"/>
              </w:rPr>
              <w:t>Total</w:t>
            </w:r>
            <w:r>
              <w:rPr>
                <w:sz w:val="20"/>
                <w:szCs w:val="20"/>
              </w:rPr>
              <w:t xml:space="preserve"> </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6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767,81</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6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783,98</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6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69,54</w:t>
            </w:r>
            <w:r>
              <w:rPr>
                <w:sz w:val="20"/>
                <w:szCs w:val="20"/>
              </w:rPr>
              <w:t>7</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6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103,49</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75,65</w:t>
            </w:r>
            <w:r>
              <w:rPr>
                <w:sz w:val="20"/>
                <w:szCs w:val="20"/>
              </w:rPr>
              <w:t>5</w:t>
            </w:r>
          </w:p>
        </w:tc>
      </w:tr>
    </w:tbl>
    <w:p w:rsidR="00000000" w:rsidRDefault="00865332">
      <w:pPr>
        <w:pStyle w:val="a3"/>
        <w:spacing w:before="0" w:beforeAutospacing="0" w:after="0" w:afterAutospacing="0" w:line="259" w:lineRule="auto"/>
        <w:ind w:firstLine="360"/>
        <w:jc w:val="both"/>
        <w:divId w:val="1840734433"/>
        <w:rPr>
          <w:sz w:val="20"/>
          <w:szCs w:val="20"/>
        </w:rPr>
      </w:pPr>
      <w:r>
        <w:rPr>
          <w:sz w:val="20"/>
          <w:szCs w:val="20"/>
          <w:u w:val="single"/>
        </w:rPr>
        <w:t>Investment in PS</w:t>
      </w:r>
      <w:r>
        <w:rPr>
          <w:sz w:val="20"/>
          <w:szCs w:val="20"/>
          <w:u w:val="single"/>
        </w:rPr>
        <w:t>B</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Throughout all periods presented, we owned</w:t>
      </w:r>
      <w:r>
        <w:rPr>
          <w:sz w:val="20"/>
          <w:szCs w:val="20"/>
        </w:rPr>
        <w:t xml:space="preserve"> </w:t>
      </w:r>
      <w:r>
        <w:rPr>
          <w:sz w:val="20"/>
          <w:szCs w:val="20"/>
        </w:rPr>
        <w:t>7,158,35</w:t>
      </w:r>
      <w:r>
        <w:rPr>
          <w:sz w:val="20"/>
          <w:szCs w:val="20"/>
        </w:rPr>
        <w:t>4</w:t>
      </w:r>
      <w:r>
        <w:rPr>
          <w:sz w:val="20"/>
          <w:szCs w:val="20"/>
        </w:rPr>
        <w:t xml:space="preserve"> shares of PSB’s common stock and</w:t>
      </w:r>
      <w:r>
        <w:rPr>
          <w:sz w:val="20"/>
          <w:szCs w:val="20"/>
        </w:rPr>
        <w:t xml:space="preserve"> </w:t>
      </w:r>
      <w:r>
        <w:rPr>
          <w:sz w:val="20"/>
          <w:szCs w:val="20"/>
        </w:rPr>
        <w:t>7,305,35</w:t>
      </w:r>
      <w:r>
        <w:rPr>
          <w:sz w:val="20"/>
          <w:szCs w:val="20"/>
        </w:rPr>
        <w:t>5</w:t>
      </w:r>
      <w:r>
        <w:rPr>
          <w:sz w:val="20"/>
          <w:szCs w:val="20"/>
        </w:rPr>
        <w:t xml:space="preserve"> limited partnership units in an operating par</w:t>
      </w:r>
      <w:r>
        <w:rPr>
          <w:sz w:val="20"/>
          <w:szCs w:val="20"/>
        </w:rPr>
        <w:t>tnership controlled by PSB, representing an aggregate approximately</w:t>
      </w:r>
      <w:r>
        <w:rPr>
          <w:sz w:val="20"/>
          <w:szCs w:val="20"/>
        </w:rPr>
        <w:t xml:space="preserve"> </w:t>
      </w:r>
      <w:r>
        <w:rPr>
          <w:sz w:val="20"/>
          <w:szCs w:val="20"/>
        </w:rPr>
        <w:t>4</w:t>
      </w:r>
      <w:r>
        <w:rPr>
          <w:sz w:val="20"/>
          <w:szCs w:val="20"/>
        </w:rPr>
        <w:t>2</w:t>
      </w:r>
      <w:r>
        <w:rPr>
          <w:sz w:val="20"/>
          <w:szCs w:val="20"/>
        </w:rPr>
        <w:t>% common equity interest. The limited partnership units are convertible at our option, subject to certain conditions, on a</w:t>
      </w:r>
      <w:r>
        <w:rPr>
          <w:sz w:val="20"/>
          <w:szCs w:val="20"/>
        </w:rPr>
        <w:t xml:space="preserve"> </w:t>
      </w:r>
      <w:r>
        <w:rPr>
          <w:sz w:val="20"/>
          <w:szCs w:val="20"/>
        </w:rPr>
        <w:t>on</w:t>
      </w:r>
      <w:r>
        <w:rPr>
          <w:sz w:val="20"/>
          <w:szCs w:val="20"/>
        </w:rPr>
        <w:t>e</w:t>
      </w:r>
      <w:r>
        <w:rPr>
          <w:sz w:val="20"/>
          <w:szCs w:val="20"/>
        </w:rPr>
        <w:t>-for-one basis into PSB common stock.</w:t>
      </w:r>
      <w:r>
        <w:rPr>
          <w:sz w:val="20"/>
          <w:szCs w:val="20"/>
        </w:rPr>
        <w:t xml:space="preserve"> </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Based upon the closing price at December 31, 2019 (</w:t>
      </w:r>
      <w:r>
        <w:rPr>
          <w:sz w:val="20"/>
          <w:szCs w:val="20"/>
        </w:rPr>
        <w:t>$</w:t>
      </w:r>
      <w:r>
        <w:rPr>
          <w:sz w:val="20"/>
          <w:szCs w:val="20"/>
        </w:rPr>
        <w:t>164.8</w:t>
      </w:r>
      <w:r>
        <w:rPr>
          <w:sz w:val="20"/>
          <w:szCs w:val="20"/>
        </w:rPr>
        <w:t>7</w:t>
      </w:r>
      <w:r>
        <w:rPr>
          <w:sz w:val="20"/>
          <w:szCs w:val="20"/>
        </w:rPr>
        <w:t xml:space="preserve"> per share of PSB common stock), the shares and units we owned had a market value of approximately </w:t>
      </w:r>
      <w:r>
        <w:rPr>
          <w:sz w:val="20"/>
          <w:szCs w:val="20"/>
        </w:rPr>
        <w:t>$</w:t>
      </w:r>
      <w:r>
        <w:rPr>
          <w:sz w:val="20"/>
          <w:szCs w:val="20"/>
        </w:rPr>
        <w:t>2.</w:t>
      </w:r>
      <w:r>
        <w:rPr>
          <w:sz w:val="20"/>
          <w:szCs w:val="20"/>
        </w:rPr>
        <w:t>4</w:t>
      </w:r>
      <w:r>
        <w:rPr>
          <w:sz w:val="20"/>
          <w:szCs w:val="20"/>
        </w:rPr>
        <w:t xml:space="preserve"> billion.</w:t>
      </w:r>
      <w:r>
        <w:rPr>
          <w:sz w:val="20"/>
          <w:szCs w:val="20"/>
        </w:rPr>
        <w:t xml:space="preserve"> </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 xml:space="preserve">Our equity in earnings of PSB is comprised of our equity share of PSB’s net income, </w:t>
      </w:r>
      <w:r>
        <w:rPr>
          <w:sz w:val="20"/>
          <w:szCs w:val="20"/>
        </w:rPr>
        <w:t>less amortization of the PSB Basis Differential (defined below).</w:t>
      </w:r>
      <w:r>
        <w:rPr>
          <w:sz w:val="20"/>
          <w:szCs w:val="20"/>
        </w:rPr>
        <w:t xml:space="preserve"> </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 xml:space="preserve">During 2019, 2018, and 2017, we received cash distributions from PSB totaling </w:t>
      </w:r>
      <w:r>
        <w:rPr>
          <w:sz w:val="20"/>
          <w:szCs w:val="20"/>
        </w:rPr>
        <w:t>$</w:t>
      </w:r>
      <w:r>
        <w:rPr>
          <w:sz w:val="20"/>
          <w:szCs w:val="20"/>
        </w:rPr>
        <w:t>60.</w:t>
      </w:r>
      <w:r>
        <w:rPr>
          <w:sz w:val="20"/>
          <w:szCs w:val="20"/>
        </w:rPr>
        <w:t>7</w:t>
      </w:r>
      <w:r>
        <w:rPr>
          <w:sz w:val="20"/>
          <w:szCs w:val="20"/>
        </w:rPr>
        <w:t xml:space="preserve"> million, </w:t>
      </w:r>
      <w:r>
        <w:rPr>
          <w:sz w:val="20"/>
          <w:szCs w:val="20"/>
        </w:rPr>
        <w:t>$</w:t>
      </w:r>
      <w:r>
        <w:rPr>
          <w:sz w:val="20"/>
          <w:szCs w:val="20"/>
        </w:rPr>
        <w:t>55.</w:t>
      </w:r>
      <w:r>
        <w:rPr>
          <w:sz w:val="20"/>
          <w:szCs w:val="20"/>
        </w:rPr>
        <w:t>0</w:t>
      </w:r>
      <w:r>
        <w:rPr>
          <w:sz w:val="20"/>
          <w:szCs w:val="20"/>
        </w:rPr>
        <w:t xml:space="preserve"> million, and </w:t>
      </w:r>
      <w:r>
        <w:rPr>
          <w:sz w:val="20"/>
          <w:szCs w:val="20"/>
        </w:rPr>
        <w:t>$</w:t>
      </w:r>
      <w:r>
        <w:rPr>
          <w:sz w:val="20"/>
          <w:szCs w:val="20"/>
        </w:rPr>
        <w:t>49.</w:t>
      </w:r>
      <w:r>
        <w:rPr>
          <w:sz w:val="20"/>
          <w:szCs w:val="20"/>
        </w:rPr>
        <w:t>2</w:t>
      </w:r>
      <w:r>
        <w:rPr>
          <w:sz w:val="20"/>
          <w:szCs w:val="20"/>
        </w:rPr>
        <w:t xml:space="preserve"> million, respectively.</w:t>
      </w:r>
      <w:r>
        <w:rPr>
          <w:sz w:val="20"/>
          <w:szCs w:val="20"/>
        </w:rPr>
        <w:t xml:space="preserve"> </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At December 31, 2019, our pro-rata investment in</w:t>
      </w:r>
      <w:r>
        <w:rPr>
          <w:sz w:val="20"/>
          <w:szCs w:val="20"/>
        </w:rPr>
        <w:t xml:space="preserve"> PSB’s real estate assets included in investment in unconsolidated real estate entities exceeds our pro-rata share of the underlying amounts on PSB’s balance sheet by approximately </w:t>
      </w:r>
      <w:r>
        <w:rPr>
          <w:sz w:val="20"/>
          <w:szCs w:val="20"/>
        </w:rPr>
        <w:t>$</w:t>
      </w:r>
      <w:r>
        <w:rPr>
          <w:sz w:val="20"/>
          <w:szCs w:val="20"/>
        </w:rPr>
        <w:t>4.</w:t>
      </w:r>
      <w:r>
        <w:rPr>
          <w:sz w:val="20"/>
          <w:szCs w:val="20"/>
        </w:rPr>
        <w:t>2</w:t>
      </w:r>
      <w:r>
        <w:rPr>
          <w:sz w:val="20"/>
          <w:szCs w:val="20"/>
        </w:rPr>
        <w:t xml:space="preserve"> million (</w:t>
      </w:r>
      <w:r>
        <w:rPr>
          <w:sz w:val="20"/>
          <w:szCs w:val="20"/>
        </w:rPr>
        <w:t>$</w:t>
      </w:r>
      <w:r>
        <w:rPr>
          <w:sz w:val="20"/>
          <w:szCs w:val="20"/>
        </w:rPr>
        <w:t>7.</w:t>
      </w:r>
      <w:r>
        <w:rPr>
          <w:sz w:val="20"/>
          <w:szCs w:val="20"/>
        </w:rPr>
        <w:t>4</w:t>
      </w:r>
      <w:r>
        <w:rPr>
          <w:sz w:val="20"/>
          <w:szCs w:val="20"/>
        </w:rPr>
        <w:t xml:space="preserve"> million at December 31, 2018). This differential (the “P</w:t>
      </w:r>
      <w:r>
        <w:rPr>
          <w:sz w:val="20"/>
          <w:szCs w:val="20"/>
        </w:rPr>
        <w:t xml:space="preserve">SB Basis Differential”) is being amortized as a reduction to equity in earnings of the Unconsolidated Real Estate Entities. Such amortization totaled approximately </w:t>
      </w:r>
      <w:r>
        <w:rPr>
          <w:sz w:val="20"/>
          <w:szCs w:val="20"/>
        </w:rPr>
        <w:t>$</w:t>
      </w:r>
      <w:r>
        <w:rPr>
          <w:sz w:val="20"/>
          <w:szCs w:val="20"/>
        </w:rPr>
        <w:t>3.</w:t>
      </w:r>
      <w:r>
        <w:rPr>
          <w:sz w:val="20"/>
          <w:szCs w:val="20"/>
        </w:rPr>
        <w:t>2</w:t>
      </w:r>
      <w:r>
        <w:rPr>
          <w:sz w:val="20"/>
          <w:szCs w:val="20"/>
        </w:rPr>
        <w:t xml:space="preserve"> million, </w:t>
      </w:r>
      <w:r>
        <w:rPr>
          <w:sz w:val="20"/>
          <w:szCs w:val="20"/>
        </w:rPr>
        <w:t>$</w:t>
      </w:r>
      <w:r>
        <w:rPr>
          <w:sz w:val="20"/>
          <w:szCs w:val="20"/>
        </w:rPr>
        <w:t>1.</w:t>
      </w:r>
      <w:r>
        <w:rPr>
          <w:sz w:val="20"/>
          <w:szCs w:val="20"/>
        </w:rPr>
        <w:t>8</w:t>
      </w:r>
      <w:r>
        <w:rPr>
          <w:sz w:val="20"/>
          <w:szCs w:val="20"/>
        </w:rPr>
        <w:t xml:space="preserve"> million, and </w:t>
      </w:r>
      <w:r>
        <w:rPr>
          <w:sz w:val="20"/>
          <w:szCs w:val="20"/>
        </w:rPr>
        <w:t>$</w:t>
      </w:r>
      <w:r>
        <w:rPr>
          <w:sz w:val="20"/>
          <w:szCs w:val="20"/>
        </w:rPr>
        <w:t>1.</w:t>
      </w:r>
      <w:r>
        <w:rPr>
          <w:sz w:val="20"/>
          <w:szCs w:val="20"/>
        </w:rPr>
        <w:t>3</w:t>
      </w:r>
      <w:r>
        <w:rPr>
          <w:sz w:val="20"/>
          <w:szCs w:val="20"/>
        </w:rPr>
        <w:t> million during 2019, 2018, and 2017, respectively.</w:t>
      </w:r>
      <w:r>
        <w:rPr>
          <w:sz w:val="20"/>
          <w:szCs w:val="20"/>
        </w:rPr>
        <w:t xml:space="preserve"> </w:t>
      </w:r>
    </w:p>
    <w:p w:rsidR="00000000" w:rsidRDefault="00865332">
      <w:pPr>
        <w:pStyle w:val="a3"/>
        <w:spacing w:before="0" w:beforeAutospacing="0" w:after="0" w:afterAutospacing="0" w:line="259" w:lineRule="auto"/>
        <w:ind w:left="360" w:firstLine="720"/>
        <w:jc w:val="both"/>
        <w:divId w:val="1840734433"/>
        <w:rPr>
          <w:sz w:val="20"/>
          <w:szCs w:val="20"/>
        </w:rPr>
      </w:pPr>
      <w:r>
        <w:rPr>
          <w:sz w:val="20"/>
          <w:szCs w:val="20"/>
        </w:rPr>
        <w:t>PSB</w:t>
      </w:r>
      <w:r>
        <w:rPr>
          <w:sz w:val="20"/>
          <w:szCs w:val="20"/>
        </w:rPr>
        <w:t xml:space="preserve"> is a publicly held entity traded on the New York Stock Exchange under the symbol “PSB”</w:t>
      </w:r>
      <w:r>
        <w:rPr>
          <w:sz w:val="20"/>
          <w:szCs w:val="20"/>
        </w:rPr>
        <w:t>.</w:t>
      </w:r>
    </w:p>
    <w:p w:rsidR="00000000" w:rsidRDefault="00865332">
      <w:pPr>
        <w:pStyle w:val="a3"/>
        <w:spacing w:before="0" w:beforeAutospacing="0" w:after="0" w:afterAutospacing="0" w:line="259" w:lineRule="auto"/>
        <w:jc w:val="center"/>
        <w:divId w:val="1164590273"/>
        <w:rPr>
          <w:sz w:val="20"/>
          <w:szCs w:val="20"/>
        </w:rPr>
      </w:pPr>
      <w:r>
        <w:rPr>
          <w:sz w:val="20"/>
          <w:szCs w:val="20"/>
        </w:rPr>
        <w:t>F</w:t>
      </w:r>
      <w:r>
        <w:rPr>
          <w:sz w:val="20"/>
          <w:szCs w:val="20"/>
        </w:rPr>
        <w:t>-</w:t>
      </w:r>
      <w:r>
        <w:rPr>
          <w:rStyle w:val="ctheaderfooterpage"/>
          <w:sz w:val="20"/>
          <w:szCs w:val="20"/>
        </w:rPr>
        <w:t>1</w:t>
      </w:r>
      <w:r>
        <w:rPr>
          <w:rStyle w:val="ctheaderfooterpage"/>
          <w:sz w:val="20"/>
          <w:szCs w:val="20"/>
        </w:rPr>
        <w:t>7</w:t>
      </w:r>
    </w:p>
    <w:p w:rsidR="00000000" w:rsidRDefault="00865332">
      <w:pPr>
        <w:spacing w:before="360" w:after="360"/>
        <w:divId w:val="1687364036"/>
        <w:rPr>
          <w:rFonts w:eastAsia="Times New Roman"/>
        </w:rPr>
      </w:pPr>
      <w:r>
        <w:rPr>
          <w:rFonts w:eastAsia="Times New Roman"/>
        </w:rPr>
        <w:pict>
          <v:rect id="_x0000_i1112" style="width:0;height:1.5pt" o:hralign="center" o:hrstd="t" o:hr="t" fillcolor="#a0a0a0" stroked="f"/>
        </w:pict>
      </w:r>
    </w:p>
    <w:p w:rsidR="00000000" w:rsidRDefault="00865332">
      <w:pPr>
        <w:pStyle w:val="a3"/>
        <w:spacing w:before="0" w:beforeAutospacing="0" w:after="0" w:afterAutospacing="0" w:line="259" w:lineRule="auto"/>
        <w:jc w:val="center"/>
        <w:divId w:val="1548880042"/>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548880042"/>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1548880042"/>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jc w:val="both"/>
        <w:divId w:val="1671980729"/>
        <w:rPr>
          <w:sz w:val="20"/>
          <w:szCs w:val="20"/>
        </w:rPr>
      </w:pPr>
      <w:r>
        <w:rPr>
          <w:sz w:val="20"/>
          <w:szCs w:val="20"/>
          <w:u w:val="single"/>
        </w:rPr>
        <w:t>Investment in Shurgar</w:t>
      </w:r>
      <w:r>
        <w:rPr>
          <w:sz w:val="20"/>
          <w:szCs w:val="20"/>
          <w:u w:val="single"/>
        </w:rPr>
        <w:t>d</w:t>
      </w:r>
    </w:p>
    <w:p w:rsidR="00000000" w:rsidRDefault="00865332">
      <w:pPr>
        <w:pStyle w:val="a3"/>
        <w:spacing w:before="0" w:beforeAutospacing="0" w:after="0" w:afterAutospacing="0" w:line="259" w:lineRule="auto"/>
        <w:ind w:left="360" w:firstLine="720"/>
        <w:jc w:val="both"/>
        <w:divId w:val="1671980729"/>
        <w:rPr>
          <w:sz w:val="20"/>
          <w:szCs w:val="20"/>
        </w:rPr>
      </w:pPr>
      <w:r>
        <w:rPr>
          <w:sz w:val="20"/>
          <w:szCs w:val="20"/>
        </w:rPr>
        <w:t>Throughout all periods presented, we effectively owned, directly and indirectly</w:t>
      </w:r>
      <w:r>
        <w:rPr>
          <w:sz w:val="20"/>
          <w:szCs w:val="20"/>
        </w:rPr>
        <w:t xml:space="preserve"> </w:t>
      </w:r>
      <w:r>
        <w:rPr>
          <w:sz w:val="20"/>
          <w:szCs w:val="20"/>
        </w:rPr>
        <w:t>31,268,45</w:t>
      </w:r>
      <w:r>
        <w:rPr>
          <w:sz w:val="20"/>
          <w:szCs w:val="20"/>
        </w:rPr>
        <w:t>9</w:t>
      </w:r>
      <w:r>
        <w:rPr>
          <w:sz w:val="20"/>
          <w:szCs w:val="20"/>
        </w:rPr>
        <w:t xml:space="preserve"> Shurgard common shares.</w:t>
      </w:r>
      <w:r>
        <w:rPr>
          <w:sz w:val="20"/>
          <w:szCs w:val="20"/>
        </w:rPr>
        <w:t xml:space="preserve"> </w:t>
      </w:r>
      <w:r>
        <w:rPr>
          <w:sz w:val="20"/>
          <w:szCs w:val="20"/>
        </w:rPr>
        <w:t>On October 15, 2018, Shurgard completed an initial global offering (the “Offering”), issuing</w:t>
      </w:r>
      <w:r>
        <w:rPr>
          <w:sz w:val="20"/>
          <w:szCs w:val="20"/>
        </w:rPr>
        <w:t xml:space="preserve"> </w:t>
      </w:r>
      <w:r>
        <w:rPr>
          <w:sz w:val="20"/>
          <w:szCs w:val="20"/>
        </w:rPr>
        <w:t>25.</w:t>
      </w:r>
      <w:r>
        <w:rPr>
          <w:sz w:val="20"/>
          <w:szCs w:val="20"/>
        </w:rPr>
        <w:t>0</w:t>
      </w:r>
      <w:r>
        <w:rPr>
          <w:sz w:val="20"/>
          <w:szCs w:val="20"/>
        </w:rPr>
        <w:t xml:space="preserve"> million of its common shares to third parti</w:t>
      </w:r>
      <w:r>
        <w:rPr>
          <w:sz w:val="20"/>
          <w:szCs w:val="20"/>
        </w:rPr>
        <w:t xml:space="preserve">es at a price of </w:t>
      </w:r>
      <w:r>
        <w:rPr>
          <w:sz w:val="20"/>
          <w:szCs w:val="20"/>
        </w:rPr>
        <w:t>€</w:t>
      </w:r>
      <w:r>
        <w:rPr>
          <w:sz w:val="20"/>
          <w:szCs w:val="20"/>
        </w:rPr>
        <w:t>2</w:t>
      </w:r>
      <w:r>
        <w:rPr>
          <w:sz w:val="20"/>
          <w:szCs w:val="20"/>
        </w:rPr>
        <w:t>3</w:t>
      </w:r>
      <w:r>
        <w:rPr>
          <w:sz w:val="20"/>
          <w:szCs w:val="20"/>
        </w:rPr>
        <w:t xml:space="preserve"> per share, reducing our ownership interest to approximately</w:t>
      </w:r>
      <w:r>
        <w:rPr>
          <w:sz w:val="20"/>
          <w:szCs w:val="20"/>
        </w:rPr>
        <w:t xml:space="preserve"> </w:t>
      </w:r>
      <w:r>
        <w:rPr>
          <w:sz w:val="20"/>
          <w:szCs w:val="20"/>
        </w:rPr>
        <w:t>3</w:t>
      </w:r>
      <w:r>
        <w:rPr>
          <w:sz w:val="20"/>
          <w:szCs w:val="20"/>
        </w:rPr>
        <w:t>5</w:t>
      </w:r>
      <w:r>
        <w:rPr>
          <w:sz w:val="20"/>
          <w:szCs w:val="20"/>
        </w:rPr>
        <w:t xml:space="preserve">%. Following the Offering, Shurgard’s shares trade on Euronext Brussels under the “SHUR” symbol. We recorded a “Gain due to Shurgard public offering” of </w:t>
      </w:r>
      <w:r>
        <w:rPr>
          <w:sz w:val="20"/>
          <w:szCs w:val="20"/>
        </w:rPr>
        <w:t>$</w:t>
      </w:r>
      <w:r>
        <w:rPr>
          <w:sz w:val="20"/>
          <w:szCs w:val="20"/>
        </w:rPr>
        <w:t>151.</w:t>
      </w:r>
      <w:r>
        <w:rPr>
          <w:sz w:val="20"/>
          <w:szCs w:val="20"/>
        </w:rPr>
        <w:t>6</w:t>
      </w:r>
      <w:r>
        <w:rPr>
          <w:sz w:val="20"/>
          <w:szCs w:val="20"/>
        </w:rPr>
        <w:t xml:space="preserve"> million, as i</w:t>
      </w:r>
      <w:r>
        <w:rPr>
          <w:sz w:val="20"/>
          <w:szCs w:val="20"/>
        </w:rPr>
        <w:t xml:space="preserve">f we had sold a proportionate share of our investment in Shurgard. The gain resulted in a </w:t>
      </w:r>
      <w:r>
        <w:rPr>
          <w:sz w:val="20"/>
          <w:szCs w:val="20"/>
        </w:rPr>
        <w:t>$</w:t>
      </w:r>
      <w:r>
        <w:rPr>
          <w:sz w:val="20"/>
          <w:szCs w:val="20"/>
        </w:rPr>
        <w:t>174.</w:t>
      </w:r>
      <w:r>
        <w:rPr>
          <w:sz w:val="20"/>
          <w:szCs w:val="20"/>
        </w:rPr>
        <w:t>0</w:t>
      </w:r>
      <w:r>
        <w:rPr>
          <w:sz w:val="20"/>
          <w:szCs w:val="20"/>
        </w:rPr>
        <w:t xml:space="preserve"> million increase in our investment in Shurgard and a </w:t>
      </w:r>
      <w:r>
        <w:rPr>
          <w:sz w:val="20"/>
          <w:szCs w:val="20"/>
        </w:rPr>
        <w:t>$</w:t>
      </w:r>
      <w:r>
        <w:rPr>
          <w:sz w:val="20"/>
          <w:szCs w:val="20"/>
        </w:rPr>
        <w:t>22.</w:t>
      </w:r>
      <w:r>
        <w:rPr>
          <w:sz w:val="20"/>
          <w:szCs w:val="20"/>
        </w:rPr>
        <w:t>4</w:t>
      </w:r>
      <w:r>
        <w:rPr>
          <w:sz w:val="20"/>
          <w:szCs w:val="20"/>
        </w:rPr>
        <w:t xml:space="preserve"> million reduction in other comprehensive loss with respect to cumulative foreign currency translatio</w:t>
      </w:r>
      <w:r>
        <w:rPr>
          <w:sz w:val="20"/>
          <w:szCs w:val="20"/>
        </w:rPr>
        <w:t>n losses for Shurgard.</w:t>
      </w:r>
      <w:r>
        <w:rPr>
          <w:sz w:val="20"/>
          <w:szCs w:val="20"/>
        </w:rPr>
        <w:t xml:space="preserve"> </w:t>
      </w:r>
    </w:p>
    <w:p w:rsidR="00000000" w:rsidRDefault="00865332">
      <w:pPr>
        <w:pStyle w:val="a3"/>
        <w:spacing w:before="0" w:beforeAutospacing="0" w:after="0" w:afterAutospacing="0" w:line="259" w:lineRule="auto"/>
        <w:ind w:left="360" w:firstLine="720"/>
        <w:jc w:val="both"/>
        <w:divId w:val="1671980729"/>
        <w:rPr>
          <w:sz w:val="20"/>
          <w:szCs w:val="20"/>
        </w:rPr>
      </w:pPr>
      <w:r>
        <w:rPr>
          <w:sz w:val="20"/>
          <w:szCs w:val="20"/>
        </w:rPr>
        <w:t xml:space="preserve">Based upon the closing price at December 31, 2019 </w:t>
      </w:r>
      <w:r>
        <w:rPr>
          <w:sz w:val="20"/>
          <w:szCs w:val="20"/>
        </w:rPr>
        <w:t>(</w:t>
      </w:r>
      <w:r>
        <w:rPr>
          <w:sz w:val="20"/>
          <w:szCs w:val="20"/>
        </w:rPr>
        <w:t>€</w:t>
      </w:r>
      <w:r>
        <w:rPr>
          <w:sz w:val="20"/>
          <w:szCs w:val="20"/>
        </w:rPr>
        <w:t>34.0</w:t>
      </w:r>
      <w:r>
        <w:rPr>
          <w:sz w:val="20"/>
          <w:szCs w:val="20"/>
        </w:rPr>
        <w:t>0</w:t>
      </w:r>
      <w:r>
        <w:rPr>
          <w:sz w:val="20"/>
          <w:szCs w:val="20"/>
        </w:rPr>
        <w:t xml:space="preserve"> </w:t>
      </w:r>
      <w:r>
        <w:rPr>
          <w:sz w:val="20"/>
          <w:szCs w:val="20"/>
        </w:rPr>
        <w:t>per share of SHUR common stock, at</w:t>
      </w:r>
      <w:r>
        <w:rPr>
          <w:sz w:val="20"/>
          <w:szCs w:val="20"/>
        </w:rPr>
        <w:t xml:space="preserve"> </w:t>
      </w:r>
      <w:r>
        <w:rPr>
          <w:sz w:val="20"/>
          <w:szCs w:val="20"/>
        </w:rPr>
        <w:t>1.12</w:t>
      </w:r>
      <w:r>
        <w:rPr>
          <w:sz w:val="20"/>
          <w:szCs w:val="20"/>
        </w:rPr>
        <w:t>2</w:t>
      </w:r>
      <w:r>
        <w:rPr>
          <w:sz w:val="20"/>
          <w:szCs w:val="20"/>
        </w:rPr>
        <w:t xml:space="preserve"> exchange rate of US Dollars to the Euro), the shares we owned had a market value of approximately </w:t>
      </w:r>
      <w:r>
        <w:rPr>
          <w:sz w:val="20"/>
          <w:szCs w:val="20"/>
        </w:rPr>
        <w:t>$</w:t>
      </w:r>
      <w:r>
        <w:rPr>
          <w:sz w:val="20"/>
          <w:szCs w:val="20"/>
        </w:rPr>
        <w:t>1.</w:t>
      </w:r>
      <w:r>
        <w:rPr>
          <w:sz w:val="20"/>
          <w:szCs w:val="20"/>
        </w:rPr>
        <w:t>2</w:t>
      </w:r>
      <w:r>
        <w:rPr>
          <w:sz w:val="20"/>
          <w:szCs w:val="20"/>
        </w:rPr>
        <w:t> billion.</w:t>
      </w:r>
      <w:r>
        <w:rPr>
          <w:sz w:val="20"/>
          <w:szCs w:val="20"/>
        </w:rPr>
        <w:t xml:space="preserve"> </w:t>
      </w:r>
    </w:p>
    <w:p w:rsidR="00000000" w:rsidRDefault="00865332">
      <w:pPr>
        <w:pStyle w:val="a3"/>
        <w:spacing w:before="0" w:beforeAutospacing="0" w:after="0" w:afterAutospacing="0" w:line="259" w:lineRule="auto"/>
        <w:ind w:left="360" w:firstLine="720"/>
        <w:jc w:val="both"/>
        <w:divId w:val="1671980729"/>
        <w:rPr>
          <w:sz w:val="20"/>
          <w:szCs w:val="20"/>
        </w:rPr>
      </w:pPr>
      <w:r>
        <w:rPr>
          <w:sz w:val="20"/>
          <w:szCs w:val="20"/>
        </w:rPr>
        <w:t>Ou</w:t>
      </w:r>
      <w:r>
        <w:rPr>
          <w:sz w:val="20"/>
          <w:szCs w:val="20"/>
        </w:rPr>
        <w:t>r</w:t>
      </w:r>
      <w:r>
        <w:rPr>
          <w:sz w:val="20"/>
          <w:szCs w:val="20"/>
        </w:rPr>
        <w:t xml:space="preserve"> equity in earnin</w:t>
      </w:r>
      <w:r>
        <w:rPr>
          <w:sz w:val="20"/>
          <w:szCs w:val="20"/>
        </w:rPr>
        <w:t xml:space="preserve">gs of Shurgard is comprised of our equity share of Shurgard’s net income, plus </w:t>
      </w:r>
      <w:r>
        <w:rPr>
          <w:sz w:val="20"/>
          <w:szCs w:val="20"/>
        </w:rPr>
        <w:t>$</w:t>
      </w:r>
      <w:r>
        <w:rPr>
          <w:sz w:val="20"/>
          <w:szCs w:val="20"/>
        </w:rPr>
        <w:t>1.</w:t>
      </w:r>
      <w:r>
        <w:rPr>
          <w:sz w:val="20"/>
          <w:szCs w:val="20"/>
        </w:rPr>
        <w:t>0</w:t>
      </w:r>
      <w:r>
        <w:rPr>
          <w:sz w:val="20"/>
          <w:szCs w:val="20"/>
        </w:rPr>
        <w:t xml:space="preserve"> million, </w:t>
      </w:r>
      <w:r>
        <w:rPr>
          <w:sz w:val="20"/>
          <w:szCs w:val="20"/>
        </w:rPr>
        <w:t>$</w:t>
      </w:r>
      <w:r>
        <w:rPr>
          <w:sz w:val="20"/>
          <w:szCs w:val="20"/>
        </w:rPr>
        <w:t>1.</w:t>
      </w:r>
      <w:r>
        <w:rPr>
          <w:sz w:val="20"/>
          <w:szCs w:val="20"/>
        </w:rPr>
        <w:t>3</w:t>
      </w:r>
      <w:r>
        <w:rPr>
          <w:sz w:val="20"/>
          <w:szCs w:val="20"/>
        </w:rPr>
        <w:t xml:space="preserve"> million, and </w:t>
      </w:r>
      <w:r>
        <w:rPr>
          <w:sz w:val="20"/>
          <w:szCs w:val="20"/>
        </w:rPr>
        <w:t>$</w:t>
      </w:r>
      <w:r>
        <w:rPr>
          <w:sz w:val="20"/>
          <w:szCs w:val="20"/>
        </w:rPr>
        <w:t>1.</w:t>
      </w:r>
      <w:r>
        <w:rPr>
          <w:sz w:val="20"/>
          <w:szCs w:val="20"/>
        </w:rPr>
        <w:t>3</w:t>
      </w:r>
      <w:r>
        <w:rPr>
          <w:sz w:val="20"/>
          <w:szCs w:val="20"/>
        </w:rPr>
        <w:t xml:space="preserve"> million for 2019, 2018 and 2017, respectively, representing our equity share of the trademark license fees that Shurgard pays to us for the </w:t>
      </w:r>
      <w:r>
        <w:rPr>
          <w:sz w:val="20"/>
          <w:szCs w:val="20"/>
        </w:rPr>
        <w:t>use of the “Shurgard” trademark. The remaining license fees we receive from Shurgard are classified as interest and other income on our income statement.</w:t>
      </w:r>
      <w:r>
        <w:rPr>
          <w:sz w:val="20"/>
          <w:szCs w:val="20"/>
        </w:rPr>
        <w:t xml:space="preserve"> </w:t>
      </w:r>
    </w:p>
    <w:p w:rsidR="00000000" w:rsidRDefault="00865332">
      <w:pPr>
        <w:pStyle w:val="a3"/>
        <w:spacing w:before="0" w:beforeAutospacing="0" w:after="0" w:afterAutospacing="0" w:line="259" w:lineRule="auto"/>
        <w:ind w:left="360" w:firstLine="720"/>
        <w:jc w:val="both"/>
        <w:divId w:val="1671980729"/>
        <w:rPr>
          <w:sz w:val="20"/>
          <w:szCs w:val="20"/>
        </w:rPr>
      </w:pPr>
      <w:r>
        <w:rPr>
          <w:sz w:val="20"/>
          <w:szCs w:val="20"/>
        </w:rPr>
        <w:t>The dividends we receive from Shurgard, combined with our equity share of trademark license fees coll</w:t>
      </w:r>
      <w:r>
        <w:rPr>
          <w:sz w:val="20"/>
          <w:szCs w:val="20"/>
        </w:rPr>
        <w:t>ected from Shurgard, are reflected on our statements of cash flows as “distributions from retained earnings of unconsolidated real estate entities” to the extent of our cumulative earnings, with any excess classified as “distributions in excess of retained</w:t>
      </w:r>
      <w:r>
        <w:rPr>
          <w:sz w:val="20"/>
          <w:szCs w:val="20"/>
        </w:rPr>
        <w:t xml:space="preserve"> earnings from unconsolidated real estate entities.” Shurgard paid</w:t>
      </w:r>
      <w:r>
        <w:rPr>
          <w:sz w:val="20"/>
          <w:szCs w:val="20"/>
        </w:rPr>
        <w:t xml:space="preserve"> </w:t>
      </w:r>
      <w:r>
        <w:rPr>
          <w:sz w:val="20"/>
          <w:szCs w:val="20"/>
        </w:rPr>
        <w:t>€</w:t>
      </w:r>
      <w:r>
        <w:rPr>
          <w:sz w:val="20"/>
          <w:szCs w:val="20"/>
        </w:rPr>
        <w:t>0.6</w:t>
      </w:r>
      <w:r>
        <w:rPr>
          <w:sz w:val="20"/>
          <w:szCs w:val="20"/>
        </w:rPr>
        <w:t>7</w:t>
      </w:r>
      <w:r>
        <w:rPr>
          <w:sz w:val="20"/>
          <w:szCs w:val="20"/>
        </w:rPr>
        <w:t xml:space="preserve"> </w:t>
      </w:r>
      <w:r>
        <w:rPr>
          <w:sz w:val="20"/>
          <w:szCs w:val="20"/>
        </w:rPr>
        <w:t>per shar</w:t>
      </w:r>
      <w:r>
        <w:rPr>
          <w:sz w:val="20"/>
          <w:szCs w:val="20"/>
        </w:rPr>
        <w:t>e</w:t>
      </w:r>
      <w:r>
        <w:rPr>
          <w:sz w:val="20"/>
          <w:szCs w:val="20"/>
        </w:rPr>
        <w:t xml:space="preserve"> in dividends to its shareholders during 2019, of which our share totaled </w:t>
      </w:r>
      <w:r>
        <w:rPr>
          <w:sz w:val="20"/>
          <w:szCs w:val="20"/>
        </w:rPr>
        <w:t>$</w:t>
      </w:r>
      <w:r>
        <w:rPr>
          <w:sz w:val="20"/>
          <w:szCs w:val="20"/>
        </w:rPr>
        <w:t>23.</w:t>
      </w:r>
      <w:r>
        <w:rPr>
          <w:sz w:val="20"/>
          <w:szCs w:val="20"/>
        </w:rPr>
        <w:t>1</w:t>
      </w:r>
      <w:r>
        <w:rPr>
          <w:sz w:val="20"/>
          <w:szCs w:val="20"/>
        </w:rPr>
        <w:t xml:space="preserve"> million. During 2018, Shurgard paid a cash d</w:t>
      </w:r>
      <w:r>
        <w:rPr>
          <w:sz w:val="20"/>
          <w:szCs w:val="20"/>
        </w:rPr>
        <w:t>i</w:t>
      </w:r>
      <w:r>
        <w:rPr>
          <w:sz w:val="20"/>
          <w:szCs w:val="20"/>
        </w:rPr>
        <w:t xml:space="preserve">vidend to its shareholders at the time, of which </w:t>
      </w:r>
      <w:r>
        <w:rPr>
          <w:sz w:val="20"/>
          <w:szCs w:val="20"/>
        </w:rPr>
        <w:t>our equity share was</w:t>
      </w:r>
      <w:r>
        <w:rPr>
          <w:sz w:val="20"/>
          <w:szCs w:val="20"/>
        </w:rPr>
        <w:t xml:space="preserve"> </w:t>
      </w:r>
      <w:r>
        <w:rPr>
          <w:sz w:val="20"/>
          <w:szCs w:val="20"/>
        </w:rPr>
        <w:t>$</w:t>
      </w:r>
      <w:r>
        <w:rPr>
          <w:sz w:val="20"/>
          <w:szCs w:val="20"/>
        </w:rPr>
        <w:t>145.</w:t>
      </w:r>
      <w:r>
        <w:rPr>
          <w:sz w:val="20"/>
          <w:szCs w:val="20"/>
        </w:rPr>
        <w:t>4</w:t>
      </w:r>
      <w:r>
        <w:rPr>
          <w:sz w:val="20"/>
          <w:szCs w:val="20"/>
        </w:rPr>
        <w:t xml:space="preserve"> million</w:t>
      </w:r>
      <w:r>
        <w:rPr>
          <w:sz w:val="20"/>
          <w:szCs w:val="20"/>
        </w:rPr>
        <w:t>.</w:t>
      </w:r>
    </w:p>
    <w:p w:rsidR="00000000" w:rsidRDefault="00865332">
      <w:pPr>
        <w:pStyle w:val="a3"/>
        <w:spacing w:before="0" w:beforeAutospacing="0" w:after="0" w:afterAutospacing="0" w:line="259" w:lineRule="auto"/>
        <w:ind w:left="360" w:firstLine="720"/>
        <w:jc w:val="both"/>
        <w:divId w:val="1671980729"/>
        <w:rPr>
          <w:sz w:val="20"/>
          <w:szCs w:val="20"/>
        </w:rPr>
      </w:pPr>
      <w:r>
        <w:rPr>
          <w:sz w:val="20"/>
          <w:szCs w:val="20"/>
        </w:rPr>
        <w:t xml:space="preserve">Changes in foreign currency exchange rates decreased our investment in Shurgard by approximately </w:t>
      </w:r>
      <w:r>
        <w:rPr>
          <w:sz w:val="20"/>
          <w:szCs w:val="20"/>
        </w:rPr>
        <w:t>$</w:t>
      </w:r>
      <w:r>
        <w:rPr>
          <w:sz w:val="20"/>
          <w:szCs w:val="20"/>
        </w:rPr>
        <w:t>0.</w:t>
      </w:r>
      <w:r>
        <w:rPr>
          <w:sz w:val="20"/>
          <w:szCs w:val="20"/>
        </w:rPr>
        <w:t>8</w:t>
      </w:r>
      <w:r>
        <w:rPr>
          <w:sz w:val="20"/>
          <w:szCs w:val="20"/>
        </w:rPr>
        <w:t xml:space="preserve"> million and</w:t>
      </w:r>
      <w:r>
        <w:rPr>
          <w:sz w:val="20"/>
          <w:szCs w:val="20"/>
        </w:rPr>
        <w:t xml:space="preserve"> </w:t>
      </w:r>
      <w:r>
        <w:rPr>
          <w:sz w:val="20"/>
          <w:szCs w:val="20"/>
        </w:rPr>
        <w:t>$</w:t>
      </w:r>
      <w:r>
        <w:rPr>
          <w:sz w:val="20"/>
          <w:szCs w:val="20"/>
        </w:rPr>
        <w:t>16.</w:t>
      </w:r>
      <w:r>
        <w:rPr>
          <w:sz w:val="20"/>
          <w:szCs w:val="20"/>
        </w:rPr>
        <w:t>0</w:t>
      </w:r>
      <w:r>
        <w:rPr>
          <w:sz w:val="20"/>
          <w:szCs w:val="20"/>
        </w:rPr>
        <w:t xml:space="preserve"> million in 2019 and 2018, respectively, and increased it by approximately </w:t>
      </w:r>
      <w:r>
        <w:rPr>
          <w:sz w:val="20"/>
          <w:szCs w:val="20"/>
        </w:rPr>
        <w:t>$</w:t>
      </w:r>
      <w:r>
        <w:rPr>
          <w:sz w:val="20"/>
          <w:szCs w:val="20"/>
        </w:rPr>
        <w:t>19.</w:t>
      </w:r>
      <w:r>
        <w:rPr>
          <w:sz w:val="20"/>
          <w:szCs w:val="20"/>
        </w:rPr>
        <w:t>4</w:t>
      </w:r>
      <w:r>
        <w:rPr>
          <w:sz w:val="20"/>
          <w:szCs w:val="20"/>
        </w:rPr>
        <w:t> million in 2017.</w:t>
      </w:r>
      <w:r>
        <w:rPr>
          <w:sz w:val="20"/>
          <w:szCs w:val="20"/>
        </w:rPr>
        <w:t xml:space="preserve"> </w:t>
      </w:r>
    </w:p>
    <w:p w:rsidR="00000000" w:rsidRDefault="00865332">
      <w:pPr>
        <w:pStyle w:val="a3"/>
        <w:spacing w:before="0" w:beforeAutospacing="0" w:after="0" w:afterAutospacing="0" w:line="259" w:lineRule="auto"/>
        <w:ind w:left="360" w:firstLine="720"/>
        <w:jc w:val="both"/>
        <w:divId w:val="1671980729"/>
        <w:rPr>
          <w:sz w:val="20"/>
          <w:szCs w:val="20"/>
        </w:rPr>
      </w:pPr>
      <w:r>
        <w:rPr>
          <w:sz w:val="20"/>
          <w:szCs w:val="20"/>
        </w:rPr>
        <w:t>S</w:t>
      </w:r>
      <w:r>
        <w:rPr>
          <w:sz w:val="20"/>
          <w:szCs w:val="20"/>
        </w:rPr>
        <w:t>hurgard is a publicly held entity trading on Euronext Brussels under the symbol “SHUR”</w:t>
      </w:r>
      <w:r>
        <w:rPr>
          <w:sz w:val="20"/>
          <w:szCs w:val="20"/>
        </w:rPr>
        <w:t>.</w:t>
      </w:r>
    </w:p>
    <w:p w:rsidR="00000000" w:rsidRDefault="00865332">
      <w:pPr>
        <w:pStyle w:val="a3"/>
        <w:spacing w:before="0" w:beforeAutospacing="0" w:after="0" w:afterAutospacing="0" w:line="259" w:lineRule="auto"/>
        <w:ind w:left="360"/>
        <w:divId w:val="1671980729"/>
        <w:rPr>
          <w:sz w:val="20"/>
          <w:szCs w:val="20"/>
        </w:rPr>
      </w:pPr>
      <w:r>
        <w:rPr>
          <w:sz w:val="20"/>
          <w:szCs w:val="20"/>
          <w:u w:val="single"/>
        </w:rPr>
        <w:t>Other Investment</w:t>
      </w:r>
      <w:r>
        <w:rPr>
          <w:sz w:val="20"/>
          <w:szCs w:val="20"/>
          <w:u w:val="single"/>
        </w:rPr>
        <w:t>s</w:t>
      </w:r>
    </w:p>
    <w:p w:rsidR="00000000" w:rsidRDefault="00865332">
      <w:pPr>
        <w:pStyle w:val="a3"/>
        <w:spacing w:before="0" w:beforeAutospacing="0" w:after="0" w:afterAutospacing="0" w:line="259" w:lineRule="auto"/>
        <w:ind w:left="360" w:firstLine="720"/>
        <w:jc w:val="both"/>
        <w:divId w:val="1671980729"/>
        <w:rPr>
          <w:sz w:val="20"/>
          <w:szCs w:val="20"/>
        </w:rPr>
      </w:pPr>
      <w:r>
        <w:rPr>
          <w:sz w:val="20"/>
          <w:szCs w:val="20"/>
        </w:rPr>
        <w:t>On December 31, 2017, we acquired the remaining</w:t>
      </w:r>
      <w:r>
        <w:rPr>
          <w:sz w:val="20"/>
          <w:szCs w:val="20"/>
        </w:rPr>
        <w:t xml:space="preserve"> </w:t>
      </w:r>
      <w:r>
        <w:rPr>
          <w:sz w:val="20"/>
          <w:szCs w:val="20"/>
        </w:rPr>
        <w:t>74.2</w:t>
      </w:r>
      <w:r>
        <w:rPr>
          <w:sz w:val="20"/>
          <w:szCs w:val="20"/>
        </w:rPr>
        <w:t>5</w:t>
      </w:r>
      <w:r>
        <w:rPr>
          <w:sz w:val="20"/>
          <w:szCs w:val="20"/>
        </w:rPr>
        <w:t xml:space="preserve">% equity interest we did not own in a legacy institutional partnership (the “Other Investments”) </w:t>
      </w:r>
      <w:r>
        <w:rPr>
          <w:sz w:val="20"/>
          <w:szCs w:val="20"/>
        </w:rPr>
        <w:t xml:space="preserve">for </w:t>
      </w:r>
      <w:r>
        <w:rPr>
          <w:sz w:val="20"/>
          <w:szCs w:val="20"/>
        </w:rPr>
        <w:t>$</w:t>
      </w:r>
      <w:r>
        <w:rPr>
          <w:sz w:val="20"/>
          <w:szCs w:val="20"/>
        </w:rPr>
        <w:t>135.</w:t>
      </w:r>
      <w:r>
        <w:rPr>
          <w:sz w:val="20"/>
          <w:szCs w:val="20"/>
        </w:rPr>
        <w:t>5</w:t>
      </w:r>
      <w:r>
        <w:rPr>
          <w:sz w:val="20"/>
          <w:szCs w:val="20"/>
        </w:rPr>
        <w:t xml:space="preserve"> million, in cash, and began to consolidate the</w:t>
      </w:r>
      <w:r>
        <w:rPr>
          <w:sz w:val="20"/>
          <w:szCs w:val="20"/>
        </w:rPr>
        <w:t xml:space="preserve"> </w:t>
      </w:r>
      <w:r>
        <w:rPr>
          <w:sz w:val="20"/>
          <w:szCs w:val="20"/>
        </w:rPr>
        <w:t>1</w:t>
      </w:r>
      <w:r>
        <w:rPr>
          <w:sz w:val="20"/>
          <w:szCs w:val="20"/>
        </w:rPr>
        <w:t>2</w:t>
      </w:r>
      <w:r>
        <w:rPr>
          <w:sz w:val="20"/>
          <w:szCs w:val="20"/>
        </w:rPr>
        <w:t> self-storage facilities owned by the Other Investments.</w:t>
      </w:r>
      <w:r>
        <w:rPr>
          <w:sz w:val="20"/>
          <w:szCs w:val="20"/>
        </w:rPr>
        <w:t xml:space="preserve"> </w:t>
      </w:r>
    </w:p>
    <w:p w:rsidR="00000000" w:rsidRDefault="00865332">
      <w:pPr>
        <w:pStyle w:val="a3"/>
        <w:spacing w:before="0" w:beforeAutospacing="0" w:after="0" w:afterAutospacing="0" w:line="259" w:lineRule="auto"/>
        <w:ind w:left="360" w:hanging="360"/>
        <w:divId w:val="1671980729"/>
        <w:rPr>
          <w:sz w:val="20"/>
          <w:szCs w:val="20"/>
        </w:rPr>
      </w:pPr>
      <w:r>
        <w:rPr>
          <w:sz w:val="20"/>
          <w:szCs w:val="20"/>
        </w:rPr>
        <w:t>5</w:t>
      </w:r>
      <w:r>
        <w:rPr>
          <w:sz w:val="20"/>
          <w:szCs w:val="20"/>
        </w:rPr>
        <w:t>.</w:t>
      </w:r>
      <w:r>
        <w:rPr>
          <w:sz w:val="20"/>
          <w:szCs w:val="20"/>
          <w:u w:val="single"/>
        </w:rPr>
        <w:t>Credit Facilit</w:t>
      </w:r>
      <w:r>
        <w:rPr>
          <w:sz w:val="20"/>
          <w:szCs w:val="20"/>
          <w:u w:val="single"/>
        </w:rPr>
        <w:t>y</w:t>
      </w:r>
    </w:p>
    <w:p w:rsidR="00000000" w:rsidRDefault="00865332">
      <w:pPr>
        <w:pStyle w:val="a3"/>
        <w:spacing w:before="0" w:beforeAutospacing="0" w:after="0" w:afterAutospacing="0" w:line="259" w:lineRule="auto"/>
        <w:ind w:left="360" w:firstLine="720"/>
        <w:jc w:val="both"/>
        <w:divId w:val="1671980729"/>
        <w:rPr>
          <w:sz w:val="20"/>
          <w:szCs w:val="20"/>
        </w:rPr>
      </w:pPr>
      <w:r>
        <w:rPr>
          <w:sz w:val="20"/>
          <w:szCs w:val="20"/>
        </w:rPr>
        <w:t xml:space="preserve">We have a revolving credit agreement (the “Credit Facility”) with a </w:t>
      </w:r>
      <w:r>
        <w:rPr>
          <w:sz w:val="20"/>
          <w:szCs w:val="20"/>
        </w:rPr>
        <w:t>$</w:t>
      </w:r>
      <w:r>
        <w:rPr>
          <w:sz w:val="20"/>
          <w:szCs w:val="20"/>
        </w:rPr>
        <w:t>50</w:t>
      </w:r>
      <w:r>
        <w:rPr>
          <w:sz w:val="20"/>
          <w:szCs w:val="20"/>
        </w:rPr>
        <w:t>0</w:t>
      </w:r>
      <w:r>
        <w:rPr>
          <w:sz w:val="20"/>
          <w:szCs w:val="20"/>
        </w:rPr>
        <w:t xml:space="preserve"> </w:t>
      </w:r>
      <w:r>
        <w:rPr>
          <w:sz w:val="20"/>
          <w:szCs w:val="20"/>
        </w:rPr>
        <w:t>million borrowing limit, which was amended on April 19, 2019 to (i) extend the maturity date from</w:t>
      </w:r>
      <w:r>
        <w:rPr>
          <w:sz w:val="20"/>
          <w:szCs w:val="20"/>
        </w:rPr>
        <w:t xml:space="preserve"> </w:t>
      </w:r>
      <w:r>
        <w:rPr>
          <w:sz w:val="20"/>
          <w:szCs w:val="20"/>
        </w:rPr>
        <w:t>March 31, 202</w:t>
      </w:r>
      <w:r>
        <w:rPr>
          <w:sz w:val="20"/>
          <w:szCs w:val="20"/>
        </w:rPr>
        <w:t>0</w:t>
      </w:r>
      <w:r>
        <w:rPr>
          <w:sz w:val="20"/>
          <w:szCs w:val="20"/>
        </w:rPr>
        <w:t xml:space="preserve"> to</w:t>
      </w:r>
      <w:r>
        <w:rPr>
          <w:sz w:val="20"/>
          <w:szCs w:val="20"/>
        </w:rPr>
        <w:t xml:space="preserve"> </w:t>
      </w:r>
      <w:r>
        <w:rPr>
          <w:sz w:val="20"/>
          <w:szCs w:val="20"/>
        </w:rPr>
        <w:t>April 19, 202</w:t>
      </w:r>
      <w:r>
        <w:rPr>
          <w:sz w:val="20"/>
          <w:szCs w:val="20"/>
        </w:rPr>
        <w:t>4</w:t>
      </w:r>
      <w:r>
        <w:rPr>
          <w:sz w:val="20"/>
          <w:szCs w:val="20"/>
        </w:rPr>
        <w:t>, (ii</w:t>
      </w:r>
      <w:r>
        <w:rPr>
          <w:sz w:val="20"/>
          <w:szCs w:val="20"/>
        </w:rPr>
        <w:t>)</w:t>
      </w:r>
      <w:r>
        <w:rPr>
          <w:sz w:val="20"/>
          <w:szCs w:val="20"/>
        </w:rPr>
        <w:t> decrease the current effective borrowing spread over LIBOR from</w:t>
      </w:r>
      <w:r>
        <w:rPr>
          <w:sz w:val="20"/>
          <w:szCs w:val="20"/>
        </w:rPr>
        <w:t xml:space="preserve"> </w:t>
      </w:r>
      <w:r>
        <w:rPr>
          <w:sz w:val="20"/>
          <w:szCs w:val="20"/>
        </w:rPr>
        <w:t>0.85</w:t>
      </w:r>
      <w:r>
        <w:rPr>
          <w:sz w:val="20"/>
          <w:szCs w:val="20"/>
        </w:rPr>
        <w:t>0</w:t>
      </w:r>
      <w:r>
        <w:rPr>
          <w:sz w:val="20"/>
          <w:szCs w:val="20"/>
        </w:rPr>
        <w:t>% to</w:t>
      </w:r>
      <w:r>
        <w:rPr>
          <w:sz w:val="20"/>
          <w:szCs w:val="20"/>
        </w:rPr>
        <w:t xml:space="preserve"> </w:t>
      </w:r>
      <w:r>
        <w:rPr>
          <w:sz w:val="20"/>
          <w:szCs w:val="20"/>
        </w:rPr>
        <w:t>0.7</w:t>
      </w:r>
      <w:r>
        <w:rPr>
          <w:sz w:val="20"/>
          <w:szCs w:val="20"/>
        </w:rPr>
        <w:t>0</w:t>
      </w:r>
      <w:r>
        <w:rPr>
          <w:sz w:val="20"/>
          <w:szCs w:val="20"/>
        </w:rPr>
        <w:t>%, and (iii) decrease the current effecti</w:t>
      </w:r>
      <w:r>
        <w:rPr>
          <w:sz w:val="20"/>
          <w:szCs w:val="20"/>
        </w:rPr>
        <w:t>ve facility fee from</w:t>
      </w:r>
      <w:r>
        <w:rPr>
          <w:sz w:val="20"/>
          <w:szCs w:val="20"/>
        </w:rPr>
        <w:t xml:space="preserve"> </w:t>
      </w:r>
      <w:r>
        <w:rPr>
          <w:sz w:val="20"/>
          <w:szCs w:val="20"/>
        </w:rPr>
        <w:t>0.08</w:t>
      </w:r>
      <w:r>
        <w:rPr>
          <w:sz w:val="20"/>
          <w:szCs w:val="20"/>
        </w:rPr>
        <w:t>0</w:t>
      </w:r>
      <w:r>
        <w:rPr>
          <w:sz w:val="20"/>
          <w:szCs w:val="20"/>
        </w:rPr>
        <w:t>% to</w:t>
      </w:r>
      <w:r>
        <w:rPr>
          <w:sz w:val="20"/>
          <w:szCs w:val="20"/>
        </w:rPr>
        <w:t xml:space="preserve"> </w:t>
      </w:r>
      <w:r>
        <w:rPr>
          <w:sz w:val="20"/>
          <w:szCs w:val="20"/>
        </w:rPr>
        <w:t>0.07</w:t>
      </w:r>
      <w:r>
        <w:rPr>
          <w:sz w:val="20"/>
          <w:szCs w:val="20"/>
        </w:rPr>
        <w:t>0</w:t>
      </w:r>
      <w:r>
        <w:rPr>
          <w:sz w:val="20"/>
          <w:szCs w:val="20"/>
        </w:rPr>
        <w:t>%. All other terms remained substantially the same.</w:t>
      </w:r>
      <w:r>
        <w:rPr>
          <w:sz w:val="20"/>
          <w:szCs w:val="20"/>
        </w:rPr>
        <w:t xml:space="preserve"> </w:t>
      </w:r>
      <w:r>
        <w:rPr>
          <w:sz w:val="20"/>
          <w:szCs w:val="20"/>
        </w:rPr>
        <w:t>Amounts drawn on the Credit Facility bear annual interest at rates ranging from LIBOR plus</w:t>
      </w:r>
      <w:r>
        <w:rPr>
          <w:sz w:val="20"/>
          <w:szCs w:val="20"/>
        </w:rPr>
        <w:t xml:space="preserve"> </w:t>
      </w:r>
      <w:r>
        <w:rPr>
          <w:sz w:val="20"/>
          <w:szCs w:val="20"/>
        </w:rPr>
        <w:t>0.7</w:t>
      </w:r>
      <w:r>
        <w:rPr>
          <w:sz w:val="20"/>
          <w:szCs w:val="20"/>
        </w:rPr>
        <w:t>0</w:t>
      </w:r>
      <w:r>
        <w:rPr>
          <w:sz w:val="20"/>
          <w:szCs w:val="20"/>
        </w:rPr>
        <w:t>% to LIBOR plus</w:t>
      </w:r>
      <w:r>
        <w:rPr>
          <w:sz w:val="20"/>
          <w:szCs w:val="20"/>
        </w:rPr>
        <w:t xml:space="preserve"> </w:t>
      </w:r>
      <w:r>
        <w:rPr>
          <w:sz w:val="20"/>
          <w:szCs w:val="20"/>
        </w:rPr>
        <w:t>1.35</w:t>
      </w:r>
      <w:r>
        <w:rPr>
          <w:sz w:val="20"/>
          <w:szCs w:val="20"/>
        </w:rPr>
        <w:t>0</w:t>
      </w:r>
      <w:r>
        <w:rPr>
          <w:sz w:val="20"/>
          <w:szCs w:val="20"/>
        </w:rPr>
        <w:t>% depending upon the ratio of our Total Indebtedness</w:t>
      </w:r>
      <w:r>
        <w:rPr>
          <w:sz w:val="20"/>
          <w:szCs w:val="20"/>
        </w:rPr>
        <w:t xml:space="preserve"> to Gross Asset Value (as defined in the Credit Facility) (LIBOR plus</w:t>
      </w:r>
      <w:r>
        <w:rPr>
          <w:sz w:val="20"/>
          <w:szCs w:val="20"/>
        </w:rPr>
        <w:t xml:space="preserve"> </w:t>
      </w:r>
      <w:r>
        <w:rPr>
          <w:sz w:val="20"/>
          <w:szCs w:val="20"/>
        </w:rPr>
        <w:t>0.7</w:t>
      </w:r>
      <w:r>
        <w:rPr>
          <w:sz w:val="20"/>
          <w:szCs w:val="20"/>
        </w:rPr>
        <w:t>0</w:t>
      </w:r>
      <w:r>
        <w:rPr>
          <w:sz w:val="20"/>
          <w:szCs w:val="20"/>
        </w:rPr>
        <w:t>% at December 31, 2019). We are also required to pay a</w:t>
      </w:r>
      <w:r>
        <w:rPr>
          <w:sz w:val="20"/>
          <w:szCs w:val="20"/>
        </w:rPr>
        <w:t xml:space="preserve"> </w:t>
      </w:r>
      <w:r>
        <w:rPr>
          <w:sz w:val="20"/>
          <w:szCs w:val="20"/>
        </w:rPr>
        <w:t>quarterl</w:t>
      </w:r>
      <w:r>
        <w:rPr>
          <w:sz w:val="20"/>
          <w:szCs w:val="20"/>
        </w:rPr>
        <w:t>y</w:t>
      </w:r>
      <w:r>
        <w:rPr>
          <w:sz w:val="20"/>
          <w:szCs w:val="20"/>
        </w:rPr>
        <w:t xml:space="preserve"> facility fee ranging from</w:t>
      </w:r>
      <w:r>
        <w:rPr>
          <w:sz w:val="20"/>
          <w:szCs w:val="20"/>
        </w:rPr>
        <w:t xml:space="preserve"> </w:t>
      </w:r>
      <w:r>
        <w:rPr>
          <w:sz w:val="20"/>
          <w:szCs w:val="20"/>
        </w:rPr>
        <w:t>0.07</w:t>
      </w:r>
      <w:r>
        <w:rPr>
          <w:sz w:val="20"/>
          <w:szCs w:val="20"/>
        </w:rPr>
        <w:t>0</w:t>
      </w:r>
      <w:r>
        <w:rPr>
          <w:sz w:val="20"/>
          <w:szCs w:val="20"/>
        </w:rPr>
        <w:t>% per annum to</w:t>
      </w:r>
      <w:r>
        <w:rPr>
          <w:sz w:val="20"/>
          <w:szCs w:val="20"/>
        </w:rPr>
        <w:t xml:space="preserve"> </w:t>
      </w:r>
      <w:r>
        <w:rPr>
          <w:sz w:val="20"/>
          <w:szCs w:val="20"/>
        </w:rPr>
        <w:t>0.25</w:t>
      </w:r>
      <w:r>
        <w:rPr>
          <w:sz w:val="20"/>
          <w:szCs w:val="20"/>
        </w:rPr>
        <w:t>0</w:t>
      </w:r>
      <w:r>
        <w:rPr>
          <w:sz w:val="20"/>
          <w:szCs w:val="20"/>
        </w:rPr>
        <w:t xml:space="preserve">% per annum depending upon the ratio of our Total Indebtedness to </w:t>
      </w:r>
      <w:r>
        <w:rPr>
          <w:sz w:val="20"/>
          <w:szCs w:val="20"/>
        </w:rPr>
        <w:t xml:space="preserve">our Gross Asset Value </w:t>
      </w:r>
      <w:r>
        <w:rPr>
          <w:sz w:val="20"/>
          <w:szCs w:val="20"/>
        </w:rPr>
        <w:t>(</w:t>
      </w:r>
      <w:r>
        <w:rPr>
          <w:sz w:val="20"/>
          <w:szCs w:val="20"/>
        </w:rPr>
        <w:t>0.07</w:t>
      </w:r>
      <w:r>
        <w:rPr>
          <w:sz w:val="20"/>
          <w:szCs w:val="20"/>
        </w:rPr>
        <w:t>0</w:t>
      </w:r>
      <w:r>
        <w:rPr>
          <w:sz w:val="20"/>
          <w:szCs w:val="20"/>
        </w:rPr>
        <w:t>% per annum at December 31, 2019). At December 31, 2019 and February 25, 2019, we had</w:t>
      </w:r>
      <w:r>
        <w:rPr>
          <w:sz w:val="20"/>
          <w:szCs w:val="20"/>
        </w:rPr>
        <w:t xml:space="preserve"> </w:t>
      </w:r>
      <w:r>
        <w:rPr>
          <w:sz w:val="20"/>
          <w:szCs w:val="20"/>
        </w:rPr>
        <w:t>n</w:t>
      </w:r>
      <w:r>
        <w:rPr>
          <w:sz w:val="20"/>
          <w:szCs w:val="20"/>
        </w:rPr>
        <w:t>o</w:t>
      </w:r>
      <w:r>
        <w:rPr>
          <w:sz w:val="20"/>
          <w:szCs w:val="20"/>
        </w:rPr>
        <w:t xml:space="preserve"> outstanding borrowings under this Credit Facility. We had undrawn standby letters of credit, which reduce our</w:t>
      </w:r>
      <w:r>
        <w:rPr>
          <w:sz w:val="20"/>
          <w:szCs w:val="20"/>
        </w:rPr>
        <w:t xml:space="preserve"> </w:t>
      </w:r>
    </w:p>
    <w:p w:rsidR="00000000" w:rsidRDefault="00865332">
      <w:pPr>
        <w:pStyle w:val="a3"/>
        <w:spacing w:before="0" w:beforeAutospacing="0" w:after="0" w:afterAutospacing="0" w:line="259" w:lineRule="auto"/>
        <w:jc w:val="center"/>
        <w:divId w:val="2065368227"/>
        <w:rPr>
          <w:sz w:val="20"/>
          <w:szCs w:val="20"/>
        </w:rPr>
      </w:pPr>
      <w:r>
        <w:rPr>
          <w:sz w:val="20"/>
          <w:szCs w:val="20"/>
        </w:rPr>
        <w:t>F</w:t>
      </w:r>
      <w:r>
        <w:rPr>
          <w:sz w:val="20"/>
          <w:szCs w:val="20"/>
        </w:rPr>
        <w:t>-</w:t>
      </w:r>
      <w:r>
        <w:rPr>
          <w:rStyle w:val="ctheaderfooterpage"/>
          <w:sz w:val="20"/>
          <w:szCs w:val="20"/>
        </w:rPr>
        <w:t>1</w:t>
      </w:r>
      <w:r>
        <w:rPr>
          <w:rStyle w:val="ctheaderfooterpage"/>
          <w:sz w:val="20"/>
          <w:szCs w:val="20"/>
        </w:rPr>
        <w:t>8</w:t>
      </w:r>
    </w:p>
    <w:p w:rsidR="00000000" w:rsidRDefault="00865332">
      <w:pPr>
        <w:spacing w:before="360" w:after="360"/>
        <w:divId w:val="1354114708"/>
        <w:rPr>
          <w:rFonts w:eastAsia="Times New Roman"/>
        </w:rPr>
      </w:pPr>
      <w:r>
        <w:rPr>
          <w:rFonts w:eastAsia="Times New Roman"/>
        </w:rPr>
        <w:pict>
          <v:rect id="_x0000_i1113" style="width:0;height:1.5pt" o:hralign="center" o:hrstd="t" o:hr="t" fillcolor="#a0a0a0" stroked="f"/>
        </w:pict>
      </w:r>
    </w:p>
    <w:p w:rsidR="00000000" w:rsidRDefault="00865332">
      <w:pPr>
        <w:pStyle w:val="a3"/>
        <w:spacing w:before="0" w:beforeAutospacing="0" w:after="0" w:afterAutospacing="0" w:line="259" w:lineRule="auto"/>
        <w:jc w:val="center"/>
        <w:divId w:val="1893075747"/>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893075747"/>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1893075747"/>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jc w:val="both"/>
        <w:divId w:val="1048796885"/>
        <w:rPr>
          <w:sz w:val="20"/>
          <w:szCs w:val="20"/>
        </w:rPr>
      </w:pPr>
      <w:r>
        <w:rPr>
          <w:sz w:val="20"/>
          <w:szCs w:val="20"/>
        </w:rPr>
        <w:t xml:space="preserve">borrowing capacity, totaling </w:t>
      </w:r>
      <w:r>
        <w:rPr>
          <w:sz w:val="20"/>
          <w:szCs w:val="20"/>
        </w:rPr>
        <w:t>$</w:t>
      </w:r>
      <w:r>
        <w:rPr>
          <w:sz w:val="20"/>
          <w:szCs w:val="20"/>
        </w:rPr>
        <w:t>15.</w:t>
      </w:r>
      <w:r>
        <w:rPr>
          <w:sz w:val="20"/>
          <w:szCs w:val="20"/>
        </w:rPr>
        <w:t>9</w:t>
      </w:r>
      <w:r>
        <w:rPr>
          <w:sz w:val="20"/>
          <w:szCs w:val="20"/>
        </w:rPr>
        <w:t> million at December 31, 2019 (</w:t>
      </w:r>
      <w:r>
        <w:rPr>
          <w:sz w:val="20"/>
          <w:szCs w:val="20"/>
        </w:rPr>
        <w:t>$</w:t>
      </w:r>
      <w:r>
        <w:rPr>
          <w:sz w:val="20"/>
          <w:szCs w:val="20"/>
        </w:rPr>
        <w:t>16.</w:t>
      </w:r>
      <w:r>
        <w:rPr>
          <w:sz w:val="20"/>
          <w:szCs w:val="20"/>
        </w:rPr>
        <w:t>2</w:t>
      </w:r>
      <w:r>
        <w:rPr>
          <w:sz w:val="20"/>
          <w:szCs w:val="20"/>
        </w:rPr>
        <w:t> million at December 31, 2018). The Credit Facility has various customary restrictive covenants, all of which</w:t>
      </w:r>
      <w:r>
        <w:rPr>
          <w:sz w:val="20"/>
          <w:szCs w:val="20"/>
        </w:rPr>
        <w:t xml:space="preserve"> we were in compliance with at December 31, 2019</w:t>
      </w:r>
      <w:r>
        <w:rPr>
          <w:sz w:val="20"/>
          <w:szCs w:val="20"/>
        </w:rPr>
        <w:t>.</w:t>
      </w:r>
    </w:p>
    <w:p w:rsidR="00000000" w:rsidRDefault="00865332">
      <w:pPr>
        <w:pStyle w:val="a3"/>
        <w:spacing w:before="0" w:beforeAutospacing="0" w:after="0" w:afterAutospacing="0" w:line="259" w:lineRule="auto"/>
        <w:ind w:left="360" w:hanging="360"/>
        <w:divId w:val="1048796885"/>
        <w:rPr>
          <w:sz w:val="20"/>
          <w:szCs w:val="20"/>
        </w:rPr>
      </w:pPr>
      <w:r>
        <w:rPr>
          <w:sz w:val="20"/>
          <w:szCs w:val="20"/>
        </w:rPr>
        <w:t>6</w:t>
      </w:r>
      <w:r>
        <w:rPr>
          <w:sz w:val="20"/>
          <w:szCs w:val="20"/>
        </w:rPr>
        <w:t>.</w:t>
      </w:r>
      <w:r>
        <w:rPr>
          <w:sz w:val="20"/>
          <w:szCs w:val="20"/>
          <w:u w:val="single"/>
        </w:rPr>
        <w:t>Notes Payabl</w:t>
      </w:r>
      <w:r>
        <w:rPr>
          <w:sz w:val="20"/>
          <w:szCs w:val="20"/>
          <w:u w:val="single"/>
        </w:rPr>
        <w:t>e</w:t>
      </w:r>
    </w:p>
    <w:p w:rsidR="00000000" w:rsidRDefault="00865332">
      <w:pPr>
        <w:pStyle w:val="a3"/>
        <w:spacing w:before="0" w:beforeAutospacing="0" w:after="0" w:afterAutospacing="0" w:line="259" w:lineRule="auto"/>
        <w:ind w:left="360" w:firstLine="547"/>
        <w:jc w:val="both"/>
        <w:divId w:val="1048796885"/>
        <w:rPr>
          <w:sz w:val="20"/>
          <w:szCs w:val="20"/>
        </w:rPr>
      </w:pPr>
      <w:r>
        <w:rPr>
          <w:sz w:val="20"/>
          <w:szCs w:val="20"/>
        </w:rPr>
        <w:t>Our notes payable at December 31, 2019 and 2018 are set forth in the table below</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65"/>
        <w:gridCol w:w="602"/>
        <w:gridCol w:w="87"/>
        <w:gridCol w:w="660"/>
        <w:gridCol w:w="87"/>
        <w:gridCol w:w="120"/>
        <w:gridCol w:w="927"/>
        <w:gridCol w:w="120"/>
        <w:gridCol w:w="151"/>
        <w:gridCol w:w="639"/>
        <w:gridCol w:w="150"/>
        <w:gridCol w:w="112"/>
        <w:gridCol w:w="927"/>
        <w:gridCol w:w="120"/>
        <w:gridCol w:w="112"/>
        <w:gridCol w:w="927"/>
      </w:tblGrid>
      <w:tr w:rsidR="00000000">
        <w:trPr>
          <w:divId w:val="1048796885"/>
          <w:trHeight w:val="14"/>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302"/>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Amounts at December 31, 201</w:t>
            </w:r>
            <w:r>
              <w:rPr>
                <w:sz w:val="18"/>
                <w:szCs w:val="18"/>
              </w:rPr>
              <w:t>9</w:t>
            </w:r>
          </w:p>
        </w:tc>
      </w:tr>
      <w:tr w:rsidR="00000000">
        <w:trPr>
          <w:divId w:val="1048796885"/>
          <w:trHeight w:val="302"/>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Coupo</w:t>
            </w:r>
            <w:r>
              <w:rPr>
                <w:sz w:val="18"/>
                <w:szCs w:val="18"/>
              </w:rPr>
              <w:t>n</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Effectiv</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3"/>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Unamortize</w:t>
            </w:r>
            <w:r>
              <w:rPr>
                <w:sz w:val="18"/>
                <w:szCs w:val="18"/>
              </w:rPr>
              <w:t>d</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Boo</w:t>
            </w:r>
            <w:r>
              <w:rPr>
                <w:sz w:val="18"/>
                <w:szCs w:val="18"/>
              </w:rPr>
              <w:t>k</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Fair</w:t>
            </w:r>
            <w:r>
              <w:rPr>
                <w:sz w:val="18"/>
                <w:szCs w:val="18"/>
              </w:rPr>
              <w:t xml:space="preserve">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Principa</w:t>
            </w:r>
            <w:r>
              <w:rPr>
                <w:sz w:val="18"/>
                <w:szCs w:val="18"/>
              </w:rPr>
              <w:t>l</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3"/>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Cost</w:t>
            </w:r>
            <w:r>
              <w:rPr>
                <w:sz w:val="18"/>
                <w:szCs w:val="18"/>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Valu</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Valu</w:t>
            </w:r>
            <w:r>
              <w:rPr>
                <w:sz w:val="18"/>
                <w:szCs w:val="18"/>
              </w:rPr>
              <w:t>e</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trPr>
          <w:divId w:val="1048796885"/>
          <w:trHeight w:val="245"/>
        </w:trPr>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2.37</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2.48</w:t>
            </w:r>
            <w:r>
              <w:rPr>
                <w:sz w:val="18"/>
                <w:szCs w:val="18"/>
              </w:rPr>
              <w:t>3</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1,41</w:t>
            </w:r>
            <w:r>
              <w:rPr>
                <w:sz w:val="18"/>
                <w:szCs w:val="18"/>
              </w:rPr>
              <w:t>9</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498,58</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505,63</w:t>
            </w:r>
            <w:r>
              <w:rPr>
                <w:sz w:val="18"/>
                <w:szCs w:val="18"/>
              </w:rPr>
              <w:t>9</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3.09</w:t>
            </w:r>
            <w:r>
              <w:rPr>
                <w:sz w:val="18"/>
                <w:szCs w:val="18"/>
              </w:rPr>
              <w:t>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3.21</w:t>
            </w:r>
            <w:r>
              <w:rPr>
                <w:sz w:val="18"/>
                <w:szCs w:val="18"/>
              </w:rPr>
              <w:t>8</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4,07</w:t>
            </w:r>
            <w:r>
              <w:rPr>
                <w:sz w:val="18"/>
                <w:szCs w:val="18"/>
              </w:rPr>
              <w:t>6</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495,92</w:t>
            </w:r>
            <w:r>
              <w:rPr>
                <w:sz w:val="18"/>
                <w:szCs w:val="18"/>
              </w:rPr>
              <w:t>4</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520,69</w:t>
            </w:r>
            <w:r>
              <w:rPr>
                <w:sz w:val="18"/>
                <w:szCs w:val="18"/>
              </w:rPr>
              <w:t>4</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3.38</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3.45</w:t>
            </w:r>
            <w:r>
              <w:rPr>
                <w:sz w:val="18"/>
                <w:szCs w:val="18"/>
              </w:rPr>
              <w:t>9</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2,87</w:t>
            </w:r>
            <w:r>
              <w:rPr>
                <w:sz w:val="18"/>
                <w:szCs w:val="18"/>
              </w:rPr>
              <w:t>6</w:t>
            </w: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497,12</w:t>
            </w:r>
            <w:r>
              <w:rPr>
                <w:sz w:val="18"/>
                <w:szCs w:val="18"/>
              </w:rPr>
              <w:t>4</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531,91</w:t>
            </w:r>
            <w:r>
              <w:rPr>
                <w:sz w:val="18"/>
                <w:szCs w:val="18"/>
              </w:rPr>
              <w:t>1</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1,500,00</w:t>
            </w:r>
            <w:r>
              <w:rPr>
                <w:sz w:val="18"/>
                <w:szCs w:val="18"/>
              </w:rPr>
              <w:t>0</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8,37</w:t>
            </w:r>
            <w:r>
              <w:rPr>
                <w:sz w:val="18"/>
                <w:szCs w:val="18"/>
              </w:rPr>
              <w:t>1</w:t>
            </w:r>
            <w:r>
              <w:rPr>
                <w:sz w:val="18"/>
                <w:szCs w:val="18"/>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1,491,62</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1,558,24</w:t>
            </w:r>
            <w:r>
              <w:rPr>
                <w:sz w:val="18"/>
                <w:szCs w:val="18"/>
              </w:rPr>
              <w:t>4</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112,15</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112,15</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115,93</w:t>
            </w:r>
            <w:r>
              <w:rPr>
                <w:sz w:val="18"/>
                <w:szCs w:val="18"/>
              </w:rPr>
              <w:t>2</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271,43</w:t>
            </w:r>
            <w:r>
              <w:rPr>
                <w:sz w:val="18"/>
                <w:szCs w:val="18"/>
              </w:rPr>
              <w:t>3</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271,43</w:t>
            </w:r>
            <w:r>
              <w:rPr>
                <w:sz w:val="18"/>
                <w:szCs w:val="18"/>
              </w:rPr>
              <w:t>3</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298,39</w:t>
            </w:r>
            <w:r>
              <w:rPr>
                <w:sz w:val="18"/>
                <w:szCs w:val="18"/>
              </w:rPr>
              <w:t>8</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383,58</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383,58</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414,33</w:t>
            </w:r>
            <w:r>
              <w:rPr>
                <w:sz w:val="18"/>
                <w:szCs w:val="18"/>
              </w:rPr>
              <w:t>0</w:t>
            </w:r>
            <w:r>
              <w:rPr>
                <w:sz w:val="18"/>
                <w:szCs w:val="18"/>
              </w:rPr>
              <w:t> </w:t>
            </w:r>
          </w:p>
        </w:tc>
      </w:tr>
      <w:tr w:rsidR="00000000">
        <w:trPr>
          <w:divId w:val="1048796885"/>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r>
              <w:rPr>
                <w:sz w:val="18"/>
                <w:szCs w:val="18"/>
              </w:rPr>
              <w:t>, secured by</w:t>
            </w:r>
            <w:r>
              <w:rPr>
                <w:sz w:val="18"/>
                <w:szCs w:val="18"/>
              </w:rPr>
              <w:t xml:space="preserve"> </w:t>
            </w:r>
            <w:r>
              <w:rPr>
                <w:sz w:val="18"/>
                <w:szCs w:val="18"/>
              </w:rPr>
              <w:t>2</w:t>
            </w:r>
            <w:r>
              <w:rPr>
                <w:sz w:val="18"/>
                <w:szCs w:val="18"/>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16"/>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real estate facilities with a ne</w:t>
            </w:r>
            <w:r>
              <w:rPr>
                <w:sz w:val="18"/>
                <w:szCs w:val="18"/>
              </w:rPr>
              <w:t>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16"/>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 xml:space="preserve">book value of </w:t>
            </w:r>
            <w:r>
              <w:rPr>
                <w:sz w:val="18"/>
                <w:szCs w:val="18"/>
              </w:rPr>
              <w:t>$</w:t>
            </w:r>
            <w:r>
              <w:rPr>
                <w:sz w:val="18"/>
                <w:szCs w:val="18"/>
              </w:rPr>
              <w:t>105.</w:t>
            </w:r>
            <w:r>
              <w:rPr>
                <w:sz w:val="18"/>
                <w:szCs w:val="18"/>
              </w:rPr>
              <w:t>7</w:t>
            </w:r>
            <w:r>
              <w:rPr>
                <w:sz w:val="18"/>
                <w:szCs w:val="18"/>
              </w:rPr>
              <w:t xml:space="preserve"> millio</w:t>
            </w:r>
            <w:r>
              <w:rPr>
                <w:sz w:val="18"/>
                <w:szCs w:val="18"/>
              </w:rPr>
              <w:t>n</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4.02</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3.99</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27,27</w:t>
            </w:r>
            <w:r>
              <w:rPr>
                <w:sz w:val="18"/>
                <w:szCs w:val="18"/>
              </w:rPr>
              <w:t>5</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27,27</w:t>
            </w:r>
            <w:r>
              <w:rPr>
                <w:sz w:val="18"/>
                <w:szCs w:val="18"/>
              </w:rPr>
              <w:t>5</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28,50</w:t>
            </w:r>
            <w:r>
              <w:rPr>
                <w:sz w:val="18"/>
                <w:szCs w:val="18"/>
              </w:rPr>
              <w:t>6</w:t>
            </w:r>
            <w:r>
              <w:rPr>
                <w:sz w:val="18"/>
                <w:szCs w:val="18"/>
              </w:rPr>
              <w:t> </w:t>
            </w:r>
          </w:p>
        </w:tc>
      </w:tr>
      <w:tr w:rsidR="00000000">
        <w:trPr>
          <w:divId w:val="1048796885"/>
          <w:trHeight w:val="130"/>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1,910,86</w:t>
            </w:r>
            <w:r>
              <w:rPr>
                <w:sz w:val="18"/>
                <w:szCs w:val="18"/>
              </w:rPr>
              <w:t>4</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34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8,37</w:t>
            </w:r>
            <w:r>
              <w:rPr>
                <w:sz w:val="18"/>
                <w:szCs w:val="18"/>
              </w:rPr>
              <w:t>1</w:t>
            </w:r>
            <w:r>
              <w:rPr>
                <w:sz w:val="18"/>
                <w:szCs w:val="18"/>
              </w:rPr>
              <w:t>)</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1,902,49</w:t>
            </w:r>
            <w:r>
              <w:rPr>
                <w:sz w:val="18"/>
                <w:szCs w:val="18"/>
              </w:rPr>
              <w:t>3</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2,001,08</w:t>
            </w:r>
            <w:r>
              <w:rPr>
                <w:sz w:val="18"/>
                <w:szCs w:val="18"/>
              </w:rPr>
              <w:t>0</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divId w:val="10487968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574"/>
        <w:gridCol w:w="622"/>
        <w:gridCol w:w="99"/>
        <w:gridCol w:w="623"/>
        <w:gridCol w:w="100"/>
        <w:gridCol w:w="133"/>
        <w:gridCol w:w="939"/>
        <w:gridCol w:w="133"/>
        <w:gridCol w:w="133"/>
        <w:gridCol w:w="565"/>
        <w:gridCol w:w="133"/>
        <w:gridCol w:w="125"/>
        <w:gridCol w:w="939"/>
        <w:gridCol w:w="133"/>
        <w:gridCol w:w="125"/>
        <w:gridCol w:w="930"/>
      </w:tblGrid>
      <w:tr w:rsidR="00000000">
        <w:trPr>
          <w:divId w:val="1048796885"/>
          <w:trHeight w:val="14"/>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Amounts at</w:t>
            </w:r>
            <w:r>
              <w:rPr>
                <w:sz w:val="18"/>
                <w:szCs w:val="18"/>
              </w:rPr>
              <w:t xml:space="preserve">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December 31, 201</w:t>
            </w:r>
            <w:r>
              <w:rPr>
                <w:sz w:val="18"/>
                <w:szCs w:val="18"/>
              </w:rPr>
              <w:t>8</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Book</w:t>
            </w:r>
            <w:r>
              <w:rPr>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Fair</w:t>
            </w:r>
            <w:r>
              <w:rPr>
                <w:sz w:val="18"/>
                <w:szCs w:val="18"/>
              </w:rPr>
              <w:t xml:space="preserve">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Valu</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Valu</w:t>
            </w:r>
            <w:r>
              <w:rPr>
                <w:sz w:val="18"/>
                <w:szCs w:val="18"/>
              </w:rPr>
              <w:t>e</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5"/>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trPr>
          <w:divId w:val="1048796885"/>
          <w:trHeight w:val="245"/>
        </w:trPr>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498,05</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482,01</w:t>
            </w:r>
            <w:r>
              <w:rPr>
                <w:sz w:val="18"/>
                <w:szCs w:val="18"/>
              </w:rPr>
              <w:t>7</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495,39</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469,05</w:t>
            </w:r>
            <w:r>
              <w:rPr>
                <w:sz w:val="18"/>
                <w:szCs w:val="18"/>
              </w:rPr>
              <w:t>5</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993,44</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951,07</w:t>
            </w:r>
            <w:r>
              <w:rPr>
                <w:sz w:val="18"/>
                <w:szCs w:val="18"/>
              </w:rPr>
              <w:t>2</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114,44</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115,96</w:t>
            </w:r>
            <w:r>
              <w:rPr>
                <w:sz w:val="18"/>
                <w:szCs w:val="18"/>
              </w:rPr>
              <w:t>4</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276,98</w:t>
            </w:r>
            <w:r>
              <w:rPr>
                <w:sz w:val="18"/>
                <w:szCs w:val="18"/>
              </w:rPr>
              <w:t>2</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286,07</w:t>
            </w:r>
            <w:r>
              <w:rPr>
                <w:sz w:val="18"/>
                <w:szCs w:val="18"/>
              </w:rPr>
              <w:t>8</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391,43</w:t>
            </w:r>
            <w:r>
              <w:rPr>
                <w:sz w:val="18"/>
                <w:szCs w:val="18"/>
              </w:rPr>
              <w:t>1</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402,04</w:t>
            </w:r>
            <w:r>
              <w:rPr>
                <w:sz w:val="18"/>
                <w:szCs w:val="18"/>
              </w:rPr>
              <w:t>2</w:t>
            </w:r>
            <w:r>
              <w:rPr>
                <w:sz w:val="18"/>
                <w:szCs w:val="18"/>
              </w:rPr>
              <w:t> </w:t>
            </w: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27,40</w:t>
            </w:r>
            <w:r>
              <w:rPr>
                <w:sz w:val="18"/>
                <w:szCs w:val="18"/>
              </w:rPr>
              <w:t>3</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27,61</w:t>
            </w:r>
            <w:r>
              <w:rPr>
                <w:sz w:val="18"/>
                <w:szCs w:val="18"/>
              </w:rPr>
              <w:t>3</w:t>
            </w:r>
            <w:r>
              <w:rPr>
                <w:sz w:val="18"/>
                <w:szCs w:val="18"/>
              </w:rPr>
              <w:t> </w:t>
            </w:r>
          </w:p>
        </w:tc>
      </w:tr>
      <w:tr w:rsidR="00000000">
        <w:trPr>
          <w:divId w:val="1048796885"/>
          <w:trHeight w:val="130"/>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48796885"/>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1,412,28</w:t>
            </w:r>
            <w:r>
              <w:rPr>
                <w:sz w:val="18"/>
                <w:szCs w:val="18"/>
              </w:rPr>
              <w:t>3</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1,380,72</w:t>
            </w:r>
            <w:r>
              <w:rPr>
                <w:sz w:val="18"/>
                <w:szCs w:val="18"/>
              </w:rPr>
              <w:t>7</w:t>
            </w:r>
            <w:r>
              <w:rPr>
                <w:sz w:val="18"/>
                <w:szCs w:val="18"/>
              </w:rPr>
              <w:t> </w:t>
            </w:r>
          </w:p>
        </w:tc>
      </w:tr>
    </w:tbl>
    <w:p w:rsidR="00000000" w:rsidRDefault="00865332">
      <w:pPr>
        <w:pStyle w:val="a3"/>
        <w:spacing w:before="0" w:beforeAutospacing="0" w:after="0" w:afterAutospacing="0" w:line="259" w:lineRule="auto"/>
        <w:jc w:val="center"/>
        <w:divId w:val="952975500"/>
        <w:rPr>
          <w:sz w:val="20"/>
          <w:szCs w:val="20"/>
        </w:rPr>
      </w:pPr>
      <w:r>
        <w:rPr>
          <w:sz w:val="20"/>
          <w:szCs w:val="20"/>
        </w:rPr>
        <w:t>F</w:t>
      </w:r>
      <w:r>
        <w:rPr>
          <w:sz w:val="20"/>
          <w:szCs w:val="20"/>
        </w:rPr>
        <w:t>-</w:t>
      </w:r>
      <w:r>
        <w:rPr>
          <w:rStyle w:val="ctheaderfooterpage"/>
          <w:sz w:val="20"/>
          <w:szCs w:val="20"/>
        </w:rPr>
        <w:t>1</w:t>
      </w:r>
      <w:r>
        <w:rPr>
          <w:rStyle w:val="ctheaderfooterpage"/>
          <w:sz w:val="20"/>
          <w:szCs w:val="20"/>
        </w:rPr>
        <w:t>9</w:t>
      </w:r>
    </w:p>
    <w:p w:rsidR="00000000" w:rsidRDefault="00865332">
      <w:pPr>
        <w:spacing w:before="360" w:after="360"/>
        <w:divId w:val="1701204655"/>
        <w:rPr>
          <w:rFonts w:eastAsia="Times New Roman"/>
        </w:rPr>
      </w:pPr>
      <w:r>
        <w:rPr>
          <w:rFonts w:eastAsia="Times New Roman"/>
        </w:rPr>
        <w:pict>
          <v:rect id="_x0000_i1114" style="width:0;height:1.5pt" o:hralign="center" o:hrstd="t" o:hr="t" fillcolor="#a0a0a0" stroked="f"/>
        </w:pict>
      </w:r>
    </w:p>
    <w:p w:rsidR="00000000" w:rsidRDefault="00865332">
      <w:pPr>
        <w:pStyle w:val="a3"/>
        <w:spacing w:before="0" w:beforeAutospacing="0" w:after="0" w:afterAutospacing="0" w:line="259" w:lineRule="auto"/>
        <w:jc w:val="center"/>
        <w:divId w:val="1483037174"/>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483037174"/>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1483037174"/>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firstLine="360"/>
        <w:jc w:val="both"/>
        <w:divId w:val="566652765"/>
        <w:rPr>
          <w:sz w:val="20"/>
          <w:szCs w:val="20"/>
        </w:rPr>
      </w:pPr>
      <w:r>
        <w:rPr>
          <w:sz w:val="20"/>
          <w:szCs w:val="20"/>
          <w:u w:val="single"/>
        </w:rPr>
        <w:t>U.S. Dollar Denominated Unsecured Note</w:t>
      </w:r>
      <w:r>
        <w:rPr>
          <w:sz w:val="20"/>
          <w:szCs w:val="20"/>
          <w:u w:val="single"/>
        </w:rPr>
        <w:t>s</w:t>
      </w:r>
    </w:p>
    <w:p w:rsidR="00000000" w:rsidRDefault="00865332">
      <w:pPr>
        <w:pStyle w:val="a3"/>
        <w:spacing w:before="0" w:beforeAutospacing="0" w:after="0" w:afterAutospacing="0" w:line="259" w:lineRule="auto"/>
        <w:ind w:left="360" w:firstLine="720"/>
        <w:jc w:val="both"/>
        <w:divId w:val="566652765"/>
        <w:rPr>
          <w:sz w:val="20"/>
          <w:szCs w:val="20"/>
        </w:rPr>
      </w:pPr>
      <w:r>
        <w:rPr>
          <w:sz w:val="20"/>
          <w:szCs w:val="20"/>
        </w:rPr>
        <w:t>On</w:t>
      </w:r>
      <w:r>
        <w:rPr>
          <w:sz w:val="20"/>
          <w:szCs w:val="20"/>
        </w:rPr>
        <w:t xml:space="preserve"> </w:t>
      </w:r>
      <w:r>
        <w:rPr>
          <w:sz w:val="20"/>
          <w:szCs w:val="20"/>
        </w:rPr>
        <w:t>September 18, 201</w:t>
      </w:r>
      <w:r>
        <w:rPr>
          <w:sz w:val="20"/>
          <w:szCs w:val="20"/>
        </w:rPr>
        <w:t>7</w:t>
      </w:r>
      <w:r>
        <w:rPr>
          <w:sz w:val="20"/>
          <w:szCs w:val="20"/>
        </w:rPr>
        <w:t>, we issued, in a public offering,</w:t>
      </w:r>
      <w:r>
        <w:rPr>
          <w:sz w:val="20"/>
          <w:szCs w:val="20"/>
        </w:rPr>
        <w:t xml:space="preserve"> </w:t>
      </w:r>
      <w:r>
        <w:rPr>
          <w:sz w:val="20"/>
          <w:szCs w:val="20"/>
        </w:rPr>
        <w:t>tw</w:t>
      </w:r>
      <w:r>
        <w:rPr>
          <w:sz w:val="20"/>
          <w:szCs w:val="20"/>
        </w:rPr>
        <w:t>o</w:t>
      </w:r>
      <w:r>
        <w:rPr>
          <w:sz w:val="20"/>
          <w:szCs w:val="20"/>
        </w:rPr>
        <w:t xml:space="preserve"> tranches each totaling </w:t>
      </w:r>
      <w:r>
        <w:rPr>
          <w:sz w:val="20"/>
          <w:szCs w:val="20"/>
        </w:rPr>
        <w:t>$</w:t>
      </w:r>
      <w:r>
        <w:rPr>
          <w:sz w:val="20"/>
          <w:szCs w:val="20"/>
        </w:rPr>
        <w:t>500.</w:t>
      </w:r>
      <w:r>
        <w:rPr>
          <w:sz w:val="20"/>
          <w:szCs w:val="20"/>
        </w:rPr>
        <w:t>0</w:t>
      </w:r>
      <w:r>
        <w:rPr>
          <w:sz w:val="20"/>
          <w:szCs w:val="20"/>
        </w:rPr>
        <w:t xml:space="preserve"> million of U.S. Dollar deno</w:t>
      </w:r>
      <w:r>
        <w:rPr>
          <w:sz w:val="20"/>
          <w:szCs w:val="20"/>
        </w:rPr>
        <w:t xml:space="preserve">minated unsecured notes. In connection with the offering, we incurred a total of </w:t>
      </w:r>
      <w:r>
        <w:rPr>
          <w:sz w:val="20"/>
          <w:szCs w:val="20"/>
        </w:rPr>
        <w:t>$</w:t>
      </w:r>
      <w:r>
        <w:rPr>
          <w:sz w:val="20"/>
          <w:szCs w:val="20"/>
        </w:rPr>
        <w:t>7.</w:t>
      </w:r>
      <w:r>
        <w:rPr>
          <w:sz w:val="20"/>
          <w:szCs w:val="20"/>
        </w:rPr>
        <w:t>9</w:t>
      </w:r>
      <w:r>
        <w:rPr>
          <w:sz w:val="20"/>
          <w:szCs w:val="20"/>
        </w:rPr>
        <w:t xml:space="preserve"> million in costs, which is reflected as a reduction in the principal amount and amortized, using the effective interest method, over the term of each respective note. Int</w:t>
      </w:r>
      <w:r>
        <w:rPr>
          <w:sz w:val="20"/>
          <w:szCs w:val="20"/>
        </w:rPr>
        <w:t>erest on such notes is payable semi-annually on March 15 and September 15 of each year, commencing March 15, 2018.</w:t>
      </w:r>
      <w:r>
        <w:rPr>
          <w:sz w:val="20"/>
          <w:szCs w:val="20"/>
        </w:rPr>
        <w:t xml:space="preserve"> </w:t>
      </w:r>
    </w:p>
    <w:p w:rsidR="00000000" w:rsidRDefault="00865332">
      <w:pPr>
        <w:pStyle w:val="a3"/>
        <w:spacing w:before="0" w:beforeAutospacing="0" w:after="0" w:afterAutospacing="0" w:line="259" w:lineRule="auto"/>
        <w:ind w:left="360" w:firstLine="720"/>
        <w:jc w:val="both"/>
        <w:textAlignment w:val="baseline"/>
        <w:divId w:val="566652765"/>
        <w:rPr>
          <w:sz w:val="20"/>
          <w:szCs w:val="20"/>
        </w:rPr>
      </w:pPr>
      <w:r>
        <w:rPr>
          <w:sz w:val="20"/>
          <w:szCs w:val="20"/>
        </w:rPr>
        <w:t>On</w:t>
      </w:r>
      <w:r>
        <w:rPr>
          <w:sz w:val="20"/>
          <w:szCs w:val="20"/>
        </w:rPr>
        <w:t xml:space="preserve"> </w:t>
      </w:r>
      <w:r>
        <w:rPr>
          <w:sz w:val="20"/>
          <w:szCs w:val="20"/>
        </w:rPr>
        <w:t>April 12, 201</w:t>
      </w:r>
      <w:r>
        <w:rPr>
          <w:sz w:val="20"/>
          <w:szCs w:val="20"/>
        </w:rPr>
        <w:t>9</w:t>
      </w:r>
      <w:r>
        <w:rPr>
          <w:sz w:val="20"/>
          <w:szCs w:val="20"/>
        </w:rPr>
        <w:t xml:space="preserve">, we completed a public offering of </w:t>
      </w:r>
      <w:r>
        <w:rPr>
          <w:sz w:val="20"/>
          <w:szCs w:val="20"/>
        </w:rPr>
        <w:t>$</w:t>
      </w:r>
      <w:r>
        <w:rPr>
          <w:sz w:val="20"/>
          <w:szCs w:val="20"/>
        </w:rPr>
        <w:t>50</w:t>
      </w:r>
      <w:r>
        <w:rPr>
          <w:sz w:val="20"/>
          <w:szCs w:val="20"/>
        </w:rPr>
        <w:t>0</w:t>
      </w:r>
      <w:r>
        <w:rPr>
          <w:sz w:val="20"/>
          <w:szCs w:val="20"/>
        </w:rPr>
        <w:t xml:space="preserve"> million in aggregate principal amount of senior notes bearing interest at an annua</w:t>
      </w:r>
      <w:r>
        <w:rPr>
          <w:sz w:val="20"/>
          <w:szCs w:val="20"/>
        </w:rPr>
        <w:t>l rate of</w:t>
      </w:r>
      <w:r>
        <w:rPr>
          <w:sz w:val="20"/>
          <w:szCs w:val="20"/>
        </w:rPr>
        <w:t xml:space="preserve"> </w:t>
      </w:r>
      <w:r>
        <w:rPr>
          <w:sz w:val="20"/>
          <w:szCs w:val="20"/>
        </w:rPr>
        <w:t>3.38</w:t>
      </w:r>
      <w:r>
        <w:rPr>
          <w:sz w:val="20"/>
          <w:szCs w:val="20"/>
        </w:rPr>
        <w:t>5</w:t>
      </w:r>
      <w:r>
        <w:rPr>
          <w:sz w:val="20"/>
          <w:szCs w:val="20"/>
        </w:rPr>
        <w:t>% maturing on</w:t>
      </w:r>
      <w:r>
        <w:rPr>
          <w:sz w:val="20"/>
          <w:szCs w:val="20"/>
        </w:rPr>
        <w:t xml:space="preserve"> </w:t>
      </w:r>
      <w:r>
        <w:rPr>
          <w:sz w:val="20"/>
          <w:szCs w:val="20"/>
        </w:rPr>
        <w:t>May 1, 202</w:t>
      </w:r>
      <w:r>
        <w:rPr>
          <w:sz w:val="20"/>
          <w:szCs w:val="20"/>
        </w:rPr>
        <w:t>9</w:t>
      </w:r>
      <w:r>
        <w:rPr>
          <w:sz w:val="20"/>
          <w:szCs w:val="20"/>
        </w:rPr>
        <w:t xml:space="preserve">. In connection with the offering, we incurred a total of </w:t>
      </w:r>
      <w:r>
        <w:rPr>
          <w:sz w:val="20"/>
          <w:szCs w:val="20"/>
        </w:rPr>
        <w:t>$</w:t>
      </w:r>
      <w:r>
        <w:rPr>
          <w:sz w:val="20"/>
          <w:szCs w:val="20"/>
        </w:rPr>
        <w:t>3.</w:t>
      </w:r>
      <w:r>
        <w:rPr>
          <w:sz w:val="20"/>
          <w:szCs w:val="20"/>
        </w:rPr>
        <w:t>1</w:t>
      </w:r>
      <w:r>
        <w:rPr>
          <w:sz w:val="20"/>
          <w:szCs w:val="20"/>
        </w:rPr>
        <w:t xml:space="preserve"> million in costs. The notes issued on April 12, 2019 and on September 18, 2017 are referred to hereinafter as the “U.S. Dollar Notes.</w:t>
      </w:r>
      <w:r>
        <w:rPr>
          <w:sz w:val="20"/>
          <w:szCs w:val="20"/>
        </w:rPr>
        <w:t>”</w:t>
      </w:r>
    </w:p>
    <w:p w:rsidR="00000000" w:rsidRDefault="00865332">
      <w:pPr>
        <w:pStyle w:val="a3"/>
        <w:spacing w:before="0" w:beforeAutospacing="0" w:after="0" w:afterAutospacing="0" w:line="259" w:lineRule="auto"/>
        <w:ind w:left="360" w:firstLine="720"/>
        <w:jc w:val="both"/>
        <w:divId w:val="566652765"/>
        <w:rPr>
          <w:sz w:val="20"/>
          <w:szCs w:val="20"/>
        </w:rPr>
      </w:pPr>
      <w:r>
        <w:rPr>
          <w:sz w:val="20"/>
          <w:szCs w:val="20"/>
        </w:rPr>
        <w:t>The U.S. Dollar No</w:t>
      </w:r>
      <w:r>
        <w:rPr>
          <w:sz w:val="20"/>
          <w:szCs w:val="20"/>
        </w:rPr>
        <w:t>tes have various financial covenants, all of which we were in compliance with at December 31, 2019. Included in these covenants are (a) a maximum Debt to Total Assets of</w:t>
      </w:r>
      <w:r>
        <w:rPr>
          <w:sz w:val="20"/>
          <w:szCs w:val="20"/>
        </w:rPr>
        <w:t xml:space="preserve"> </w:t>
      </w:r>
      <w:r>
        <w:rPr>
          <w:sz w:val="20"/>
          <w:szCs w:val="20"/>
        </w:rPr>
        <w:t>6</w:t>
      </w:r>
      <w:r>
        <w:rPr>
          <w:sz w:val="20"/>
          <w:szCs w:val="20"/>
        </w:rPr>
        <w:t>5</w:t>
      </w:r>
      <w:r>
        <w:rPr>
          <w:sz w:val="20"/>
          <w:szCs w:val="20"/>
        </w:rPr>
        <w:t>% (approximately</w:t>
      </w:r>
      <w:r>
        <w:rPr>
          <w:sz w:val="20"/>
          <w:szCs w:val="20"/>
        </w:rPr>
        <w:t xml:space="preserve"> </w:t>
      </w:r>
      <w:r>
        <w:rPr>
          <w:sz w:val="20"/>
          <w:szCs w:val="20"/>
        </w:rPr>
        <w:t>5</w:t>
      </w:r>
      <w:r>
        <w:rPr>
          <w:sz w:val="20"/>
          <w:szCs w:val="20"/>
        </w:rPr>
        <w:t>% at December 31, 2019) and (b) a minimum ratio of Adjusted EBITDA</w:t>
      </w:r>
      <w:r>
        <w:rPr>
          <w:sz w:val="20"/>
          <w:szCs w:val="20"/>
        </w:rPr>
        <w:t xml:space="preserve"> to Interest Expense of</w:t>
      </w:r>
      <w:r>
        <w:rPr>
          <w:sz w:val="20"/>
          <w:szCs w:val="20"/>
        </w:rPr>
        <w:t xml:space="preserve"> </w:t>
      </w:r>
      <w:r>
        <w:rPr>
          <w:sz w:val="20"/>
          <w:szCs w:val="20"/>
        </w:rPr>
        <w:t>1.</w:t>
      </w:r>
      <w:r>
        <w:rPr>
          <w:sz w:val="20"/>
          <w:szCs w:val="20"/>
        </w:rPr>
        <w:t>5</w:t>
      </w:r>
      <w:r>
        <w:rPr>
          <w:sz w:val="20"/>
          <w:szCs w:val="20"/>
        </w:rPr>
        <w:t>x (approximately</w:t>
      </w:r>
      <w:r>
        <w:rPr>
          <w:sz w:val="20"/>
          <w:szCs w:val="20"/>
        </w:rPr>
        <w:t xml:space="preserve"> </w:t>
      </w:r>
      <w:r>
        <w:rPr>
          <w:sz w:val="20"/>
          <w:szCs w:val="20"/>
        </w:rPr>
        <w:t>4</w:t>
      </w:r>
      <w:r>
        <w:rPr>
          <w:sz w:val="20"/>
          <w:szCs w:val="20"/>
        </w:rPr>
        <w:t>7</w:t>
      </w:r>
      <w:r>
        <w:rPr>
          <w:sz w:val="20"/>
          <w:szCs w:val="20"/>
        </w:rPr>
        <w:t>x for the twelve months ended December 31, 2019) as well as covenants limiting the amount we can encumber our properties with mortgage debt.</w:t>
      </w:r>
      <w:r>
        <w:rPr>
          <w:sz w:val="20"/>
          <w:szCs w:val="20"/>
        </w:rPr>
        <w:t xml:space="preserve"> </w:t>
      </w:r>
    </w:p>
    <w:p w:rsidR="00000000" w:rsidRDefault="00865332">
      <w:pPr>
        <w:pStyle w:val="a3"/>
        <w:spacing w:before="0" w:beforeAutospacing="0" w:after="0" w:afterAutospacing="0" w:line="259" w:lineRule="auto"/>
        <w:ind w:firstLine="360"/>
        <w:jc w:val="both"/>
        <w:divId w:val="566652765"/>
        <w:rPr>
          <w:sz w:val="20"/>
          <w:szCs w:val="20"/>
        </w:rPr>
      </w:pPr>
      <w:r>
        <w:rPr>
          <w:sz w:val="20"/>
          <w:szCs w:val="20"/>
          <w:u w:val="single"/>
        </w:rPr>
        <w:t>Euro Denominated Unsecured Note</w:t>
      </w:r>
      <w:r>
        <w:rPr>
          <w:sz w:val="20"/>
          <w:szCs w:val="20"/>
          <w:u w:val="single"/>
        </w:rPr>
        <w:t>s</w:t>
      </w:r>
    </w:p>
    <w:p w:rsidR="00000000" w:rsidRDefault="00865332">
      <w:pPr>
        <w:pStyle w:val="a3"/>
        <w:spacing w:before="0" w:beforeAutospacing="0" w:after="0" w:afterAutospacing="0" w:line="259" w:lineRule="auto"/>
        <w:ind w:left="360" w:firstLine="720"/>
        <w:jc w:val="both"/>
        <w:divId w:val="566652765"/>
        <w:rPr>
          <w:sz w:val="20"/>
          <w:szCs w:val="20"/>
        </w:rPr>
      </w:pPr>
      <w:r>
        <w:rPr>
          <w:sz w:val="20"/>
          <w:szCs w:val="20"/>
        </w:rPr>
        <w:t>Our euro denominated unsecured note</w:t>
      </w:r>
      <w:r>
        <w:rPr>
          <w:sz w:val="20"/>
          <w:szCs w:val="20"/>
        </w:rPr>
        <w:t>s (the “Euro Notes”) are payable to institutional investors. The Euro Notes consist of</w:t>
      </w:r>
      <w:r>
        <w:rPr>
          <w:sz w:val="20"/>
          <w:szCs w:val="20"/>
        </w:rPr>
        <w:t xml:space="preserve"> </w:t>
      </w:r>
      <w:r>
        <w:rPr>
          <w:sz w:val="20"/>
          <w:szCs w:val="20"/>
        </w:rPr>
        <w:t>tw</w:t>
      </w:r>
      <w:r>
        <w:rPr>
          <w:sz w:val="20"/>
          <w:szCs w:val="20"/>
        </w:rPr>
        <w:t>o</w:t>
      </w:r>
      <w:r>
        <w:rPr>
          <w:sz w:val="20"/>
          <w:szCs w:val="20"/>
        </w:rPr>
        <w:t xml:space="preserve"> tranches, (i) </w:t>
      </w:r>
      <w:r>
        <w:rPr>
          <w:sz w:val="20"/>
          <w:szCs w:val="20"/>
        </w:rPr>
        <w:t>€</w:t>
      </w:r>
      <w:r>
        <w:rPr>
          <w:sz w:val="20"/>
          <w:szCs w:val="20"/>
        </w:rPr>
        <w:t>242.</w:t>
      </w:r>
      <w:r>
        <w:rPr>
          <w:sz w:val="20"/>
          <w:szCs w:val="20"/>
        </w:rPr>
        <w:t>0</w:t>
      </w:r>
      <w:r>
        <w:rPr>
          <w:sz w:val="20"/>
          <w:szCs w:val="20"/>
        </w:rPr>
        <w:t> million issued on</w:t>
      </w:r>
      <w:r>
        <w:rPr>
          <w:sz w:val="20"/>
          <w:szCs w:val="20"/>
        </w:rPr>
        <w:t xml:space="preserve"> </w:t>
      </w:r>
      <w:r>
        <w:rPr>
          <w:sz w:val="20"/>
          <w:szCs w:val="20"/>
        </w:rPr>
        <w:t>November 3, 201</w:t>
      </w:r>
      <w:r>
        <w:rPr>
          <w:sz w:val="20"/>
          <w:szCs w:val="20"/>
        </w:rPr>
        <w:t>5</w:t>
      </w:r>
      <w:r>
        <w:rPr>
          <w:sz w:val="20"/>
          <w:szCs w:val="20"/>
        </w:rPr>
        <w:t xml:space="preserve"> for </w:t>
      </w:r>
      <w:r>
        <w:rPr>
          <w:sz w:val="20"/>
          <w:szCs w:val="20"/>
        </w:rPr>
        <w:t>$</w:t>
      </w:r>
      <w:r>
        <w:rPr>
          <w:sz w:val="20"/>
          <w:szCs w:val="20"/>
        </w:rPr>
        <w:t>264.</w:t>
      </w:r>
      <w:r>
        <w:rPr>
          <w:sz w:val="20"/>
          <w:szCs w:val="20"/>
        </w:rPr>
        <w:t>3</w:t>
      </w:r>
      <w:r>
        <w:rPr>
          <w:sz w:val="20"/>
          <w:szCs w:val="20"/>
        </w:rPr>
        <w:t xml:space="preserve"> million in net proceeds upon converting the Euros to U.S. Dollars and (ii) </w:t>
      </w:r>
      <w:r>
        <w:rPr>
          <w:sz w:val="20"/>
          <w:szCs w:val="20"/>
        </w:rPr>
        <w:t>€</w:t>
      </w:r>
      <w:r>
        <w:rPr>
          <w:sz w:val="20"/>
          <w:szCs w:val="20"/>
        </w:rPr>
        <w:t>100.</w:t>
      </w:r>
      <w:r>
        <w:rPr>
          <w:sz w:val="20"/>
          <w:szCs w:val="20"/>
        </w:rPr>
        <w:t>0</w:t>
      </w:r>
      <w:r>
        <w:rPr>
          <w:sz w:val="20"/>
          <w:szCs w:val="20"/>
        </w:rPr>
        <w:t> million issued o</w:t>
      </w:r>
      <w:r>
        <w:rPr>
          <w:sz w:val="20"/>
          <w:szCs w:val="20"/>
        </w:rPr>
        <w:t>n</w:t>
      </w:r>
      <w:r>
        <w:rPr>
          <w:sz w:val="20"/>
          <w:szCs w:val="20"/>
        </w:rPr>
        <w:t xml:space="preserve"> </w:t>
      </w:r>
      <w:r>
        <w:rPr>
          <w:sz w:val="20"/>
          <w:szCs w:val="20"/>
        </w:rPr>
        <w:t>April 12, 201</w:t>
      </w:r>
      <w:r>
        <w:rPr>
          <w:sz w:val="20"/>
          <w:szCs w:val="20"/>
        </w:rPr>
        <w:t>6</w:t>
      </w:r>
      <w:r>
        <w:rPr>
          <w:sz w:val="20"/>
          <w:szCs w:val="20"/>
        </w:rPr>
        <w:t xml:space="preserve"> for </w:t>
      </w:r>
      <w:r>
        <w:rPr>
          <w:sz w:val="20"/>
          <w:szCs w:val="20"/>
        </w:rPr>
        <w:t>$</w:t>
      </w:r>
      <w:r>
        <w:rPr>
          <w:sz w:val="20"/>
          <w:szCs w:val="20"/>
        </w:rPr>
        <w:t>113.</w:t>
      </w:r>
      <w:r>
        <w:rPr>
          <w:sz w:val="20"/>
          <w:szCs w:val="20"/>
        </w:rPr>
        <w:t>6</w:t>
      </w:r>
      <w:r>
        <w:rPr>
          <w:sz w:val="20"/>
          <w:szCs w:val="20"/>
        </w:rPr>
        <w:t> million in net proceeds upon converting the Euros to U.S. Dollars. Interest is payable semi-annually. The Euro Notes have various customary financial covenants, all of which we were in compliance with at December 31, 2019.</w:t>
      </w:r>
      <w:r>
        <w:rPr>
          <w:sz w:val="20"/>
          <w:szCs w:val="20"/>
        </w:rPr>
        <w:t xml:space="preserve"> </w:t>
      </w:r>
    </w:p>
    <w:p w:rsidR="00000000" w:rsidRDefault="00865332">
      <w:pPr>
        <w:pStyle w:val="a3"/>
        <w:spacing w:before="0" w:beforeAutospacing="0" w:after="0" w:afterAutospacing="0" w:line="259" w:lineRule="auto"/>
        <w:ind w:left="360" w:firstLine="720"/>
        <w:jc w:val="both"/>
        <w:divId w:val="566652765"/>
        <w:rPr>
          <w:sz w:val="20"/>
          <w:szCs w:val="20"/>
        </w:rPr>
      </w:pPr>
      <w:r>
        <w:rPr>
          <w:sz w:val="20"/>
          <w:szCs w:val="20"/>
        </w:rPr>
        <w:t>We r</w:t>
      </w:r>
      <w:r>
        <w:rPr>
          <w:sz w:val="20"/>
          <w:szCs w:val="20"/>
        </w:rPr>
        <w:t xml:space="preserve">eflect changes in the U.S. Dollar equivalent of the amount payable, as a result of changes in foreign exchange rates as “foreign currency exchange gain (loss)” on our income statement (gains of </w:t>
      </w:r>
      <w:r>
        <w:rPr>
          <w:sz w:val="20"/>
          <w:szCs w:val="20"/>
        </w:rPr>
        <w:t>$</w:t>
      </w:r>
      <w:r>
        <w:rPr>
          <w:sz w:val="20"/>
          <w:szCs w:val="20"/>
        </w:rPr>
        <w:t>7.</w:t>
      </w:r>
      <w:r>
        <w:rPr>
          <w:sz w:val="20"/>
          <w:szCs w:val="20"/>
        </w:rPr>
        <w:t>8</w:t>
      </w:r>
      <w:r>
        <w:rPr>
          <w:sz w:val="20"/>
          <w:szCs w:val="20"/>
        </w:rPr>
        <w:t xml:space="preserve"> million and </w:t>
      </w:r>
      <w:r>
        <w:rPr>
          <w:sz w:val="20"/>
          <w:szCs w:val="20"/>
        </w:rPr>
        <w:t>$</w:t>
      </w:r>
      <w:r>
        <w:rPr>
          <w:sz w:val="20"/>
          <w:szCs w:val="20"/>
        </w:rPr>
        <w:t>18.</w:t>
      </w:r>
      <w:r>
        <w:rPr>
          <w:sz w:val="20"/>
          <w:szCs w:val="20"/>
        </w:rPr>
        <w:t>1</w:t>
      </w:r>
      <w:r>
        <w:rPr>
          <w:sz w:val="20"/>
          <w:szCs w:val="20"/>
        </w:rPr>
        <w:t> </w:t>
      </w:r>
      <w:r>
        <w:rPr>
          <w:sz w:val="20"/>
          <w:szCs w:val="20"/>
        </w:rPr>
        <w:t>million for 2019 and 2018, respectively</w:t>
      </w:r>
      <w:r>
        <w:rPr>
          <w:sz w:val="20"/>
          <w:szCs w:val="20"/>
        </w:rPr>
        <w:t xml:space="preserve">, as compared to a loss of </w:t>
      </w:r>
      <w:r>
        <w:rPr>
          <w:sz w:val="20"/>
          <w:szCs w:val="20"/>
        </w:rPr>
        <w:t>$</w:t>
      </w:r>
      <w:r>
        <w:rPr>
          <w:sz w:val="20"/>
          <w:szCs w:val="20"/>
        </w:rPr>
        <w:t>50.</w:t>
      </w:r>
      <w:r>
        <w:rPr>
          <w:sz w:val="20"/>
          <w:szCs w:val="20"/>
        </w:rPr>
        <w:t>0</w:t>
      </w:r>
      <w:r>
        <w:rPr>
          <w:sz w:val="20"/>
          <w:szCs w:val="20"/>
        </w:rPr>
        <w:t xml:space="preserve"> million for 2017)</w:t>
      </w:r>
      <w:r>
        <w:rPr>
          <w:sz w:val="20"/>
          <w:szCs w:val="20"/>
        </w:rPr>
        <w:t>.</w:t>
      </w:r>
    </w:p>
    <w:p w:rsidR="00000000" w:rsidRDefault="00865332">
      <w:pPr>
        <w:pStyle w:val="a3"/>
        <w:spacing w:before="0" w:beforeAutospacing="0" w:after="0" w:afterAutospacing="0" w:line="259" w:lineRule="auto"/>
        <w:ind w:left="360"/>
        <w:jc w:val="both"/>
        <w:divId w:val="566652765"/>
        <w:rPr>
          <w:sz w:val="20"/>
          <w:szCs w:val="20"/>
        </w:rPr>
      </w:pPr>
      <w:r>
        <w:rPr>
          <w:sz w:val="20"/>
          <w:szCs w:val="20"/>
          <w:u w:val="single"/>
        </w:rPr>
        <w:t>Mortgage Note</w:t>
      </w:r>
      <w:r>
        <w:rPr>
          <w:sz w:val="20"/>
          <w:szCs w:val="20"/>
          <w:u w:val="single"/>
        </w:rPr>
        <w:t>s</w:t>
      </w:r>
    </w:p>
    <w:p w:rsidR="00000000" w:rsidRDefault="00865332">
      <w:pPr>
        <w:pStyle w:val="a3"/>
        <w:spacing w:before="0" w:beforeAutospacing="0" w:after="0" w:afterAutospacing="0" w:line="259" w:lineRule="auto"/>
        <w:ind w:left="360" w:firstLine="720"/>
        <w:jc w:val="both"/>
        <w:divId w:val="566652765"/>
        <w:rPr>
          <w:sz w:val="20"/>
          <w:szCs w:val="20"/>
        </w:rPr>
      </w:pPr>
      <w:r>
        <w:rPr>
          <w:sz w:val="20"/>
          <w:szCs w:val="20"/>
        </w:rPr>
        <w:t>Our non-recourse mortgage debt was assumed in connection with property acquisitions, and recorded at fair value with any premium or discount to the stated note balance amortized using the e</w:t>
      </w:r>
      <w:r>
        <w:rPr>
          <w:sz w:val="20"/>
          <w:szCs w:val="20"/>
        </w:rPr>
        <w:t>ffective interest method.</w:t>
      </w:r>
      <w:r>
        <w:rPr>
          <w:sz w:val="20"/>
          <w:szCs w:val="20"/>
        </w:rPr>
        <w:t xml:space="preserve"> </w:t>
      </w:r>
    </w:p>
    <w:p w:rsidR="00000000" w:rsidRDefault="00865332">
      <w:pPr>
        <w:pStyle w:val="a3"/>
        <w:spacing w:before="0" w:beforeAutospacing="0" w:after="0" w:afterAutospacing="0" w:line="259" w:lineRule="auto"/>
        <w:ind w:left="360" w:firstLine="720"/>
        <w:jc w:val="both"/>
        <w:divId w:val="566652765"/>
        <w:rPr>
          <w:sz w:val="20"/>
          <w:szCs w:val="20"/>
        </w:rPr>
      </w:pPr>
      <w:r>
        <w:rPr>
          <w:sz w:val="20"/>
          <w:szCs w:val="20"/>
        </w:rPr>
        <w:t>During 201</w:t>
      </w:r>
      <w:r>
        <w:rPr>
          <w:sz w:val="20"/>
          <w:szCs w:val="20"/>
        </w:rPr>
        <w:t>9</w:t>
      </w:r>
      <w:r>
        <w:rPr>
          <w:sz w:val="20"/>
          <w:szCs w:val="20"/>
        </w:rPr>
        <w:t xml:space="preserve">, we assumed a mortgage note with a contractual value of </w:t>
      </w:r>
      <w:r>
        <w:rPr>
          <w:sz w:val="20"/>
          <w:szCs w:val="20"/>
        </w:rPr>
        <w:t>$</w:t>
      </w:r>
      <w:r>
        <w:rPr>
          <w:sz w:val="20"/>
          <w:szCs w:val="20"/>
        </w:rPr>
        <w:t>1.</w:t>
      </w:r>
      <w:r>
        <w:rPr>
          <w:sz w:val="20"/>
          <w:szCs w:val="20"/>
        </w:rPr>
        <w:t>8</w:t>
      </w:r>
      <w:r>
        <w:rPr>
          <w:sz w:val="20"/>
          <w:szCs w:val="20"/>
        </w:rPr>
        <w:t xml:space="preserve"> million and an interest rate of</w:t>
      </w:r>
      <w:r>
        <w:rPr>
          <w:sz w:val="20"/>
          <w:szCs w:val="20"/>
        </w:rPr>
        <w:t xml:space="preserve"> </w:t>
      </w:r>
      <w:r>
        <w:rPr>
          <w:sz w:val="20"/>
          <w:szCs w:val="20"/>
        </w:rPr>
        <w:t>3.</w:t>
      </w:r>
      <w:r>
        <w:rPr>
          <w:sz w:val="20"/>
          <w:szCs w:val="20"/>
        </w:rPr>
        <w:t>9</w:t>
      </w:r>
      <w:r>
        <w:rPr>
          <w:sz w:val="20"/>
          <w:szCs w:val="20"/>
        </w:rPr>
        <w:t>%, which approximated market rate, in connection with the acquisition of a real estate facility</w:t>
      </w:r>
      <w:r>
        <w:rPr>
          <w:sz w:val="20"/>
          <w:szCs w:val="20"/>
        </w:rPr>
        <w:t>.</w:t>
      </w:r>
    </w:p>
    <w:p w:rsidR="00000000" w:rsidRDefault="00865332">
      <w:pPr>
        <w:pStyle w:val="a3"/>
        <w:spacing w:before="0" w:beforeAutospacing="0" w:after="0" w:afterAutospacing="0" w:line="259" w:lineRule="auto"/>
        <w:ind w:left="360" w:firstLine="720"/>
        <w:jc w:val="both"/>
        <w:divId w:val="566652765"/>
        <w:rPr>
          <w:sz w:val="20"/>
          <w:szCs w:val="20"/>
        </w:rPr>
      </w:pPr>
      <w:r>
        <w:rPr>
          <w:sz w:val="20"/>
          <w:szCs w:val="20"/>
        </w:rPr>
        <w:t>At December 31, 2019, th</w:t>
      </w:r>
      <w:r>
        <w:rPr>
          <w:sz w:val="20"/>
          <w:szCs w:val="20"/>
        </w:rPr>
        <w:t>e related contractual interest rates are fixed, ranging between</w:t>
      </w:r>
      <w:r>
        <w:rPr>
          <w:sz w:val="20"/>
          <w:szCs w:val="20"/>
        </w:rPr>
        <w:t xml:space="preserve"> </w:t>
      </w:r>
      <w:r>
        <w:rPr>
          <w:sz w:val="20"/>
          <w:szCs w:val="20"/>
        </w:rPr>
        <w:t>3.</w:t>
      </w:r>
      <w:r>
        <w:rPr>
          <w:sz w:val="20"/>
          <w:szCs w:val="20"/>
        </w:rPr>
        <w:t>2</w:t>
      </w:r>
      <w:r>
        <w:rPr>
          <w:sz w:val="20"/>
          <w:szCs w:val="20"/>
        </w:rPr>
        <w:t>% and</w:t>
      </w:r>
      <w:r>
        <w:rPr>
          <w:sz w:val="20"/>
          <w:szCs w:val="20"/>
        </w:rPr>
        <w:t xml:space="preserve"> </w:t>
      </w:r>
      <w:r>
        <w:rPr>
          <w:sz w:val="20"/>
          <w:szCs w:val="20"/>
        </w:rPr>
        <w:t>7.</w:t>
      </w:r>
      <w:r>
        <w:rPr>
          <w:sz w:val="20"/>
          <w:szCs w:val="20"/>
        </w:rPr>
        <w:t>1</w:t>
      </w:r>
      <w:r>
        <w:rPr>
          <w:sz w:val="20"/>
          <w:szCs w:val="20"/>
        </w:rPr>
        <w:t>%, and mature between</w:t>
      </w:r>
      <w:r>
        <w:rPr>
          <w:sz w:val="20"/>
          <w:szCs w:val="20"/>
        </w:rPr>
        <w:t xml:space="preserve"> </w:t>
      </w:r>
      <w:r>
        <w:rPr>
          <w:sz w:val="20"/>
          <w:szCs w:val="20"/>
        </w:rPr>
        <w:t>January 1, 2</w:t>
      </w:r>
      <w:r>
        <w:rPr>
          <w:sz w:val="20"/>
          <w:szCs w:val="20"/>
        </w:rPr>
        <w:t>0</w:t>
      </w:r>
      <w:r>
        <w:rPr>
          <w:sz w:val="20"/>
          <w:szCs w:val="20"/>
        </w:rPr>
        <w:t>2</w:t>
      </w:r>
      <w:r>
        <w:rPr>
          <w:sz w:val="20"/>
          <w:szCs w:val="20"/>
        </w:rPr>
        <w:t>2</w:t>
      </w:r>
      <w:r>
        <w:rPr>
          <w:sz w:val="20"/>
          <w:szCs w:val="20"/>
        </w:rPr>
        <w:t xml:space="preserve"> and</w:t>
      </w:r>
      <w:r>
        <w:rPr>
          <w:sz w:val="20"/>
          <w:szCs w:val="20"/>
        </w:rPr>
        <w:t xml:space="preserve"> </w:t>
      </w:r>
      <w:r>
        <w:rPr>
          <w:sz w:val="20"/>
          <w:szCs w:val="20"/>
        </w:rPr>
        <w:t>July 1, 2</w:t>
      </w:r>
      <w:r>
        <w:rPr>
          <w:sz w:val="20"/>
          <w:szCs w:val="20"/>
        </w:rPr>
        <w:t>0</w:t>
      </w:r>
      <w:r>
        <w:rPr>
          <w:sz w:val="20"/>
          <w:szCs w:val="20"/>
        </w:rPr>
        <w:t>3</w:t>
      </w:r>
      <w:r>
        <w:rPr>
          <w:sz w:val="20"/>
          <w:szCs w:val="20"/>
        </w:rPr>
        <w:t>0</w:t>
      </w:r>
      <w:r>
        <w:rPr>
          <w:sz w:val="20"/>
          <w:szCs w:val="20"/>
        </w:rPr>
        <w:t>.</w:t>
      </w:r>
    </w:p>
    <w:p w:rsidR="00000000" w:rsidRDefault="00865332">
      <w:pPr>
        <w:pStyle w:val="a3"/>
        <w:spacing w:before="0" w:beforeAutospacing="0" w:after="0" w:afterAutospacing="0" w:line="259" w:lineRule="auto"/>
        <w:ind w:left="360" w:firstLine="720"/>
        <w:jc w:val="both"/>
        <w:divId w:val="566652765"/>
        <w:rPr>
          <w:sz w:val="20"/>
          <w:szCs w:val="20"/>
        </w:rPr>
      </w:pPr>
      <w:r>
        <w:rPr>
          <w:sz w:val="20"/>
          <w:szCs w:val="20"/>
        </w:rPr>
        <w:t>At December 31, 2019, approximate principal maturities of our Notes Payable are as follows (amounts in thousands)</w:t>
      </w:r>
      <w:r>
        <w:rPr>
          <w:sz w:val="20"/>
          <w:szCs w:val="20"/>
        </w:rPr>
        <w:t>:</w:t>
      </w:r>
    </w:p>
    <w:p w:rsidR="00000000" w:rsidRDefault="00865332">
      <w:pPr>
        <w:pStyle w:val="a3"/>
        <w:spacing w:before="0" w:beforeAutospacing="0" w:after="0" w:afterAutospacing="0" w:line="259" w:lineRule="auto"/>
        <w:jc w:val="center"/>
        <w:divId w:val="1821263561"/>
        <w:rPr>
          <w:sz w:val="20"/>
          <w:szCs w:val="20"/>
        </w:rPr>
      </w:pPr>
      <w:r>
        <w:rPr>
          <w:sz w:val="20"/>
          <w:szCs w:val="20"/>
        </w:rPr>
        <w:t>F</w:t>
      </w:r>
      <w:r>
        <w:rPr>
          <w:sz w:val="20"/>
          <w:szCs w:val="20"/>
        </w:rPr>
        <w:t>-</w:t>
      </w:r>
      <w:r>
        <w:rPr>
          <w:rStyle w:val="ctheaderfooterpage"/>
          <w:sz w:val="20"/>
          <w:szCs w:val="20"/>
        </w:rPr>
        <w:t>2</w:t>
      </w:r>
      <w:r>
        <w:rPr>
          <w:rStyle w:val="ctheaderfooterpage"/>
          <w:sz w:val="20"/>
          <w:szCs w:val="20"/>
        </w:rPr>
        <w:t>0</w:t>
      </w:r>
    </w:p>
    <w:p w:rsidR="00000000" w:rsidRDefault="00865332">
      <w:pPr>
        <w:spacing w:before="360" w:after="360"/>
        <w:divId w:val="582645635"/>
        <w:rPr>
          <w:rFonts w:eastAsia="Times New Roman"/>
        </w:rPr>
      </w:pPr>
      <w:r>
        <w:rPr>
          <w:rFonts w:eastAsia="Times New Roman"/>
        </w:rPr>
        <w:pict>
          <v:rect id="_x0000_i1115" style="width:0;height:1.5pt" o:hralign="center" o:hrstd="t" o:hr="t" fillcolor="#a0a0a0" stroked="f"/>
        </w:pict>
      </w:r>
    </w:p>
    <w:p w:rsidR="00000000" w:rsidRDefault="00865332">
      <w:pPr>
        <w:pStyle w:val="a3"/>
        <w:spacing w:before="0" w:beforeAutospacing="0" w:after="0" w:afterAutospacing="0" w:line="259" w:lineRule="auto"/>
        <w:jc w:val="center"/>
        <w:divId w:val="596209262"/>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596209262"/>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596209262"/>
        <w:rPr>
          <w:sz w:val="20"/>
          <w:szCs w:val="20"/>
        </w:rPr>
      </w:pPr>
      <w:r>
        <w:rPr>
          <w:b/>
          <w:bCs/>
          <w:sz w:val="20"/>
          <w:szCs w:val="20"/>
        </w:rPr>
        <w:t>December 31, 201</w:t>
      </w:r>
      <w:r>
        <w:rPr>
          <w:b/>
          <w:bCs/>
          <w:sz w:val="20"/>
          <w:szCs w:val="20"/>
        </w:rPr>
        <w:t>9</w:t>
      </w:r>
    </w:p>
    <w:tbl>
      <w:tblPr>
        <w:tblW w:w="5000" w:type="pct"/>
        <w:jc w:val="center"/>
        <w:tblCellMar>
          <w:top w:w="15" w:type="dxa"/>
          <w:left w:w="15" w:type="dxa"/>
          <w:bottom w:w="15" w:type="dxa"/>
          <w:right w:w="15" w:type="dxa"/>
        </w:tblCellMar>
        <w:tblLook w:val="04A0" w:firstRow="1" w:lastRow="0" w:firstColumn="1" w:lastColumn="0" w:noHBand="0" w:noVBand="1"/>
      </w:tblPr>
      <w:tblGrid>
        <w:gridCol w:w="3048"/>
        <w:gridCol w:w="150"/>
        <w:gridCol w:w="1470"/>
        <w:gridCol w:w="199"/>
        <w:gridCol w:w="150"/>
        <w:gridCol w:w="1470"/>
        <w:gridCol w:w="199"/>
        <w:gridCol w:w="150"/>
        <w:gridCol w:w="1470"/>
      </w:tblGrid>
      <w:tr w:rsidR="00000000">
        <w:trPr>
          <w:divId w:val="697464684"/>
          <w:trHeight w:val="14"/>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75"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Unsecure</w:t>
            </w:r>
            <w:r>
              <w:rPr>
                <w:sz w:val="20"/>
                <w:szCs w:val="20"/>
              </w:rPr>
              <w:t>d</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75"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Mortgag</w:t>
            </w:r>
            <w:r>
              <w:rPr>
                <w:sz w:val="20"/>
                <w:szCs w:val="20"/>
              </w:rPr>
              <w:t>e</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75"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75"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75"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75"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Tota</w:t>
            </w:r>
            <w:r>
              <w:rPr>
                <w:sz w:val="20"/>
                <w:szCs w:val="20"/>
              </w:rPr>
              <w:t>l</w:t>
            </w:r>
          </w:p>
        </w:tc>
      </w:tr>
      <w:tr w:rsidR="00000000">
        <w:trPr>
          <w:divId w:val="697464684"/>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697464684"/>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2,01</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2,01</w:t>
            </w:r>
            <w:r>
              <w:rPr>
                <w:sz w:val="20"/>
                <w:szCs w:val="20"/>
              </w:rPr>
              <w:t>5</w:t>
            </w: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1</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1,87</w:t>
            </w:r>
            <w:r>
              <w:rPr>
                <w:sz w:val="20"/>
                <w:szCs w:val="20"/>
              </w:rPr>
              <w:t>1</w:t>
            </w: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2,58</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3</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19,21</w:t>
            </w:r>
            <w:r>
              <w:rPr>
                <w:sz w:val="20"/>
                <w:szCs w:val="20"/>
              </w:rPr>
              <w:t>9</w:t>
            </w: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112,15</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112,28</w:t>
            </w:r>
            <w:r>
              <w:rPr>
                <w:sz w:val="20"/>
                <w:szCs w:val="20"/>
              </w:rPr>
              <w:t>0</w:t>
            </w: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1,271,43</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1,46</w:t>
            </w:r>
            <w:r>
              <w:rPr>
                <w:sz w:val="20"/>
                <w:szCs w:val="20"/>
              </w:rPr>
              <w:t>2</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1,272,89</w:t>
            </w:r>
            <w:r>
              <w:rPr>
                <w:sz w:val="20"/>
                <w:szCs w:val="20"/>
              </w:rPr>
              <w:t>5</w:t>
            </w: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1,883,58</w:t>
            </w:r>
            <w:r>
              <w:rPr>
                <w:sz w:val="20"/>
                <w:szCs w:val="20"/>
              </w:rPr>
              <w:t>9</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27,27</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1,910,86</w:t>
            </w:r>
            <w:r>
              <w:rPr>
                <w:sz w:val="20"/>
                <w:szCs w:val="20"/>
              </w:rPr>
              <w:t>4</w:t>
            </w:r>
          </w:p>
        </w:tc>
      </w:tr>
      <w:tr w:rsidR="00000000">
        <w:trPr>
          <w:divId w:val="697464684"/>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Weighted average effective rate</w:t>
            </w:r>
            <w:r>
              <w:rPr>
                <w:sz w:val="20"/>
                <w:szCs w:val="20"/>
              </w:rPr>
              <w:t xml:space="preserve"> </w:t>
            </w: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w:t>
            </w:r>
            <w:r>
              <w:rPr>
                <w:sz w:val="20"/>
                <w:szCs w:val="20"/>
              </w:rPr>
              <w:t>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w:t>
            </w:r>
            <w:r>
              <w:rPr>
                <w:sz w:val="20"/>
                <w:szCs w:val="20"/>
              </w:rPr>
              <w:t>9</w:t>
            </w:r>
            <w:r>
              <w:rPr>
                <w:sz w:val="20"/>
                <w:szCs w:val="20"/>
              </w:rPr>
              <w:t>%</w:t>
            </w:r>
          </w:p>
        </w:tc>
      </w:tr>
    </w:tbl>
    <w:p w:rsidR="00000000" w:rsidRDefault="00865332">
      <w:pPr>
        <w:pStyle w:val="a3"/>
        <w:spacing w:before="0" w:beforeAutospacing="0" w:after="0" w:afterAutospacing="0" w:line="259" w:lineRule="auto"/>
        <w:ind w:left="360" w:firstLine="720"/>
        <w:jc w:val="both"/>
        <w:divId w:val="697464684"/>
        <w:rPr>
          <w:sz w:val="20"/>
          <w:szCs w:val="20"/>
        </w:rPr>
      </w:pPr>
      <w:r>
        <w:rPr>
          <w:sz w:val="20"/>
          <w:szCs w:val="20"/>
        </w:rPr>
        <w:t xml:space="preserve">Cash paid for interest totaled </w:t>
      </w:r>
      <w:r>
        <w:rPr>
          <w:sz w:val="20"/>
          <w:szCs w:val="20"/>
        </w:rPr>
        <w:t>$</w:t>
      </w:r>
      <w:r>
        <w:rPr>
          <w:sz w:val="20"/>
          <w:szCs w:val="20"/>
        </w:rPr>
        <w:t>48.</w:t>
      </w:r>
      <w:r>
        <w:rPr>
          <w:sz w:val="20"/>
          <w:szCs w:val="20"/>
        </w:rPr>
        <w:t>3</w:t>
      </w:r>
      <w:r>
        <w:rPr>
          <w:sz w:val="20"/>
          <w:szCs w:val="20"/>
        </w:rPr>
        <w:t xml:space="preserve"> million, </w:t>
      </w:r>
      <w:r>
        <w:rPr>
          <w:sz w:val="20"/>
          <w:szCs w:val="20"/>
        </w:rPr>
        <w:t>$</w:t>
      </w:r>
      <w:r>
        <w:rPr>
          <w:sz w:val="20"/>
          <w:szCs w:val="20"/>
        </w:rPr>
        <w:t>36.</w:t>
      </w:r>
      <w:r>
        <w:rPr>
          <w:sz w:val="20"/>
          <w:szCs w:val="20"/>
        </w:rPr>
        <w:t>3</w:t>
      </w:r>
      <w:r>
        <w:rPr>
          <w:sz w:val="20"/>
          <w:szCs w:val="20"/>
        </w:rPr>
        <w:t xml:space="preserve"> million and </w:t>
      </w:r>
      <w:r>
        <w:rPr>
          <w:sz w:val="20"/>
          <w:szCs w:val="20"/>
        </w:rPr>
        <w:t>$</w:t>
      </w:r>
      <w:r>
        <w:rPr>
          <w:sz w:val="20"/>
          <w:szCs w:val="20"/>
        </w:rPr>
        <w:t>16.</w:t>
      </w:r>
      <w:r>
        <w:rPr>
          <w:sz w:val="20"/>
          <w:szCs w:val="20"/>
        </w:rPr>
        <w:t>8</w:t>
      </w:r>
      <w:r>
        <w:rPr>
          <w:sz w:val="20"/>
          <w:szCs w:val="20"/>
        </w:rPr>
        <w:t xml:space="preserve"> million for 2019, 2018 and 2017, respectively. Interest capitalized as real estate totaled </w:t>
      </w:r>
      <w:r>
        <w:rPr>
          <w:sz w:val="20"/>
          <w:szCs w:val="20"/>
        </w:rPr>
        <w:t>$</w:t>
      </w:r>
      <w:r>
        <w:rPr>
          <w:sz w:val="20"/>
          <w:szCs w:val="20"/>
        </w:rPr>
        <w:t>3.</w:t>
      </w:r>
      <w:r>
        <w:rPr>
          <w:sz w:val="20"/>
          <w:szCs w:val="20"/>
        </w:rPr>
        <w:t>9</w:t>
      </w:r>
      <w:r>
        <w:rPr>
          <w:sz w:val="20"/>
          <w:szCs w:val="20"/>
        </w:rPr>
        <w:t xml:space="preserve"> million, </w:t>
      </w:r>
      <w:r>
        <w:rPr>
          <w:sz w:val="20"/>
          <w:szCs w:val="20"/>
        </w:rPr>
        <w:t>$</w:t>
      </w:r>
      <w:r>
        <w:rPr>
          <w:sz w:val="20"/>
          <w:szCs w:val="20"/>
        </w:rPr>
        <w:t>4.</w:t>
      </w:r>
      <w:r>
        <w:rPr>
          <w:sz w:val="20"/>
          <w:szCs w:val="20"/>
        </w:rPr>
        <w:t>8</w:t>
      </w:r>
      <w:r>
        <w:rPr>
          <w:sz w:val="20"/>
          <w:szCs w:val="20"/>
        </w:rPr>
        <w:t xml:space="preserve"> million and </w:t>
      </w:r>
      <w:r>
        <w:rPr>
          <w:sz w:val="20"/>
          <w:szCs w:val="20"/>
        </w:rPr>
        <w:t>$</w:t>
      </w:r>
      <w:r>
        <w:rPr>
          <w:sz w:val="20"/>
          <w:szCs w:val="20"/>
        </w:rPr>
        <w:t>4.</w:t>
      </w:r>
      <w:r>
        <w:rPr>
          <w:sz w:val="20"/>
          <w:szCs w:val="20"/>
        </w:rPr>
        <w:t>4</w:t>
      </w:r>
      <w:r>
        <w:rPr>
          <w:sz w:val="20"/>
          <w:szCs w:val="20"/>
        </w:rPr>
        <w:t xml:space="preserve"> million for 2019, 2018 and 2017, respectively</w:t>
      </w:r>
      <w:r>
        <w:rPr>
          <w:sz w:val="20"/>
          <w:szCs w:val="20"/>
        </w:rPr>
        <w:t>.</w:t>
      </w:r>
    </w:p>
    <w:p w:rsidR="00000000" w:rsidRDefault="00865332">
      <w:pPr>
        <w:pStyle w:val="a3"/>
        <w:spacing w:before="0" w:beforeAutospacing="0" w:after="0" w:afterAutospacing="0" w:line="259" w:lineRule="auto"/>
        <w:ind w:left="360" w:hanging="360"/>
        <w:jc w:val="both"/>
        <w:divId w:val="697464684"/>
        <w:rPr>
          <w:sz w:val="20"/>
          <w:szCs w:val="20"/>
        </w:rPr>
      </w:pPr>
      <w:r>
        <w:rPr>
          <w:sz w:val="20"/>
          <w:szCs w:val="20"/>
        </w:rPr>
        <w:t>7</w:t>
      </w:r>
      <w:r>
        <w:rPr>
          <w:sz w:val="20"/>
          <w:szCs w:val="20"/>
        </w:rPr>
        <w:t>.</w:t>
      </w:r>
      <w:r>
        <w:rPr>
          <w:sz w:val="20"/>
          <w:szCs w:val="20"/>
          <w:u w:val="single"/>
        </w:rPr>
        <w:t>Noncontrol</w:t>
      </w:r>
      <w:r>
        <w:rPr>
          <w:sz w:val="20"/>
          <w:szCs w:val="20"/>
          <w:u w:val="single"/>
        </w:rPr>
        <w:t>ling Interest</w:t>
      </w:r>
      <w:r>
        <w:rPr>
          <w:sz w:val="20"/>
          <w:szCs w:val="20"/>
          <w:u w:val="single"/>
        </w:rPr>
        <w:t>s</w:t>
      </w:r>
    </w:p>
    <w:p w:rsidR="00000000" w:rsidRDefault="00865332">
      <w:pPr>
        <w:pStyle w:val="a3"/>
        <w:spacing w:before="0" w:beforeAutospacing="0" w:after="0" w:afterAutospacing="0" w:line="259" w:lineRule="auto"/>
        <w:ind w:left="360" w:firstLine="720"/>
        <w:jc w:val="both"/>
        <w:divId w:val="697464684"/>
        <w:rPr>
          <w:sz w:val="20"/>
          <w:szCs w:val="20"/>
        </w:rPr>
      </w:pPr>
      <w:r>
        <w:rPr>
          <w:sz w:val="20"/>
          <w:szCs w:val="20"/>
        </w:rPr>
        <w:t>At December 31, 2019, the noncontrolling interests represent (i) third-party equity interests in subsidiaries owning</w:t>
      </w:r>
      <w:r>
        <w:rPr>
          <w:sz w:val="20"/>
          <w:szCs w:val="20"/>
        </w:rPr>
        <w:t xml:space="preserve"> </w:t>
      </w:r>
      <w:r>
        <w:rPr>
          <w:sz w:val="20"/>
          <w:szCs w:val="20"/>
        </w:rPr>
        <w:t>1</w:t>
      </w:r>
      <w:r>
        <w:rPr>
          <w:sz w:val="20"/>
          <w:szCs w:val="20"/>
        </w:rPr>
        <w:t>8</w:t>
      </w:r>
      <w:r>
        <w:rPr>
          <w:sz w:val="20"/>
          <w:szCs w:val="20"/>
        </w:rPr>
        <w:t xml:space="preserve"> operating self-storage facilities and</w:t>
      </w:r>
      <w:r>
        <w:rPr>
          <w:sz w:val="20"/>
          <w:szCs w:val="20"/>
        </w:rPr>
        <w:t xml:space="preserve"> </w:t>
      </w:r>
      <w:r>
        <w:rPr>
          <w:sz w:val="20"/>
          <w:szCs w:val="20"/>
        </w:rPr>
        <w:t>seve</w:t>
      </w:r>
      <w:r>
        <w:rPr>
          <w:sz w:val="20"/>
          <w:szCs w:val="20"/>
        </w:rPr>
        <w:t>n</w:t>
      </w:r>
      <w:r>
        <w:rPr>
          <w:sz w:val="20"/>
          <w:szCs w:val="20"/>
        </w:rPr>
        <w:t xml:space="preserve"> </w:t>
      </w:r>
      <w:r>
        <w:rPr>
          <w:sz w:val="20"/>
          <w:szCs w:val="20"/>
        </w:rPr>
        <w:t>self-storage facilities that are under construction and (ii)</w:t>
      </w:r>
      <w:r>
        <w:rPr>
          <w:sz w:val="20"/>
          <w:szCs w:val="20"/>
        </w:rPr>
        <w:t xml:space="preserve"> </w:t>
      </w:r>
      <w:r>
        <w:rPr>
          <w:sz w:val="20"/>
          <w:szCs w:val="20"/>
        </w:rPr>
        <w:t>231,97</w:t>
      </w:r>
      <w:r>
        <w:rPr>
          <w:sz w:val="20"/>
          <w:szCs w:val="20"/>
        </w:rPr>
        <w:t>8</w:t>
      </w:r>
      <w:r>
        <w:rPr>
          <w:sz w:val="20"/>
          <w:szCs w:val="20"/>
        </w:rPr>
        <w:t xml:space="preserve"> partnership units held by third-parties in a subsidiary that are convertible on a one-for-one basis (subject to certain limitations) into common shares of the Company at the option of the</w:t>
      </w:r>
      <w:r>
        <w:rPr>
          <w:sz w:val="20"/>
          <w:szCs w:val="20"/>
        </w:rPr>
        <w:t xml:space="preserve"> unitholder (collectively, the “Noncontrolling Interests”). At December 31, 2019, the Noncontrolling Interests cannot require us to redeem their interests, other than pursuant to a liquidation of the subsidiary.</w:t>
      </w:r>
      <w:r>
        <w:rPr>
          <w:sz w:val="20"/>
          <w:szCs w:val="20"/>
        </w:rPr>
        <w:t xml:space="preserve"> </w:t>
      </w:r>
    </w:p>
    <w:p w:rsidR="00000000" w:rsidRDefault="00865332">
      <w:pPr>
        <w:pStyle w:val="a3"/>
        <w:spacing w:before="0" w:beforeAutospacing="0" w:after="0" w:afterAutospacing="0" w:line="259" w:lineRule="auto"/>
        <w:ind w:left="360" w:firstLine="720"/>
        <w:jc w:val="both"/>
        <w:divId w:val="697464684"/>
        <w:rPr>
          <w:sz w:val="20"/>
          <w:szCs w:val="20"/>
        </w:rPr>
      </w:pPr>
      <w:r>
        <w:rPr>
          <w:sz w:val="20"/>
          <w:szCs w:val="20"/>
        </w:rPr>
        <w:t xml:space="preserve">During 2019, 2018 and 2017, we allocated a </w:t>
      </w:r>
      <w:r>
        <w:rPr>
          <w:sz w:val="20"/>
          <w:szCs w:val="20"/>
        </w:rPr>
        <w:t xml:space="preserve">total of </w:t>
      </w:r>
      <w:r>
        <w:rPr>
          <w:sz w:val="20"/>
          <w:szCs w:val="20"/>
        </w:rPr>
        <w:t>$</w:t>
      </w:r>
      <w:r>
        <w:rPr>
          <w:sz w:val="20"/>
          <w:szCs w:val="20"/>
        </w:rPr>
        <w:t>5.</w:t>
      </w:r>
      <w:r>
        <w:rPr>
          <w:sz w:val="20"/>
          <w:szCs w:val="20"/>
        </w:rPr>
        <w:t>1</w:t>
      </w:r>
      <w:r>
        <w:rPr>
          <w:sz w:val="20"/>
          <w:szCs w:val="20"/>
        </w:rPr>
        <w:t xml:space="preserve"> million, </w:t>
      </w:r>
      <w:r>
        <w:rPr>
          <w:sz w:val="20"/>
          <w:szCs w:val="20"/>
        </w:rPr>
        <w:t>$</w:t>
      </w:r>
      <w:r>
        <w:rPr>
          <w:sz w:val="20"/>
          <w:szCs w:val="20"/>
        </w:rPr>
        <w:t>6.</w:t>
      </w:r>
      <w:r>
        <w:rPr>
          <w:sz w:val="20"/>
          <w:szCs w:val="20"/>
        </w:rPr>
        <w:t>2</w:t>
      </w:r>
      <w:r>
        <w:rPr>
          <w:sz w:val="20"/>
          <w:szCs w:val="20"/>
        </w:rPr>
        <w:t xml:space="preserve"> million and </w:t>
      </w:r>
      <w:r>
        <w:rPr>
          <w:sz w:val="20"/>
          <w:szCs w:val="20"/>
        </w:rPr>
        <w:t>$</w:t>
      </w:r>
      <w:r>
        <w:rPr>
          <w:sz w:val="20"/>
          <w:szCs w:val="20"/>
        </w:rPr>
        <w:t>6.</w:t>
      </w:r>
      <w:r>
        <w:rPr>
          <w:sz w:val="20"/>
          <w:szCs w:val="20"/>
        </w:rPr>
        <w:t>2</w:t>
      </w:r>
      <w:r>
        <w:rPr>
          <w:sz w:val="20"/>
          <w:szCs w:val="20"/>
        </w:rPr>
        <w:t xml:space="preserve"> million, respectively, of income to these interests; and we paid </w:t>
      </w:r>
      <w:r>
        <w:rPr>
          <w:sz w:val="20"/>
          <w:szCs w:val="20"/>
        </w:rPr>
        <w:t>$</w:t>
      </w:r>
      <w:r>
        <w:rPr>
          <w:sz w:val="20"/>
          <w:szCs w:val="20"/>
        </w:rPr>
        <w:t>6.</w:t>
      </w:r>
      <w:r>
        <w:rPr>
          <w:sz w:val="20"/>
          <w:szCs w:val="20"/>
        </w:rPr>
        <w:t>7</w:t>
      </w:r>
      <w:r>
        <w:rPr>
          <w:sz w:val="20"/>
          <w:szCs w:val="20"/>
        </w:rPr>
        <w:t xml:space="preserve"> million, </w:t>
      </w:r>
      <w:r>
        <w:rPr>
          <w:sz w:val="20"/>
          <w:szCs w:val="20"/>
        </w:rPr>
        <w:t>$</w:t>
      </w:r>
      <w:r>
        <w:rPr>
          <w:sz w:val="20"/>
          <w:szCs w:val="20"/>
        </w:rPr>
        <w:t>7.</w:t>
      </w:r>
      <w:r>
        <w:rPr>
          <w:sz w:val="20"/>
          <w:szCs w:val="20"/>
        </w:rPr>
        <w:t>0</w:t>
      </w:r>
      <w:r>
        <w:rPr>
          <w:sz w:val="20"/>
          <w:szCs w:val="20"/>
        </w:rPr>
        <w:t xml:space="preserve"> million and </w:t>
      </w:r>
      <w:r>
        <w:rPr>
          <w:sz w:val="20"/>
          <w:szCs w:val="20"/>
        </w:rPr>
        <w:t>$</w:t>
      </w:r>
      <w:r>
        <w:rPr>
          <w:sz w:val="20"/>
          <w:szCs w:val="20"/>
        </w:rPr>
        <w:t>7.</w:t>
      </w:r>
      <w:r>
        <w:rPr>
          <w:sz w:val="20"/>
          <w:szCs w:val="20"/>
        </w:rPr>
        <w:t>4</w:t>
      </w:r>
      <w:r>
        <w:rPr>
          <w:sz w:val="20"/>
          <w:szCs w:val="20"/>
        </w:rPr>
        <w:t xml:space="preserve"> million, respectively, in distributions to these interests.</w:t>
      </w:r>
      <w:r>
        <w:rPr>
          <w:sz w:val="20"/>
          <w:szCs w:val="20"/>
        </w:rPr>
        <w:t xml:space="preserve"> </w:t>
      </w:r>
    </w:p>
    <w:p w:rsidR="00000000" w:rsidRDefault="00865332">
      <w:pPr>
        <w:pStyle w:val="a3"/>
        <w:spacing w:before="0" w:beforeAutospacing="0" w:after="0" w:afterAutospacing="0" w:line="259" w:lineRule="auto"/>
        <w:ind w:left="360" w:firstLine="720"/>
        <w:jc w:val="both"/>
        <w:divId w:val="697464684"/>
        <w:rPr>
          <w:sz w:val="20"/>
          <w:szCs w:val="20"/>
        </w:rPr>
      </w:pPr>
      <w:r>
        <w:rPr>
          <w:sz w:val="20"/>
          <w:szCs w:val="20"/>
        </w:rPr>
        <w:t>During 2019, we acquired noncontrolling interests</w:t>
      </w:r>
      <w:r>
        <w:rPr>
          <w:sz w:val="20"/>
          <w:szCs w:val="20"/>
        </w:rPr>
        <w:t xml:space="preserve"> for an aggregate of </w:t>
      </w:r>
      <w:r>
        <w:rPr>
          <w:sz w:val="20"/>
          <w:szCs w:val="20"/>
        </w:rPr>
        <w:t>$</w:t>
      </w:r>
      <w:r>
        <w:rPr>
          <w:sz w:val="20"/>
          <w:szCs w:val="20"/>
        </w:rPr>
        <w:t>35.</w:t>
      </w:r>
      <w:r>
        <w:rPr>
          <w:sz w:val="20"/>
          <w:szCs w:val="20"/>
        </w:rPr>
        <w:t>0</w:t>
      </w:r>
      <w:r>
        <w:rPr>
          <w:sz w:val="20"/>
          <w:szCs w:val="20"/>
        </w:rPr>
        <w:t xml:space="preserve"> million (none for 2018) in cash, of which </w:t>
      </w:r>
      <w:r>
        <w:rPr>
          <w:sz w:val="20"/>
          <w:szCs w:val="20"/>
        </w:rPr>
        <w:t>$</w:t>
      </w:r>
      <w:r>
        <w:rPr>
          <w:sz w:val="20"/>
          <w:szCs w:val="20"/>
        </w:rPr>
        <w:t>11.</w:t>
      </w:r>
      <w:r>
        <w:rPr>
          <w:sz w:val="20"/>
          <w:szCs w:val="20"/>
        </w:rPr>
        <w:t>1</w:t>
      </w:r>
      <w:r>
        <w:rPr>
          <w:sz w:val="20"/>
          <w:szCs w:val="20"/>
        </w:rPr>
        <w:t xml:space="preserve"> million was allocated to Noncontrolling Interests, with the remainder allocated to Paid-in Capital. During 2017, we acquired Noncontrolling Interests for </w:t>
      </w:r>
      <w:r>
        <w:rPr>
          <w:sz w:val="20"/>
          <w:szCs w:val="20"/>
        </w:rPr>
        <w:t>$</w:t>
      </w:r>
      <w:r>
        <w:rPr>
          <w:sz w:val="20"/>
          <w:szCs w:val="20"/>
        </w:rPr>
        <w:t>14.</w:t>
      </w:r>
      <w:r>
        <w:rPr>
          <w:sz w:val="20"/>
          <w:szCs w:val="20"/>
        </w:rPr>
        <w:t>4</w:t>
      </w:r>
      <w:r>
        <w:rPr>
          <w:sz w:val="20"/>
          <w:szCs w:val="20"/>
        </w:rPr>
        <w:t> </w:t>
      </w:r>
      <w:r>
        <w:rPr>
          <w:sz w:val="20"/>
          <w:szCs w:val="20"/>
        </w:rPr>
        <w:t>million in cash, of w</w:t>
      </w:r>
      <w:r>
        <w:rPr>
          <w:sz w:val="20"/>
          <w:szCs w:val="20"/>
        </w:rPr>
        <w:t xml:space="preserve">hich </w:t>
      </w:r>
      <w:r>
        <w:rPr>
          <w:sz w:val="20"/>
          <w:szCs w:val="20"/>
        </w:rPr>
        <w:t>$</w:t>
      </w:r>
      <w:r>
        <w:rPr>
          <w:sz w:val="20"/>
          <w:szCs w:val="20"/>
        </w:rPr>
        <w:t>7.</w:t>
      </w:r>
      <w:r>
        <w:rPr>
          <w:sz w:val="20"/>
          <w:szCs w:val="20"/>
        </w:rPr>
        <w:t>7</w:t>
      </w:r>
      <w:r>
        <w:rPr>
          <w:sz w:val="20"/>
          <w:szCs w:val="20"/>
        </w:rPr>
        <w:t xml:space="preserve"> million was allocated to Paid-in capital and </w:t>
      </w:r>
      <w:r>
        <w:rPr>
          <w:sz w:val="20"/>
          <w:szCs w:val="20"/>
        </w:rPr>
        <w:t>$</w:t>
      </w:r>
      <w:r>
        <w:rPr>
          <w:sz w:val="20"/>
          <w:szCs w:val="20"/>
        </w:rPr>
        <w:t>6.</w:t>
      </w:r>
      <w:r>
        <w:rPr>
          <w:sz w:val="20"/>
          <w:szCs w:val="20"/>
        </w:rPr>
        <w:t>7</w:t>
      </w:r>
      <w:r>
        <w:rPr>
          <w:sz w:val="20"/>
          <w:szCs w:val="20"/>
        </w:rPr>
        <w:t xml:space="preserve"> million as a reduction to Noncontrolling Interests. During 2019, 2018 and 2017, Noncontrolling Interests contributed </w:t>
      </w:r>
      <w:r>
        <w:rPr>
          <w:sz w:val="20"/>
          <w:szCs w:val="20"/>
        </w:rPr>
        <w:t>$</w:t>
      </w:r>
      <w:r>
        <w:rPr>
          <w:sz w:val="20"/>
          <w:szCs w:val="20"/>
        </w:rPr>
        <w:t>4.</w:t>
      </w:r>
      <w:r>
        <w:rPr>
          <w:sz w:val="20"/>
          <w:szCs w:val="20"/>
        </w:rPr>
        <w:t>1</w:t>
      </w:r>
      <w:r>
        <w:rPr>
          <w:sz w:val="20"/>
          <w:szCs w:val="20"/>
        </w:rPr>
        <w:t xml:space="preserve"> million, </w:t>
      </w:r>
      <w:r>
        <w:rPr>
          <w:sz w:val="20"/>
          <w:szCs w:val="20"/>
        </w:rPr>
        <w:t>$</w:t>
      </w:r>
      <w:r>
        <w:rPr>
          <w:sz w:val="20"/>
          <w:szCs w:val="20"/>
        </w:rPr>
        <w:t>1.</w:t>
      </w:r>
      <w:r>
        <w:rPr>
          <w:sz w:val="20"/>
          <w:szCs w:val="20"/>
        </w:rPr>
        <w:t>7</w:t>
      </w:r>
      <w:r>
        <w:rPr>
          <w:sz w:val="20"/>
          <w:szCs w:val="20"/>
        </w:rPr>
        <w:t xml:space="preserve"> million and </w:t>
      </w:r>
      <w:r>
        <w:rPr>
          <w:sz w:val="20"/>
          <w:szCs w:val="20"/>
        </w:rPr>
        <w:t>$</w:t>
      </w:r>
      <w:r>
        <w:rPr>
          <w:sz w:val="20"/>
          <w:szCs w:val="20"/>
        </w:rPr>
        <w:t>2.</w:t>
      </w:r>
      <w:r>
        <w:rPr>
          <w:sz w:val="20"/>
          <w:szCs w:val="20"/>
        </w:rPr>
        <w:t>5</w:t>
      </w:r>
      <w:r>
        <w:rPr>
          <w:sz w:val="20"/>
          <w:szCs w:val="20"/>
        </w:rPr>
        <w:t> million, respectively, to our subsidiaries.</w:t>
      </w:r>
      <w:r>
        <w:rPr>
          <w:sz w:val="20"/>
          <w:szCs w:val="20"/>
        </w:rPr>
        <w:t xml:space="preserve"> </w:t>
      </w:r>
    </w:p>
    <w:p w:rsidR="00000000" w:rsidRDefault="00865332">
      <w:pPr>
        <w:pStyle w:val="a3"/>
        <w:spacing w:before="0" w:beforeAutospacing="0" w:after="0" w:afterAutospacing="0" w:line="259" w:lineRule="auto"/>
        <w:ind w:left="360" w:hanging="360"/>
        <w:divId w:val="697464684"/>
        <w:rPr>
          <w:sz w:val="20"/>
          <w:szCs w:val="20"/>
        </w:rPr>
      </w:pPr>
      <w:r>
        <w:rPr>
          <w:sz w:val="20"/>
          <w:szCs w:val="20"/>
        </w:rPr>
        <w:t>8</w:t>
      </w:r>
      <w:r>
        <w:rPr>
          <w:sz w:val="20"/>
          <w:szCs w:val="20"/>
        </w:rPr>
        <w:t>.</w:t>
      </w:r>
      <w:r>
        <w:rPr>
          <w:sz w:val="20"/>
          <w:szCs w:val="20"/>
          <w:u w:val="single"/>
        </w:rPr>
        <w:t>Shareholders’ Equit</w:t>
      </w:r>
      <w:r>
        <w:rPr>
          <w:sz w:val="20"/>
          <w:szCs w:val="20"/>
          <w:u w:val="single"/>
        </w:rPr>
        <w:t>y</w:t>
      </w:r>
    </w:p>
    <w:p w:rsidR="00000000" w:rsidRDefault="00865332">
      <w:pPr>
        <w:pStyle w:val="a3"/>
        <w:spacing w:before="0" w:beforeAutospacing="0" w:after="0" w:afterAutospacing="0" w:line="259" w:lineRule="auto"/>
        <w:ind w:left="1080"/>
        <w:jc w:val="both"/>
        <w:divId w:val="697464684"/>
        <w:rPr>
          <w:sz w:val="20"/>
          <w:szCs w:val="20"/>
        </w:rPr>
      </w:pPr>
      <w:r>
        <w:rPr>
          <w:sz w:val="20"/>
          <w:szCs w:val="20"/>
          <w:u w:val="single"/>
        </w:rPr>
        <w:t>Preferred Share</w:t>
      </w:r>
      <w:r>
        <w:rPr>
          <w:sz w:val="20"/>
          <w:szCs w:val="20"/>
          <w:u w:val="single"/>
        </w:rPr>
        <w:t>s</w:t>
      </w:r>
    </w:p>
    <w:p w:rsidR="00000000" w:rsidRDefault="00865332">
      <w:pPr>
        <w:pStyle w:val="a3"/>
        <w:spacing w:before="0" w:beforeAutospacing="0" w:after="0" w:afterAutospacing="0" w:line="259" w:lineRule="auto"/>
        <w:ind w:left="360" w:firstLine="720"/>
        <w:jc w:val="both"/>
        <w:divId w:val="697464684"/>
        <w:rPr>
          <w:sz w:val="20"/>
          <w:szCs w:val="20"/>
        </w:rPr>
      </w:pPr>
      <w:r>
        <w:rPr>
          <w:sz w:val="20"/>
          <w:szCs w:val="20"/>
        </w:rPr>
        <w:t>At December 31, 2019 and 2018, we had the following series of Cumulative Preferred Shares (“Preferred Shares”) outstanding</w:t>
      </w:r>
      <w:r>
        <w:rPr>
          <w:sz w:val="20"/>
          <w:szCs w:val="20"/>
        </w:rPr>
        <w:t>:</w:t>
      </w:r>
    </w:p>
    <w:p w:rsidR="00000000" w:rsidRDefault="00865332">
      <w:pPr>
        <w:pStyle w:val="a3"/>
        <w:spacing w:before="0" w:beforeAutospacing="0" w:after="0" w:afterAutospacing="0" w:line="259" w:lineRule="auto"/>
        <w:jc w:val="center"/>
        <w:divId w:val="120001004"/>
        <w:rPr>
          <w:sz w:val="20"/>
          <w:szCs w:val="20"/>
        </w:rPr>
      </w:pPr>
      <w:r>
        <w:rPr>
          <w:sz w:val="20"/>
          <w:szCs w:val="20"/>
        </w:rPr>
        <w:t>F</w:t>
      </w:r>
      <w:r>
        <w:rPr>
          <w:sz w:val="20"/>
          <w:szCs w:val="20"/>
        </w:rPr>
        <w:t>-</w:t>
      </w:r>
      <w:r>
        <w:rPr>
          <w:rStyle w:val="ctheaderfooterpage"/>
          <w:sz w:val="20"/>
          <w:szCs w:val="20"/>
        </w:rPr>
        <w:t>2</w:t>
      </w:r>
      <w:r>
        <w:rPr>
          <w:rStyle w:val="ctheaderfooterpage"/>
          <w:sz w:val="20"/>
          <w:szCs w:val="20"/>
        </w:rPr>
        <w:t>1</w:t>
      </w:r>
    </w:p>
    <w:p w:rsidR="00000000" w:rsidRDefault="00865332">
      <w:pPr>
        <w:spacing w:before="360" w:after="360"/>
        <w:divId w:val="1781024782"/>
        <w:rPr>
          <w:rFonts w:eastAsia="Times New Roman"/>
        </w:rPr>
      </w:pPr>
      <w:r>
        <w:rPr>
          <w:rFonts w:eastAsia="Times New Roman"/>
        </w:rPr>
        <w:pict>
          <v:rect id="_x0000_i1116" style="width:0;height:1.5pt" o:hralign="center" o:hrstd="t" o:hr="t" fillcolor="#a0a0a0" stroked="f"/>
        </w:pict>
      </w:r>
    </w:p>
    <w:p w:rsidR="00000000" w:rsidRDefault="00865332">
      <w:pPr>
        <w:pStyle w:val="a3"/>
        <w:spacing w:before="0" w:beforeAutospacing="0" w:after="0" w:afterAutospacing="0" w:line="259" w:lineRule="auto"/>
        <w:jc w:val="center"/>
        <w:divId w:val="522060549"/>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522060549"/>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522060549"/>
        <w:rPr>
          <w:sz w:val="20"/>
          <w:szCs w:val="20"/>
        </w:rPr>
      </w:pPr>
      <w:r>
        <w:rPr>
          <w:b/>
          <w:bCs/>
          <w:sz w:val="20"/>
          <w:szCs w:val="20"/>
        </w:rPr>
        <w:t>December 31, 201</w:t>
      </w:r>
      <w:r>
        <w:rPr>
          <w:b/>
          <w:bCs/>
          <w:sz w:val="20"/>
          <w:szCs w:val="20"/>
        </w:rPr>
        <w:t>9</w:t>
      </w:r>
    </w:p>
    <w:tbl>
      <w:tblPr>
        <w:tblW w:w="5000" w:type="pct"/>
        <w:tblCellMar>
          <w:top w:w="15" w:type="dxa"/>
          <w:left w:w="15" w:type="dxa"/>
          <w:bottom w:w="15" w:type="dxa"/>
          <w:right w:w="15" w:type="dxa"/>
        </w:tblCellMar>
        <w:tblLook w:val="04A0" w:firstRow="1" w:lastRow="0" w:firstColumn="1" w:lastColumn="0" w:noHBand="0" w:noVBand="1"/>
      </w:tblPr>
      <w:tblGrid>
        <w:gridCol w:w="237"/>
        <w:gridCol w:w="1018"/>
        <w:gridCol w:w="146"/>
        <w:gridCol w:w="1126"/>
        <w:gridCol w:w="146"/>
        <w:gridCol w:w="860"/>
        <w:gridCol w:w="146"/>
        <w:gridCol w:w="978"/>
        <w:gridCol w:w="147"/>
        <w:gridCol w:w="163"/>
        <w:gridCol w:w="952"/>
        <w:gridCol w:w="147"/>
        <w:gridCol w:w="978"/>
        <w:gridCol w:w="147"/>
        <w:gridCol w:w="163"/>
        <w:gridCol w:w="952"/>
      </w:tblGrid>
      <w:tr w:rsidR="00000000">
        <w:trPr>
          <w:divId w:val="2121949138"/>
          <w:trHeight w:val="14"/>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At December 31, 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At December 31, 201</w:t>
            </w:r>
            <w:r>
              <w:rPr>
                <w:sz w:val="20"/>
                <w:szCs w:val="20"/>
              </w:rPr>
              <w:t>8</w:t>
            </w:r>
          </w:p>
        </w:tc>
      </w:tr>
      <w:tr w:rsidR="00000000">
        <w:trPr>
          <w:divId w:val="2121949138"/>
          <w:trHeight w:val="79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Serie</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Earliest Redemption Dat</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Dividend Rat</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Shares Outstandin</w:t>
            </w:r>
            <w:r>
              <w:rPr>
                <w:sz w:val="20"/>
                <w:szCs w:val="20"/>
              </w:rPr>
              <w:t>g</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Liquidation Preferenc</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Shares Outstandin</w:t>
            </w:r>
            <w:r>
              <w:rPr>
                <w:sz w:val="20"/>
                <w:szCs w:val="20"/>
              </w:rPr>
              <w:t>g</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Liquidation Preferenc</w:t>
            </w:r>
            <w:r>
              <w:rPr>
                <w:sz w:val="20"/>
                <w:szCs w:val="20"/>
              </w:rPr>
              <w:t>e</w:t>
            </w:r>
          </w:p>
        </w:tc>
      </w:tr>
      <w:tr w:rsidR="00000000">
        <w:trPr>
          <w:divId w:val="2121949138"/>
          <w:trHeight w:val="7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0" w:type="pct"/>
            <w:gridSpan w:val="9"/>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jc w:val="center"/>
              <w:rPr>
                <w:sz w:val="20"/>
                <w:szCs w:val="20"/>
              </w:rPr>
            </w:pPr>
            <w:r>
              <w:rPr>
                <w:sz w:val="20"/>
                <w:szCs w:val="20"/>
              </w:rPr>
              <w:t>(Dollar amounts in thousands</w:t>
            </w:r>
            <w:r>
              <w:rPr>
                <w:sz w:val="20"/>
                <w:szCs w:val="20"/>
              </w:rPr>
              <w:t>)</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U</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6/15/201</w:t>
            </w:r>
            <w:r>
              <w:rPr>
                <w:sz w:val="20"/>
                <w:szCs w:val="20"/>
              </w:rPr>
              <w:t>7</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5.62</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287,50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V</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9/20/201</w:t>
            </w:r>
            <w:r>
              <w:rPr>
                <w:sz w:val="20"/>
                <w:szCs w:val="20"/>
              </w:rPr>
              <w:t>7</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5.37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19,80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495,00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19,80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495,00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W</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1/16/201</w:t>
            </w:r>
            <w:r>
              <w:rPr>
                <w:sz w:val="20"/>
                <w:szCs w:val="20"/>
              </w:rPr>
              <w:t>8</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X</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3/13/201</w:t>
            </w:r>
            <w:r>
              <w:rPr>
                <w:sz w:val="20"/>
                <w:szCs w:val="20"/>
              </w:rPr>
              <w:t>8</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225,00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Y</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3/17/201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6.37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11,40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285,00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Z</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6/4/201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6.00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287,50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A</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12/2/201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5.87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7,60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190,00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B</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1/20/202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5.40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C</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5/17/202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5.12</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8,00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200,00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7/20/202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4.95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325,00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10/14/202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4.90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350,00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14,00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350,00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F</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6/2/202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5.15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280,00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G</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8/9/202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5.05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H</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3/11/202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5.60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11,40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285,00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I</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9/12/202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4.87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12,65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316,25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J</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11/15/202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10,35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258,75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 xml:space="preserve">Series </w:t>
            </w:r>
            <w:r>
              <w:rPr>
                <w:sz w:val="20"/>
                <w:szCs w:val="20"/>
              </w:rPr>
              <w:t>K</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12/20/202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4.75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9,20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230,00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w:t>
            </w:r>
          </w:p>
        </w:tc>
      </w:tr>
      <w:tr w:rsidR="00000000">
        <w:trPr>
          <w:divId w:val="2121949138"/>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245"/>
              <w:rPr>
                <w:sz w:val="20"/>
                <w:szCs w:val="20"/>
              </w:rPr>
            </w:pPr>
            <w:r>
              <w:rPr>
                <w:sz w:val="20"/>
                <w:szCs w:val="20"/>
              </w:rPr>
              <w:t>Total Preferred Share</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162,60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4,065,00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161,00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4,025,00</w:t>
            </w:r>
            <w:r>
              <w:rPr>
                <w:sz w:val="20"/>
                <w:szCs w:val="20"/>
              </w:rPr>
              <w:t>0</w:t>
            </w:r>
          </w:p>
        </w:tc>
      </w:tr>
    </w:tbl>
    <w:p w:rsidR="00000000" w:rsidRDefault="00865332">
      <w:pPr>
        <w:pStyle w:val="a3"/>
        <w:spacing w:before="0" w:beforeAutospacing="0" w:after="0" w:afterAutospacing="0" w:line="259" w:lineRule="auto"/>
        <w:ind w:left="360" w:firstLine="720"/>
        <w:jc w:val="both"/>
        <w:divId w:val="2121949138"/>
        <w:rPr>
          <w:sz w:val="20"/>
          <w:szCs w:val="20"/>
        </w:rPr>
      </w:pPr>
      <w:r>
        <w:rPr>
          <w:sz w:val="20"/>
          <w:szCs w:val="20"/>
        </w:rPr>
        <w:t>The holders of our Preferred Shares have general preference rights with respect to liquidation, quarterly distributions and any accumulated unpaid distributions.</w:t>
      </w:r>
      <w:r>
        <w:rPr>
          <w:sz w:val="20"/>
          <w:szCs w:val="20"/>
        </w:rPr>
        <w:t xml:space="preserve"> Except as noted below, holders of the Preferred Shares do not have voting rights. In the event of a cumulative arrearage equal to</w:t>
      </w:r>
      <w:r>
        <w:rPr>
          <w:sz w:val="20"/>
          <w:szCs w:val="20"/>
        </w:rPr>
        <w:t xml:space="preserve"> </w:t>
      </w:r>
      <w:r>
        <w:rPr>
          <w:sz w:val="20"/>
          <w:szCs w:val="20"/>
        </w:rPr>
        <w:t>si</w:t>
      </w:r>
      <w:r>
        <w:rPr>
          <w:sz w:val="20"/>
          <w:szCs w:val="20"/>
        </w:rPr>
        <w:t>x</w:t>
      </w:r>
      <w:r>
        <w:rPr>
          <w:sz w:val="20"/>
          <w:szCs w:val="20"/>
        </w:rPr>
        <w:t xml:space="preserve"> quarterly dividends, holders of all outstanding series of preferred shares (voting as a single class without regard to se</w:t>
      </w:r>
      <w:r>
        <w:rPr>
          <w:sz w:val="20"/>
          <w:szCs w:val="20"/>
        </w:rPr>
        <w:t>ries) will have the right to elect</w:t>
      </w:r>
      <w:r>
        <w:rPr>
          <w:sz w:val="20"/>
          <w:szCs w:val="20"/>
        </w:rPr>
        <w:t xml:space="preserve"> </w:t>
      </w:r>
      <w:r>
        <w:rPr>
          <w:sz w:val="20"/>
          <w:szCs w:val="20"/>
        </w:rPr>
        <w:t>tw</w:t>
      </w:r>
      <w:r>
        <w:rPr>
          <w:sz w:val="20"/>
          <w:szCs w:val="20"/>
        </w:rPr>
        <w:t>o</w:t>
      </w:r>
      <w:r>
        <w:rPr>
          <w:sz w:val="20"/>
          <w:szCs w:val="20"/>
        </w:rPr>
        <w:t xml:space="preserve"> additional members to serve on our board of trustees (our “Board”) until the arrearage has been cured. At December 31, 2019, there were no dividends in arrears. The affirmative vote of at least</w:t>
      </w:r>
      <w:r>
        <w:rPr>
          <w:sz w:val="20"/>
          <w:szCs w:val="20"/>
        </w:rPr>
        <w:t xml:space="preserve"> </w:t>
      </w:r>
      <w:r>
        <w:rPr>
          <w:sz w:val="20"/>
          <w:szCs w:val="20"/>
        </w:rPr>
        <w:t>66.6</w:t>
      </w:r>
      <w:r>
        <w:rPr>
          <w:sz w:val="20"/>
          <w:szCs w:val="20"/>
        </w:rPr>
        <w:t>7</w:t>
      </w:r>
      <w:r>
        <w:rPr>
          <w:sz w:val="20"/>
          <w:szCs w:val="20"/>
        </w:rPr>
        <w:t>% of the outstandi</w:t>
      </w:r>
      <w:r>
        <w:rPr>
          <w:sz w:val="20"/>
          <w:szCs w:val="20"/>
        </w:rPr>
        <w:t>ng shares of a series of Preferred Shares is required for any material and adverse amendment to the terms of such series. The affirmative vote of at least</w:t>
      </w:r>
      <w:r>
        <w:rPr>
          <w:sz w:val="20"/>
          <w:szCs w:val="20"/>
        </w:rPr>
        <w:t xml:space="preserve"> </w:t>
      </w:r>
      <w:r>
        <w:rPr>
          <w:sz w:val="20"/>
          <w:szCs w:val="20"/>
        </w:rPr>
        <w:t>66.6</w:t>
      </w:r>
      <w:r>
        <w:rPr>
          <w:sz w:val="20"/>
          <w:szCs w:val="20"/>
        </w:rPr>
        <w:t>7</w:t>
      </w:r>
      <w:r>
        <w:rPr>
          <w:sz w:val="20"/>
          <w:szCs w:val="20"/>
        </w:rPr>
        <w:t>% of the outstanding shares of all of our Preferred Shares, voting as a single class, is require</w:t>
      </w:r>
      <w:r>
        <w:rPr>
          <w:sz w:val="20"/>
          <w:szCs w:val="20"/>
        </w:rPr>
        <w:t>d to issue shares ranking senior to our Preferred Shares</w:t>
      </w:r>
      <w:r>
        <w:rPr>
          <w:sz w:val="20"/>
          <w:szCs w:val="20"/>
        </w:rPr>
        <w:t>.</w:t>
      </w:r>
    </w:p>
    <w:p w:rsidR="00000000" w:rsidRDefault="00865332">
      <w:pPr>
        <w:pStyle w:val="a3"/>
        <w:spacing w:before="0" w:beforeAutospacing="0" w:after="0" w:afterAutospacing="0" w:line="259" w:lineRule="auto"/>
        <w:ind w:left="360" w:firstLine="720"/>
        <w:jc w:val="both"/>
        <w:divId w:val="2121949138"/>
        <w:rPr>
          <w:sz w:val="20"/>
          <w:szCs w:val="20"/>
        </w:rPr>
      </w:pPr>
      <w:r>
        <w:rPr>
          <w:sz w:val="20"/>
          <w:szCs w:val="20"/>
        </w:rPr>
        <w:t>Except under certain conditions relating to the Company’s qualification as a REIT, the Preferred Shares are not redeemable prior to the dates indicated on the table above. On or after the respective</w:t>
      </w:r>
      <w:r>
        <w:rPr>
          <w:sz w:val="20"/>
          <w:szCs w:val="20"/>
        </w:rPr>
        <w:t xml:space="preserve"> dates, each of the series of Preferred Shares is redeemable at our option, in whole or in part, at </w:t>
      </w:r>
      <w:r>
        <w:rPr>
          <w:sz w:val="20"/>
          <w:szCs w:val="20"/>
        </w:rPr>
        <w:t>$</w:t>
      </w:r>
      <w:r>
        <w:rPr>
          <w:sz w:val="20"/>
          <w:szCs w:val="20"/>
        </w:rPr>
        <w:t>25.0</w:t>
      </w:r>
      <w:r>
        <w:rPr>
          <w:sz w:val="20"/>
          <w:szCs w:val="20"/>
        </w:rPr>
        <w:t>0</w:t>
      </w:r>
      <w:r>
        <w:rPr>
          <w:sz w:val="20"/>
          <w:szCs w:val="20"/>
        </w:rPr>
        <w:t xml:space="preserve"> per depositary share, plus accrued and unpaid dividends. Holders of the Preferred Shares cannot require us to redeem such shares</w:t>
      </w:r>
      <w:r>
        <w:rPr>
          <w:sz w:val="20"/>
          <w:szCs w:val="20"/>
        </w:rPr>
        <w:t>.</w:t>
      </w:r>
    </w:p>
    <w:p w:rsidR="00000000" w:rsidRDefault="00865332">
      <w:pPr>
        <w:pStyle w:val="a3"/>
        <w:spacing w:before="0" w:beforeAutospacing="0" w:after="0" w:afterAutospacing="0" w:line="259" w:lineRule="auto"/>
        <w:ind w:left="360" w:firstLine="720"/>
        <w:jc w:val="both"/>
        <w:divId w:val="2121949138"/>
        <w:rPr>
          <w:sz w:val="20"/>
          <w:szCs w:val="20"/>
        </w:rPr>
      </w:pPr>
      <w:r>
        <w:rPr>
          <w:sz w:val="20"/>
          <w:szCs w:val="20"/>
        </w:rPr>
        <w:t>Upon issuance of ou</w:t>
      </w:r>
      <w:r>
        <w:rPr>
          <w:sz w:val="20"/>
          <w:szCs w:val="20"/>
        </w:rPr>
        <w:t>r Preferred Shares, we classify the liquidation value as preferred equity on our balance sheet with any issuance costs recorded as a reduction to Paid-in capital</w:t>
      </w:r>
      <w:r>
        <w:rPr>
          <w:sz w:val="20"/>
          <w:szCs w:val="20"/>
        </w:rPr>
        <w:t>.</w:t>
      </w:r>
    </w:p>
    <w:p w:rsidR="00000000" w:rsidRDefault="00865332">
      <w:pPr>
        <w:pStyle w:val="a3"/>
        <w:spacing w:before="0" w:beforeAutospacing="0" w:after="0" w:afterAutospacing="0" w:line="259" w:lineRule="auto"/>
        <w:jc w:val="center"/>
        <w:divId w:val="240721255"/>
        <w:rPr>
          <w:sz w:val="20"/>
          <w:szCs w:val="20"/>
        </w:rPr>
      </w:pPr>
      <w:r>
        <w:rPr>
          <w:sz w:val="20"/>
          <w:szCs w:val="20"/>
        </w:rPr>
        <w:t>F</w:t>
      </w:r>
      <w:r>
        <w:rPr>
          <w:sz w:val="20"/>
          <w:szCs w:val="20"/>
        </w:rPr>
        <w:t>-</w:t>
      </w:r>
      <w:r>
        <w:rPr>
          <w:rStyle w:val="ctheaderfooterpage"/>
          <w:sz w:val="20"/>
          <w:szCs w:val="20"/>
        </w:rPr>
        <w:t>2</w:t>
      </w:r>
      <w:r>
        <w:rPr>
          <w:rStyle w:val="ctheaderfooterpage"/>
          <w:sz w:val="20"/>
          <w:szCs w:val="20"/>
        </w:rPr>
        <w:t>2</w:t>
      </w:r>
    </w:p>
    <w:p w:rsidR="00000000" w:rsidRDefault="00865332">
      <w:pPr>
        <w:spacing w:before="360" w:after="360"/>
        <w:divId w:val="1533378006"/>
        <w:rPr>
          <w:rFonts w:eastAsia="Times New Roman"/>
        </w:rPr>
      </w:pPr>
      <w:r>
        <w:rPr>
          <w:rFonts w:eastAsia="Times New Roman"/>
        </w:rPr>
        <w:pict>
          <v:rect id="_x0000_i1117" style="width:0;height:1.5pt" o:hralign="center" o:hrstd="t" o:hr="t" fillcolor="#a0a0a0" stroked="f"/>
        </w:pict>
      </w:r>
    </w:p>
    <w:p w:rsidR="00000000" w:rsidRDefault="00865332">
      <w:pPr>
        <w:pStyle w:val="a3"/>
        <w:spacing w:before="0" w:beforeAutospacing="0" w:after="0" w:afterAutospacing="0" w:line="259" w:lineRule="auto"/>
        <w:jc w:val="center"/>
        <w:divId w:val="171266937"/>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71266937"/>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171266937"/>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rPr>
        <w:t xml:space="preserve">In 2019, we redeemed our Series U, Series Y, Series Z and Series A Preferred Shares, at par, for a total of </w:t>
      </w:r>
      <w:r>
        <w:rPr>
          <w:sz w:val="20"/>
          <w:szCs w:val="20"/>
        </w:rPr>
        <w:t>$</w:t>
      </w:r>
      <w:r>
        <w:rPr>
          <w:sz w:val="20"/>
          <w:szCs w:val="20"/>
        </w:rPr>
        <w:t>1.0</w:t>
      </w:r>
      <w:r>
        <w:rPr>
          <w:sz w:val="20"/>
          <w:szCs w:val="20"/>
        </w:rPr>
        <w:t>5</w:t>
      </w:r>
      <w:r>
        <w:rPr>
          <w:sz w:val="20"/>
          <w:szCs w:val="20"/>
        </w:rPr>
        <w:t xml:space="preserve"> billion in cash, before payment of accrued dividends.</w:t>
      </w:r>
      <w:r>
        <w:rPr>
          <w:sz w:val="20"/>
          <w:szCs w:val="20"/>
        </w:rPr>
        <w:t xml:space="preserve"> </w:t>
      </w:r>
    </w:p>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rPr>
        <w:t>In 2019, we issued an aggregate</w:t>
      </w:r>
      <w:r>
        <w:rPr>
          <w:sz w:val="20"/>
          <w:szCs w:val="20"/>
        </w:rPr>
        <w:t xml:space="preserve"> </w:t>
      </w:r>
      <w:r>
        <w:rPr>
          <w:sz w:val="20"/>
          <w:szCs w:val="20"/>
        </w:rPr>
        <w:t>43.</w:t>
      </w:r>
      <w:r>
        <w:rPr>
          <w:sz w:val="20"/>
          <w:szCs w:val="20"/>
        </w:rPr>
        <w:t>6</w:t>
      </w:r>
      <w:r>
        <w:rPr>
          <w:sz w:val="20"/>
          <w:szCs w:val="20"/>
        </w:rPr>
        <w:t xml:space="preserve"> mi</w:t>
      </w:r>
      <w:r>
        <w:rPr>
          <w:sz w:val="20"/>
          <w:szCs w:val="20"/>
        </w:rPr>
        <w:t>llion depositary shares, each representing</w:t>
      </w:r>
      <w:r>
        <w:rPr>
          <w:sz w:val="20"/>
          <w:szCs w:val="20"/>
        </w:rPr>
        <w:t xml:space="preserve"> </w:t>
      </w:r>
      <w:r>
        <w:rPr>
          <w:sz w:val="20"/>
          <w:szCs w:val="20"/>
        </w:rPr>
        <w:t>0.00</w:t>
      </w:r>
      <w:r>
        <w:rPr>
          <w:sz w:val="20"/>
          <w:szCs w:val="20"/>
        </w:rPr>
        <w:t>1</w:t>
      </w:r>
      <w:r>
        <w:rPr>
          <w:sz w:val="20"/>
          <w:szCs w:val="20"/>
        </w:rPr>
        <w:t xml:space="preserve"> of a share of our Series H, Series I, Series J and Series K Preferred Shares, at an issuance price of </w:t>
      </w:r>
      <w:r>
        <w:rPr>
          <w:sz w:val="20"/>
          <w:szCs w:val="20"/>
        </w:rPr>
        <w:t>$</w:t>
      </w:r>
      <w:r>
        <w:rPr>
          <w:sz w:val="20"/>
          <w:szCs w:val="20"/>
        </w:rPr>
        <w:t>25.0</w:t>
      </w:r>
      <w:r>
        <w:rPr>
          <w:sz w:val="20"/>
          <w:szCs w:val="20"/>
        </w:rPr>
        <w:t>0</w:t>
      </w:r>
      <w:r>
        <w:rPr>
          <w:sz w:val="20"/>
          <w:szCs w:val="20"/>
        </w:rPr>
        <w:t xml:space="preserve"> per depositary share, for a total of </w:t>
      </w:r>
      <w:r>
        <w:rPr>
          <w:sz w:val="20"/>
          <w:szCs w:val="20"/>
        </w:rPr>
        <w:t>$</w:t>
      </w:r>
      <w:r>
        <w:rPr>
          <w:sz w:val="20"/>
          <w:szCs w:val="20"/>
        </w:rPr>
        <w:t>1.0</w:t>
      </w:r>
      <w:r>
        <w:rPr>
          <w:sz w:val="20"/>
          <w:szCs w:val="20"/>
        </w:rPr>
        <w:t>9</w:t>
      </w:r>
      <w:r>
        <w:rPr>
          <w:sz w:val="20"/>
          <w:szCs w:val="20"/>
        </w:rPr>
        <w:t xml:space="preserve"> billion in gross proceeds, and we incurred </w:t>
      </w:r>
      <w:r>
        <w:rPr>
          <w:sz w:val="20"/>
          <w:szCs w:val="20"/>
        </w:rPr>
        <w:t>$</w:t>
      </w:r>
      <w:r>
        <w:rPr>
          <w:sz w:val="20"/>
          <w:szCs w:val="20"/>
        </w:rPr>
        <w:t>30.</w:t>
      </w:r>
      <w:r>
        <w:rPr>
          <w:sz w:val="20"/>
          <w:szCs w:val="20"/>
        </w:rPr>
        <w:t>8</w:t>
      </w:r>
      <w:r>
        <w:rPr>
          <w:sz w:val="20"/>
          <w:szCs w:val="20"/>
        </w:rPr>
        <w:t xml:space="preserve"> millio</w:t>
      </w:r>
      <w:r>
        <w:rPr>
          <w:sz w:val="20"/>
          <w:szCs w:val="20"/>
        </w:rPr>
        <w:t>n in issuance costs.</w:t>
      </w:r>
      <w:r>
        <w:rPr>
          <w:sz w:val="20"/>
          <w:szCs w:val="20"/>
        </w:rPr>
        <w:t xml:space="preserve"> </w:t>
      </w:r>
    </w:p>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rPr>
        <w:t xml:space="preserve">In 2017, we redeemed our Series S and Series T Preferred Shares, at par, for a total of </w:t>
      </w:r>
      <w:r>
        <w:rPr>
          <w:sz w:val="20"/>
          <w:szCs w:val="20"/>
        </w:rPr>
        <w:t>$</w:t>
      </w:r>
      <w:r>
        <w:rPr>
          <w:sz w:val="20"/>
          <w:szCs w:val="20"/>
        </w:rPr>
        <w:t>922.</w:t>
      </w:r>
      <w:r>
        <w:rPr>
          <w:sz w:val="20"/>
          <w:szCs w:val="20"/>
        </w:rPr>
        <w:t>5</w:t>
      </w:r>
      <w:r>
        <w:rPr>
          <w:sz w:val="20"/>
          <w:szCs w:val="20"/>
        </w:rPr>
        <w:t xml:space="preserve"> million in cash, before payment of accrued dividends.</w:t>
      </w:r>
      <w:r>
        <w:rPr>
          <w:sz w:val="20"/>
          <w:szCs w:val="20"/>
        </w:rPr>
        <w:t xml:space="preserve"> </w:t>
      </w:r>
    </w:p>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rPr>
        <w:t>In 2017, we issued an aggregate</w:t>
      </w:r>
      <w:r>
        <w:rPr>
          <w:sz w:val="20"/>
          <w:szCs w:val="20"/>
        </w:rPr>
        <w:t xml:space="preserve"> </w:t>
      </w:r>
      <w:r>
        <w:rPr>
          <w:sz w:val="20"/>
          <w:szCs w:val="20"/>
        </w:rPr>
        <w:t>23.</w:t>
      </w:r>
      <w:r>
        <w:rPr>
          <w:sz w:val="20"/>
          <w:szCs w:val="20"/>
        </w:rPr>
        <w:t>2</w:t>
      </w:r>
      <w:r>
        <w:rPr>
          <w:sz w:val="20"/>
          <w:szCs w:val="20"/>
        </w:rPr>
        <w:t xml:space="preserve"> million depositary shares, each representing</w:t>
      </w:r>
      <w:r>
        <w:rPr>
          <w:sz w:val="20"/>
          <w:szCs w:val="20"/>
        </w:rPr>
        <w:t xml:space="preserve"> </w:t>
      </w:r>
      <w:r>
        <w:rPr>
          <w:sz w:val="20"/>
          <w:szCs w:val="20"/>
        </w:rPr>
        <w:t>0.</w:t>
      </w:r>
      <w:r>
        <w:rPr>
          <w:sz w:val="20"/>
          <w:szCs w:val="20"/>
        </w:rPr>
        <w:t>00</w:t>
      </w:r>
      <w:r>
        <w:rPr>
          <w:sz w:val="20"/>
          <w:szCs w:val="20"/>
        </w:rPr>
        <w:t>1</w:t>
      </w:r>
      <w:r>
        <w:rPr>
          <w:sz w:val="20"/>
          <w:szCs w:val="20"/>
        </w:rPr>
        <w:t xml:space="preserve"> of a share of our Series F and Series G Preferred Shares, at an issuance price of </w:t>
      </w:r>
      <w:r>
        <w:rPr>
          <w:sz w:val="20"/>
          <w:szCs w:val="20"/>
        </w:rPr>
        <w:t>$</w:t>
      </w:r>
      <w:r>
        <w:rPr>
          <w:sz w:val="20"/>
          <w:szCs w:val="20"/>
        </w:rPr>
        <w:t>25.0</w:t>
      </w:r>
      <w:r>
        <w:rPr>
          <w:sz w:val="20"/>
          <w:szCs w:val="20"/>
        </w:rPr>
        <w:t>0</w:t>
      </w:r>
      <w:r>
        <w:rPr>
          <w:sz w:val="20"/>
          <w:szCs w:val="20"/>
        </w:rPr>
        <w:t xml:space="preserve"> per depositary share, for a total of </w:t>
      </w:r>
      <w:r>
        <w:rPr>
          <w:sz w:val="20"/>
          <w:szCs w:val="20"/>
        </w:rPr>
        <w:t>$</w:t>
      </w:r>
      <w:r>
        <w:rPr>
          <w:sz w:val="20"/>
          <w:szCs w:val="20"/>
        </w:rPr>
        <w:t>580.</w:t>
      </w:r>
      <w:r>
        <w:rPr>
          <w:sz w:val="20"/>
          <w:szCs w:val="20"/>
        </w:rPr>
        <w:t>0</w:t>
      </w:r>
      <w:r>
        <w:rPr>
          <w:sz w:val="20"/>
          <w:szCs w:val="20"/>
        </w:rPr>
        <w:t xml:space="preserve"> million in gross proceeds, and we incurred </w:t>
      </w:r>
      <w:r>
        <w:rPr>
          <w:sz w:val="20"/>
          <w:szCs w:val="20"/>
        </w:rPr>
        <w:t>$</w:t>
      </w:r>
      <w:r>
        <w:rPr>
          <w:sz w:val="20"/>
          <w:szCs w:val="20"/>
        </w:rPr>
        <w:t>18.</w:t>
      </w:r>
      <w:r>
        <w:rPr>
          <w:sz w:val="20"/>
          <w:szCs w:val="20"/>
        </w:rPr>
        <w:t>8</w:t>
      </w:r>
      <w:r>
        <w:rPr>
          <w:sz w:val="20"/>
          <w:szCs w:val="20"/>
        </w:rPr>
        <w:t xml:space="preserve"> million in issuance costs.</w:t>
      </w:r>
      <w:r>
        <w:rPr>
          <w:sz w:val="20"/>
          <w:szCs w:val="20"/>
        </w:rPr>
        <w:t xml:space="preserve"> </w:t>
      </w:r>
    </w:p>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rPr>
        <w:t xml:space="preserve">In 2019 and 2017, we recorded </w:t>
      </w:r>
      <w:r>
        <w:rPr>
          <w:sz w:val="20"/>
          <w:szCs w:val="20"/>
        </w:rPr>
        <w:t>$</w:t>
      </w:r>
      <w:r>
        <w:rPr>
          <w:sz w:val="20"/>
          <w:szCs w:val="20"/>
        </w:rPr>
        <w:t>32.</w:t>
      </w:r>
      <w:r>
        <w:rPr>
          <w:sz w:val="20"/>
          <w:szCs w:val="20"/>
        </w:rPr>
        <w:t>7</w:t>
      </w:r>
      <w:r>
        <w:rPr>
          <w:sz w:val="20"/>
          <w:szCs w:val="20"/>
        </w:rPr>
        <w:t xml:space="preserve"> millio</w:t>
      </w:r>
      <w:r>
        <w:rPr>
          <w:sz w:val="20"/>
          <w:szCs w:val="20"/>
        </w:rPr>
        <w:t xml:space="preserve">n and </w:t>
      </w:r>
      <w:r>
        <w:rPr>
          <w:sz w:val="20"/>
          <w:szCs w:val="20"/>
        </w:rPr>
        <w:t>$</w:t>
      </w:r>
      <w:r>
        <w:rPr>
          <w:sz w:val="20"/>
          <w:szCs w:val="20"/>
        </w:rPr>
        <w:t>29.</w:t>
      </w:r>
      <w:r>
        <w:rPr>
          <w:sz w:val="20"/>
          <w:szCs w:val="20"/>
        </w:rPr>
        <w:t>3</w:t>
      </w:r>
      <w:r>
        <w:rPr>
          <w:sz w:val="20"/>
          <w:szCs w:val="20"/>
        </w:rPr>
        <w:t xml:space="preserve"> million, respectively, in EITF D-42 allocations of income from our common shareholders to the holders of our Preferred Shares in connection with redemptions of Preferred Shares</w:t>
      </w:r>
      <w:r>
        <w:rPr>
          <w:sz w:val="20"/>
          <w:szCs w:val="20"/>
        </w:rPr>
        <w:t>.</w:t>
      </w:r>
    </w:p>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u w:val="single"/>
        </w:rPr>
        <w:t>Common Share</w:t>
      </w:r>
      <w:r>
        <w:rPr>
          <w:sz w:val="20"/>
          <w:szCs w:val="20"/>
          <w:u w:val="single"/>
        </w:rPr>
        <w:t>s</w:t>
      </w:r>
    </w:p>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rPr>
        <w:t>During 2019, 2018 and 2017, activity with respect to</w:t>
      </w:r>
      <w:r>
        <w:rPr>
          <w:sz w:val="20"/>
          <w:szCs w:val="20"/>
        </w:rPr>
        <w:t xml:space="preserve"> the issuance of our common shares was as follows (dollar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659"/>
        <w:gridCol w:w="124"/>
        <w:gridCol w:w="125"/>
        <w:gridCol w:w="726"/>
        <w:gridCol w:w="125"/>
        <w:gridCol w:w="125"/>
        <w:gridCol w:w="676"/>
        <w:gridCol w:w="125"/>
        <w:gridCol w:w="125"/>
        <w:gridCol w:w="718"/>
        <w:gridCol w:w="125"/>
        <w:gridCol w:w="125"/>
        <w:gridCol w:w="676"/>
        <w:gridCol w:w="125"/>
        <w:gridCol w:w="125"/>
        <w:gridCol w:w="676"/>
        <w:gridCol w:w="125"/>
        <w:gridCol w:w="125"/>
        <w:gridCol w:w="676"/>
      </w:tblGrid>
      <w:tr w:rsidR="00000000">
        <w:trPr>
          <w:divId w:val="1051881876"/>
          <w:trHeight w:val="14"/>
        </w:trPr>
        <w:tc>
          <w:tcPr>
            <w:tcW w:w="1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51881876"/>
          <w:trHeight w:val="302"/>
        </w:trPr>
        <w:tc>
          <w:tcPr>
            <w:tcW w:w="1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1051881876"/>
          <w:trHeight w:val="302"/>
        </w:trPr>
        <w:tc>
          <w:tcPr>
            <w:tcW w:w="1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Amoun</w:t>
            </w:r>
            <w:r>
              <w:rPr>
                <w:sz w:val="18"/>
                <w:szCs w:val="18"/>
              </w:rPr>
              <w:t>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Amoun</w:t>
            </w:r>
            <w:r>
              <w:rPr>
                <w:sz w:val="18"/>
                <w:szCs w:val="18"/>
              </w:rPr>
              <w:t>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Amoun</w:t>
            </w:r>
            <w:r>
              <w:rPr>
                <w:sz w:val="18"/>
                <w:szCs w:val="18"/>
              </w:rPr>
              <w:t>t</w:t>
            </w:r>
          </w:p>
        </w:tc>
      </w:tr>
      <w:tr w:rsidR="00000000">
        <w:trPr>
          <w:divId w:val="1051881876"/>
          <w:trHeight w:val="259"/>
        </w:trPr>
        <w:tc>
          <w:tcPr>
            <w:tcW w:w="1595" w:type="pct"/>
            <w:tcBorders>
              <w:top w:val="nil"/>
              <w:left w:val="nil"/>
              <w:bottom w:val="nil"/>
              <w:right w:val="nil"/>
            </w:tcBorders>
            <w:shd w:val="clear" w:color="auto" w:fill="FFFFFF"/>
            <w:tcMar>
              <w:top w:w="0" w:type="dxa"/>
              <w:left w:w="0" w:type="dxa"/>
              <w:bottom w:w="0" w:type="dxa"/>
              <w:right w:w="0" w:type="dxa"/>
            </w:tcMar>
            <w:hideMark/>
          </w:tcPr>
          <w:p w:rsidR="00000000" w:rsidRDefault="00865332">
            <w:pPr>
              <w:pStyle w:val="a3"/>
              <w:spacing w:before="0" w:beforeAutospacing="0" w:after="0" w:afterAutospacing="0" w:line="259" w:lineRule="auto"/>
              <w:rPr>
                <w:sz w:val="18"/>
                <w:szCs w:val="18"/>
              </w:rPr>
            </w:pPr>
            <w:r>
              <w:rPr>
                <w:sz w:val="18"/>
                <w:szCs w:val="18"/>
              </w:rPr>
              <w:t>Employee stock-based compensation an</w:t>
            </w:r>
            <w:r>
              <w:rPr>
                <w:sz w:val="18"/>
                <w:szCs w:val="18"/>
              </w:rPr>
              <w:t>d</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051881876"/>
          <w:trHeight w:val="245"/>
        </w:trPr>
        <w:tc>
          <w:tcPr>
            <w:tcW w:w="1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exercise of stock options (Note 10</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287,73</w:t>
            </w:r>
            <w:r>
              <w:rPr>
                <w:sz w:val="18"/>
                <w:szCs w:val="18"/>
              </w:rPr>
              <w:t>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33,56</w:t>
            </w:r>
            <w:r>
              <w:rPr>
                <w:sz w:val="18"/>
                <w:szCs w:val="18"/>
              </w:rPr>
              <w:t>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3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277,51</w:t>
            </w:r>
            <w:r>
              <w:rPr>
                <w:sz w:val="18"/>
                <w:szCs w:val="18"/>
              </w:rPr>
              <w:t>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12,52</w:t>
            </w:r>
            <w:r>
              <w:rPr>
                <w:sz w:val="18"/>
                <w:szCs w:val="18"/>
              </w:rPr>
              <w:t>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564,58</w:t>
            </w:r>
            <w:r>
              <w:rPr>
                <w:sz w:val="18"/>
                <w:szCs w:val="18"/>
              </w:rPr>
              <w:t>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42,50</w:t>
            </w:r>
            <w:r>
              <w:rPr>
                <w:sz w:val="18"/>
                <w:szCs w:val="18"/>
              </w:rPr>
              <w:t>0</w:t>
            </w:r>
            <w:r>
              <w:rPr>
                <w:sz w:val="18"/>
                <w:szCs w:val="18"/>
              </w:rPr>
              <w:t> </w:t>
            </w:r>
          </w:p>
        </w:tc>
      </w:tr>
    </w:tbl>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rPr>
        <w:t>Our Board previously authorized the repurchase from time to time of up to</w:t>
      </w:r>
      <w:r>
        <w:rPr>
          <w:sz w:val="20"/>
          <w:szCs w:val="20"/>
        </w:rPr>
        <w:t xml:space="preserve"> </w:t>
      </w:r>
      <w:r>
        <w:rPr>
          <w:sz w:val="20"/>
          <w:szCs w:val="20"/>
        </w:rPr>
        <w:t>35.</w:t>
      </w:r>
      <w:r>
        <w:rPr>
          <w:sz w:val="20"/>
          <w:szCs w:val="20"/>
        </w:rPr>
        <w:t>0</w:t>
      </w:r>
      <w:r>
        <w:rPr>
          <w:sz w:val="20"/>
          <w:szCs w:val="20"/>
        </w:rPr>
        <w:t xml:space="preserve"> million of our common shares on the open market or in privately negotiated transactions. Through December 31, 2019, we repurchased approximately</w:t>
      </w:r>
      <w:r>
        <w:rPr>
          <w:sz w:val="20"/>
          <w:szCs w:val="20"/>
        </w:rPr>
        <w:t xml:space="preserve"> </w:t>
      </w:r>
      <w:r>
        <w:rPr>
          <w:sz w:val="20"/>
          <w:szCs w:val="20"/>
        </w:rPr>
        <w:t>23.</w:t>
      </w:r>
      <w:r>
        <w:rPr>
          <w:sz w:val="20"/>
          <w:szCs w:val="20"/>
        </w:rPr>
        <w:t>7</w:t>
      </w:r>
      <w:r>
        <w:rPr>
          <w:sz w:val="20"/>
          <w:szCs w:val="20"/>
        </w:rPr>
        <w:t xml:space="preserve"> million shares pursuant to </w:t>
      </w:r>
      <w:r>
        <w:rPr>
          <w:sz w:val="20"/>
          <w:szCs w:val="20"/>
        </w:rPr>
        <w:t>this authorization;</w:t>
      </w:r>
      <w:r>
        <w:rPr>
          <w:sz w:val="20"/>
          <w:szCs w:val="20"/>
        </w:rPr>
        <w:t xml:space="preserve"> </w:t>
      </w:r>
      <w:r>
        <w:rPr>
          <w:sz w:val="20"/>
          <w:szCs w:val="20"/>
        </w:rPr>
        <w:t>non</w:t>
      </w:r>
      <w:r>
        <w:rPr>
          <w:sz w:val="20"/>
          <w:szCs w:val="20"/>
        </w:rPr>
        <w:t>e</w:t>
      </w:r>
      <w:r>
        <w:rPr>
          <w:sz w:val="20"/>
          <w:szCs w:val="20"/>
        </w:rPr>
        <w:t xml:space="preserve"> of which were repurchased during the three years ended December 31, 2019</w:t>
      </w:r>
      <w:r>
        <w:rPr>
          <w:sz w:val="20"/>
          <w:szCs w:val="20"/>
        </w:rPr>
        <w:t>.</w:t>
      </w:r>
    </w:p>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rPr>
        <w:t>At December 31, 2019 and 2018, we had</w:t>
      </w:r>
      <w:r>
        <w:rPr>
          <w:sz w:val="20"/>
          <w:szCs w:val="20"/>
        </w:rPr>
        <w:t xml:space="preserve"> </w:t>
      </w:r>
      <w:r>
        <w:rPr>
          <w:sz w:val="20"/>
          <w:szCs w:val="20"/>
        </w:rPr>
        <w:t>2,958,81</w:t>
      </w:r>
      <w:r>
        <w:rPr>
          <w:sz w:val="20"/>
          <w:szCs w:val="20"/>
        </w:rPr>
        <w:t>7</w:t>
      </w:r>
      <w:r>
        <w:rPr>
          <w:sz w:val="20"/>
          <w:szCs w:val="20"/>
        </w:rPr>
        <w:t xml:space="preserve"> and</w:t>
      </w:r>
      <w:r>
        <w:rPr>
          <w:sz w:val="20"/>
          <w:szCs w:val="20"/>
        </w:rPr>
        <w:t xml:space="preserve"> </w:t>
      </w:r>
      <w:r>
        <w:rPr>
          <w:sz w:val="20"/>
          <w:szCs w:val="20"/>
        </w:rPr>
        <w:t>3,138,61</w:t>
      </w:r>
      <w:r>
        <w:rPr>
          <w:sz w:val="20"/>
          <w:szCs w:val="20"/>
        </w:rPr>
        <w:t>8</w:t>
      </w:r>
      <w:r>
        <w:rPr>
          <w:sz w:val="20"/>
          <w:szCs w:val="20"/>
        </w:rPr>
        <w:t>, respectively, of common shares reserved in connection with our share-based incentive plans (see Note 10), and</w:t>
      </w:r>
      <w:r>
        <w:rPr>
          <w:sz w:val="20"/>
          <w:szCs w:val="20"/>
        </w:rPr>
        <w:t xml:space="preserve"> </w:t>
      </w:r>
      <w:r>
        <w:rPr>
          <w:sz w:val="20"/>
          <w:szCs w:val="20"/>
        </w:rPr>
        <w:t>231,97</w:t>
      </w:r>
      <w:r>
        <w:rPr>
          <w:sz w:val="20"/>
          <w:szCs w:val="20"/>
        </w:rPr>
        <w:t>8</w:t>
      </w:r>
      <w:r>
        <w:rPr>
          <w:sz w:val="20"/>
          <w:szCs w:val="20"/>
        </w:rPr>
        <w:t xml:space="preserve"> shares reserved for the conversion of partnership units owned by Noncontrolling Interests</w:t>
      </w:r>
      <w:r>
        <w:rPr>
          <w:sz w:val="20"/>
          <w:szCs w:val="20"/>
        </w:rPr>
        <w:t>.</w:t>
      </w:r>
    </w:p>
    <w:p w:rsidR="00000000" w:rsidRDefault="00865332">
      <w:pPr>
        <w:pStyle w:val="a3"/>
        <w:spacing w:before="0" w:beforeAutospacing="0" w:after="0" w:afterAutospacing="0" w:line="259" w:lineRule="auto"/>
        <w:ind w:left="360" w:firstLine="720"/>
        <w:jc w:val="both"/>
        <w:divId w:val="1051881876"/>
        <w:rPr>
          <w:sz w:val="20"/>
          <w:szCs w:val="20"/>
        </w:rPr>
      </w:pPr>
      <w:r>
        <w:rPr>
          <w:sz w:val="20"/>
          <w:szCs w:val="20"/>
        </w:rPr>
        <w:t>The unaudited characterization of dividends f</w:t>
      </w:r>
      <w:r>
        <w:rPr>
          <w:sz w:val="20"/>
          <w:szCs w:val="20"/>
        </w:rPr>
        <w:t xml:space="preserve">or U.S. federal income tax purposes is made based upon earnings and profits of the Company, as defined by the Code. Common share dividends including amounts paid to our restricted share unitholders totaled </w:t>
      </w:r>
      <w:r>
        <w:rPr>
          <w:sz w:val="20"/>
          <w:szCs w:val="20"/>
        </w:rPr>
        <w:t>$</w:t>
      </w:r>
      <w:r>
        <w:rPr>
          <w:sz w:val="20"/>
          <w:szCs w:val="20"/>
        </w:rPr>
        <w:t>1.39</w:t>
      </w:r>
      <w:r>
        <w:rPr>
          <w:sz w:val="20"/>
          <w:szCs w:val="20"/>
        </w:rPr>
        <w:t>9</w:t>
      </w:r>
      <w:r>
        <w:rPr>
          <w:sz w:val="20"/>
          <w:szCs w:val="20"/>
        </w:rPr>
        <w:t xml:space="preserve"> billion (</w:t>
      </w:r>
      <w:r>
        <w:rPr>
          <w:sz w:val="20"/>
          <w:szCs w:val="20"/>
        </w:rPr>
        <w:t>$</w:t>
      </w:r>
      <w:r>
        <w:rPr>
          <w:sz w:val="20"/>
          <w:szCs w:val="20"/>
        </w:rPr>
        <w:t>8.0</w:t>
      </w:r>
      <w:r>
        <w:rPr>
          <w:sz w:val="20"/>
          <w:szCs w:val="20"/>
        </w:rPr>
        <w:t>0</w:t>
      </w:r>
      <w:r>
        <w:rPr>
          <w:sz w:val="20"/>
          <w:szCs w:val="20"/>
        </w:rPr>
        <w:t xml:space="preserve"> per share), </w:t>
      </w:r>
      <w:r>
        <w:rPr>
          <w:sz w:val="20"/>
          <w:szCs w:val="20"/>
        </w:rPr>
        <w:t>$</w:t>
      </w:r>
      <w:r>
        <w:rPr>
          <w:sz w:val="20"/>
          <w:szCs w:val="20"/>
        </w:rPr>
        <w:t>1.39</w:t>
      </w:r>
      <w:r>
        <w:rPr>
          <w:sz w:val="20"/>
          <w:szCs w:val="20"/>
        </w:rPr>
        <w:t>6</w:t>
      </w:r>
      <w:r>
        <w:rPr>
          <w:sz w:val="20"/>
          <w:szCs w:val="20"/>
        </w:rPr>
        <w:t> billion (</w:t>
      </w:r>
      <w:r>
        <w:rPr>
          <w:sz w:val="20"/>
          <w:szCs w:val="20"/>
        </w:rPr>
        <w:t>$</w:t>
      </w:r>
      <w:r>
        <w:rPr>
          <w:sz w:val="20"/>
          <w:szCs w:val="20"/>
        </w:rPr>
        <w:t>8.0</w:t>
      </w:r>
      <w:r>
        <w:rPr>
          <w:sz w:val="20"/>
          <w:szCs w:val="20"/>
        </w:rPr>
        <w:t>0</w:t>
      </w:r>
      <w:r>
        <w:rPr>
          <w:sz w:val="20"/>
          <w:szCs w:val="20"/>
        </w:rPr>
        <w:t xml:space="preserve"> per share) and </w:t>
      </w:r>
      <w:r>
        <w:rPr>
          <w:sz w:val="20"/>
          <w:szCs w:val="20"/>
        </w:rPr>
        <w:t>$</w:t>
      </w:r>
      <w:r>
        <w:rPr>
          <w:sz w:val="20"/>
          <w:szCs w:val="20"/>
        </w:rPr>
        <w:t>1.39</w:t>
      </w:r>
      <w:r>
        <w:rPr>
          <w:sz w:val="20"/>
          <w:szCs w:val="20"/>
        </w:rPr>
        <w:t>4</w:t>
      </w:r>
      <w:r>
        <w:rPr>
          <w:sz w:val="20"/>
          <w:szCs w:val="20"/>
        </w:rPr>
        <w:t> billion (</w:t>
      </w:r>
      <w:r>
        <w:rPr>
          <w:sz w:val="20"/>
          <w:szCs w:val="20"/>
        </w:rPr>
        <w:t>$</w:t>
      </w:r>
      <w:r>
        <w:rPr>
          <w:sz w:val="20"/>
          <w:szCs w:val="20"/>
        </w:rPr>
        <w:t>8.0</w:t>
      </w:r>
      <w:r>
        <w:rPr>
          <w:sz w:val="20"/>
          <w:szCs w:val="20"/>
        </w:rPr>
        <w:t>0</w:t>
      </w:r>
      <w:r>
        <w:rPr>
          <w:sz w:val="20"/>
          <w:szCs w:val="20"/>
        </w:rPr>
        <w:t xml:space="preserve"> per share) for the years ended December 31, 2019, 2018 and 2017, respectively. Preferred share dividends totaled </w:t>
      </w:r>
      <w:r>
        <w:rPr>
          <w:sz w:val="20"/>
          <w:szCs w:val="20"/>
        </w:rPr>
        <w:t>$</w:t>
      </w:r>
      <w:r>
        <w:rPr>
          <w:sz w:val="20"/>
          <w:szCs w:val="20"/>
        </w:rPr>
        <w:t>210.</w:t>
      </w:r>
      <w:r>
        <w:rPr>
          <w:sz w:val="20"/>
          <w:szCs w:val="20"/>
        </w:rPr>
        <w:t>2</w:t>
      </w:r>
      <w:r>
        <w:rPr>
          <w:sz w:val="20"/>
          <w:szCs w:val="20"/>
        </w:rPr>
        <w:t xml:space="preserve"> million, </w:t>
      </w:r>
      <w:r>
        <w:rPr>
          <w:sz w:val="20"/>
          <w:szCs w:val="20"/>
        </w:rPr>
        <w:t>$</w:t>
      </w:r>
      <w:r>
        <w:rPr>
          <w:sz w:val="20"/>
          <w:szCs w:val="20"/>
        </w:rPr>
        <w:t>216.</w:t>
      </w:r>
      <w:r>
        <w:rPr>
          <w:sz w:val="20"/>
          <w:szCs w:val="20"/>
        </w:rPr>
        <w:t>3</w:t>
      </w:r>
      <w:r>
        <w:rPr>
          <w:sz w:val="20"/>
          <w:szCs w:val="20"/>
        </w:rPr>
        <w:t xml:space="preserve"> million and </w:t>
      </w:r>
      <w:r>
        <w:rPr>
          <w:sz w:val="20"/>
          <w:szCs w:val="20"/>
        </w:rPr>
        <w:t>$</w:t>
      </w:r>
      <w:r>
        <w:rPr>
          <w:sz w:val="20"/>
          <w:szCs w:val="20"/>
        </w:rPr>
        <w:t>236.</w:t>
      </w:r>
      <w:r>
        <w:rPr>
          <w:sz w:val="20"/>
          <w:szCs w:val="20"/>
        </w:rPr>
        <w:t>5</w:t>
      </w:r>
      <w:r>
        <w:rPr>
          <w:sz w:val="20"/>
          <w:szCs w:val="20"/>
        </w:rPr>
        <w:t xml:space="preserve"> </w:t>
      </w:r>
      <w:r>
        <w:rPr>
          <w:sz w:val="20"/>
          <w:szCs w:val="20"/>
        </w:rPr>
        <w:t>million for the years ended December 31, 2019, 2018 and 20</w:t>
      </w:r>
      <w:r>
        <w:rPr>
          <w:sz w:val="20"/>
          <w:szCs w:val="20"/>
        </w:rPr>
        <w:t>17, respectively</w:t>
      </w:r>
      <w:r>
        <w:rPr>
          <w:sz w:val="20"/>
          <w:szCs w:val="20"/>
        </w:rPr>
        <w:t>.</w:t>
      </w:r>
    </w:p>
    <w:p w:rsidR="00000000" w:rsidRDefault="00865332">
      <w:pPr>
        <w:pStyle w:val="a3"/>
        <w:spacing w:before="0" w:beforeAutospacing="0" w:after="0" w:afterAutospacing="0" w:line="259" w:lineRule="auto"/>
        <w:jc w:val="center"/>
        <w:divId w:val="1604528707"/>
        <w:rPr>
          <w:sz w:val="20"/>
          <w:szCs w:val="20"/>
        </w:rPr>
      </w:pPr>
      <w:r>
        <w:rPr>
          <w:sz w:val="20"/>
          <w:szCs w:val="20"/>
        </w:rPr>
        <w:t>F</w:t>
      </w:r>
      <w:r>
        <w:rPr>
          <w:sz w:val="20"/>
          <w:szCs w:val="20"/>
        </w:rPr>
        <w:t>-</w:t>
      </w:r>
      <w:r>
        <w:rPr>
          <w:rStyle w:val="ctheaderfooterpage"/>
          <w:sz w:val="20"/>
          <w:szCs w:val="20"/>
        </w:rPr>
        <w:t>2</w:t>
      </w:r>
      <w:r>
        <w:rPr>
          <w:rStyle w:val="ctheaderfooterpage"/>
          <w:sz w:val="20"/>
          <w:szCs w:val="20"/>
        </w:rPr>
        <w:t>3</w:t>
      </w:r>
    </w:p>
    <w:p w:rsidR="00000000" w:rsidRDefault="00865332">
      <w:pPr>
        <w:spacing w:before="360" w:after="360"/>
        <w:divId w:val="82919326"/>
        <w:rPr>
          <w:rFonts w:eastAsia="Times New Roman"/>
        </w:rPr>
      </w:pPr>
      <w:r>
        <w:rPr>
          <w:rFonts w:eastAsia="Times New Roman"/>
        </w:rPr>
        <w:pict>
          <v:rect id="_x0000_i1118" style="width:0;height:1.5pt" o:hralign="center" o:hrstd="t" o:hr="t" fillcolor="#a0a0a0" stroked="f"/>
        </w:pict>
      </w:r>
    </w:p>
    <w:p w:rsidR="00000000" w:rsidRDefault="00865332">
      <w:pPr>
        <w:pStyle w:val="a3"/>
        <w:spacing w:before="0" w:beforeAutospacing="0" w:after="0" w:afterAutospacing="0" w:line="259" w:lineRule="auto"/>
        <w:jc w:val="center"/>
        <w:divId w:val="1536188369"/>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536188369"/>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1536188369"/>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firstLine="720"/>
        <w:jc w:val="both"/>
        <w:divId w:val="173344948"/>
        <w:rPr>
          <w:sz w:val="20"/>
          <w:szCs w:val="20"/>
        </w:rPr>
      </w:pPr>
      <w:r>
        <w:rPr>
          <w:sz w:val="20"/>
          <w:szCs w:val="20"/>
        </w:rPr>
        <w:t>For the tax year ended December 31, 2019, distributions for the common shares and all the various series of preferred shares wer</w:t>
      </w:r>
      <w:r>
        <w:rPr>
          <w:sz w:val="20"/>
          <w:szCs w:val="20"/>
        </w:rPr>
        <w:t>e</w:t>
      </w:r>
      <w:r>
        <w:rPr>
          <w:sz w:val="20"/>
          <w:szCs w:val="20"/>
        </w:rPr>
        <w:t xml:space="preserve"> cla</w:t>
      </w:r>
      <w:r>
        <w:rPr>
          <w:sz w:val="20"/>
          <w:szCs w:val="20"/>
        </w:rPr>
        <w:t>ssified as follows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853"/>
        <w:gridCol w:w="84"/>
        <w:gridCol w:w="174"/>
        <w:gridCol w:w="932"/>
        <w:gridCol w:w="174"/>
        <w:gridCol w:w="83"/>
        <w:gridCol w:w="174"/>
        <w:gridCol w:w="932"/>
        <w:gridCol w:w="174"/>
        <w:gridCol w:w="83"/>
        <w:gridCol w:w="174"/>
        <w:gridCol w:w="932"/>
        <w:gridCol w:w="174"/>
        <w:gridCol w:w="83"/>
        <w:gridCol w:w="174"/>
        <w:gridCol w:w="932"/>
        <w:gridCol w:w="174"/>
      </w:tblGrid>
      <w:tr w:rsidR="00000000">
        <w:trPr>
          <w:divId w:val="173344948"/>
          <w:trHeight w:val="14"/>
        </w:trPr>
        <w:tc>
          <w:tcPr>
            <w:tcW w:w="1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73344948"/>
          <w:trHeight w:val="302"/>
        </w:trPr>
        <w:tc>
          <w:tcPr>
            <w:tcW w:w="1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2019 (unaudited</w:t>
            </w:r>
            <w:r>
              <w:rPr>
                <w:sz w:val="18"/>
                <w:szCs w:val="18"/>
              </w:rPr>
              <w:t>)</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r>
      <w:tr w:rsidR="00000000">
        <w:trPr>
          <w:divId w:val="173344948"/>
          <w:trHeight w:val="302"/>
        </w:trPr>
        <w:tc>
          <w:tcPr>
            <w:tcW w:w="1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1st Quarte</w:t>
            </w:r>
            <w:r>
              <w:rPr>
                <w:sz w:val="18"/>
                <w:szCs w:val="18"/>
              </w:rPr>
              <w:t>r</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2nd Quarte</w:t>
            </w:r>
            <w:r>
              <w:rPr>
                <w:sz w:val="18"/>
                <w:szCs w:val="18"/>
              </w:rPr>
              <w:t>r</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3rd Quarte</w:t>
            </w:r>
            <w:r>
              <w:rPr>
                <w:sz w:val="18"/>
                <w:szCs w:val="18"/>
              </w:rPr>
              <w:t>r</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4th Quarte</w:t>
            </w:r>
            <w:r>
              <w:rPr>
                <w:sz w:val="18"/>
                <w:szCs w:val="18"/>
              </w:rPr>
              <w:t>r</w:t>
            </w: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r>
      <w:tr w:rsidR="00000000">
        <w:trPr>
          <w:divId w:val="173344948"/>
          <w:trHeight w:val="302"/>
        </w:trPr>
        <w:tc>
          <w:tcPr>
            <w:tcW w:w="1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Ordinary Incom</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100.0</w:t>
            </w:r>
            <w:r>
              <w:rPr>
                <w:sz w:val="18"/>
                <w:szCs w:val="18"/>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100.0</w:t>
            </w:r>
            <w:r>
              <w:rPr>
                <w:sz w:val="18"/>
                <w:szCs w:val="18"/>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100.0</w:t>
            </w:r>
            <w:r>
              <w:rPr>
                <w:sz w:val="18"/>
                <w:szCs w:val="18"/>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100.0</w:t>
            </w:r>
            <w:r>
              <w:rPr>
                <w:sz w:val="18"/>
                <w:szCs w:val="18"/>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r>
      <w:tr w:rsidR="00000000">
        <w:trPr>
          <w:divId w:val="173344948"/>
          <w:trHeight w:val="302"/>
        </w:trPr>
        <w:tc>
          <w:tcPr>
            <w:tcW w:w="1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Long-Term Capital Gai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0.0</w:t>
            </w:r>
            <w:r>
              <w:rPr>
                <w:sz w:val="18"/>
                <w:szCs w:val="18"/>
              </w:rPr>
              <w:t>0</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0.0</w:t>
            </w:r>
            <w:r>
              <w:rPr>
                <w:sz w:val="18"/>
                <w:szCs w:val="18"/>
              </w:rPr>
              <w:t>0</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0.0</w:t>
            </w:r>
            <w:r>
              <w:rPr>
                <w:sz w:val="18"/>
                <w:szCs w:val="18"/>
              </w:rPr>
              <w:t>0</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0.0</w:t>
            </w:r>
            <w:r>
              <w:rPr>
                <w:sz w:val="18"/>
                <w:szCs w:val="18"/>
              </w:rPr>
              <w:t>0</w:t>
            </w: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r>
      <w:tr w:rsidR="00000000">
        <w:trPr>
          <w:divId w:val="173344948"/>
          <w:trHeight w:val="302"/>
        </w:trPr>
        <w:tc>
          <w:tcPr>
            <w:tcW w:w="1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Tota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100.0</w:t>
            </w:r>
            <w:r>
              <w:rPr>
                <w:sz w:val="18"/>
                <w:szCs w:val="18"/>
              </w:rPr>
              <w:t>0</w:t>
            </w:r>
          </w:p>
        </w:tc>
        <w:tc>
          <w:tcPr>
            <w:tcW w:w="1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100.0</w:t>
            </w:r>
            <w:r>
              <w:rPr>
                <w:sz w:val="18"/>
                <w:szCs w:val="18"/>
              </w:rPr>
              <w:t>0</w:t>
            </w:r>
          </w:p>
        </w:tc>
        <w:tc>
          <w:tcPr>
            <w:tcW w:w="1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100.0</w:t>
            </w:r>
            <w:r>
              <w:rPr>
                <w:sz w:val="18"/>
                <w:szCs w:val="18"/>
              </w:rPr>
              <w:t>0</w:t>
            </w:r>
          </w:p>
        </w:tc>
        <w:tc>
          <w:tcPr>
            <w:tcW w:w="1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100.0</w:t>
            </w:r>
            <w:r>
              <w:rPr>
                <w:sz w:val="18"/>
                <w:szCs w:val="18"/>
              </w:rPr>
              <w:t>0</w:t>
            </w:r>
          </w:p>
        </w:tc>
        <w:tc>
          <w:tcPr>
            <w:tcW w:w="10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r>
      <w:tr w:rsidR="00000000">
        <w:trPr>
          <w:divId w:val="173344948"/>
          <w:trHeight w:val="86"/>
        </w:trPr>
        <w:tc>
          <w:tcPr>
            <w:tcW w:w="17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6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ind w:left="360" w:firstLine="720"/>
        <w:jc w:val="both"/>
        <w:divId w:val="173344948"/>
        <w:rPr>
          <w:sz w:val="20"/>
          <w:szCs w:val="20"/>
        </w:rPr>
      </w:pPr>
      <w:r>
        <w:rPr>
          <w:sz w:val="20"/>
          <w:szCs w:val="20"/>
        </w:rPr>
        <w:t>The ordinary income dividends distributed for the tax year ended December 31, 2019 are not qualified dividends under the Internal Revenue Code, however, they are subject to the 20% deduction under IRS Section 199A</w:t>
      </w:r>
      <w:r>
        <w:rPr>
          <w:sz w:val="20"/>
          <w:szCs w:val="20"/>
        </w:rPr>
        <w:t>.</w:t>
      </w:r>
    </w:p>
    <w:p w:rsidR="00000000" w:rsidRDefault="00865332">
      <w:pPr>
        <w:pStyle w:val="a3"/>
        <w:spacing w:before="0" w:beforeAutospacing="0" w:after="0" w:afterAutospacing="0" w:line="259" w:lineRule="auto"/>
        <w:ind w:left="360" w:hanging="360"/>
        <w:divId w:val="173344948"/>
        <w:rPr>
          <w:sz w:val="20"/>
          <w:szCs w:val="20"/>
        </w:rPr>
      </w:pPr>
      <w:r>
        <w:rPr>
          <w:sz w:val="20"/>
          <w:szCs w:val="20"/>
        </w:rPr>
        <w:t>9</w:t>
      </w:r>
      <w:r>
        <w:rPr>
          <w:sz w:val="20"/>
          <w:szCs w:val="20"/>
        </w:rPr>
        <w:t>.</w:t>
      </w:r>
      <w:r>
        <w:rPr>
          <w:sz w:val="20"/>
          <w:szCs w:val="20"/>
          <w:u w:val="single"/>
        </w:rPr>
        <w:t>Related Party Transaction</w:t>
      </w:r>
      <w:r>
        <w:rPr>
          <w:sz w:val="20"/>
          <w:szCs w:val="20"/>
          <w:u w:val="single"/>
        </w:rPr>
        <w:t>s</w:t>
      </w:r>
    </w:p>
    <w:p w:rsidR="00000000" w:rsidRDefault="00865332">
      <w:pPr>
        <w:pStyle w:val="a3"/>
        <w:spacing w:before="0" w:beforeAutospacing="0" w:after="0" w:afterAutospacing="0" w:line="259" w:lineRule="auto"/>
        <w:ind w:left="360" w:firstLine="720"/>
        <w:jc w:val="both"/>
        <w:divId w:val="173344948"/>
        <w:rPr>
          <w:sz w:val="20"/>
          <w:szCs w:val="20"/>
        </w:rPr>
      </w:pPr>
      <w:r>
        <w:rPr>
          <w:sz w:val="20"/>
          <w:szCs w:val="20"/>
        </w:rPr>
        <w:t>B. Wayne Hug</w:t>
      </w:r>
      <w:r>
        <w:rPr>
          <w:sz w:val="20"/>
          <w:szCs w:val="20"/>
        </w:rPr>
        <w:t>hes, our former Chairman and his family, including his daughter Tamara Hughes Gustavson and his son B. Wayne Hughes, Jr., who are both members of our Board, collectively own approximately</w:t>
      </w:r>
      <w:r>
        <w:rPr>
          <w:sz w:val="20"/>
          <w:szCs w:val="20"/>
        </w:rPr>
        <w:t xml:space="preserve"> </w:t>
      </w:r>
      <w:r>
        <w:rPr>
          <w:sz w:val="20"/>
          <w:szCs w:val="20"/>
        </w:rPr>
        <w:t>14.</w:t>
      </w:r>
      <w:r>
        <w:rPr>
          <w:sz w:val="20"/>
          <w:szCs w:val="20"/>
        </w:rPr>
        <w:t>1</w:t>
      </w:r>
      <w:r>
        <w:rPr>
          <w:sz w:val="20"/>
          <w:szCs w:val="20"/>
        </w:rPr>
        <w:t>% of our common shares outstanding at December 31, 2019</w:t>
      </w:r>
      <w:r>
        <w:rPr>
          <w:sz w:val="20"/>
          <w:szCs w:val="20"/>
        </w:rPr>
        <w:t>.</w:t>
      </w:r>
    </w:p>
    <w:p w:rsidR="00000000" w:rsidRDefault="00865332">
      <w:pPr>
        <w:pStyle w:val="a3"/>
        <w:spacing w:before="0" w:beforeAutospacing="0" w:after="0" w:afterAutospacing="0" w:line="259" w:lineRule="auto"/>
        <w:ind w:left="360" w:firstLine="720"/>
        <w:jc w:val="both"/>
        <w:divId w:val="173344948"/>
        <w:rPr>
          <w:sz w:val="20"/>
          <w:szCs w:val="20"/>
        </w:rPr>
      </w:pPr>
      <w:r>
        <w:rPr>
          <w:sz w:val="20"/>
          <w:szCs w:val="20"/>
        </w:rPr>
        <w:t>At Dece</w:t>
      </w:r>
      <w:r>
        <w:rPr>
          <w:sz w:val="20"/>
          <w:szCs w:val="20"/>
        </w:rPr>
        <w:t>mber 31, 2019, Tamara Hughes Gustavson owned and controlled</w:t>
      </w:r>
      <w:r>
        <w:rPr>
          <w:sz w:val="20"/>
          <w:szCs w:val="20"/>
        </w:rPr>
        <w:t xml:space="preserve"> </w:t>
      </w:r>
      <w:r>
        <w:rPr>
          <w:sz w:val="20"/>
          <w:szCs w:val="20"/>
        </w:rPr>
        <w:t>6</w:t>
      </w:r>
      <w:r>
        <w:rPr>
          <w:sz w:val="20"/>
          <w:szCs w:val="20"/>
        </w:rPr>
        <w:t>3</w:t>
      </w:r>
      <w:r>
        <w:rPr>
          <w:sz w:val="20"/>
          <w:szCs w:val="20"/>
        </w:rPr>
        <w:t xml:space="preserve"> self-storage facilities in Canada.  These facilities operate under the “Public Storage” tradename, which we license to the owners of these facilities for use in Canada on a royalty-free, non-ex</w:t>
      </w:r>
      <w:r>
        <w:rPr>
          <w:sz w:val="20"/>
          <w:szCs w:val="20"/>
        </w:rPr>
        <w:t>clusive basis. We have</w:t>
      </w:r>
      <w:r>
        <w:rPr>
          <w:sz w:val="20"/>
          <w:szCs w:val="20"/>
        </w:rPr>
        <w:t xml:space="preserve"> </w:t>
      </w:r>
      <w:r>
        <w:rPr>
          <w:sz w:val="20"/>
          <w:szCs w:val="20"/>
        </w:rPr>
        <w:t>n</w:t>
      </w:r>
      <w:r>
        <w:rPr>
          <w:sz w:val="20"/>
          <w:szCs w:val="20"/>
        </w:rPr>
        <w:t>o</w:t>
      </w:r>
      <w:r>
        <w:rPr>
          <w:sz w:val="20"/>
          <w:szCs w:val="20"/>
        </w:rPr>
        <w:t xml:space="preserve"> ownership interest in these facilities and we do not own or operate any facilities in Canada.  If we chose to acquire or develop our own facilities in Canada, we would have to share the use of the “Public Storage” name in Canada. </w:t>
      </w:r>
      <w:r>
        <w:rPr>
          <w:sz w:val="20"/>
          <w:szCs w:val="20"/>
        </w:rPr>
        <w:t>We have a right of first refusal, subject to limitations, to acquire the stock or assets of the corporation engaged in the operation of these facilities if their owners agree to sell them. Our subsidiaries reinsure risks relating to loss of goods stored by</w:t>
      </w:r>
      <w:r>
        <w:rPr>
          <w:sz w:val="20"/>
          <w:szCs w:val="20"/>
        </w:rPr>
        <w:t xml:space="preserve"> customers in these facilities, and have received approximately </w:t>
      </w:r>
      <w:r>
        <w:rPr>
          <w:sz w:val="20"/>
          <w:szCs w:val="20"/>
        </w:rPr>
        <w:t>$</w:t>
      </w:r>
      <w:r>
        <w:rPr>
          <w:sz w:val="20"/>
          <w:szCs w:val="20"/>
        </w:rPr>
        <w:t>1.</w:t>
      </w:r>
      <w:r>
        <w:rPr>
          <w:sz w:val="20"/>
          <w:szCs w:val="20"/>
        </w:rPr>
        <w:t>5</w:t>
      </w:r>
      <w:r>
        <w:rPr>
          <w:sz w:val="20"/>
          <w:szCs w:val="20"/>
        </w:rPr>
        <w:t xml:space="preserve"> million, </w:t>
      </w:r>
      <w:r>
        <w:rPr>
          <w:sz w:val="20"/>
          <w:szCs w:val="20"/>
        </w:rPr>
        <w:t>$</w:t>
      </w:r>
      <w:r>
        <w:rPr>
          <w:sz w:val="20"/>
          <w:szCs w:val="20"/>
        </w:rPr>
        <w:t>1.</w:t>
      </w:r>
      <w:r>
        <w:rPr>
          <w:sz w:val="20"/>
          <w:szCs w:val="20"/>
        </w:rPr>
        <w:t>3</w:t>
      </w:r>
      <w:r>
        <w:rPr>
          <w:sz w:val="20"/>
          <w:szCs w:val="20"/>
        </w:rPr>
        <w:t xml:space="preserve"> millio</w:t>
      </w:r>
      <w:r>
        <w:rPr>
          <w:sz w:val="20"/>
          <w:szCs w:val="20"/>
        </w:rPr>
        <w:t>n</w:t>
      </w:r>
      <w:r>
        <w:rPr>
          <w:sz w:val="20"/>
          <w:szCs w:val="20"/>
        </w:rPr>
        <w:t xml:space="preserve"> and </w:t>
      </w:r>
      <w:r>
        <w:rPr>
          <w:sz w:val="20"/>
          <w:szCs w:val="20"/>
        </w:rPr>
        <w:t>$</w:t>
      </w:r>
      <w:r>
        <w:rPr>
          <w:sz w:val="20"/>
          <w:szCs w:val="20"/>
        </w:rPr>
        <w:t>1.</w:t>
      </w:r>
      <w:r>
        <w:rPr>
          <w:sz w:val="20"/>
          <w:szCs w:val="20"/>
        </w:rPr>
        <w:t>1</w:t>
      </w:r>
      <w:r>
        <w:rPr>
          <w:sz w:val="20"/>
          <w:szCs w:val="20"/>
        </w:rPr>
        <w:t xml:space="preserve"> millio</w:t>
      </w:r>
      <w:r>
        <w:rPr>
          <w:sz w:val="20"/>
          <w:szCs w:val="20"/>
        </w:rPr>
        <w:t>n</w:t>
      </w:r>
      <w:r>
        <w:rPr>
          <w:sz w:val="20"/>
          <w:szCs w:val="20"/>
        </w:rPr>
        <w:t xml:space="preserve"> for the years ended December 31, 2019, 2018 and 2017, respectively. Our right to continue receiving these premiums may be qualified.  </w:t>
      </w:r>
      <w:r>
        <w:rPr>
          <w:sz w:val="20"/>
          <w:szCs w:val="20"/>
        </w:rPr>
        <w:t xml:space="preserve"> </w:t>
      </w:r>
    </w:p>
    <w:p w:rsidR="00000000" w:rsidRDefault="00865332">
      <w:pPr>
        <w:pStyle w:val="a3"/>
        <w:spacing w:before="0" w:beforeAutospacing="0" w:after="0" w:afterAutospacing="0" w:line="259" w:lineRule="auto"/>
        <w:ind w:left="360" w:hanging="360"/>
        <w:divId w:val="173344948"/>
        <w:rPr>
          <w:sz w:val="20"/>
          <w:szCs w:val="20"/>
        </w:rPr>
      </w:pPr>
      <w:r>
        <w:rPr>
          <w:sz w:val="20"/>
          <w:szCs w:val="20"/>
        </w:rPr>
        <w:t>10</w:t>
      </w:r>
      <w:r>
        <w:rPr>
          <w:sz w:val="20"/>
          <w:szCs w:val="20"/>
        </w:rPr>
        <w:t>.</w:t>
      </w:r>
      <w:r>
        <w:rPr>
          <w:sz w:val="20"/>
          <w:szCs w:val="20"/>
          <w:u w:val="single"/>
        </w:rPr>
        <w:t>Share-Based Compensatio</w:t>
      </w:r>
      <w:r>
        <w:rPr>
          <w:sz w:val="20"/>
          <w:szCs w:val="20"/>
          <w:u w:val="single"/>
        </w:rPr>
        <w:t>n</w:t>
      </w:r>
    </w:p>
    <w:p w:rsidR="00000000" w:rsidRDefault="00865332">
      <w:pPr>
        <w:pStyle w:val="a3"/>
        <w:spacing w:before="0" w:beforeAutospacing="0" w:after="0" w:afterAutospacing="0" w:line="259" w:lineRule="auto"/>
        <w:ind w:left="360" w:firstLine="720"/>
        <w:jc w:val="both"/>
        <w:divId w:val="173344948"/>
        <w:rPr>
          <w:sz w:val="20"/>
          <w:szCs w:val="20"/>
        </w:rPr>
      </w:pPr>
      <w:r>
        <w:rPr>
          <w:sz w:val="20"/>
          <w:szCs w:val="20"/>
        </w:rPr>
        <w:t>Under various share-based compensation plans and under terms established by our Board or a committee thereof, we grant non-qualified options to purchase the Company’s common shares, as well as restricted share units (“RSUs”), to tr</w:t>
      </w:r>
      <w:r>
        <w:rPr>
          <w:sz w:val="20"/>
          <w:szCs w:val="20"/>
        </w:rPr>
        <w:t>ustees, officers, and key employees.</w:t>
      </w:r>
      <w:r>
        <w:rPr>
          <w:sz w:val="20"/>
          <w:szCs w:val="20"/>
        </w:rPr>
        <w:t xml:space="preserve"> </w:t>
      </w:r>
    </w:p>
    <w:p w:rsidR="00000000" w:rsidRDefault="00865332">
      <w:pPr>
        <w:pStyle w:val="a3"/>
        <w:spacing w:before="0" w:beforeAutospacing="0" w:after="0" w:afterAutospacing="0" w:line="259" w:lineRule="auto"/>
        <w:ind w:left="360" w:firstLine="720"/>
        <w:jc w:val="both"/>
        <w:divId w:val="173344948"/>
        <w:rPr>
          <w:sz w:val="20"/>
          <w:szCs w:val="20"/>
        </w:rPr>
      </w:pPr>
      <w:r>
        <w:rPr>
          <w:sz w:val="20"/>
          <w:szCs w:val="20"/>
        </w:rPr>
        <w:t>Stock options and RSUs are considered “granted” and “outstanding” as the terms are used herein, when (i) the Company and the recipient reach a mutual understanding of the key terms of the award, (ii) the award has been</w:t>
      </w:r>
      <w:r>
        <w:rPr>
          <w:sz w:val="20"/>
          <w:szCs w:val="20"/>
        </w:rPr>
        <w:t xml:space="preserve"> authorized, (iii) the recipient is affected by changes in the market price of our stock, and (iv) it is probable that any performance conditions will be met.</w:t>
      </w:r>
      <w:r>
        <w:rPr>
          <w:sz w:val="20"/>
          <w:szCs w:val="20"/>
        </w:rPr>
        <w:t xml:space="preserve"> </w:t>
      </w:r>
    </w:p>
    <w:p w:rsidR="00000000" w:rsidRDefault="00865332">
      <w:pPr>
        <w:pStyle w:val="a3"/>
        <w:spacing w:before="0" w:beforeAutospacing="0" w:after="0" w:afterAutospacing="0" w:line="259" w:lineRule="auto"/>
        <w:ind w:left="360" w:firstLine="720"/>
        <w:jc w:val="both"/>
        <w:divId w:val="173344948"/>
        <w:rPr>
          <w:sz w:val="20"/>
          <w:szCs w:val="20"/>
        </w:rPr>
      </w:pPr>
      <w:r>
        <w:rPr>
          <w:sz w:val="20"/>
          <w:szCs w:val="20"/>
        </w:rPr>
        <w:t>We amortize the grant-date fair value of awards as compensation expense over the service period,</w:t>
      </w:r>
      <w:r>
        <w:rPr>
          <w:sz w:val="20"/>
          <w:szCs w:val="20"/>
        </w:rPr>
        <w:t xml:space="preserve"> which begins on the grant date and ends generally on the vesting date. For awards that are earned solely upon the passage of time and continued service, the entire cost of the award is amortized on a straight-line basis over the service period. For awards</w:t>
      </w:r>
      <w:r>
        <w:rPr>
          <w:sz w:val="20"/>
          <w:szCs w:val="20"/>
        </w:rPr>
        <w:t xml:space="preserve"> with performance conditions, the individual cost of each vesting is amortized separately over each individual service period (the “accelerated attribution” method).</w:t>
      </w:r>
      <w:r>
        <w:rPr>
          <w:sz w:val="20"/>
          <w:szCs w:val="20"/>
        </w:rPr>
        <w:t xml:space="preserve"> </w:t>
      </w:r>
    </w:p>
    <w:p w:rsidR="00000000" w:rsidRDefault="00865332">
      <w:pPr>
        <w:pStyle w:val="a3"/>
        <w:spacing w:before="0" w:beforeAutospacing="0" w:after="0" w:afterAutospacing="0" w:line="259" w:lineRule="auto"/>
        <w:jc w:val="center"/>
        <w:divId w:val="1556890186"/>
        <w:rPr>
          <w:sz w:val="20"/>
          <w:szCs w:val="20"/>
        </w:rPr>
      </w:pPr>
      <w:r>
        <w:rPr>
          <w:sz w:val="20"/>
          <w:szCs w:val="20"/>
        </w:rPr>
        <w:t>F</w:t>
      </w:r>
      <w:r>
        <w:rPr>
          <w:sz w:val="20"/>
          <w:szCs w:val="20"/>
        </w:rPr>
        <w:t>-</w:t>
      </w:r>
      <w:r>
        <w:rPr>
          <w:rStyle w:val="ctheaderfooterpage"/>
          <w:sz w:val="20"/>
          <w:szCs w:val="20"/>
        </w:rPr>
        <w:t>2</w:t>
      </w:r>
      <w:r>
        <w:rPr>
          <w:rStyle w:val="ctheaderfooterpage"/>
          <w:sz w:val="20"/>
          <w:szCs w:val="20"/>
        </w:rPr>
        <w:t>4</w:t>
      </w:r>
    </w:p>
    <w:p w:rsidR="00000000" w:rsidRDefault="00865332">
      <w:pPr>
        <w:spacing w:before="360" w:after="360"/>
        <w:divId w:val="1783914985"/>
        <w:rPr>
          <w:rFonts w:eastAsia="Times New Roman"/>
        </w:rPr>
      </w:pPr>
      <w:r>
        <w:rPr>
          <w:rFonts w:eastAsia="Times New Roman"/>
        </w:rPr>
        <w:pict>
          <v:rect id="_x0000_i1119" style="width:0;height:1.5pt" o:hralign="center" o:hrstd="t" o:hr="t" fillcolor="#a0a0a0" stroked="f"/>
        </w:pict>
      </w:r>
    </w:p>
    <w:p w:rsidR="00000000" w:rsidRDefault="00865332">
      <w:pPr>
        <w:pStyle w:val="a3"/>
        <w:spacing w:before="0" w:beforeAutospacing="0" w:after="0" w:afterAutospacing="0" w:line="259" w:lineRule="auto"/>
        <w:jc w:val="center"/>
        <w:divId w:val="1010840322"/>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010840322"/>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1010840322"/>
        <w:rPr>
          <w:sz w:val="20"/>
          <w:szCs w:val="20"/>
        </w:rPr>
      </w:pPr>
      <w:r>
        <w:rPr>
          <w:b/>
          <w:bCs/>
          <w:sz w:val="20"/>
          <w:szCs w:val="20"/>
        </w:rPr>
        <w:t>Dec</w:t>
      </w:r>
      <w:r>
        <w:rPr>
          <w:b/>
          <w:bCs/>
          <w:sz w:val="20"/>
          <w:szCs w:val="20"/>
        </w:rPr>
        <w:t>ember 31, 201</w:t>
      </w:r>
      <w:r>
        <w:rPr>
          <w:b/>
          <w:bCs/>
          <w:sz w:val="20"/>
          <w:szCs w:val="20"/>
        </w:rPr>
        <w:t>9</w:t>
      </w:r>
    </w:p>
    <w:p w:rsidR="00000000" w:rsidRDefault="00865332">
      <w:pPr>
        <w:pStyle w:val="a3"/>
        <w:spacing w:before="0" w:beforeAutospacing="0" w:after="0" w:afterAutospacing="0" w:line="259" w:lineRule="auto"/>
        <w:ind w:left="360" w:firstLine="720"/>
        <w:jc w:val="both"/>
        <w:divId w:val="1319380451"/>
        <w:rPr>
          <w:sz w:val="20"/>
          <w:szCs w:val="20"/>
        </w:rPr>
      </w:pPr>
      <w:r>
        <w:rPr>
          <w:sz w:val="20"/>
          <w:szCs w:val="20"/>
        </w:rPr>
        <w:t>The Codification previously stipulated that grants to nonemployee service providers (other than to trustees, where equity method treatment was permitted) were accounted for on the liability method, with expenses adjusted each period based up</w:t>
      </w:r>
      <w:r>
        <w:rPr>
          <w:sz w:val="20"/>
          <w:szCs w:val="20"/>
        </w:rPr>
        <w:t>on changes in fair value. Recent changes in the Codification allows such grants to be accounted for on the equity award method, with compensation expense based upon grant date fair value. While we have no such grants to any such individuals for any periods</w:t>
      </w:r>
      <w:r>
        <w:rPr>
          <w:sz w:val="20"/>
          <w:szCs w:val="20"/>
        </w:rPr>
        <w:t xml:space="preserve"> presented, we will account for any future grants to nonemployee service providers based upon the equity award method.</w:t>
      </w:r>
      <w:r>
        <w:rPr>
          <w:sz w:val="20"/>
          <w:szCs w:val="20"/>
        </w:rPr>
        <w:t xml:space="preserve"> </w:t>
      </w:r>
    </w:p>
    <w:p w:rsidR="00000000" w:rsidRDefault="00865332">
      <w:pPr>
        <w:pStyle w:val="a3"/>
        <w:spacing w:before="0" w:beforeAutospacing="0" w:after="0" w:afterAutospacing="0" w:line="259" w:lineRule="auto"/>
        <w:ind w:left="360" w:firstLine="720"/>
        <w:jc w:val="both"/>
        <w:divId w:val="1319380451"/>
        <w:rPr>
          <w:sz w:val="20"/>
          <w:szCs w:val="20"/>
        </w:rPr>
      </w:pPr>
      <w:r>
        <w:rPr>
          <w:sz w:val="20"/>
          <w:szCs w:val="20"/>
        </w:rPr>
        <w:t>In amortizing share-based compensation expense, we do not estimate future forfeitures in advance. Instead, we reverse previously amortiz</w:t>
      </w:r>
      <w:r>
        <w:rPr>
          <w:sz w:val="20"/>
          <w:szCs w:val="20"/>
        </w:rPr>
        <w:t>ed share-based compensation expense with respect to grants that are forfeited in the period the employee terminates employment.</w:t>
      </w:r>
      <w:r>
        <w:rPr>
          <w:sz w:val="20"/>
          <w:szCs w:val="20"/>
        </w:rPr>
        <w:t xml:space="preserve"> </w:t>
      </w:r>
    </w:p>
    <w:p w:rsidR="00000000" w:rsidRDefault="00865332">
      <w:pPr>
        <w:pStyle w:val="a3"/>
        <w:spacing w:before="0" w:beforeAutospacing="0" w:after="0" w:afterAutospacing="0" w:line="259" w:lineRule="auto"/>
        <w:ind w:left="360" w:firstLine="720"/>
        <w:jc w:val="both"/>
        <w:divId w:val="1319380451"/>
        <w:rPr>
          <w:sz w:val="20"/>
          <w:szCs w:val="20"/>
        </w:rPr>
      </w:pPr>
      <w:r>
        <w:rPr>
          <w:color w:val="000000"/>
          <w:sz w:val="20"/>
          <w:szCs w:val="20"/>
        </w:rPr>
        <w:t>In February 2018, we announced that our Chief Executive Officer and Chief Financial Officer at the time were retiring from thei</w:t>
      </w:r>
      <w:r>
        <w:rPr>
          <w:color w:val="000000"/>
          <w:sz w:val="20"/>
          <w:szCs w:val="20"/>
        </w:rPr>
        <w:t>r executive roles at the end of 2018 and would then serve only as Trustees of the Company. Pursuant to our share-based compensation plans, their unvested grants will continue to vest over the original vesting periods during their service as Trustees. For f</w:t>
      </w:r>
      <w:r>
        <w:rPr>
          <w:color w:val="000000"/>
          <w:sz w:val="20"/>
          <w:szCs w:val="20"/>
        </w:rPr>
        <w:t>inancial reporting, the end of the service periods for previous stock option and RSU grants for these executives changed from (i) the various vesting dates to (ii) December 31, 2018 when they retired. Accordingly, all remaining share-based compensation exp</w:t>
      </w:r>
      <w:r>
        <w:rPr>
          <w:color w:val="000000"/>
          <w:sz w:val="20"/>
          <w:szCs w:val="20"/>
        </w:rPr>
        <w:t>ense for these two executives was amortized in the year ended December 31, 2018.</w:t>
      </w:r>
      <w:r>
        <w:rPr>
          <w:color w:val="000000"/>
          <w:sz w:val="20"/>
          <w:szCs w:val="20"/>
        </w:rPr>
        <w:t xml:space="preserve"> </w:t>
      </w:r>
    </w:p>
    <w:p w:rsidR="00000000" w:rsidRDefault="00865332">
      <w:pPr>
        <w:pStyle w:val="a3"/>
        <w:spacing w:before="0" w:beforeAutospacing="0" w:after="0" w:afterAutospacing="0" w:line="259" w:lineRule="auto"/>
        <w:ind w:left="360" w:firstLine="720"/>
        <w:jc w:val="both"/>
        <w:divId w:val="1319380451"/>
        <w:rPr>
          <w:sz w:val="20"/>
          <w:szCs w:val="20"/>
        </w:rPr>
      </w:pPr>
      <w:r>
        <w:rPr>
          <w:sz w:val="20"/>
          <w:szCs w:val="20"/>
        </w:rPr>
        <w:t>See also “net income per common share” in Note 2 for further discussion regarding the impact of RSUs and stock options on our net income per common share and income allocated</w:t>
      </w:r>
      <w:r>
        <w:rPr>
          <w:sz w:val="20"/>
          <w:szCs w:val="20"/>
        </w:rPr>
        <w:t xml:space="preserve"> to common shareholders</w:t>
      </w:r>
      <w:r>
        <w:rPr>
          <w:sz w:val="20"/>
          <w:szCs w:val="20"/>
        </w:rPr>
        <w:t>.</w:t>
      </w:r>
    </w:p>
    <w:p w:rsidR="00000000" w:rsidRDefault="00865332">
      <w:pPr>
        <w:pStyle w:val="a3"/>
        <w:spacing w:before="0" w:beforeAutospacing="0" w:after="0" w:afterAutospacing="0" w:line="259" w:lineRule="auto"/>
        <w:ind w:left="1080"/>
        <w:divId w:val="1319380451"/>
        <w:rPr>
          <w:sz w:val="20"/>
          <w:szCs w:val="20"/>
        </w:rPr>
      </w:pPr>
      <w:r>
        <w:rPr>
          <w:sz w:val="20"/>
          <w:szCs w:val="20"/>
          <w:u w:val="single"/>
        </w:rPr>
        <w:t>Stock Option</w:t>
      </w:r>
      <w:r>
        <w:rPr>
          <w:sz w:val="20"/>
          <w:szCs w:val="20"/>
          <w:u w:val="single"/>
        </w:rPr>
        <w:t>s</w:t>
      </w:r>
    </w:p>
    <w:p w:rsidR="00000000" w:rsidRDefault="00865332">
      <w:pPr>
        <w:pStyle w:val="a3"/>
        <w:spacing w:before="0" w:beforeAutospacing="0" w:after="0" w:afterAutospacing="0" w:line="259" w:lineRule="auto"/>
        <w:ind w:left="360" w:firstLine="720"/>
        <w:jc w:val="both"/>
        <w:divId w:val="1319380451"/>
        <w:rPr>
          <w:sz w:val="20"/>
          <w:szCs w:val="20"/>
        </w:rPr>
      </w:pPr>
      <w:r>
        <w:rPr>
          <w:sz w:val="20"/>
          <w:szCs w:val="20"/>
        </w:rPr>
        <w:t>Stock options vest over</w:t>
      </w:r>
      <w:r>
        <w:rPr>
          <w:sz w:val="20"/>
          <w:szCs w:val="20"/>
        </w:rPr>
        <w:t xml:space="preserve"> </w:t>
      </w:r>
      <w:r>
        <w:rPr>
          <w:sz w:val="20"/>
          <w:szCs w:val="20"/>
        </w:rPr>
        <w:t>3</w:t>
      </w:r>
      <w:r>
        <w:rPr>
          <w:sz w:val="20"/>
          <w:szCs w:val="20"/>
        </w:rPr>
        <w:t xml:space="preserve"> to</w:t>
      </w:r>
      <w:r>
        <w:rPr>
          <w:sz w:val="20"/>
          <w:szCs w:val="20"/>
        </w:rPr>
        <w:t xml:space="preserve"> </w:t>
      </w:r>
      <w:r>
        <w:rPr>
          <w:sz w:val="20"/>
          <w:szCs w:val="20"/>
        </w:rPr>
        <w:t>5</w:t>
      </w:r>
      <w:r>
        <w:rPr>
          <w:sz w:val="20"/>
          <w:szCs w:val="20"/>
        </w:rPr>
        <w:t xml:space="preserve"> years, expire</w:t>
      </w:r>
      <w:r>
        <w:rPr>
          <w:sz w:val="20"/>
          <w:szCs w:val="20"/>
        </w:rPr>
        <w:t xml:space="preserve"> </w:t>
      </w:r>
      <w:r>
        <w:rPr>
          <w:sz w:val="20"/>
          <w:szCs w:val="20"/>
        </w:rPr>
        <w:t>ten year</w:t>
      </w:r>
      <w:r>
        <w:rPr>
          <w:sz w:val="20"/>
          <w:szCs w:val="20"/>
        </w:rPr>
        <w:t>s</w:t>
      </w:r>
      <w:r>
        <w:rPr>
          <w:sz w:val="20"/>
          <w:szCs w:val="20"/>
        </w:rPr>
        <w:t xml:space="preserve"> after the grant date, and the exercise price is equal to the closing trading price of our common shares on the grant date. Employees cannot require the Company to</w:t>
      </w:r>
      <w:r>
        <w:rPr>
          <w:sz w:val="20"/>
          <w:szCs w:val="20"/>
        </w:rPr>
        <w:t xml:space="preserve"> settle their award in cash. We use the Black-Scholes option valuation model to estimate the fair value of our stock options.</w:t>
      </w:r>
      <w:r>
        <w:rPr>
          <w:sz w:val="20"/>
          <w:szCs w:val="20"/>
        </w:rPr>
        <w:t xml:space="preserve"> </w:t>
      </w:r>
    </w:p>
    <w:p w:rsidR="00000000" w:rsidRDefault="00865332">
      <w:pPr>
        <w:pStyle w:val="a3"/>
        <w:spacing w:before="0" w:beforeAutospacing="0" w:after="0" w:afterAutospacing="0" w:line="259" w:lineRule="auto"/>
        <w:ind w:left="360" w:firstLine="720"/>
        <w:jc w:val="both"/>
        <w:divId w:val="1319380451"/>
        <w:rPr>
          <w:sz w:val="20"/>
          <w:szCs w:val="20"/>
        </w:rPr>
      </w:pPr>
      <w:r>
        <w:rPr>
          <w:sz w:val="20"/>
          <w:szCs w:val="20"/>
        </w:rPr>
        <w:t>Outstanding stock option grants are included on a one-for-one basis in our diluted weighted average shares, to the extent dilutiv</w:t>
      </w:r>
      <w:r>
        <w:rPr>
          <w:sz w:val="20"/>
          <w:szCs w:val="20"/>
        </w:rPr>
        <w:t>e, after applying the treasury stock method (based upon the average common share price during the period) to assumed exercise proceeds and measured but unrecognized compensation</w:t>
      </w:r>
      <w:r>
        <w:rPr>
          <w:sz w:val="20"/>
          <w:szCs w:val="20"/>
        </w:rPr>
        <w:t>.</w:t>
      </w:r>
    </w:p>
    <w:p w:rsidR="00000000" w:rsidRDefault="00865332">
      <w:pPr>
        <w:pStyle w:val="a3"/>
        <w:spacing w:before="0" w:beforeAutospacing="0" w:after="0" w:afterAutospacing="0" w:line="259" w:lineRule="auto"/>
        <w:ind w:left="360" w:firstLine="720"/>
        <w:jc w:val="both"/>
        <w:divId w:val="1319380451"/>
        <w:rPr>
          <w:sz w:val="20"/>
          <w:szCs w:val="20"/>
        </w:rPr>
      </w:pPr>
      <w:r>
        <w:rPr>
          <w:sz w:val="20"/>
          <w:szCs w:val="20"/>
        </w:rPr>
        <w:t>The stock options outstanding at December 31, 2019 have an aggregate intrinsi</w:t>
      </w:r>
      <w:r>
        <w:rPr>
          <w:sz w:val="20"/>
          <w:szCs w:val="20"/>
        </w:rPr>
        <w:t xml:space="preserve">c value (the excess, if any, of each option’s market value over the exercise price) of approximately </w:t>
      </w:r>
      <w:r>
        <w:rPr>
          <w:sz w:val="20"/>
          <w:szCs w:val="20"/>
        </w:rPr>
        <w:t>$</w:t>
      </w:r>
      <w:r>
        <w:rPr>
          <w:sz w:val="20"/>
          <w:szCs w:val="20"/>
        </w:rPr>
        <w:t>38.</w:t>
      </w:r>
      <w:r>
        <w:rPr>
          <w:sz w:val="20"/>
          <w:szCs w:val="20"/>
        </w:rPr>
        <w:t>6</w:t>
      </w:r>
      <w:r>
        <w:rPr>
          <w:sz w:val="20"/>
          <w:szCs w:val="20"/>
        </w:rPr>
        <w:t xml:space="preserve"> million and remaining average contractual lives of approximately</w:t>
      </w:r>
      <w:r>
        <w:rPr>
          <w:sz w:val="20"/>
          <w:szCs w:val="20"/>
        </w:rPr>
        <w:t xml:space="preserve"> </w:t>
      </w:r>
      <w:r>
        <w:rPr>
          <w:sz w:val="20"/>
          <w:szCs w:val="20"/>
        </w:rPr>
        <w:t>six year</w:t>
      </w:r>
      <w:r>
        <w:rPr>
          <w:sz w:val="20"/>
          <w:szCs w:val="20"/>
        </w:rPr>
        <w:t>s</w:t>
      </w:r>
      <w:r>
        <w:rPr>
          <w:sz w:val="20"/>
          <w:szCs w:val="20"/>
        </w:rPr>
        <w:t>. The aggregate intrinsic value of exercisable stock options at December 31</w:t>
      </w:r>
      <w:r>
        <w:rPr>
          <w:sz w:val="20"/>
          <w:szCs w:val="20"/>
        </w:rPr>
        <w:t xml:space="preserve">, 2019 amounted to approximately </w:t>
      </w:r>
      <w:r>
        <w:rPr>
          <w:sz w:val="20"/>
          <w:szCs w:val="20"/>
        </w:rPr>
        <w:t>$</w:t>
      </w:r>
      <w:r>
        <w:rPr>
          <w:sz w:val="20"/>
          <w:szCs w:val="20"/>
        </w:rPr>
        <w:t>35.</w:t>
      </w:r>
      <w:r>
        <w:rPr>
          <w:sz w:val="20"/>
          <w:szCs w:val="20"/>
        </w:rPr>
        <w:t>6</w:t>
      </w:r>
      <w:r>
        <w:rPr>
          <w:sz w:val="20"/>
          <w:szCs w:val="20"/>
        </w:rPr>
        <w:t xml:space="preserve"> million. Approximately</w:t>
      </w:r>
      <w:r>
        <w:rPr>
          <w:sz w:val="20"/>
          <w:szCs w:val="20"/>
        </w:rPr>
        <w:t xml:space="preserve"> </w:t>
      </w:r>
      <w:r>
        <w:rPr>
          <w:sz w:val="20"/>
          <w:szCs w:val="20"/>
        </w:rPr>
        <w:t>1,360,00</w:t>
      </w:r>
      <w:r>
        <w:rPr>
          <w:sz w:val="20"/>
          <w:szCs w:val="20"/>
        </w:rPr>
        <w:t>0</w:t>
      </w:r>
      <w:r>
        <w:rPr>
          <w:sz w:val="20"/>
          <w:szCs w:val="20"/>
        </w:rPr>
        <w:t xml:space="preserve"> of the stock options outstanding at December 31, 2019, have an exercise price of more than </w:t>
      </w:r>
      <w:r>
        <w:rPr>
          <w:sz w:val="20"/>
          <w:szCs w:val="20"/>
        </w:rPr>
        <w:t>$</w:t>
      </w:r>
      <w:r>
        <w:rPr>
          <w:sz w:val="20"/>
          <w:szCs w:val="20"/>
        </w:rPr>
        <w:t>20</w:t>
      </w:r>
      <w:r>
        <w:rPr>
          <w:sz w:val="20"/>
          <w:szCs w:val="20"/>
        </w:rPr>
        <w:t>0</w:t>
      </w:r>
      <w:r>
        <w:rPr>
          <w:sz w:val="20"/>
          <w:szCs w:val="20"/>
        </w:rPr>
        <w:t>. Included in our stock options exercisable at December 31, 2019, are</w:t>
      </w:r>
      <w:r>
        <w:rPr>
          <w:sz w:val="20"/>
          <w:szCs w:val="20"/>
        </w:rPr>
        <w:t xml:space="preserve"> </w:t>
      </w:r>
      <w:r>
        <w:rPr>
          <w:sz w:val="20"/>
          <w:szCs w:val="20"/>
        </w:rPr>
        <w:t>39,66</w:t>
      </w:r>
      <w:r>
        <w:rPr>
          <w:sz w:val="20"/>
          <w:szCs w:val="20"/>
        </w:rPr>
        <w:t>7</w:t>
      </w:r>
      <w:r>
        <w:rPr>
          <w:sz w:val="20"/>
          <w:szCs w:val="20"/>
        </w:rPr>
        <w:t xml:space="preserve"> stock option</w:t>
      </w:r>
      <w:r>
        <w:rPr>
          <w:sz w:val="20"/>
          <w:szCs w:val="20"/>
        </w:rPr>
        <w:t>s which expire through</w:t>
      </w:r>
      <w:r>
        <w:rPr>
          <w:sz w:val="20"/>
          <w:szCs w:val="20"/>
        </w:rPr>
        <w:t xml:space="preserve"> </w:t>
      </w:r>
      <w:r>
        <w:rPr>
          <w:sz w:val="20"/>
          <w:szCs w:val="20"/>
        </w:rPr>
        <w:t>June 30, 2</w:t>
      </w:r>
      <w:r>
        <w:rPr>
          <w:sz w:val="20"/>
          <w:szCs w:val="20"/>
        </w:rPr>
        <w:t>0</w:t>
      </w:r>
      <w:r>
        <w:rPr>
          <w:sz w:val="20"/>
          <w:szCs w:val="20"/>
        </w:rPr>
        <w:t>2</w:t>
      </w:r>
      <w:r>
        <w:rPr>
          <w:sz w:val="20"/>
          <w:szCs w:val="20"/>
        </w:rPr>
        <w:t>1</w:t>
      </w:r>
      <w:r>
        <w:rPr>
          <w:sz w:val="20"/>
          <w:szCs w:val="20"/>
        </w:rPr>
        <w:t xml:space="preserve">, with an average exercise price per share of </w:t>
      </w:r>
      <w:r>
        <w:rPr>
          <w:sz w:val="20"/>
          <w:szCs w:val="20"/>
        </w:rPr>
        <w:t>$</w:t>
      </w:r>
      <w:r>
        <w:rPr>
          <w:sz w:val="20"/>
          <w:szCs w:val="20"/>
        </w:rPr>
        <w:t>106.9</w:t>
      </w:r>
      <w:r>
        <w:rPr>
          <w:sz w:val="20"/>
          <w:szCs w:val="20"/>
        </w:rPr>
        <w:t>1</w:t>
      </w:r>
      <w:r>
        <w:rPr>
          <w:sz w:val="20"/>
          <w:szCs w:val="20"/>
        </w:rPr>
        <w:t>.</w:t>
      </w:r>
    </w:p>
    <w:p w:rsidR="00000000" w:rsidRDefault="00865332">
      <w:pPr>
        <w:pStyle w:val="a3"/>
        <w:spacing w:before="0" w:beforeAutospacing="0" w:after="0" w:afterAutospacing="0" w:line="259" w:lineRule="auto"/>
        <w:ind w:left="360" w:firstLine="720"/>
        <w:jc w:val="both"/>
        <w:divId w:val="1319380451"/>
        <w:rPr>
          <w:sz w:val="20"/>
          <w:szCs w:val="20"/>
        </w:rPr>
      </w:pPr>
      <w:r>
        <w:rPr>
          <w:sz w:val="20"/>
          <w:szCs w:val="20"/>
        </w:rPr>
        <w:t>Additional information with respect to stock options during 2019, 2018 and 2017 is as follows</w:t>
      </w:r>
      <w:r>
        <w:rPr>
          <w:sz w:val="20"/>
          <w:szCs w:val="20"/>
        </w:rPr>
        <w:t>:</w:t>
      </w:r>
    </w:p>
    <w:p w:rsidR="00000000" w:rsidRDefault="00865332">
      <w:pPr>
        <w:pStyle w:val="a3"/>
        <w:spacing w:before="0" w:beforeAutospacing="0" w:after="0" w:afterAutospacing="0" w:line="259" w:lineRule="auto"/>
        <w:jc w:val="center"/>
        <w:divId w:val="50470719"/>
        <w:rPr>
          <w:sz w:val="20"/>
          <w:szCs w:val="20"/>
        </w:rPr>
      </w:pPr>
      <w:r>
        <w:rPr>
          <w:sz w:val="20"/>
          <w:szCs w:val="20"/>
        </w:rPr>
        <w:t>F</w:t>
      </w:r>
      <w:r>
        <w:rPr>
          <w:sz w:val="20"/>
          <w:szCs w:val="20"/>
        </w:rPr>
        <w:t>-</w:t>
      </w:r>
      <w:r>
        <w:rPr>
          <w:rStyle w:val="ctheaderfooterpage"/>
          <w:sz w:val="20"/>
          <w:szCs w:val="20"/>
        </w:rPr>
        <w:t>2</w:t>
      </w:r>
      <w:r>
        <w:rPr>
          <w:rStyle w:val="ctheaderfooterpage"/>
          <w:sz w:val="20"/>
          <w:szCs w:val="20"/>
        </w:rPr>
        <w:t>5</w:t>
      </w:r>
    </w:p>
    <w:p w:rsidR="00000000" w:rsidRDefault="00865332">
      <w:pPr>
        <w:spacing w:before="360" w:after="360"/>
        <w:divId w:val="1472332951"/>
        <w:rPr>
          <w:rFonts w:eastAsia="Times New Roman"/>
        </w:rPr>
      </w:pPr>
      <w:r>
        <w:rPr>
          <w:rFonts w:eastAsia="Times New Roman"/>
        </w:rPr>
        <w:pict>
          <v:rect id="_x0000_i1120" style="width:0;height:1.5pt" o:hralign="center" o:hrstd="t" o:hr="t" fillcolor="#a0a0a0" stroked="f"/>
        </w:pict>
      </w:r>
    </w:p>
    <w:p w:rsidR="00000000" w:rsidRDefault="00865332">
      <w:pPr>
        <w:pStyle w:val="a3"/>
        <w:spacing w:before="0" w:beforeAutospacing="0" w:after="0" w:afterAutospacing="0" w:line="259" w:lineRule="auto"/>
        <w:jc w:val="center"/>
        <w:divId w:val="1336424638"/>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336424638"/>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1336424638"/>
        <w:rPr>
          <w:sz w:val="20"/>
          <w:szCs w:val="20"/>
        </w:rPr>
      </w:pPr>
      <w:r>
        <w:rPr>
          <w:b/>
          <w:bCs/>
          <w:sz w:val="20"/>
          <w:szCs w:val="20"/>
        </w:rPr>
        <w:t>December 31, 201</w:t>
      </w:r>
      <w:r>
        <w:rPr>
          <w:b/>
          <w:bCs/>
          <w:sz w:val="20"/>
          <w:szCs w:val="20"/>
        </w:rPr>
        <w:t>9</w:t>
      </w:r>
    </w:p>
    <w:tbl>
      <w:tblPr>
        <w:tblW w:w="5000" w:type="pct"/>
        <w:tblCellMar>
          <w:top w:w="15" w:type="dxa"/>
          <w:left w:w="15" w:type="dxa"/>
          <w:bottom w:w="15" w:type="dxa"/>
          <w:right w:w="15" w:type="dxa"/>
        </w:tblCellMar>
        <w:tblLook w:val="04A0" w:firstRow="1" w:lastRow="0" w:firstColumn="1" w:lastColumn="0" w:noHBand="0" w:noVBand="1"/>
      </w:tblPr>
      <w:tblGrid>
        <w:gridCol w:w="2383"/>
        <w:gridCol w:w="99"/>
        <w:gridCol w:w="125"/>
        <w:gridCol w:w="765"/>
        <w:gridCol w:w="99"/>
        <w:gridCol w:w="125"/>
        <w:gridCol w:w="760"/>
        <w:gridCol w:w="99"/>
        <w:gridCol w:w="125"/>
        <w:gridCol w:w="765"/>
        <w:gridCol w:w="99"/>
        <w:gridCol w:w="125"/>
        <w:gridCol w:w="760"/>
        <w:gridCol w:w="99"/>
        <w:gridCol w:w="126"/>
        <w:gridCol w:w="765"/>
        <w:gridCol w:w="100"/>
        <w:gridCol w:w="126"/>
        <w:gridCol w:w="761"/>
      </w:tblGrid>
      <w:tr w:rsidR="00000000">
        <w:trPr>
          <w:divId w:val="1997606683"/>
          <w:trHeight w:val="14"/>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997606683"/>
          <w:trHeight w:val="302"/>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1997606683"/>
          <w:trHeight w:val="302"/>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Weighte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Weighte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Weighte</w:t>
            </w:r>
            <w:r>
              <w:rPr>
                <w:sz w:val="18"/>
                <w:szCs w:val="18"/>
              </w:rPr>
              <w:t>d</w:t>
            </w:r>
          </w:p>
        </w:tc>
      </w:tr>
      <w:tr w:rsidR="00000000">
        <w:trPr>
          <w:divId w:val="1997606683"/>
          <w:trHeight w:val="302"/>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Averag</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Averag</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Averag</w:t>
            </w:r>
            <w:r>
              <w:rPr>
                <w:sz w:val="18"/>
                <w:szCs w:val="18"/>
              </w:rPr>
              <w:t>e</w:t>
            </w:r>
          </w:p>
        </w:tc>
      </w:tr>
      <w:tr w:rsidR="00000000">
        <w:trPr>
          <w:divId w:val="1997606683"/>
          <w:trHeight w:val="245"/>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Numbe</w:t>
            </w:r>
            <w:r>
              <w:rPr>
                <w:sz w:val="18"/>
                <w:szCs w:val="18"/>
              </w:rPr>
              <w:t>r</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Exercis</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Numbe</w:t>
            </w:r>
            <w:r>
              <w:rPr>
                <w:sz w:val="18"/>
                <w:szCs w:val="18"/>
              </w:rPr>
              <w:t>r</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Exercis</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Numbe</w:t>
            </w:r>
            <w:r>
              <w:rPr>
                <w:sz w:val="18"/>
                <w:szCs w:val="18"/>
              </w:rPr>
              <w:t>r</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Exercis</w:t>
            </w:r>
            <w:r>
              <w:rPr>
                <w:sz w:val="18"/>
                <w:szCs w:val="18"/>
              </w:rPr>
              <w:t>e</w:t>
            </w:r>
          </w:p>
        </w:tc>
      </w:tr>
      <w:tr w:rsidR="00000000">
        <w:trPr>
          <w:divId w:val="1997606683"/>
          <w:trHeight w:val="245"/>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o</w:t>
            </w:r>
            <w:r>
              <w:rPr>
                <w:sz w:val="18"/>
                <w:szCs w:val="18"/>
              </w:rPr>
              <w:t>f</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Pric</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o</w:t>
            </w:r>
            <w:r>
              <w:rPr>
                <w:sz w:val="18"/>
                <w:szCs w:val="18"/>
              </w:rPr>
              <w:t>f</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Pric</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o</w:t>
            </w:r>
            <w:r>
              <w:rPr>
                <w:sz w:val="18"/>
                <w:szCs w:val="18"/>
              </w:rPr>
              <w:t>f</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Pric</w:t>
            </w:r>
            <w:r>
              <w:rPr>
                <w:sz w:val="18"/>
                <w:szCs w:val="18"/>
              </w:rPr>
              <w:t>e</w:t>
            </w:r>
          </w:p>
        </w:tc>
      </w:tr>
      <w:tr w:rsidR="00000000">
        <w:trPr>
          <w:divId w:val="1997606683"/>
          <w:trHeight w:val="245"/>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Option</w:t>
            </w:r>
            <w:r>
              <w:rPr>
                <w:sz w:val="18"/>
                <w:szCs w:val="18"/>
              </w:rPr>
              <w:t>s</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per Shar</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Option</w:t>
            </w:r>
            <w:r>
              <w:rPr>
                <w:sz w:val="18"/>
                <w:szCs w:val="18"/>
              </w:rPr>
              <w:t>s</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per Shar</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Option</w:t>
            </w:r>
            <w:r>
              <w:rPr>
                <w:sz w:val="18"/>
                <w:szCs w:val="18"/>
              </w:rPr>
              <w:t>s</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per Shar</w:t>
            </w:r>
            <w:r>
              <w:rPr>
                <w:sz w:val="18"/>
                <w:szCs w:val="18"/>
              </w:rPr>
              <w:t>e</w:t>
            </w:r>
          </w:p>
        </w:tc>
      </w:tr>
      <w:tr w:rsidR="00000000">
        <w:trPr>
          <w:divId w:val="1997606683"/>
          <w:trHeight w:val="302"/>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Options outstanding January 1</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2,420,92</w:t>
            </w:r>
            <w:r>
              <w:rPr>
                <w:sz w:val="18"/>
                <w:szCs w:val="18"/>
              </w:rPr>
              <w:t>2</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201.3</w:t>
            </w:r>
            <w:r>
              <w:rPr>
                <w:sz w:val="18"/>
                <w:szCs w:val="18"/>
              </w:rPr>
              <w:t>1</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2,408,91</w:t>
            </w:r>
            <w:r>
              <w:rPr>
                <w:sz w:val="18"/>
                <w:szCs w:val="18"/>
              </w:rPr>
              <w:t>7</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192.1</w:t>
            </w:r>
            <w:r>
              <w:rPr>
                <w:sz w:val="18"/>
                <w:szCs w:val="18"/>
              </w:rPr>
              <w:t>2</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1,995,44</w:t>
            </w:r>
            <w:r>
              <w:rPr>
                <w:sz w:val="18"/>
                <w:szCs w:val="18"/>
              </w:rPr>
              <w:t>0</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150.8</w:t>
            </w:r>
            <w:r>
              <w:rPr>
                <w:sz w:val="18"/>
                <w:szCs w:val="18"/>
              </w:rPr>
              <w:t>3</w:t>
            </w:r>
            <w:r>
              <w:rPr>
                <w:sz w:val="18"/>
                <w:szCs w:val="18"/>
              </w:rPr>
              <w:t> </w:t>
            </w:r>
          </w:p>
        </w:tc>
      </w:tr>
      <w:tr w:rsidR="00000000">
        <w:trPr>
          <w:divId w:val="1997606683"/>
          <w:trHeight w:val="259"/>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Grante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120,00</w:t>
            </w:r>
            <w:r>
              <w:rPr>
                <w:sz w:val="18"/>
                <w:szCs w:val="18"/>
              </w:rPr>
              <w:t>0</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221.1</w:t>
            </w:r>
            <w:r>
              <w:rPr>
                <w:sz w:val="18"/>
                <w:szCs w:val="18"/>
              </w:rPr>
              <w:t>2</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200,00</w:t>
            </w:r>
            <w:r>
              <w:rPr>
                <w:sz w:val="18"/>
                <w:szCs w:val="18"/>
              </w:rPr>
              <w:t>0</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194.2</w:t>
            </w:r>
            <w:r>
              <w:rPr>
                <w:sz w:val="18"/>
                <w:szCs w:val="18"/>
              </w:rPr>
              <w:t>9</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1,096,00</w:t>
            </w:r>
            <w:r>
              <w:rPr>
                <w:sz w:val="18"/>
                <w:szCs w:val="18"/>
              </w:rPr>
              <w:t>0</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223.5</w:t>
            </w:r>
            <w:r>
              <w:rPr>
                <w:sz w:val="18"/>
                <w:szCs w:val="18"/>
              </w:rPr>
              <w:t>8</w:t>
            </w:r>
            <w:r>
              <w:rPr>
                <w:sz w:val="18"/>
                <w:szCs w:val="18"/>
              </w:rPr>
              <w:t> </w:t>
            </w:r>
          </w:p>
        </w:tc>
      </w:tr>
      <w:tr w:rsidR="00000000">
        <w:trPr>
          <w:divId w:val="1997606683"/>
          <w:trHeight w:val="259"/>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Exercise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191,25</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174.5</w:t>
            </w:r>
            <w:r>
              <w:rPr>
                <w:sz w:val="18"/>
                <w:szCs w:val="18"/>
              </w:rPr>
              <w:t>5</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179,99</w:t>
            </w:r>
            <w:r>
              <w:rPr>
                <w:sz w:val="18"/>
                <w:szCs w:val="18"/>
              </w:rPr>
              <w:t>5</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69.5</w:t>
            </w:r>
            <w:r>
              <w:rPr>
                <w:sz w:val="18"/>
                <w:szCs w:val="18"/>
              </w:rPr>
              <w:t>3</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482,52</w:t>
            </w:r>
            <w:r>
              <w:rPr>
                <w:sz w:val="18"/>
                <w:szCs w:val="18"/>
              </w:rPr>
              <w:t>3</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88.0</w:t>
            </w:r>
            <w:r>
              <w:rPr>
                <w:sz w:val="18"/>
                <w:szCs w:val="18"/>
              </w:rPr>
              <w:t>7</w:t>
            </w:r>
            <w:r>
              <w:rPr>
                <w:sz w:val="18"/>
                <w:szCs w:val="18"/>
              </w:rPr>
              <w:t> </w:t>
            </w:r>
          </w:p>
        </w:tc>
      </w:tr>
      <w:tr w:rsidR="00000000">
        <w:trPr>
          <w:divId w:val="1997606683"/>
          <w:trHeight w:val="259"/>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Cancelle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10,00</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197.9</w:t>
            </w:r>
            <w:r>
              <w:rPr>
                <w:sz w:val="18"/>
                <w:szCs w:val="18"/>
              </w:rPr>
              <w:t>0</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8,00</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223.5</w:t>
            </w:r>
            <w:r>
              <w:rPr>
                <w:sz w:val="18"/>
                <w:szCs w:val="18"/>
              </w:rPr>
              <w:t>0</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200,00</w:t>
            </w:r>
            <w:r>
              <w:rPr>
                <w:sz w:val="18"/>
                <w:szCs w:val="18"/>
              </w:rPr>
              <w:t>0</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203.6</w:t>
            </w:r>
            <w:r>
              <w:rPr>
                <w:sz w:val="18"/>
                <w:szCs w:val="18"/>
              </w:rPr>
              <w:t>4</w:t>
            </w:r>
            <w:r>
              <w:rPr>
                <w:sz w:val="18"/>
                <w:szCs w:val="18"/>
              </w:rPr>
              <w:t> </w:t>
            </w:r>
          </w:p>
        </w:tc>
      </w:tr>
      <w:tr w:rsidR="00000000">
        <w:trPr>
          <w:divId w:val="1997606683"/>
          <w:trHeight w:val="29"/>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997606683"/>
          <w:trHeight w:val="302"/>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Options outstanding December 31</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2,339,66</w:t>
            </w:r>
            <w:r>
              <w:rPr>
                <w:sz w:val="18"/>
                <w:szCs w:val="18"/>
              </w:rPr>
              <w:t>7</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204.5</w:t>
            </w:r>
            <w:r>
              <w:rPr>
                <w:sz w:val="18"/>
                <w:szCs w:val="18"/>
              </w:rPr>
              <w:t>3</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2,420,92</w:t>
            </w:r>
            <w:r>
              <w:rPr>
                <w:sz w:val="18"/>
                <w:szCs w:val="18"/>
              </w:rPr>
              <w:t>2</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201.3</w:t>
            </w:r>
            <w:r>
              <w:rPr>
                <w:sz w:val="18"/>
                <w:szCs w:val="18"/>
              </w:rPr>
              <w:t>1</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2,408,91</w:t>
            </w:r>
            <w:r>
              <w:rPr>
                <w:sz w:val="18"/>
                <w:szCs w:val="18"/>
              </w:rPr>
              <w:t>7</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192.1</w:t>
            </w:r>
            <w:r>
              <w:rPr>
                <w:sz w:val="18"/>
                <w:szCs w:val="18"/>
              </w:rPr>
              <w:t>2</w:t>
            </w:r>
            <w:r>
              <w:rPr>
                <w:sz w:val="18"/>
                <w:szCs w:val="18"/>
              </w:rPr>
              <w:t> </w:t>
            </w:r>
          </w:p>
        </w:tc>
      </w:tr>
      <w:tr w:rsidR="00000000">
        <w:trPr>
          <w:divId w:val="1997606683"/>
          <w:trHeight w:val="29"/>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997606683"/>
          <w:trHeight w:val="302"/>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Options exercisable at December 31</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1,501,66</w:t>
            </w:r>
            <w:r>
              <w:rPr>
                <w:sz w:val="18"/>
                <w:szCs w:val="18"/>
              </w:rPr>
              <w:t>7</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196.3</w:t>
            </w:r>
            <w:r>
              <w:rPr>
                <w:sz w:val="18"/>
                <w:szCs w:val="18"/>
              </w:rPr>
              <w:t>7</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1,147,12</w:t>
            </w:r>
            <w:r>
              <w:rPr>
                <w:sz w:val="18"/>
                <w:szCs w:val="18"/>
              </w:rPr>
              <w:t>2</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178.3</w:t>
            </w:r>
            <w:r>
              <w:rPr>
                <w:sz w:val="18"/>
                <w:szCs w:val="18"/>
              </w:rPr>
              <w:t>1</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848,25</w:t>
            </w:r>
            <w:r>
              <w:rPr>
                <w:sz w:val="18"/>
                <w:szCs w:val="18"/>
              </w:rPr>
              <w:t>0</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143.5</w:t>
            </w:r>
            <w:r>
              <w:rPr>
                <w:sz w:val="18"/>
                <w:szCs w:val="18"/>
              </w:rPr>
              <w:t>5</w:t>
            </w:r>
            <w:r>
              <w:rPr>
                <w:sz w:val="18"/>
                <w:szCs w:val="18"/>
              </w:rPr>
              <w:t> </w:t>
            </w:r>
          </w:p>
        </w:tc>
      </w:tr>
    </w:tbl>
    <w:p w:rsidR="00000000" w:rsidRDefault="00865332">
      <w:pPr>
        <w:divId w:val="19976066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358"/>
        <w:gridCol w:w="133"/>
        <w:gridCol w:w="166"/>
        <w:gridCol w:w="689"/>
        <w:gridCol w:w="133"/>
        <w:gridCol w:w="166"/>
        <w:gridCol w:w="689"/>
        <w:gridCol w:w="133"/>
        <w:gridCol w:w="166"/>
        <w:gridCol w:w="673"/>
      </w:tblGrid>
      <w:tr w:rsidR="00000000">
        <w:trPr>
          <w:divId w:val="1997606683"/>
          <w:trHeight w:val="14"/>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997606683"/>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1997606683"/>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Stock option expense for the year (in 000&amp;apos;s) (a</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4,95</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17,16</w:t>
            </w:r>
            <w:r>
              <w:rPr>
                <w:sz w:val="18"/>
                <w:szCs w:val="18"/>
              </w:rPr>
              <w:t>2</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8,70</w:t>
            </w:r>
            <w:r>
              <w:rPr>
                <w:sz w:val="18"/>
                <w:szCs w:val="18"/>
              </w:rPr>
              <w:t>7</w:t>
            </w:r>
            <w:r>
              <w:rPr>
                <w:sz w:val="18"/>
                <w:szCs w:val="18"/>
              </w:rPr>
              <w:t> </w:t>
            </w: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997606683"/>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Aggregate exercise date intrinsic value of options exercised during the year (in 000&amp;apos;s</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11,84</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25,11</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61,33</w:t>
            </w:r>
            <w:r>
              <w:rPr>
                <w:sz w:val="18"/>
                <w:szCs w:val="18"/>
              </w:rPr>
              <w:t>4</w:t>
            </w:r>
            <w:r>
              <w:rPr>
                <w:sz w:val="18"/>
                <w:szCs w:val="18"/>
              </w:rPr>
              <w:t> </w:t>
            </w: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865332">
            <w:pPr>
              <w:pStyle w:val="a3"/>
              <w:spacing w:before="0" w:beforeAutospacing="0" w:after="0" w:afterAutospacing="0" w:line="259" w:lineRule="auto"/>
              <w:rPr>
                <w:sz w:val="18"/>
                <w:szCs w:val="18"/>
              </w:rPr>
            </w:pPr>
            <w:r>
              <w:rPr>
                <w:b/>
                <w:bCs/>
                <w:sz w:val="18"/>
                <w:szCs w:val="18"/>
              </w:rPr>
              <w:t>Average assumptions used in valuing options with the Black-Scholes method</w:t>
            </w:r>
            <w:r>
              <w:rPr>
                <w:b/>
                <w:bCs/>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Expected life of options in years, based upon historical experienc</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w:t>
            </w:r>
            <w:r>
              <w:rPr>
                <w:sz w:val="18"/>
                <w:szCs w:val="18"/>
              </w:rPr>
              <w:t> </w:t>
            </w: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Risk-free interest rat</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w:t>
            </w:r>
            <w:r>
              <w:rPr>
                <w:sz w:val="18"/>
                <w:szCs w:val="18"/>
              </w:rPr>
              <w:t>3</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w:t>
            </w:r>
            <w:r>
              <w:rPr>
                <w:sz w:val="18"/>
                <w:szCs w:val="18"/>
              </w:rPr>
              <w:t>7</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w:t>
            </w:r>
            <w:r>
              <w:rPr>
                <w:sz w:val="18"/>
                <w:szCs w:val="18"/>
              </w:rPr>
              <w:t>9</w:t>
            </w:r>
            <w:r>
              <w:rPr>
                <w:sz w:val="18"/>
                <w:szCs w:val="18"/>
              </w:rPr>
              <w:t>%</w:t>
            </w: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Expected volatility, based upon historical volatilit</w:t>
            </w:r>
            <w:r>
              <w:rPr>
                <w:sz w:val="18"/>
                <w:szCs w:val="18"/>
              </w:rPr>
              <w:t>y</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w:t>
            </w:r>
            <w:r>
              <w:rPr>
                <w:sz w:val="18"/>
                <w:szCs w:val="18"/>
              </w:rPr>
              <w:t>9</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w:t>
            </w:r>
            <w:r>
              <w:rPr>
                <w:sz w:val="18"/>
                <w:szCs w:val="18"/>
              </w:rPr>
              <w:t>5</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w:t>
            </w:r>
            <w:r>
              <w:rPr>
                <w:sz w:val="18"/>
                <w:szCs w:val="18"/>
              </w:rPr>
              <w:t>9</w:t>
            </w:r>
            <w:r>
              <w:rPr>
                <w:sz w:val="18"/>
                <w:szCs w:val="18"/>
              </w:rPr>
              <w:t>%</w:t>
            </w: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Expected dividend yiel</w:t>
            </w:r>
            <w:r>
              <w:rPr>
                <w:sz w:val="18"/>
                <w:szCs w:val="18"/>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w:t>
            </w:r>
            <w:r>
              <w:rPr>
                <w:sz w:val="18"/>
                <w:szCs w:val="18"/>
              </w:rPr>
              <w:t>6</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w:t>
            </w:r>
            <w:r>
              <w:rPr>
                <w:sz w:val="18"/>
                <w:szCs w:val="18"/>
              </w:rPr>
              <w:t>1</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w:t>
            </w:r>
            <w:r>
              <w:rPr>
                <w:sz w:val="18"/>
                <w:szCs w:val="18"/>
              </w:rPr>
              <w:t>6</w:t>
            </w:r>
            <w:r>
              <w:rPr>
                <w:sz w:val="18"/>
                <w:szCs w:val="18"/>
              </w:rPr>
              <w:t>%</w:t>
            </w: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99760668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Average estimated value of options granted during the yea</w:t>
            </w:r>
            <w:r>
              <w:rPr>
                <w:sz w:val="18"/>
                <w:szCs w:val="18"/>
              </w:rPr>
              <w:t>r</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9.6</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13.0</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23.4</w:t>
            </w:r>
            <w:r>
              <w:rPr>
                <w:sz w:val="18"/>
                <w:szCs w:val="18"/>
              </w:rPr>
              <w:t>9</w:t>
            </w:r>
            <w:r>
              <w:rPr>
                <w:sz w:val="18"/>
                <w:szCs w:val="18"/>
              </w:rPr>
              <w:t> </w:t>
            </w:r>
          </w:p>
        </w:tc>
      </w:tr>
    </w:tbl>
    <w:p w:rsidR="00000000" w:rsidRDefault="00865332">
      <w:pPr>
        <w:pStyle w:val="4"/>
        <w:spacing w:before="0" w:beforeAutospacing="0" w:after="0" w:afterAutospacing="0" w:line="259" w:lineRule="auto"/>
        <w:ind w:left="360" w:firstLine="720"/>
        <w:jc w:val="both"/>
        <w:divId w:val="1997606683"/>
        <w:rPr>
          <w:rFonts w:eastAsia="Times New Roman"/>
          <w:sz w:val="20"/>
          <w:szCs w:val="20"/>
        </w:rPr>
      </w:pPr>
      <w:r>
        <w:rPr>
          <w:rFonts w:eastAsia="Times New Roman"/>
          <w:b w:val="0"/>
          <w:bCs w:val="0"/>
          <w:sz w:val="20"/>
          <w:szCs w:val="20"/>
        </w:rPr>
        <w:t>(a)</w:t>
      </w:r>
      <w:r>
        <w:rPr>
          <w:rFonts w:eastAsia="Times New Roman"/>
          <w:b w:val="0"/>
          <w:bCs w:val="0"/>
          <w:sz w:val="20"/>
          <w:szCs w:val="20"/>
        </w:rPr>
        <w:t xml:space="preserve"> </w:t>
      </w:r>
      <w:r>
        <w:rPr>
          <w:rFonts w:eastAsia="Times New Roman"/>
          <w:b w:val="0"/>
          <w:bCs w:val="0"/>
          <w:sz w:val="20"/>
          <w:szCs w:val="20"/>
        </w:rPr>
        <w:t xml:space="preserve">Amounts for 2018 include </w:t>
      </w:r>
      <w:r>
        <w:rPr>
          <w:rFonts w:eastAsia="Times New Roman"/>
          <w:b w:val="0"/>
          <w:bCs w:val="0"/>
          <w:sz w:val="20"/>
          <w:szCs w:val="20"/>
        </w:rPr>
        <w:t>$</w:t>
      </w:r>
      <w:r>
        <w:rPr>
          <w:rFonts w:eastAsia="Times New Roman"/>
          <w:b w:val="0"/>
          <w:bCs w:val="0"/>
          <w:sz w:val="20"/>
          <w:szCs w:val="20"/>
        </w:rPr>
        <w:t>8.</w:t>
      </w:r>
      <w:r>
        <w:rPr>
          <w:rFonts w:eastAsia="Times New Roman"/>
          <w:b w:val="0"/>
          <w:bCs w:val="0"/>
          <w:sz w:val="20"/>
          <w:szCs w:val="20"/>
        </w:rPr>
        <w:t>1</w:t>
      </w:r>
      <w:r>
        <w:rPr>
          <w:rFonts w:eastAsia="Times New Roman"/>
          <w:b w:val="0"/>
          <w:bCs w:val="0"/>
          <w:sz w:val="20"/>
          <w:szCs w:val="20"/>
        </w:rPr>
        <w:t xml:space="preserve"> million, in connection with the acceleration of amortization on grants discussed above. Amounts for 2017 reflect a reduction in compensation expense of </w:t>
      </w:r>
      <w:r>
        <w:rPr>
          <w:rFonts w:eastAsia="Times New Roman"/>
          <w:b w:val="0"/>
          <w:bCs w:val="0"/>
          <w:sz w:val="20"/>
          <w:szCs w:val="20"/>
        </w:rPr>
        <w:t>$</w:t>
      </w:r>
      <w:r>
        <w:rPr>
          <w:rFonts w:eastAsia="Times New Roman"/>
          <w:b w:val="0"/>
          <w:bCs w:val="0"/>
          <w:sz w:val="20"/>
          <w:szCs w:val="20"/>
        </w:rPr>
        <w:t>0.</w:t>
      </w:r>
      <w:r>
        <w:rPr>
          <w:rFonts w:eastAsia="Times New Roman"/>
          <w:b w:val="0"/>
          <w:bCs w:val="0"/>
          <w:sz w:val="20"/>
          <w:szCs w:val="20"/>
        </w:rPr>
        <w:t>8</w:t>
      </w:r>
      <w:r>
        <w:rPr>
          <w:rFonts w:eastAsia="Times New Roman"/>
          <w:b w:val="0"/>
          <w:bCs w:val="0"/>
          <w:sz w:val="20"/>
          <w:szCs w:val="20"/>
        </w:rPr>
        <w:t xml:space="preserve"> million related to stock options forfeited during the period</w:t>
      </w:r>
      <w:r>
        <w:rPr>
          <w:rFonts w:eastAsia="Times New Roman"/>
          <w:b w:val="0"/>
          <w:bCs w:val="0"/>
          <w:sz w:val="20"/>
          <w:szCs w:val="20"/>
        </w:rPr>
        <w:t>.</w:t>
      </w:r>
    </w:p>
    <w:p w:rsidR="00000000" w:rsidRDefault="00865332">
      <w:pPr>
        <w:pStyle w:val="4"/>
        <w:spacing w:before="0" w:beforeAutospacing="0" w:after="0" w:afterAutospacing="0" w:line="259" w:lineRule="auto"/>
        <w:ind w:left="1080"/>
        <w:jc w:val="both"/>
        <w:divId w:val="1997606683"/>
        <w:rPr>
          <w:rFonts w:eastAsia="Times New Roman"/>
          <w:sz w:val="20"/>
          <w:szCs w:val="20"/>
        </w:rPr>
      </w:pPr>
      <w:r>
        <w:rPr>
          <w:rFonts w:eastAsia="Times New Roman"/>
          <w:b w:val="0"/>
          <w:bCs w:val="0"/>
          <w:sz w:val="20"/>
          <w:szCs w:val="20"/>
          <w:u w:val="single"/>
        </w:rPr>
        <w:t>Restric</w:t>
      </w:r>
      <w:r>
        <w:rPr>
          <w:rFonts w:eastAsia="Times New Roman"/>
          <w:b w:val="0"/>
          <w:bCs w:val="0"/>
          <w:sz w:val="20"/>
          <w:szCs w:val="20"/>
          <w:u w:val="single"/>
        </w:rPr>
        <w:t>ted Share Unit</w:t>
      </w:r>
      <w:r>
        <w:rPr>
          <w:rFonts w:eastAsia="Times New Roman"/>
          <w:b w:val="0"/>
          <w:bCs w:val="0"/>
          <w:sz w:val="20"/>
          <w:szCs w:val="20"/>
          <w:u w:val="single"/>
        </w:rPr>
        <w:t>s</w:t>
      </w:r>
    </w:p>
    <w:p w:rsidR="00000000" w:rsidRDefault="00865332">
      <w:pPr>
        <w:pStyle w:val="a3"/>
        <w:spacing w:before="0" w:beforeAutospacing="0" w:after="0" w:afterAutospacing="0" w:line="259" w:lineRule="auto"/>
        <w:ind w:left="360" w:firstLine="720"/>
        <w:jc w:val="both"/>
        <w:divId w:val="1997606683"/>
        <w:rPr>
          <w:sz w:val="20"/>
          <w:szCs w:val="20"/>
        </w:rPr>
      </w:pPr>
      <w:r>
        <w:rPr>
          <w:sz w:val="20"/>
          <w:szCs w:val="20"/>
        </w:rPr>
        <w:t>RSUs generally vest ratably over</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8</w:t>
      </w:r>
      <w:r>
        <w:rPr>
          <w:sz w:val="20"/>
          <w:szCs w:val="20"/>
        </w:rPr>
        <w:t xml:space="preserve"> years from the grant date. </w:t>
      </w:r>
      <w:r>
        <w:rPr>
          <w:sz w:val="20"/>
          <w:szCs w:val="20"/>
        </w:rPr>
        <w:t>The grantee receives dividends for each outstanding RSU equal to the per-share dividends received by our common shareholders. We expense any dividends previously paid upon forfeiture of the related RSU. Upon vesting, the grantee receives common shares equa</w:t>
      </w:r>
      <w:r>
        <w:rPr>
          <w:sz w:val="20"/>
          <w:szCs w:val="20"/>
        </w:rPr>
        <w:t>l to the number of vested RSUs, less common shares withheld in exchange for tax deposits made by the Company to satisfy the grantee’s statutory tax liabilities arising from the vesting.</w:t>
      </w:r>
      <w:r>
        <w:rPr>
          <w:sz w:val="20"/>
          <w:szCs w:val="20"/>
        </w:rPr>
        <w:t xml:space="preserve"> </w:t>
      </w:r>
    </w:p>
    <w:p w:rsidR="00000000" w:rsidRDefault="00865332">
      <w:pPr>
        <w:pStyle w:val="a3"/>
        <w:spacing w:before="0" w:beforeAutospacing="0" w:after="0" w:afterAutospacing="0" w:line="259" w:lineRule="auto"/>
        <w:ind w:left="360" w:firstLine="720"/>
        <w:jc w:val="both"/>
        <w:divId w:val="1997606683"/>
        <w:rPr>
          <w:sz w:val="20"/>
          <w:szCs w:val="20"/>
        </w:rPr>
      </w:pPr>
      <w:r>
        <w:rPr>
          <w:sz w:val="20"/>
          <w:szCs w:val="20"/>
        </w:rPr>
        <w:t>The fair value of our RSUs is determined based upon the applicable closing trading price of our common shares.</w:t>
      </w:r>
      <w:r>
        <w:rPr>
          <w:sz w:val="20"/>
          <w:szCs w:val="20"/>
        </w:rPr>
        <w:t xml:space="preserve"> </w:t>
      </w:r>
    </w:p>
    <w:p w:rsidR="00000000" w:rsidRDefault="00865332">
      <w:pPr>
        <w:pStyle w:val="a3"/>
        <w:spacing w:before="0" w:beforeAutospacing="0" w:after="0" w:afterAutospacing="0" w:line="259" w:lineRule="auto"/>
        <w:ind w:left="360" w:firstLine="720"/>
        <w:jc w:val="both"/>
        <w:divId w:val="1997606683"/>
        <w:rPr>
          <w:sz w:val="20"/>
          <w:szCs w:val="20"/>
        </w:rPr>
      </w:pPr>
      <w:r>
        <w:rPr>
          <w:sz w:val="20"/>
          <w:szCs w:val="20"/>
        </w:rPr>
        <w:t xml:space="preserve">The fair value of our RSUs outstanding at December 31, 2019 was approximately </w:t>
      </w:r>
      <w:r>
        <w:rPr>
          <w:sz w:val="20"/>
          <w:szCs w:val="20"/>
        </w:rPr>
        <w:t>$</w:t>
      </w:r>
      <w:r>
        <w:rPr>
          <w:sz w:val="20"/>
          <w:szCs w:val="20"/>
        </w:rPr>
        <w:t>131.</w:t>
      </w:r>
      <w:r>
        <w:rPr>
          <w:sz w:val="20"/>
          <w:szCs w:val="20"/>
        </w:rPr>
        <w:t>9</w:t>
      </w:r>
      <w:r>
        <w:rPr>
          <w:sz w:val="20"/>
          <w:szCs w:val="20"/>
        </w:rPr>
        <w:t xml:space="preserve"> million. Remaining compensation expense related to RSUs out</w:t>
      </w:r>
      <w:r>
        <w:rPr>
          <w:sz w:val="20"/>
          <w:szCs w:val="20"/>
        </w:rPr>
        <w:t xml:space="preserve">standing at December 31, 2019 totals approximately </w:t>
      </w:r>
      <w:r>
        <w:rPr>
          <w:sz w:val="20"/>
          <w:szCs w:val="20"/>
        </w:rPr>
        <w:t>$</w:t>
      </w:r>
      <w:r>
        <w:rPr>
          <w:sz w:val="20"/>
          <w:szCs w:val="20"/>
        </w:rPr>
        <w:t>85.</w:t>
      </w:r>
      <w:r>
        <w:rPr>
          <w:sz w:val="20"/>
          <w:szCs w:val="20"/>
        </w:rPr>
        <w:t>1</w:t>
      </w:r>
      <w:r>
        <w:rPr>
          <w:sz w:val="20"/>
          <w:szCs w:val="20"/>
        </w:rPr>
        <w:t> million and is expected to be recognized as compensation expense over the next</w:t>
      </w:r>
      <w:r>
        <w:rPr>
          <w:sz w:val="20"/>
          <w:szCs w:val="20"/>
        </w:rPr>
        <w:t xml:space="preserve"> </w:t>
      </w:r>
      <w:r>
        <w:rPr>
          <w:sz w:val="20"/>
          <w:szCs w:val="20"/>
        </w:rPr>
        <w:t>4.</w:t>
      </w:r>
      <w:r>
        <w:rPr>
          <w:sz w:val="20"/>
          <w:szCs w:val="20"/>
        </w:rPr>
        <w:t>6</w:t>
      </w:r>
      <w:r>
        <w:rPr>
          <w:sz w:val="20"/>
          <w:szCs w:val="20"/>
        </w:rPr>
        <w:t xml:space="preserve"> years on average. The following tables set forth relevant information with respect to restricted shares (dollar amou</w:t>
      </w:r>
      <w:r>
        <w:rPr>
          <w:sz w:val="20"/>
          <w:szCs w:val="20"/>
        </w:rPr>
        <w:t>nts in thousands)</w:t>
      </w:r>
      <w:r>
        <w:rPr>
          <w:sz w:val="20"/>
          <w:szCs w:val="20"/>
        </w:rPr>
        <w:t>:</w:t>
      </w:r>
    </w:p>
    <w:p w:rsidR="00000000" w:rsidRDefault="00865332">
      <w:pPr>
        <w:pStyle w:val="a3"/>
        <w:spacing w:before="0" w:beforeAutospacing="0" w:after="0" w:afterAutospacing="0" w:line="259" w:lineRule="auto"/>
        <w:jc w:val="center"/>
        <w:divId w:val="503907366"/>
        <w:rPr>
          <w:sz w:val="20"/>
          <w:szCs w:val="20"/>
        </w:rPr>
      </w:pPr>
      <w:r>
        <w:rPr>
          <w:sz w:val="20"/>
          <w:szCs w:val="20"/>
        </w:rPr>
        <w:t>F</w:t>
      </w:r>
      <w:r>
        <w:rPr>
          <w:sz w:val="20"/>
          <w:szCs w:val="20"/>
        </w:rPr>
        <w:t>-</w:t>
      </w:r>
      <w:r>
        <w:rPr>
          <w:rStyle w:val="ctheaderfooterpage"/>
          <w:sz w:val="20"/>
          <w:szCs w:val="20"/>
        </w:rPr>
        <w:t>2</w:t>
      </w:r>
      <w:r>
        <w:rPr>
          <w:rStyle w:val="ctheaderfooterpage"/>
          <w:sz w:val="20"/>
          <w:szCs w:val="20"/>
        </w:rPr>
        <w:t>6</w:t>
      </w:r>
    </w:p>
    <w:p w:rsidR="00000000" w:rsidRDefault="00865332">
      <w:pPr>
        <w:spacing w:before="360" w:after="360"/>
        <w:divId w:val="987247780"/>
        <w:rPr>
          <w:rFonts w:eastAsia="Times New Roman"/>
        </w:rPr>
      </w:pPr>
      <w:r>
        <w:rPr>
          <w:rFonts w:eastAsia="Times New Roman"/>
        </w:rPr>
        <w:pict>
          <v:rect id="_x0000_i1121" style="width:0;height:1.5pt" o:hralign="center" o:hrstd="t" o:hr="t" fillcolor="#a0a0a0" stroked="f"/>
        </w:pict>
      </w:r>
    </w:p>
    <w:p w:rsidR="00000000" w:rsidRDefault="00865332">
      <w:pPr>
        <w:pStyle w:val="a3"/>
        <w:spacing w:before="0" w:beforeAutospacing="0" w:after="0" w:afterAutospacing="0" w:line="259" w:lineRule="auto"/>
        <w:jc w:val="center"/>
        <w:divId w:val="535964663"/>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535964663"/>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535964663"/>
        <w:rPr>
          <w:sz w:val="20"/>
          <w:szCs w:val="20"/>
        </w:rPr>
      </w:pPr>
      <w:r>
        <w:rPr>
          <w:b/>
          <w:bCs/>
          <w:sz w:val="20"/>
          <w:szCs w:val="20"/>
        </w:rPr>
        <w:t>December 31, 201</w:t>
      </w:r>
      <w:r>
        <w:rPr>
          <w:b/>
          <w:bCs/>
          <w:sz w:val="20"/>
          <w:szCs w:val="20"/>
        </w:rPr>
        <w:t>9</w:t>
      </w:r>
    </w:p>
    <w:tbl>
      <w:tblPr>
        <w:tblW w:w="5000" w:type="pct"/>
        <w:tblCellMar>
          <w:top w:w="15" w:type="dxa"/>
          <w:left w:w="15" w:type="dxa"/>
          <w:bottom w:w="15" w:type="dxa"/>
          <w:right w:w="15" w:type="dxa"/>
        </w:tblCellMar>
        <w:tblLook w:val="04A0" w:firstRow="1" w:lastRow="0" w:firstColumn="1" w:lastColumn="0" w:noHBand="0" w:noVBand="1"/>
      </w:tblPr>
      <w:tblGrid>
        <w:gridCol w:w="2384"/>
        <w:gridCol w:w="100"/>
        <w:gridCol w:w="126"/>
        <w:gridCol w:w="761"/>
        <w:gridCol w:w="100"/>
        <w:gridCol w:w="126"/>
        <w:gridCol w:w="761"/>
        <w:gridCol w:w="100"/>
        <w:gridCol w:w="126"/>
        <w:gridCol w:w="761"/>
        <w:gridCol w:w="100"/>
        <w:gridCol w:w="126"/>
        <w:gridCol w:w="761"/>
        <w:gridCol w:w="100"/>
        <w:gridCol w:w="126"/>
        <w:gridCol w:w="761"/>
        <w:gridCol w:w="100"/>
        <w:gridCol w:w="126"/>
        <w:gridCol w:w="761"/>
      </w:tblGrid>
      <w:tr w:rsidR="00000000">
        <w:trPr>
          <w:divId w:val="682322253"/>
          <w:trHeight w:val="14"/>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682322253"/>
          <w:trHeight w:val="245"/>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682322253"/>
          <w:trHeight w:val="245"/>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Number o</w:t>
            </w:r>
            <w:r>
              <w:rPr>
                <w:sz w:val="18"/>
                <w:szCs w:val="18"/>
              </w:rPr>
              <w:t>f</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Grant Dat</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Number o</w:t>
            </w:r>
            <w:r>
              <w:rPr>
                <w:sz w:val="18"/>
                <w:szCs w:val="18"/>
              </w:rPr>
              <w:t>f</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Grant Dat</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Number o</w:t>
            </w:r>
            <w:r>
              <w:rPr>
                <w:sz w:val="18"/>
                <w:szCs w:val="18"/>
              </w:rPr>
              <w:t>f</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Grant Dat</w:t>
            </w:r>
            <w:r>
              <w:rPr>
                <w:sz w:val="18"/>
                <w:szCs w:val="18"/>
              </w:rPr>
              <w:t>e</w:t>
            </w:r>
          </w:p>
        </w:tc>
      </w:tr>
      <w:tr w:rsidR="00000000">
        <w:trPr>
          <w:divId w:val="682322253"/>
          <w:trHeight w:val="245"/>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Restricte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Aggregat</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Restricte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Aggregat</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Restricte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Aggregat</w:t>
            </w:r>
            <w:r>
              <w:rPr>
                <w:sz w:val="18"/>
                <w:szCs w:val="18"/>
              </w:rPr>
              <w:t>e</w:t>
            </w:r>
          </w:p>
        </w:tc>
      </w:tr>
      <w:tr w:rsidR="00000000">
        <w:trPr>
          <w:divId w:val="682322253"/>
          <w:trHeight w:val="245"/>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 Unit</w:t>
            </w:r>
            <w:r>
              <w:rPr>
                <w:sz w:val="18"/>
                <w:szCs w:val="18"/>
              </w:rPr>
              <w:t>s</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Fair Valu</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 Unit</w:t>
            </w:r>
            <w:r>
              <w:rPr>
                <w:sz w:val="18"/>
                <w:szCs w:val="18"/>
              </w:rPr>
              <w:t>s</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Fair Valu</w:t>
            </w:r>
            <w:r>
              <w:rPr>
                <w:sz w:val="18"/>
                <w:szCs w:val="18"/>
              </w:rPr>
              <w:t>e</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Share Unit</w:t>
            </w:r>
            <w:r>
              <w:rPr>
                <w:sz w:val="18"/>
                <w:szCs w:val="18"/>
              </w:rPr>
              <w:t>s</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Fair Valu</w:t>
            </w:r>
            <w:r>
              <w:rPr>
                <w:sz w:val="18"/>
                <w:szCs w:val="18"/>
              </w:rPr>
              <w:t>e</w:t>
            </w:r>
          </w:p>
        </w:tc>
      </w:tr>
      <w:tr w:rsidR="00000000">
        <w:trPr>
          <w:divId w:val="682322253"/>
          <w:trHeight w:val="461"/>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Restricted share units outstanding January 1</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717,69</w:t>
            </w:r>
            <w:r>
              <w:rPr>
                <w:sz w:val="18"/>
                <w:szCs w:val="18"/>
              </w:rPr>
              <w:t>6</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151,21</w:t>
            </w:r>
            <w:r>
              <w:rPr>
                <w:sz w:val="18"/>
                <w:szCs w:val="18"/>
              </w:rPr>
              <w:t>2</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799,12</w:t>
            </w:r>
            <w:r>
              <w:rPr>
                <w:sz w:val="18"/>
                <w:szCs w:val="18"/>
              </w:rPr>
              <w:t>9</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166,14</w:t>
            </w:r>
            <w:r>
              <w:rPr>
                <w:sz w:val="18"/>
                <w:szCs w:val="18"/>
              </w:rPr>
              <w:t>4</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696,64</w:t>
            </w:r>
            <w:r>
              <w:rPr>
                <w:sz w:val="18"/>
                <w:szCs w:val="18"/>
              </w:rPr>
              <w:t>1</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136,90</w:t>
            </w:r>
            <w:r>
              <w:rPr>
                <w:sz w:val="18"/>
                <w:szCs w:val="18"/>
              </w:rPr>
              <w:t>5</w:t>
            </w:r>
            <w:r>
              <w:rPr>
                <w:sz w:val="18"/>
                <w:szCs w:val="18"/>
              </w:rPr>
              <w:t> </w:t>
            </w:r>
          </w:p>
        </w:tc>
      </w:tr>
      <w:tr w:rsidR="00000000">
        <w:trPr>
          <w:divId w:val="682322253"/>
          <w:trHeight w:val="259"/>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Grante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97,14</w:t>
            </w:r>
            <w:r>
              <w:rPr>
                <w:sz w:val="18"/>
                <w:szCs w:val="18"/>
              </w:rPr>
              <w:t>0</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21,11</w:t>
            </w:r>
            <w:r>
              <w:rPr>
                <w:sz w:val="18"/>
                <w:szCs w:val="18"/>
              </w:rPr>
              <w:t>3</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138,56</w:t>
            </w:r>
            <w:r>
              <w:rPr>
                <w:sz w:val="18"/>
                <w:szCs w:val="18"/>
              </w:rPr>
              <w:t>7</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27,73</w:t>
            </w:r>
            <w:r>
              <w:rPr>
                <w:sz w:val="18"/>
                <w:szCs w:val="18"/>
              </w:rPr>
              <w:t>3</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340,95</w:t>
            </w:r>
            <w:r>
              <w:rPr>
                <w:sz w:val="18"/>
                <w:szCs w:val="18"/>
              </w:rPr>
              <w:t>7</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73,95</w:t>
            </w:r>
            <w:r>
              <w:rPr>
                <w:sz w:val="18"/>
                <w:szCs w:val="18"/>
              </w:rPr>
              <w:t>3</w:t>
            </w:r>
            <w:r>
              <w:rPr>
                <w:sz w:val="18"/>
                <w:szCs w:val="18"/>
              </w:rPr>
              <w:t> </w:t>
            </w:r>
          </w:p>
        </w:tc>
      </w:tr>
      <w:tr w:rsidR="00000000">
        <w:trPr>
          <w:divId w:val="682322253"/>
          <w:trHeight w:val="259"/>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Veste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160,32</w:t>
            </w:r>
            <w:r>
              <w:rPr>
                <w:sz w:val="18"/>
                <w:szCs w:val="18"/>
              </w:rPr>
              <w:t>9</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32,71</w:t>
            </w:r>
            <w:r>
              <w:rPr>
                <w:sz w:val="18"/>
                <w:szCs w:val="18"/>
              </w:rPr>
              <w:t>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164,10</w:t>
            </w:r>
            <w:r>
              <w:rPr>
                <w:sz w:val="18"/>
                <w:szCs w:val="18"/>
              </w:rPr>
              <w:t>4</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30,71</w:t>
            </w:r>
            <w:r>
              <w:rPr>
                <w:sz w:val="18"/>
                <w:szCs w:val="18"/>
              </w:rPr>
              <w:t>7</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144,47</w:t>
            </w:r>
            <w:r>
              <w:rPr>
                <w:sz w:val="18"/>
                <w:szCs w:val="18"/>
              </w:rPr>
              <w:t>3</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25,30</w:t>
            </w:r>
            <w:r>
              <w:rPr>
                <w:sz w:val="18"/>
                <w:szCs w:val="18"/>
              </w:rPr>
              <w:t>5</w:t>
            </w:r>
            <w:r>
              <w:rPr>
                <w:sz w:val="18"/>
                <w:szCs w:val="18"/>
              </w:rPr>
              <w:t>)</w:t>
            </w:r>
          </w:p>
        </w:tc>
      </w:tr>
      <w:tr w:rsidR="00000000">
        <w:trPr>
          <w:divId w:val="682322253"/>
          <w:trHeight w:val="259"/>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Forfeite</w:t>
            </w:r>
            <w:r>
              <w:rPr>
                <w:sz w:val="18"/>
                <w:szCs w:val="18"/>
              </w:rPr>
              <w:t>d</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35,35</w:t>
            </w:r>
            <w:r>
              <w:rPr>
                <w:sz w:val="18"/>
                <w:szCs w:val="18"/>
              </w:rPr>
              <w:t>7</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7,55</w:t>
            </w:r>
            <w:r>
              <w:rPr>
                <w:sz w:val="18"/>
                <w:szCs w:val="18"/>
              </w:rPr>
              <w:t>3</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55,89</w:t>
            </w:r>
            <w:r>
              <w:rPr>
                <w:sz w:val="18"/>
                <w:szCs w:val="18"/>
              </w:rPr>
              <w:t>6</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11,94</w:t>
            </w:r>
            <w:r>
              <w:rPr>
                <w:sz w:val="18"/>
                <w:szCs w:val="18"/>
              </w:rPr>
              <w:t>8</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93,99</w:t>
            </w:r>
            <w:r>
              <w:rPr>
                <w:sz w:val="18"/>
                <w:szCs w:val="18"/>
              </w:rPr>
              <w:t>6</w:t>
            </w:r>
            <w:r>
              <w:rPr>
                <w:sz w:val="18"/>
                <w:szCs w:val="18"/>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19,40</w:t>
            </w:r>
            <w:r>
              <w:rPr>
                <w:sz w:val="18"/>
                <w:szCs w:val="18"/>
              </w:rPr>
              <w:t>9</w:t>
            </w:r>
            <w:r>
              <w:rPr>
                <w:sz w:val="18"/>
                <w:szCs w:val="18"/>
              </w:rPr>
              <w:t>)</w:t>
            </w:r>
          </w:p>
        </w:tc>
      </w:tr>
      <w:tr w:rsidR="00000000">
        <w:trPr>
          <w:divId w:val="682322253"/>
          <w:trHeight w:val="58"/>
        </w:trPr>
        <w:tc>
          <w:tcPr>
            <w:tcW w:w="1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682322253"/>
          <w:trHeight w:val="461"/>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Restricted share units outstanding December 31</w:t>
            </w:r>
            <w:r>
              <w:rPr>
                <w:sz w:val="18"/>
                <w:szCs w:val="18"/>
              </w:rPr>
              <w:t>,</w:t>
            </w: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619,15</w:t>
            </w:r>
            <w:r>
              <w:rPr>
                <w:sz w:val="18"/>
                <w:szCs w:val="18"/>
              </w:rPr>
              <w:t>0</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132,05</w:t>
            </w:r>
            <w:r>
              <w:rPr>
                <w:sz w:val="18"/>
                <w:szCs w:val="18"/>
              </w:rPr>
              <w:t>8</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717,69</w:t>
            </w:r>
            <w:r>
              <w:rPr>
                <w:sz w:val="18"/>
                <w:szCs w:val="18"/>
              </w:rPr>
              <w:t>6</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151,21</w:t>
            </w:r>
            <w:r>
              <w:rPr>
                <w:sz w:val="18"/>
                <w:szCs w:val="18"/>
              </w:rPr>
              <w:t>2</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799,12</w:t>
            </w:r>
            <w:r>
              <w:rPr>
                <w:sz w:val="18"/>
                <w:szCs w:val="18"/>
              </w:rPr>
              <w:t>9</w:t>
            </w:r>
            <w:r>
              <w:rPr>
                <w:sz w:val="18"/>
                <w:szCs w:val="18"/>
              </w:rPr>
              <w:t> </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166,14</w:t>
            </w:r>
            <w:r>
              <w:rPr>
                <w:sz w:val="18"/>
                <w:szCs w:val="18"/>
              </w:rPr>
              <w:t>4</w:t>
            </w:r>
            <w:r>
              <w:rPr>
                <w:sz w:val="18"/>
                <w:szCs w:val="18"/>
              </w:rPr>
              <w:t> </w:t>
            </w:r>
          </w:p>
        </w:tc>
      </w:tr>
    </w:tbl>
    <w:p w:rsidR="00000000" w:rsidRDefault="00865332">
      <w:pPr>
        <w:divId w:val="6823222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358"/>
        <w:gridCol w:w="133"/>
        <w:gridCol w:w="166"/>
        <w:gridCol w:w="689"/>
        <w:gridCol w:w="133"/>
        <w:gridCol w:w="166"/>
        <w:gridCol w:w="689"/>
        <w:gridCol w:w="133"/>
        <w:gridCol w:w="166"/>
        <w:gridCol w:w="673"/>
      </w:tblGrid>
      <w:tr w:rsidR="00000000">
        <w:trPr>
          <w:divId w:val="682322253"/>
          <w:trHeight w:val="14"/>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682322253"/>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682322253"/>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Amounts for the year (in 000&amp;apos;s, except number of shares)</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682322253"/>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Fair value of vested shares on vesting dat</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33,76</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32,31</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31,96</w:t>
            </w:r>
            <w:r>
              <w:rPr>
                <w:sz w:val="18"/>
                <w:szCs w:val="18"/>
              </w:rPr>
              <w:t>2</w:t>
            </w:r>
            <w:r>
              <w:rPr>
                <w:sz w:val="18"/>
                <w:szCs w:val="18"/>
              </w:rPr>
              <w:t> </w:t>
            </w:r>
          </w:p>
        </w:tc>
      </w:tr>
      <w:tr w:rsidR="00000000">
        <w:trPr>
          <w:divId w:val="682322253"/>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Cash paid for taxes upon vesting in lieu of issuing common share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12,16</w:t>
            </w:r>
            <w:r>
              <w:rPr>
                <w:sz w:val="18"/>
                <w:szCs w:val="18"/>
              </w:rPr>
              <w:t>2</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12,34</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14,09</w:t>
            </w:r>
            <w:r>
              <w:rPr>
                <w:sz w:val="18"/>
                <w:szCs w:val="18"/>
              </w:rPr>
              <w:t>2</w:t>
            </w:r>
            <w:r>
              <w:rPr>
                <w:sz w:val="18"/>
                <w:szCs w:val="18"/>
              </w:rPr>
              <w:t> </w:t>
            </w:r>
          </w:p>
        </w:tc>
      </w:tr>
      <w:tr w:rsidR="00000000">
        <w:trPr>
          <w:divId w:val="682322253"/>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Common shares issued upon vestin</w:t>
            </w:r>
            <w:r>
              <w:rPr>
                <w:sz w:val="18"/>
                <w:szCs w:val="18"/>
              </w:rPr>
              <w:t>g</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96,47</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97,51</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82,06</w:t>
            </w:r>
            <w:r>
              <w:rPr>
                <w:sz w:val="18"/>
                <w:szCs w:val="18"/>
              </w:rPr>
              <w:t>0</w:t>
            </w:r>
            <w:r>
              <w:rPr>
                <w:sz w:val="18"/>
                <w:szCs w:val="18"/>
              </w:rPr>
              <w:t> </w:t>
            </w:r>
          </w:p>
        </w:tc>
      </w:tr>
      <w:tr w:rsidR="00000000">
        <w:trPr>
          <w:divId w:val="682322253"/>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Restricted share unit expense (a</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21,66</w:t>
            </w:r>
            <w:r>
              <w:rPr>
                <w:sz w:val="18"/>
                <w:szCs w:val="18"/>
              </w:rPr>
              <w:t>2</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53,86</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28,84</w:t>
            </w:r>
            <w:r>
              <w:rPr>
                <w:sz w:val="18"/>
                <w:szCs w:val="18"/>
              </w:rPr>
              <w:t>1</w:t>
            </w:r>
            <w:r>
              <w:rPr>
                <w:sz w:val="18"/>
                <w:szCs w:val="18"/>
              </w:rPr>
              <w:t> </w:t>
            </w:r>
          </w:p>
        </w:tc>
      </w:tr>
      <w:tr w:rsidR="00000000">
        <w:trPr>
          <w:divId w:val="682322253"/>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ind w:left="360" w:firstLine="720"/>
        <w:jc w:val="both"/>
        <w:divId w:val="682322253"/>
        <w:rPr>
          <w:sz w:val="20"/>
          <w:szCs w:val="20"/>
        </w:rPr>
      </w:pPr>
      <w:r>
        <w:rPr>
          <w:sz w:val="20"/>
          <w:szCs w:val="20"/>
        </w:rPr>
        <w:t>(a</w:t>
      </w:r>
      <w:r>
        <w:rPr>
          <w:sz w:val="20"/>
          <w:szCs w:val="20"/>
        </w:rPr>
        <w:t>)</w:t>
      </w:r>
      <w:r>
        <w:rPr>
          <w:sz w:val="20"/>
          <w:szCs w:val="20"/>
        </w:rPr>
        <w:t xml:space="preserve">Amounts for 2019, 2018 and 2017 include approximately </w:t>
      </w:r>
      <w:r>
        <w:rPr>
          <w:sz w:val="20"/>
          <w:szCs w:val="20"/>
        </w:rPr>
        <w:t>$</w:t>
      </w:r>
      <w:r>
        <w:rPr>
          <w:sz w:val="20"/>
          <w:szCs w:val="20"/>
        </w:rPr>
        <w:t>1.</w:t>
      </w:r>
      <w:r>
        <w:rPr>
          <w:sz w:val="20"/>
          <w:szCs w:val="20"/>
        </w:rPr>
        <w:t>2</w:t>
      </w:r>
      <w:r>
        <w:rPr>
          <w:sz w:val="20"/>
          <w:szCs w:val="20"/>
        </w:rPr>
        <w:t xml:space="preserve"> million, </w:t>
      </w:r>
      <w:r>
        <w:rPr>
          <w:sz w:val="20"/>
          <w:szCs w:val="20"/>
        </w:rPr>
        <w:t>$</w:t>
      </w:r>
      <w:r>
        <w:rPr>
          <w:sz w:val="20"/>
          <w:szCs w:val="20"/>
        </w:rPr>
        <w:t>1.</w:t>
      </w:r>
      <w:r>
        <w:rPr>
          <w:sz w:val="20"/>
          <w:szCs w:val="20"/>
        </w:rPr>
        <w:t>1</w:t>
      </w:r>
      <w:r>
        <w:rPr>
          <w:sz w:val="20"/>
          <w:szCs w:val="20"/>
        </w:rPr>
        <w:t xml:space="preserve"> million and </w:t>
      </w:r>
      <w:r>
        <w:rPr>
          <w:sz w:val="20"/>
          <w:szCs w:val="20"/>
        </w:rPr>
        <w:t>$</w:t>
      </w:r>
      <w:r>
        <w:rPr>
          <w:sz w:val="20"/>
          <w:szCs w:val="20"/>
        </w:rPr>
        <w:t>0.</w:t>
      </w:r>
      <w:r>
        <w:rPr>
          <w:sz w:val="20"/>
          <w:szCs w:val="20"/>
        </w:rPr>
        <w:t>7</w:t>
      </w:r>
      <w:r>
        <w:rPr>
          <w:sz w:val="20"/>
          <w:szCs w:val="20"/>
        </w:rPr>
        <w:t xml:space="preserve"> million, respectively, in employer taxes incurred upon vesting. Amounts for 2018 include </w:t>
      </w:r>
      <w:r>
        <w:rPr>
          <w:sz w:val="20"/>
          <w:szCs w:val="20"/>
        </w:rPr>
        <w:t>$</w:t>
      </w:r>
      <w:r>
        <w:rPr>
          <w:sz w:val="20"/>
          <w:szCs w:val="20"/>
        </w:rPr>
        <w:t>22.</w:t>
      </w:r>
      <w:r>
        <w:rPr>
          <w:sz w:val="20"/>
          <w:szCs w:val="20"/>
        </w:rPr>
        <w:t>6</w:t>
      </w:r>
      <w:r>
        <w:rPr>
          <w:sz w:val="20"/>
          <w:szCs w:val="20"/>
        </w:rPr>
        <w:t xml:space="preserve"> million, in connection with the acceleration of amortization on grants </w:t>
      </w:r>
      <w:r>
        <w:rPr>
          <w:sz w:val="20"/>
          <w:szCs w:val="20"/>
        </w:rPr>
        <w:t xml:space="preserve">to our CEO and CFO as discussed above. Amounts for 2017 reflect a reduction in compensation expense of </w:t>
      </w:r>
      <w:r>
        <w:rPr>
          <w:sz w:val="20"/>
          <w:szCs w:val="20"/>
        </w:rPr>
        <w:t>$</w:t>
      </w:r>
      <w:r>
        <w:rPr>
          <w:sz w:val="20"/>
          <w:szCs w:val="20"/>
        </w:rPr>
        <w:t>4.</w:t>
      </w:r>
      <w:r>
        <w:rPr>
          <w:sz w:val="20"/>
          <w:szCs w:val="20"/>
        </w:rPr>
        <w:t>6</w:t>
      </w:r>
      <w:r>
        <w:rPr>
          <w:sz w:val="20"/>
          <w:szCs w:val="20"/>
        </w:rPr>
        <w:t xml:space="preserve"> million related to RSUs forfeited during the period</w:t>
      </w:r>
      <w:r>
        <w:rPr>
          <w:sz w:val="20"/>
          <w:szCs w:val="20"/>
        </w:rPr>
        <w:t>.</w:t>
      </w:r>
    </w:p>
    <w:p w:rsidR="00000000" w:rsidRDefault="00865332">
      <w:pPr>
        <w:pStyle w:val="a3"/>
        <w:spacing w:before="0" w:beforeAutospacing="0" w:after="0" w:afterAutospacing="0" w:line="259" w:lineRule="auto"/>
        <w:ind w:left="360" w:hanging="360"/>
        <w:jc w:val="both"/>
        <w:divId w:val="682322253"/>
        <w:rPr>
          <w:sz w:val="20"/>
          <w:szCs w:val="20"/>
        </w:rPr>
      </w:pPr>
      <w:r>
        <w:rPr>
          <w:sz w:val="20"/>
          <w:szCs w:val="20"/>
        </w:rPr>
        <w:t>11</w:t>
      </w:r>
      <w:r>
        <w:rPr>
          <w:sz w:val="20"/>
          <w:szCs w:val="20"/>
        </w:rPr>
        <w:t>.</w:t>
      </w:r>
      <w:r>
        <w:rPr>
          <w:sz w:val="20"/>
          <w:szCs w:val="20"/>
          <w:u w:val="single"/>
        </w:rPr>
        <w:t>Segment Informatio</w:t>
      </w:r>
      <w:r>
        <w:rPr>
          <w:sz w:val="20"/>
          <w:szCs w:val="20"/>
          <w:u w:val="single"/>
        </w:rPr>
        <w:t>n</w:t>
      </w:r>
    </w:p>
    <w:p w:rsidR="00000000" w:rsidRDefault="00865332">
      <w:pPr>
        <w:pStyle w:val="a3"/>
        <w:spacing w:before="0" w:beforeAutospacing="0" w:after="0" w:afterAutospacing="0" w:line="259" w:lineRule="auto"/>
        <w:ind w:left="360" w:firstLine="720"/>
        <w:jc w:val="both"/>
        <w:divId w:val="682322253"/>
        <w:rPr>
          <w:sz w:val="20"/>
          <w:szCs w:val="20"/>
        </w:rPr>
      </w:pPr>
      <w:r>
        <w:rPr>
          <w:sz w:val="20"/>
          <w:szCs w:val="20"/>
        </w:rPr>
        <w:t>Our reportable segments reflect the significant components of our operations where discrete financial information is evaluated separately by our chief operating decision maker (“CODM”). We organize our segments based primarily upon the nature of the underl</w:t>
      </w:r>
      <w:r>
        <w:rPr>
          <w:sz w:val="20"/>
          <w:szCs w:val="20"/>
        </w:rPr>
        <w:t>ying products and services, as well as the drivers of profitability growth. The net income for each reportable segment included in the table below are in conformity with GAAP and our significant accounting policies as denoted in Note 2. The amounts not att</w:t>
      </w:r>
      <w:r>
        <w:rPr>
          <w:sz w:val="20"/>
          <w:szCs w:val="20"/>
        </w:rPr>
        <w:t>ributable to reportable segments are aggregated under “other items not allocated to segments.”</w:t>
      </w:r>
      <w:r>
        <w:rPr>
          <w:sz w:val="20"/>
          <w:szCs w:val="20"/>
        </w:rPr>
        <w:t xml:space="preserve"> </w:t>
      </w:r>
    </w:p>
    <w:p w:rsidR="00000000" w:rsidRDefault="00865332">
      <w:pPr>
        <w:pStyle w:val="a3"/>
        <w:spacing w:before="0" w:beforeAutospacing="0" w:after="0" w:afterAutospacing="0" w:line="259" w:lineRule="auto"/>
        <w:ind w:left="360" w:firstLine="720"/>
        <w:jc w:val="both"/>
        <w:divId w:val="682322253"/>
        <w:rPr>
          <w:sz w:val="20"/>
          <w:szCs w:val="20"/>
        </w:rPr>
      </w:pPr>
      <w:r>
        <w:rPr>
          <w:sz w:val="20"/>
          <w:szCs w:val="20"/>
        </w:rPr>
        <w:t>Following is a description of and basis for presentation for each of our reportable segments</w:t>
      </w:r>
      <w:r>
        <w:rPr>
          <w:sz w:val="20"/>
          <w:szCs w:val="20"/>
        </w:rPr>
        <w:t>.</w:t>
      </w:r>
    </w:p>
    <w:p w:rsidR="00000000" w:rsidRDefault="00865332">
      <w:pPr>
        <w:pStyle w:val="a3"/>
        <w:spacing w:before="0" w:beforeAutospacing="0" w:after="0" w:afterAutospacing="0" w:line="259" w:lineRule="auto"/>
        <w:ind w:firstLine="1080"/>
        <w:divId w:val="682322253"/>
        <w:rPr>
          <w:sz w:val="20"/>
          <w:szCs w:val="20"/>
        </w:rPr>
      </w:pPr>
      <w:r>
        <w:rPr>
          <w:sz w:val="20"/>
          <w:szCs w:val="20"/>
          <w:u w:val="single"/>
        </w:rPr>
        <w:t>Self-Storage Operations</w:t>
      </w:r>
      <w:r>
        <w:rPr>
          <w:sz w:val="20"/>
          <w:szCs w:val="20"/>
          <w:u w:val="single"/>
        </w:rPr>
        <w:t xml:space="preserve"> </w:t>
      </w:r>
    </w:p>
    <w:p w:rsidR="00000000" w:rsidRDefault="00865332">
      <w:pPr>
        <w:pStyle w:val="a3"/>
        <w:spacing w:before="0" w:beforeAutospacing="0" w:after="0" w:afterAutospacing="0" w:line="259" w:lineRule="auto"/>
        <w:ind w:left="360" w:firstLine="720"/>
        <w:jc w:val="both"/>
        <w:divId w:val="682322253"/>
        <w:rPr>
          <w:sz w:val="20"/>
          <w:szCs w:val="20"/>
        </w:rPr>
      </w:pPr>
      <w:r>
        <w:rPr>
          <w:sz w:val="20"/>
          <w:szCs w:val="20"/>
        </w:rPr>
        <w:t>The Self-Storage Operations segment reflects the rental operations from all self-storage facilities we own. Our CODM reviews the net operating income (“NOI”) of this segment, which represents the related revenues less cost of operations (prior to depreciat</w:t>
      </w:r>
      <w:r>
        <w:rPr>
          <w:sz w:val="20"/>
          <w:szCs w:val="20"/>
        </w:rPr>
        <w:t>ion expense), in assessing performance and making resource allocation decisions. The presentation in the tables below sets forth the NOI of this segment, as well as the depreciation expense for this segment, which while reviewed by our CODM and included in</w:t>
      </w:r>
      <w:r>
        <w:rPr>
          <w:sz w:val="20"/>
          <w:szCs w:val="20"/>
        </w:rPr>
        <w:t xml:space="preserve"> net income, is not considered by the CODM in assessing performance and decision making. For all periods presented, substantially all of our real estate facilities, goodwill and other intangible assets, other assets, and accrued and other liabilities are a</w:t>
      </w:r>
      <w:r>
        <w:rPr>
          <w:sz w:val="20"/>
          <w:szCs w:val="20"/>
        </w:rPr>
        <w:t>ssociated with the Self-Storage Operations segment.</w:t>
      </w:r>
      <w:r>
        <w:rPr>
          <w:sz w:val="20"/>
          <w:szCs w:val="20"/>
        </w:rPr>
        <w:t xml:space="preserve"> </w:t>
      </w:r>
    </w:p>
    <w:p w:rsidR="00000000" w:rsidRDefault="00865332">
      <w:pPr>
        <w:pStyle w:val="a3"/>
        <w:spacing w:before="0" w:beforeAutospacing="0" w:after="0" w:afterAutospacing="0" w:line="259" w:lineRule="auto"/>
        <w:jc w:val="center"/>
        <w:divId w:val="1445230971"/>
        <w:rPr>
          <w:sz w:val="20"/>
          <w:szCs w:val="20"/>
        </w:rPr>
      </w:pPr>
      <w:r>
        <w:rPr>
          <w:sz w:val="20"/>
          <w:szCs w:val="20"/>
        </w:rPr>
        <w:t>F</w:t>
      </w:r>
      <w:r>
        <w:rPr>
          <w:sz w:val="20"/>
          <w:szCs w:val="20"/>
        </w:rPr>
        <w:t>-</w:t>
      </w:r>
      <w:r>
        <w:rPr>
          <w:rStyle w:val="ctheaderfooterpage"/>
          <w:sz w:val="20"/>
          <w:szCs w:val="20"/>
        </w:rPr>
        <w:t>2</w:t>
      </w:r>
      <w:r>
        <w:rPr>
          <w:rStyle w:val="ctheaderfooterpage"/>
          <w:sz w:val="20"/>
          <w:szCs w:val="20"/>
        </w:rPr>
        <w:t>7</w:t>
      </w:r>
    </w:p>
    <w:p w:rsidR="00000000" w:rsidRDefault="00865332">
      <w:pPr>
        <w:spacing w:before="360" w:after="360"/>
        <w:divId w:val="1453287992"/>
        <w:rPr>
          <w:rFonts w:eastAsia="Times New Roman"/>
        </w:rPr>
      </w:pPr>
      <w:r>
        <w:rPr>
          <w:rFonts w:eastAsia="Times New Roman"/>
        </w:rPr>
        <w:pict>
          <v:rect id="_x0000_i1122" style="width:0;height:1.5pt" o:hralign="center" o:hrstd="t" o:hr="t" fillcolor="#a0a0a0" stroked="f"/>
        </w:pict>
      </w:r>
    </w:p>
    <w:p w:rsidR="00000000" w:rsidRDefault="00865332">
      <w:pPr>
        <w:pStyle w:val="a3"/>
        <w:spacing w:before="0" w:beforeAutospacing="0" w:after="0" w:afterAutospacing="0" w:line="259" w:lineRule="auto"/>
        <w:jc w:val="center"/>
        <w:divId w:val="118884518"/>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18884518"/>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118884518"/>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firstLine="720"/>
        <w:jc w:val="both"/>
        <w:divId w:val="4018970"/>
        <w:rPr>
          <w:sz w:val="20"/>
          <w:szCs w:val="20"/>
        </w:rPr>
      </w:pPr>
      <w:r>
        <w:rPr>
          <w:sz w:val="20"/>
          <w:szCs w:val="20"/>
          <w:u w:val="single"/>
        </w:rPr>
        <w:t>Ancillary Operation</w:t>
      </w:r>
      <w:r>
        <w:rPr>
          <w:sz w:val="20"/>
          <w:szCs w:val="20"/>
          <w:u w:val="single"/>
        </w:rPr>
        <w:t>s</w:t>
      </w:r>
    </w:p>
    <w:p w:rsidR="00000000" w:rsidRDefault="00865332">
      <w:pPr>
        <w:pStyle w:val="a3"/>
        <w:spacing w:before="0" w:beforeAutospacing="0" w:after="0" w:afterAutospacing="0" w:line="259" w:lineRule="auto"/>
        <w:ind w:left="360" w:firstLine="720"/>
        <w:jc w:val="both"/>
        <w:divId w:val="4018970"/>
        <w:rPr>
          <w:sz w:val="20"/>
          <w:szCs w:val="20"/>
        </w:rPr>
      </w:pPr>
      <w:r>
        <w:rPr>
          <w:sz w:val="20"/>
          <w:szCs w:val="20"/>
        </w:rPr>
        <w:t>The Ancillary Operations segment reflects the sale of merchandise and reinsura</w:t>
      </w:r>
      <w:r>
        <w:rPr>
          <w:sz w:val="20"/>
          <w:szCs w:val="20"/>
        </w:rPr>
        <w:t xml:space="preserve">nce of policies against losses to goods stored by our self-storage tenants, activities which are incidental to our primary self-storage rental activities. Our CODM reviews the NOI of these operations in assessing performance and making resource allocation </w:t>
      </w:r>
      <w:r>
        <w:rPr>
          <w:sz w:val="20"/>
          <w:szCs w:val="20"/>
        </w:rPr>
        <w:t>decisions.</w:t>
      </w:r>
      <w:r>
        <w:rPr>
          <w:sz w:val="20"/>
          <w:szCs w:val="20"/>
        </w:rPr>
        <w:t xml:space="preserve"> </w:t>
      </w:r>
    </w:p>
    <w:p w:rsidR="00000000" w:rsidRDefault="00865332">
      <w:pPr>
        <w:pStyle w:val="a3"/>
        <w:spacing w:before="0" w:beforeAutospacing="0" w:after="0" w:afterAutospacing="0" w:line="259" w:lineRule="auto"/>
        <w:ind w:left="360" w:firstLine="720"/>
        <w:jc w:val="both"/>
        <w:divId w:val="4018970"/>
        <w:rPr>
          <w:sz w:val="20"/>
          <w:szCs w:val="20"/>
        </w:rPr>
      </w:pPr>
      <w:r>
        <w:rPr>
          <w:sz w:val="20"/>
          <w:szCs w:val="20"/>
          <w:u w:val="single"/>
        </w:rPr>
        <w:t>Investment in PS</w:t>
      </w:r>
      <w:r>
        <w:rPr>
          <w:sz w:val="20"/>
          <w:szCs w:val="20"/>
          <w:u w:val="single"/>
        </w:rPr>
        <w:t>B</w:t>
      </w:r>
    </w:p>
    <w:p w:rsidR="00000000" w:rsidRDefault="00865332">
      <w:pPr>
        <w:pStyle w:val="a3"/>
        <w:spacing w:before="0" w:beforeAutospacing="0" w:after="0" w:afterAutospacing="0" w:line="259" w:lineRule="auto"/>
        <w:ind w:left="360" w:firstLine="720"/>
        <w:jc w:val="both"/>
        <w:divId w:val="4018970"/>
        <w:rPr>
          <w:sz w:val="20"/>
          <w:szCs w:val="20"/>
        </w:rPr>
      </w:pPr>
      <w:r>
        <w:rPr>
          <w:sz w:val="20"/>
          <w:szCs w:val="20"/>
        </w:rPr>
        <w:t>This segment represents our</w:t>
      </w:r>
      <w:r>
        <w:rPr>
          <w:sz w:val="20"/>
          <w:szCs w:val="20"/>
        </w:rPr>
        <w:t xml:space="preserve"> </w:t>
      </w:r>
      <w:r>
        <w:rPr>
          <w:sz w:val="20"/>
          <w:szCs w:val="20"/>
        </w:rPr>
        <w:t>4</w:t>
      </w:r>
      <w:r>
        <w:rPr>
          <w:sz w:val="20"/>
          <w:szCs w:val="20"/>
        </w:rPr>
        <w:t>2</w:t>
      </w:r>
      <w:r>
        <w:rPr>
          <w:sz w:val="20"/>
          <w:szCs w:val="20"/>
        </w:rPr>
        <w:t>% equity interest in PSB, a publicly-traded REIT that owns, operates, acquires and develops commercial properties, primarily multi-tenant flex, office, and industrial space. PSB has a separate man</w:t>
      </w:r>
      <w:r>
        <w:rPr>
          <w:sz w:val="20"/>
          <w:szCs w:val="20"/>
        </w:rPr>
        <w:t xml:space="preserve">agement team and board of directors that makes its financing, capital allocation, and other significant decisions. In making resource allocation decisions with respect to our investment in PSB, the CODM reviews PSB’s net income, which is detailed in PSB’s </w:t>
      </w:r>
      <w:r>
        <w:rPr>
          <w:sz w:val="20"/>
          <w:szCs w:val="20"/>
        </w:rPr>
        <w:t>periodic filings with the SEC. The segment presentation in the tables below includes our equity earnings from PSB.</w:t>
      </w:r>
      <w:r>
        <w:rPr>
          <w:sz w:val="20"/>
          <w:szCs w:val="20"/>
        </w:rPr>
        <w:t xml:space="preserve"> </w:t>
      </w:r>
    </w:p>
    <w:p w:rsidR="00000000" w:rsidRDefault="00865332">
      <w:pPr>
        <w:pStyle w:val="a3"/>
        <w:spacing w:before="0" w:beforeAutospacing="0" w:after="0" w:afterAutospacing="0" w:line="259" w:lineRule="auto"/>
        <w:ind w:left="1080"/>
        <w:divId w:val="4018970"/>
        <w:rPr>
          <w:sz w:val="20"/>
          <w:szCs w:val="20"/>
        </w:rPr>
      </w:pPr>
      <w:r>
        <w:rPr>
          <w:sz w:val="20"/>
          <w:szCs w:val="20"/>
          <w:u w:val="single"/>
        </w:rPr>
        <w:t>Investment in Shurgar</w:t>
      </w:r>
      <w:r>
        <w:rPr>
          <w:sz w:val="20"/>
          <w:szCs w:val="20"/>
          <w:u w:val="single"/>
        </w:rPr>
        <w:t>d</w:t>
      </w:r>
    </w:p>
    <w:p w:rsidR="00000000" w:rsidRDefault="00865332">
      <w:pPr>
        <w:pStyle w:val="a3"/>
        <w:spacing w:before="0" w:beforeAutospacing="0" w:after="0" w:afterAutospacing="0" w:line="259" w:lineRule="auto"/>
        <w:ind w:left="360" w:firstLine="720"/>
        <w:jc w:val="both"/>
        <w:divId w:val="4018970"/>
        <w:rPr>
          <w:sz w:val="20"/>
          <w:szCs w:val="20"/>
        </w:rPr>
      </w:pPr>
      <w:r>
        <w:rPr>
          <w:sz w:val="20"/>
          <w:szCs w:val="20"/>
        </w:rPr>
        <w:t>This segment represents our equity interest in Shurgard, a publicly held company which owns and operates self-storage</w:t>
      </w:r>
      <w:r>
        <w:rPr>
          <w:sz w:val="20"/>
          <w:szCs w:val="20"/>
        </w:rPr>
        <w:t xml:space="preserve"> facilities located in</w:t>
      </w:r>
      <w:r>
        <w:rPr>
          <w:sz w:val="20"/>
          <w:szCs w:val="20"/>
        </w:rPr>
        <w:t xml:space="preserve"> </w:t>
      </w:r>
      <w:r>
        <w:rPr>
          <w:sz w:val="20"/>
          <w:szCs w:val="20"/>
        </w:rPr>
        <w:t>seve</w:t>
      </w:r>
      <w:r>
        <w:rPr>
          <w:sz w:val="20"/>
          <w:szCs w:val="20"/>
        </w:rPr>
        <w:t>n</w:t>
      </w:r>
      <w:r>
        <w:rPr>
          <w:sz w:val="20"/>
          <w:szCs w:val="20"/>
        </w:rPr>
        <w:t xml:space="preserve"> countries in Western Europe. Shurgard has a separate management team and board of trustees that makes its financing, capital allocation, and other significant decisions. In making resource allocation decisions with respect to o</w:t>
      </w:r>
      <w:r>
        <w:rPr>
          <w:sz w:val="20"/>
          <w:szCs w:val="20"/>
        </w:rPr>
        <w:t>ur investment in Shurgard, the CODM reviews Shurgard’s net income. The segment presentation below includes our equity earnings from Shurgard.</w:t>
      </w:r>
      <w:r>
        <w:rPr>
          <w:sz w:val="20"/>
          <w:szCs w:val="20"/>
        </w:rPr>
        <w:t xml:space="preserve"> </w:t>
      </w:r>
    </w:p>
    <w:p w:rsidR="00000000" w:rsidRDefault="00865332">
      <w:pPr>
        <w:pStyle w:val="a3"/>
        <w:spacing w:before="0" w:beforeAutospacing="0" w:after="0" w:afterAutospacing="0" w:line="259" w:lineRule="auto"/>
        <w:ind w:left="360" w:firstLine="720"/>
        <w:jc w:val="both"/>
        <w:divId w:val="4018970"/>
        <w:rPr>
          <w:sz w:val="20"/>
          <w:szCs w:val="20"/>
        </w:rPr>
      </w:pPr>
      <w:r>
        <w:rPr>
          <w:sz w:val="20"/>
          <w:szCs w:val="20"/>
          <w:u w:val="single"/>
        </w:rPr>
        <w:t>Presentation of Segment Informatio</w:t>
      </w:r>
      <w:r>
        <w:rPr>
          <w:sz w:val="20"/>
          <w:szCs w:val="20"/>
          <w:u w:val="single"/>
        </w:rPr>
        <w:t>n</w:t>
      </w:r>
    </w:p>
    <w:p w:rsidR="00000000" w:rsidRDefault="00865332">
      <w:pPr>
        <w:pStyle w:val="a3"/>
        <w:spacing w:before="0" w:beforeAutospacing="0" w:after="0" w:afterAutospacing="0" w:line="259" w:lineRule="auto"/>
        <w:ind w:left="360" w:firstLine="720"/>
        <w:jc w:val="both"/>
        <w:divId w:val="4018970"/>
        <w:rPr>
          <w:sz w:val="20"/>
          <w:szCs w:val="20"/>
        </w:rPr>
      </w:pPr>
      <w:r>
        <w:rPr>
          <w:sz w:val="20"/>
          <w:szCs w:val="20"/>
        </w:rPr>
        <w:t>The following tables reconcile NOI (as applicable) and net income of each seg</w:t>
      </w:r>
      <w:r>
        <w:rPr>
          <w:sz w:val="20"/>
          <w:szCs w:val="20"/>
        </w:rPr>
        <w:t>ment to our consolidated net income (amounts in thousands)</w:t>
      </w:r>
      <w:r>
        <w:rPr>
          <w:sz w:val="20"/>
          <w:szCs w:val="20"/>
        </w:rPr>
        <w:t>:</w:t>
      </w:r>
    </w:p>
    <w:p w:rsidR="00000000" w:rsidRDefault="00865332">
      <w:pPr>
        <w:pStyle w:val="a3"/>
        <w:spacing w:before="0" w:beforeAutospacing="0" w:after="0" w:afterAutospacing="0" w:line="259" w:lineRule="auto"/>
        <w:jc w:val="center"/>
        <w:divId w:val="493761797"/>
        <w:rPr>
          <w:sz w:val="20"/>
          <w:szCs w:val="20"/>
        </w:rPr>
      </w:pPr>
      <w:r>
        <w:rPr>
          <w:sz w:val="20"/>
          <w:szCs w:val="20"/>
        </w:rPr>
        <w:t>F</w:t>
      </w:r>
      <w:r>
        <w:rPr>
          <w:sz w:val="20"/>
          <w:szCs w:val="20"/>
        </w:rPr>
        <w:t>-</w:t>
      </w:r>
      <w:r>
        <w:rPr>
          <w:rStyle w:val="ctheaderfooterpage"/>
          <w:sz w:val="20"/>
          <w:szCs w:val="20"/>
        </w:rPr>
        <w:t>2</w:t>
      </w:r>
      <w:r>
        <w:rPr>
          <w:rStyle w:val="ctheaderfooterpage"/>
          <w:sz w:val="20"/>
          <w:szCs w:val="20"/>
        </w:rPr>
        <w:t>8</w:t>
      </w:r>
    </w:p>
    <w:p w:rsidR="00000000" w:rsidRDefault="00865332">
      <w:pPr>
        <w:spacing w:before="360" w:after="360"/>
        <w:divId w:val="1767730459"/>
        <w:rPr>
          <w:rFonts w:eastAsia="Times New Roman"/>
        </w:rPr>
      </w:pPr>
      <w:r>
        <w:rPr>
          <w:rFonts w:eastAsia="Times New Roman"/>
        </w:rPr>
        <w:pict>
          <v:rect id="_x0000_i1123" style="width:0;height:1.5pt" o:hralign="center" o:hrstd="t" o:hr="t" fillcolor="#a0a0a0" stroked="f"/>
        </w:pict>
      </w:r>
    </w:p>
    <w:p w:rsidR="00000000" w:rsidRDefault="00865332">
      <w:pPr>
        <w:pStyle w:val="a3"/>
        <w:spacing w:before="0" w:beforeAutospacing="0" w:after="0" w:afterAutospacing="0" w:line="259" w:lineRule="auto"/>
        <w:jc w:val="center"/>
        <w:divId w:val="138612973"/>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138612973"/>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138612973"/>
        <w:rPr>
          <w:sz w:val="20"/>
          <w:szCs w:val="20"/>
        </w:rPr>
      </w:pPr>
      <w:r>
        <w:rPr>
          <w:b/>
          <w:bCs/>
          <w:sz w:val="20"/>
          <w:szCs w:val="20"/>
        </w:rPr>
        <w:t>December 31, 201</w:t>
      </w:r>
      <w:r>
        <w:rPr>
          <w:b/>
          <w:bCs/>
          <w:sz w:val="20"/>
          <w:szCs w:val="20"/>
        </w:rPr>
        <w:t>9</w:t>
      </w:r>
    </w:p>
    <w:tbl>
      <w:tblPr>
        <w:tblW w:w="5000" w:type="pct"/>
        <w:tblCellMar>
          <w:top w:w="15" w:type="dxa"/>
          <w:left w:w="15" w:type="dxa"/>
          <w:bottom w:w="15" w:type="dxa"/>
          <w:right w:w="15" w:type="dxa"/>
        </w:tblCellMar>
        <w:tblLook w:val="04A0" w:firstRow="1" w:lastRow="0" w:firstColumn="1" w:lastColumn="0" w:noHBand="0" w:noVBand="1"/>
      </w:tblPr>
      <w:tblGrid>
        <w:gridCol w:w="3775"/>
        <w:gridCol w:w="158"/>
        <w:gridCol w:w="174"/>
        <w:gridCol w:w="1181"/>
        <w:gridCol w:w="158"/>
        <w:gridCol w:w="174"/>
        <w:gridCol w:w="1181"/>
        <w:gridCol w:w="158"/>
        <w:gridCol w:w="174"/>
        <w:gridCol w:w="1173"/>
      </w:tblGrid>
      <w:tr w:rsidR="00000000">
        <w:trPr>
          <w:divId w:val="2096632184"/>
          <w:trHeight w:val="14"/>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For the Years Ended December 31</w:t>
            </w:r>
            <w:r>
              <w:rPr>
                <w:sz w:val="18"/>
                <w:szCs w:val="18"/>
              </w:rPr>
              <w:t>,</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18"/>
                <w:szCs w:val="18"/>
              </w:rPr>
            </w:pPr>
            <w:r>
              <w:rPr>
                <w:sz w:val="18"/>
                <w:szCs w:val="18"/>
              </w:rPr>
              <w:t>201</w:t>
            </w:r>
            <w:r>
              <w:rPr>
                <w:sz w:val="18"/>
                <w:szCs w:val="18"/>
              </w:rPr>
              <w:t>7</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Self-Storage Segmen</w:t>
            </w:r>
            <w:r>
              <w:rPr>
                <w:b/>
                <w:bCs/>
                <w:i/>
                <w:iCs/>
                <w:sz w:val="18"/>
                <w:szCs w:val="18"/>
              </w:rPr>
              <w:t>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Revenu</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2,684,55</w:t>
            </w:r>
            <w:r>
              <w:rPr>
                <w:sz w:val="18"/>
                <w:szCs w:val="18"/>
              </w:rPr>
              <w:t>2</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2,597,60</w:t>
            </w:r>
            <w:r>
              <w:rPr>
                <w:sz w:val="18"/>
                <w:szCs w:val="18"/>
              </w:rPr>
              <w:t>7</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2,512,43</w:t>
            </w:r>
            <w:r>
              <w:rPr>
                <w:sz w:val="18"/>
                <w:szCs w:val="18"/>
              </w:rPr>
              <w:t>3</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Cost of operation</w:t>
            </w:r>
            <w:r>
              <w:rPr>
                <w:sz w:val="18"/>
                <w:szCs w:val="18"/>
              </w:rPr>
              <w:t>s</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752,57</w:t>
            </w:r>
            <w:r>
              <w:rPr>
                <w:sz w:val="18"/>
                <w:szCs w:val="18"/>
              </w:rPr>
              <w:t>9</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695,73</w:t>
            </w:r>
            <w:r>
              <w:rPr>
                <w:sz w:val="18"/>
                <w:szCs w:val="18"/>
              </w:rPr>
              <w:t>1</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657,63</w:t>
            </w:r>
            <w:r>
              <w:rPr>
                <w:sz w:val="18"/>
                <w:szCs w:val="18"/>
              </w:rPr>
              <w:t>3</w:t>
            </w:r>
            <w:r>
              <w:rPr>
                <w:sz w:val="18"/>
                <w:szCs w:val="18"/>
              </w:rPr>
              <w:t>)</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operating incom</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1,931,97</w:t>
            </w:r>
            <w:r>
              <w:rPr>
                <w:sz w:val="18"/>
                <w:szCs w:val="18"/>
              </w:rPr>
              <w:t>3</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1,901,87</w:t>
            </w:r>
            <w:r>
              <w:rPr>
                <w:sz w:val="18"/>
                <w:szCs w:val="18"/>
              </w:rPr>
              <w:t>6</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1,854,80</w:t>
            </w:r>
            <w:r>
              <w:rPr>
                <w:sz w:val="18"/>
                <w:szCs w:val="18"/>
              </w:rPr>
              <w:t>0</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Depreciation and amortizatio</w:t>
            </w:r>
            <w:r>
              <w:rPr>
                <w:sz w:val="18"/>
                <w:szCs w:val="18"/>
              </w:rPr>
              <w:t>n</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512,91</w:t>
            </w:r>
            <w:r>
              <w:rPr>
                <w:sz w:val="18"/>
                <w:szCs w:val="18"/>
              </w:rPr>
              <w:t>8</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483,64</w:t>
            </w:r>
            <w:r>
              <w:rPr>
                <w:sz w:val="18"/>
                <w:szCs w:val="18"/>
              </w:rPr>
              <w:t>6</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454,52</w:t>
            </w:r>
            <w:r>
              <w:rPr>
                <w:sz w:val="18"/>
                <w:szCs w:val="18"/>
              </w:rPr>
              <w:t>6</w:t>
            </w:r>
            <w:r>
              <w:rPr>
                <w:sz w:val="18"/>
                <w:szCs w:val="18"/>
              </w:rPr>
              <w:t>)</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incom</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1,419,05</w:t>
            </w:r>
            <w:r>
              <w:rPr>
                <w:sz w:val="18"/>
                <w:szCs w:val="18"/>
              </w:rPr>
              <w:t>5</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1,418,23</w:t>
            </w:r>
            <w:r>
              <w:rPr>
                <w:sz w:val="18"/>
                <w:szCs w:val="18"/>
              </w:rPr>
              <w:t>0</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1,400,27</w:t>
            </w:r>
            <w:r>
              <w:rPr>
                <w:sz w:val="18"/>
                <w:szCs w:val="18"/>
              </w:rPr>
              <w:t>4</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Ancillary Segmen</w:t>
            </w:r>
            <w:r>
              <w:rPr>
                <w:b/>
                <w:bCs/>
                <w:i/>
                <w:iCs/>
                <w:sz w:val="18"/>
                <w:szCs w:val="18"/>
              </w:rPr>
              <w:t>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Revenu</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162,27</w:t>
            </w:r>
            <w:r>
              <w:rPr>
                <w:sz w:val="18"/>
                <w:szCs w:val="18"/>
              </w:rPr>
              <w:t>1</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156,67</w:t>
            </w:r>
            <w:r>
              <w:rPr>
                <w:sz w:val="18"/>
                <w:szCs w:val="18"/>
              </w:rPr>
              <w:t>3</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156,09</w:t>
            </w:r>
            <w:r>
              <w:rPr>
                <w:sz w:val="18"/>
                <w:szCs w:val="18"/>
              </w:rPr>
              <w:t>5</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Cost of operation</w:t>
            </w:r>
            <w:r>
              <w:rPr>
                <w:sz w:val="18"/>
                <w:szCs w:val="18"/>
              </w:rPr>
              <w:t>s</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44,20</w:t>
            </w:r>
            <w:r>
              <w:rPr>
                <w:sz w:val="18"/>
                <w:szCs w:val="18"/>
              </w:rPr>
              <w:t>4</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43,99</w:t>
            </w:r>
            <w:r>
              <w:rPr>
                <w:sz w:val="18"/>
                <w:szCs w:val="18"/>
              </w:rPr>
              <w:t>1</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50,34</w:t>
            </w:r>
            <w:r>
              <w:rPr>
                <w:sz w:val="18"/>
                <w:szCs w:val="18"/>
              </w:rPr>
              <w:t>5</w:t>
            </w:r>
            <w:r>
              <w:rPr>
                <w:sz w:val="18"/>
                <w:szCs w:val="18"/>
              </w:rPr>
              <w:t>)</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Net operating incom</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118,06</w:t>
            </w:r>
            <w:r>
              <w:rPr>
                <w:sz w:val="18"/>
                <w:szCs w:val="18"/>
              </w:rPr>
              <w:t>7</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112,68</w:t>
            </w:r>
            <w:r>
              <w:rPr>
                <w:sz w:val="18"/>
                <w:szCs w:val="18"/>
              </w:rPr>
              <w:t>2</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105,75</w:t>
            </w:r>
            <w:r>
              <w:rPr>
                <w:sz w:val="18"/>
                <w:szCs w:val="18"/>
              </w:rPr>
              <w:t>0</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Investment in PSB Segmen</w:t>
            </w:r>
            <w:r>
              <w:rPr>
                <w:b/>
                <w:bCs/>
                <w:i/>
                <w:iCs/>
                <w:sz w:val="18"/>
                <w:szCs w:val="18"/>
              </w:rPr>
              <w:t>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Equity in earnings of unconsolidate</w:t>
            </w:r>
            <w:r>
              <w:rPr>
                <w:sz w:val="18"/>
                <w:szCs w:val="18"/>
              </w:rPr>
              <w:t>d</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real estate entities (a</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54,09</w:t>
            </w:r>
            <w:r>
              <w:rPr>
                <w:sz w:val="18"/>
                <w:szCs w:val="18"/>
              </w:rPr>
              <w:t>0</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89,36</w:t>
            </w:r>
            <w:r>
              <w:rPr>
                <w:sz w:val="18"/>
                <w:szCs w:val="18"/>
              </w:rPr>
              <w:t>2</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46,54</w:t>
            </w:r>
            <w:r>
              <w:rPr>
                <w:sz w:val="18"/>
                <w:szCs w:val="18"/>
              </w:rPr>
              <w:t>4</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Investment in Shurgard Segmen</w:t>
            </w:r>
            <w:r>
              <w:rPr>
                <w:b/>
                <w:bCs/>
                <w:i/>
                <w:iCs/>
                <w:sz w:val="18"/>
                <w:szCs w:val="18"/>
              </w:rPr>
              <w:t>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Equity in earnings of unconsolidate</w:t>
            </w:r>
            <w:r>
              <w:rPr>
                <w:sz w:val="18"/>
                <w:szCs w:val="18"/>
              </w:rPr>
              <w:t>d</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real estate entities (a</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15,45</w:t>
            </w:r>
            <w:r>
              <w:rPr>
                <w:sz w:val="18"/>
                <w:szCs w:val="18"/>
              </w:rPr>
              <w:t>7</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14,13</w:t>
            </w:r>
            <w:r>
              <w:rPr>
                <w:sz w:val="18"/>
                <w:szCs w:val="18"/>
              </w:rPr>
              <w:t>3</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25,94</w:t>
            </w:r>
            <w:r>
              <w:rPr>
                <w:sz w:val="18"/>
                <w:szCs w:val="18"/>
              </w:rPr>
              <w:t>8</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Gain due to Shurgard public offerin</w:t>
            </w:r>
            <w:r>
              <w:rPr>
                <w:sz w:val="18"/>
                <w:szCs w:val="18"/>
              </w:rPr>
              <w:t>g</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151,61</w:t>
            </w:r>
            <w:r>
              <w:rPr>
                <w:sz w:val="18"/>
                <w:szCs w:val="18"/>
              </w:rPr>
              <w:t>6</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Net income from Investment in Shurgard Segmen</w:t>
            </w:r>
            <w:r>
              <w:rPr>
                <w:sz w:val="18"/>
                <w:szCs w:val="18"/>
              </w:rPr>
              <w:t>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15,45</w:t>
            </w:r>
            <w:r>
              <w:rPr>
                <w:sz w:val="18"/>
                <w:szCs w:val="18"/>
              </w:rPr>
              <w:t>7</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165,74</w:t>
            </w:r>
            <w:r>
              <w:rPr>
                <w:sz w:val="18"/>
                <w:szCs w:val="18"/>
              </w:rPr>
              <w:t>9</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25,94</w:t>
            </w:r>
            <w:r>
              <w:rPr>
                <w:sz w:val="18"/>
                <w:szCs w:val="18"/>
              </w:rPr>
              <w:t>8</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Total net income allocated to segment</w:t>
            </w:r>
            <w:r>
              <w:rPr>
                <w:sz w:val="18"/>
                <w:szCs w:val="18"/>
              </w:rPr>
              <w:t>s</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1,606,66</w:t>
            </w:r>
            <w:r>
              <w:rPr>
                <w:sz w:val="18"/>
                <w:szCs w:val="18"/>
              </w:rPr>
              <w:t>9</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1,786,02</w:t>
            </w:r>
            <w:r>
              <w:rPr>
                <w:sz w:val="18"/>
                <w:szCs w:val="18"/>
              </w:rPr>
              <w:t>3</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1,578,51</w:t>
            </w:r>
            <w:r>
              <w:rPr>
                <w:sz w:val="18"/>
                <w:szCs w:val="18"/>
              </w:rPr>
              <w:t>6</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b/>
                <w:bCs/>
                <w:i/>
                <w:iCs/>
                <w:sz w:val="18"/>
                <w:szCs w:val="18"/>
              </w:rPr>
              <w:t>Other items not allocated to segments:</w:t>
            </w:r>
            <w:r>
              <w:rPr>
                <w:b/>
                <w:bCs/>
                <w:i/>
                <w:iCs/>
                <w:sz w:val="18"/>
                <w:szCs w:val="18"/>
              </w:rPr>
              <w:t xml:space="preserve">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General and administrativ</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71,98</w:t>
            </w:r>
            <w:r>
              <w:rPr>
                <w:sz w:val="18"/>
                <w:szCs w:val="18"/>
              </w:rPr>
              <w:t>3</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118,72</w:t>
            </w:r>
            <w:r>
              <w:rPr>
                <w:sz w:val="18"/>
                <w:szCs w:val="18"/>
              </w:rPr>
              <w:t>0</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82,88</w:t>
            </w:r>
            <w:r>
              <w:rPr>
                <w:sz w:val="18"/>
                <w:szCs w:val="18"/>
              </w:rPr>
              <w:t>2</w:t>
            </w:r>
            <w:r>
              <w:rPr>
                <w:sz w:val="18"/>
                <w:szCs w:val="18"/>
              </w:rPr>
              <w:t>)</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Interest and other incom</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28,43</w:t>
            </w:r>
            <w:r>
              <w:rPr>
                <w:sz w:val="18"/>
                <w:szCs w:val="18"/>
              </w:rPr>
              <w:t>6</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26,44</w:t>
            </w:r>
            <w:r>
              <w:rPr>
                <w:sz w:val="18"/>
                <w:szCs w:val="18"/>
              </w:rPr>
              <w:t>2</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18,77</w:t>
            </w:r>
            <w:r>
              <w:rPr>
                <w:sz w:val="18"/>
                <w:szCs w:val="18"/>
              </w:rPr>
              <w:t>1</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Equity in earnings of unconsolidated rea</w:t>
            </w:r>
            <w:r>
              <w:rPr>
                <w:sz w:val="18"/>
                <w:szCs w:val="18"/>
              </w:rPr>
              <w:t>l</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estate entities - Other Investments (a</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3,16</w:t>
            </w:r>
            <w:r>
              <w:rPr>
                <w:sz w:val="18"/>
                <w:szCs w:val="18"/>
              </w:rPr>
              <w:t>3</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Interest expens</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45,64</w:t>
            </w:r>
            <w:r>
              <w:rPr>
                <w:sz w:val="18"/>
                <w:szCs w:val="18"/>
              </w:rPr>
              <w:t>1</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32,54</w:t>
            </w:r>
            <w:r>
              <w:rPr>
                <w:sz w:val="18"/>
                <w:szCs w:val="18"/>
              </w:rPr>
              <w:t>2</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12,69</w:t>
            </w:r>
            <w:r>
              <w:rPr>
                <w:sz w:val="18"/>
                <w:szCs w:val="18"/>
              </w:rPr>
              <w:t>0</w:t>
            </w:r>
            <w:r>
              <w:rPr>
                <w:sz w:val="18"/>
                <w:szCs w:val="18"/>
              </w:rPr>
              <w:t>)</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Foreign currency exchange gain (loss</w:t>
            </w: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7,82</w:t>
            </w:r>
            <w:r>
              <w:rPr>
                <w:sz w:val="18"/>
                <w:szCs w:val="18"/>
              </w:rPr>
              <w:t>9</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18,11</w:t>
            </w:r>
            <w:r>
              <w:rPr>
                <w:sz w:val="18"/>
                <w:szCs w:val="18"/>
              </w:rPr>
              <w:t>7</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50,04</w:t>
            </w:r>
            <w:r>
              <w:rPr>
                <w:sz w:val="18"/>
                <w:szCs w:val="18"/>
              </w:rPr>
              <w:t>5</w:t>
            </w:r>
            <w:r>
              <w:rPr>
                <w:sz w:val="18"/>
                <w:szCs w:val="18"/>
              </w:rPr>
              <w:t>)</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Casualty los</w:t>
            </w:r>
            <w:r>
              <w:rPr>
                <w:sz w:val="18"/>
                <w:szCs w:val="18"/>
              </w:rPr>
              <w:t>s</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w:t>
            </w:r>
            <w:r>
              <w:rPr>
                <w:sz w:val="18"/>
                <w:szCs w:val="18"/>
              </w:rPr>
              <w:t>7,78</w:t>
            </w:r>
            <w:r>
              <w:rPr>
                <w:sz w:val="18"/>
                <w:szCs w:val="18"/>
              </w:rPr>
              <w:t>9</w:t>
            </w:r>
            <w:r>
              <w:rPr>
                <w:sz w:val="18"/>
                <w:szCs w:val="18"/>
              </w:rPr>
              <w:t>)</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Gain on sale of real estat</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37,90</w:t>
            </w:r>
            <w:r>
              <w:rPr>
                <w:sz w:val="18"/>
                <w:szCs w:val="18"/>
              </w:rPr>
              <w:t>3</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7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1,42</w:t>
            </w:r>
            <w:r>
              <w:rPr>
                <w:sz w:val="18"/>
                <w:szCs w:val="18"/>
              </w:rPr>
              <w:t>1</w:t>
            </w:r>
            <w:r>
              <w:rPr>
                <w:sz w:val="18"/>
                <w:szCs w:val="18"/>
              </w:rPr>
              <w:t> </w:t>
            </w:r>
          </w:p>
        </w:tc>
      </w:tr>
      <w:tr w:rsidR="00000000">
        <w:trPr>
          <w:divId w:val="2096632184"/>
          <w:trHeight w:val="259"/>
        </w:trPr>
        <w:tc>
          <w:tcPr>
            <w:tcW w:w="22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sz w:val="18"/>
                <w:szCs w:val="18"/>
              </w:rPr>
              <w:t>Net incom</w:t>
            </w:r>
            <w:r>
              <w:rPr>
                <w:sz w:val="18"/>
                <w:szCs w:val="18"/>
              </w:rPr>
              <w:t>e</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7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1,525,65</w:t>
            </w:r>
            <w:r>
              <w:rPr>
                <w:sz w:val="18"/>
                <w:szCs w:val="18"/>
              </w:rPr>
              <w:t>1</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7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1,717,22</w:t>
            </w:r>
            <w:r>
              <w:rPr>
                <w:sz w:val="18"/>
                <w:szCs w:val="18"/>
              </w:rPr>
              <w:t>3</w:t>
            </w:r>
            <w:r>
              <w:rPr>
                <w:sz w:val="18"/>
                <w:szCs w:val="18"/>
              </w:rPr>
              <w:t>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1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sz w:val="18"/>
                <w:szCs w:val="18"/>
              </w:rPr>
              <w:t>$</w:t>
            </w:r>
          </w:p>
        </w:tc>
        <w:tc>
          <w:tcPr>
            <w:tcW w:w="7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sz w:val="18"/>
                <w:szCs w:val="18"/>
              </w:rPr>
              <w:t>1,448,46</w:t>
            </w:r>
            <w:r>
              <w:rPr>
                <w:sz w:val="18"/>
                <w:szCs w:val="18"/>
              </w:rPr>
              <w:t>5</w:t>
            </w:r>
            <w:r>
              <w:rPr>
                <w:sz w:val="18"/>
                <w:szCs w:val="18"/>
              </w:rPr>
              <w:t> </w:t>
            </w:r>
          </w:p>
        </w:tc>
      </w:tr>
    </w:tbl>
    <w:p w:rsidR="00000000" w:rsidRDefault="00865332">
      <w:pPr>
        <w:pStyle w:val="a3"/>
        <w:spacing w:before="0" w:beforeAutospacing="0" w:after="0" w:afterAutospacing="0" w:line="259" w:lineRule="auto"/>
        <w:ind w:left="446" w:hanging="360"/>
        <w:divId w:val="2096632184"/>
        <w:rPr>
          <w:sz w:val="20"/>
          <w:szCs w:val="20"/>
        </w:rPr>
      </w:pPr>
      <w:r>
        <w:rPr>
          <w:sz w:val="20"/>
          <w:szCs w:val="20"/>
        </w:rPr>
        <w:t>(a</w:t>
      </w:r>
      <w:r>
        <w:rPr>
          <w:sz w:val="20"/>
          <w:szCs w:val="20"/>
        </w:rPr>
        <w:t>)</w:t>
      </w:r>
      <w:r>
        <w:rPr>
          <w:sz w:val="20"/>
          <w:szCs w:val="20"/>
        </w:rPr>
        <w:t>See Note 4 for a reconciliation of these amounts to our total Equity in Earnings of Unconsolidated Real Estate Entities on our income statements</w:t>
      </w:r>
      <w:r>
        <w:rPr>
          <w:sz w:val="20"/>
          <w:szCs w:val="20"/>
        </w:rPr>
        <w:t>.</w:t>
      </w:r>
    </w:p>
    <w:p w:rsidR="00000000" w:rsidRDefault="00865332">
      <w:pPr>
        <w:pStyle w:val="a3"/>
        <w:spacing w:before="0" w:beforeAutospacing="0" w:after="0" w:afterAutospacing="0" w:line="259" w:lineRule="auto"/>
        <w:ind w:left="360" w:hanging="360"/>
        <w:divId w:val="2096632184"/>
        <w:rPr>
          <w:sz w:val="20"/>
          <w:szCs w:val="20"/>
        </w:rPr>
      </w:pPr>
      <w:r>
        <w:rPr>
          <w:sz w:val="20"/>
          <w:szCs w:val="20"/>
        </w:rPr>
        <w:t>12</w:t>
      </w:r>
      <w:r>
        <w:rPr>
          <w:sz w:val="20"/>
          <w:szCs w:val="20"/>
        </w:rPr>
        <w:t>.</w:t>
      </w:r>
      <w:r>
        <w:rPr>
          <w:sz w:val="20"/>
          <w:szCs w:val="20"/>
          <w:u w:val="single"/>
        </w:rPr>
        <w:t>Recent Accounting Pronouncements and Guidanc</w:t>
      </w:r>
      <w:r>
        <w:rPr>
          <w:sz w:val="20"/>
          <w:szCs w:val="20"/>
          <w:u w:val="single"/>
        </w:rPr>
        <w:t>e</w:t>
      </w:r>
    </w:p>
    <w:p w:rsidR="00000000" w:rsidRDefault="00865332">
      <w:pPr>
        <w:pStyle w:val="a3"/>
        <w:spacing w:before="0" w:beforeAutospacing="0" w:after="0" w:afterAutospacing="0" w:line="259" w:lineRule="auto"/>
        <w:ind w:left="360" w:firstLine="720"/>
        <w:jc w:val="both"/>
        <w:divId w:val="2096632184"/>
        <w:rPr>
          <w:sz w:val="20"/>
          <w:szCs w:val="20"/>
        </w:rPr>
      </w:pPr>
      <w:r>
        <w:rPr>
          <w:sz w:val="20"/>
          <w:szCs w:val="20"/>
        </w:rPr>
        <w:t>In February 2016, the FASB issued ASU 2016-02,</w:t>
      </w:r>
      <w:r>
        <w:rPr>
          <w:sz w:val="20"/>
          <w:szCs w:val="20"/>
        </w:rPr>
        <w:t xml:space="preserve"> </w:t>
      </w:r>
      <w:r>
        <w:rPr>
          <w:i/>
          <w:iCs/>
          <w:sz w:val="20"/>
          <w:szCs w:val="20"/>
        </w:rPr>
        <w:t>Leases</w:t>
      </w:r>
      <w:r>
        <w:rPr>
          <w:i/>
          <w:iCs/>
          <w:sz w:val="20"/>
          <w:szCs w:val="20"/>
        </w:rPr>
        <w:t>,</w:t>
      </w:r>
      <w:r>
        <w:rPr>
          <w:sz w:val="20"/>
          <w:szCs w:val="20"/>
        </w:rPr>
        <w:t xml:space="preserve"> which </w:t>
      </w:r>
      <w:r>
        <w:rPr>
          <w:sz w:val="20"/>
          <w:szCs w:val="20"/>
        </w:rPr>
        <w:t>amends the existing accounting standards for lease accounting, including requiring lessees to recognize most leases on their balance sheets and making targeted changes to lessor accounting.</w:t>
      </w:r>
      <w:r>
        <w:rPr>
          <w:sz w:val="20"/>
          <w:szCs w:val="20"/>
        </w:rPr>
        <w:t xml:space="preserve"> </w:t>
      </w:r>
      <w:r>
        <w:rPr>
          <w:color w:val="000000"/>
          <w:sz w:val="20"/>
          <w:szCs w:val="20"/>
        </w:rPr>
        <w:t>The new standard requires a modified-retrospective approach to</w:t>
      </w:r>
      <w:r>
        <w:rPr>
          <w:color w:val="000000"/>
          <w:sz w:val="20"/>
          <w:szCs w:val="20"/>
        </w:rPr>
        <w:t xml:space="preserve"> </w:t>
      </w:r>
    </w:p>
    <w:p w:rsidR="00000000" w:rsidRDefault="00865332">
      <w:pPr>
        <w:pStyle w:val="a3"/>
        <w:spacing w:before="0" w:beforeAutospacing="0" w:after="0" w:afterAutospacing="0" w:line="259" w:lineRule="auto"/>
        <w:jc w:val="center"/>
        <w:divId w:val="1208834615"/>
        <w:rPr>
          <w:sz w:val="20"/>
          <w:szCs w:val="20"/>
        </w:rPr>
      </w:pPr>
      <w:r>
        <w:rPr>
          <w:sz w:val="20"/>
          <w:szCs w:val="20"/>
        </w:rPr>
        <w:t>F</w:t>
      </w:r>
      <w:r>
        <w:rPr>
          <w:sz w:val="20"/>
          <w:szCs w:val="20"/>
        </w:rPr>
        <w:t>-</w:t>
      </w:r>
      <w:r>
        <w:rPr>
          <w:rStyle w:val="ctheaderfooterpage"/>
          <w:sz w:val="20"/>
          <w:szCs w:val="20"/>
        </w:rPr>
        <w:t>2</w:t>
      </w:r>
      <w:r>
        <w:rPr>
          <w:rStyle w:val="ctheaderfooterpage"/>
          <w:sz w:val="20"/>
          <w:szCs w:val="20"/>
        </w:rPr>
        <w:t>9</w:t>
      </w:r>
    </w:p>
    <w:p w:rsidR="00000000" w:rsidRDefault="00865332">
      <w:pPr>
        <w:spacing w:before="360" w:after="360"/>
        <w:divId w:val="189803215"/>
        <w:rPr>
          <w:rFonts w:eastAsia="Times New Roman"/>
        </w:rPr>
      </w:pPr>
      <w:r>
        <w:rPr>
          <w:rFonts w:eastAsia="Times New Roman"/>
        </w:rPr>
        <w:pict>
          <v:rect id="_x0000_i1124" style="width:0;height:1.5pt" o:hralign="center" o:hrstd="t" o:hr="t" fillcolor="#a0a0a0" stroked="f"/>
        </w:pict>
      </w:r>
    </w:p>
    <w:p w:rsidR="00000000" w:rsidRDefault="00865332">
      <w:pPr>
        <w:pStyle w:val="a3"/>
        <w:spacing w:before="0" w:beforeAutospacing="0" w:after="0" w:afterAutospacing="0" w:line="259" w:lineRule="auto"/>
        <w:jc w:val="center"/>
        <w:divId w:val="217666703"/>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217666703"/>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217666703"/>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jc w:val="both"/>
        <w:divId w:val="1556088573"/>
        <w:rPr>
          <w:sz w:val="20"/>
          <w:szCs w:val="20"/>
        </w:rPr>
      </w:pPr>
      <w:r>
        <w:rPr>
          <w:color w:val="000000"/>
          <w:sz w:val="20"/>
          <w:szCs w:val="20"/>
        </w:rPr>
        <w:t>adoption and became effective for interim and annual periods beginning on January 1, 2019.</w:t>
      </w:r>
      <w:r>
        <w:rPr>
          <w:color w:val="000000"/>
          <w:sz w:val="20"/>
          <w:szCs w:val="20"/>
        </w:rPr>
        <w:t xml:space="preserve"> </w:t>
      </w:r>
      <w:r>
        <w:rPr>
          <w:color w:val="000000"/>
          <w:sz w:val="20"/>
          <w:szCs w:val="20"/>
        </w:rPr>
        <w:t>In July 2018, the FASB further amended this standard to allow for a new transition method that offers the option to use the effective date as the date of initial app</w:t>
      </w:r>
      <w:r>
        <w:rPr>
          <w:color w:val="000000"/>
          <w:sz w:val="20"/>
          <w:szCs w:val="20"/>
        </w:rPr>
        <w:t>lication and not adjust the comparative-period financial information.</w:t>
      </w:r>
      <w:r>
        <w:rPr>
          <w:color w:val="000000"/>
          <w:sz w:val="20"/>
          <w:szCs w:val="20"/>
        </w:rPr>
        <w:t xml:space="preserve"> </w:t>
      </w:r>
      <w:r>
        <w:rPr>
          <w:sz w:val="20"/>
          <w:szCs w:val="20"/>
        </w:rPr>
        <w:t xml:space="preserve">We adopted the new standard effective January 1, 2019, using the new transition method, recording a total of </w:t>
      </w:r>
      <w:r>
        <w:rPr>
          <w:sz w:val="20"/>
          <w:szCs w:val="20"/>
        </w:rPr>
        <w:t>$</w:t>
      </w:r>
      <w:r>
        <w:rPr>
          <w:sz w:val="20"/>
          <w:szCs w:val="20"/>
        </w:rPr>
        <w:t>38.</w:t>
      </w:r>
      <w:r>
        <w:rPr>
          <w:sz w:val="20"/>
          <w:szCs w:val="20"/>
        </w:rPr>
        <w:t>7</w:t>
      </w:r>
      <w:r>
        <w:rPr>
          <w:sz w:val="20"/>
          <w:szCs w:val="20"/>
        </w:rPr>
        <w:t xml:space="preserve"> million in right of use assets, reflected in other assets, and substant</w:t>
      </w:r>
      <w:r>
        <w:rPr>
          <w:sz w:val="20"/>
          <w:szCs w:val="20"/>
        </w:rPr>
        <w:t>ially the same amount in lease liabilities, reflected in accrued and other liabilities, for leases where we are the lessee (principally ground leases and office leases</w:t>
      </w:r>
      <w:r>
        <w:rPr>
          <w:sz w:val="20"/>
          <w:szCs w:val="20"/>
        </w:rPr>
        <w:t>)</w:t>
      </w:r>
      <w:r>
        <w:rPr>
          <w:color w:val="000000"/>
          <w:sz w:val="20"/>
          <w:szCs w:val="20"/>
        </w:rPr>
        <w:t xml:space="preserve">. We also reclassified related intangible assets totaling </w:t>
      </w:r>
      <w:r>
        <w:rPr>
          <w:color w:val="000000"/>
          <w:sz w:val="20"/>
          <w:szCs w:val="20"/>
        </w:rPr>
        <w:t>$</w:t>
      </w:r>
      <w:r>
        <w:rPr>
          <w:color w:val="000000"/>
          <w:sz w:val="20"/>
          <w:szCs w:val="20"/>
        </w:rPr>
        <w:t>5.</w:t>
      </w:r>
      <w:r>
        <w:rPr>
          <w:color w:val="000000"/>
          <w:sz w:val="20"/>
          <w:szCs w:val="20"/>
        </w:rPr>
        <w:t>6</w:t>
      </w:r>
      <w:r>
        <w:rPr>
          <w:color w:val="000000"/>
          <w:sz w:val="20"/>
          <w:szCs w:val="20"/>
        </w:rPr>
        <w:t xml:space="preserve"> million to other assets.</w:t>
      </w:r>
      <w:r>
        <w:rPr>
          <w:color w:val="000000"/>
          <w:sz w:val="20"/>
          <w:szCs w:val="20"/>
        </w:rPr>
        <w:t xml:space="preserve"> </w:t>
      </w:r>
      <w:r>
        <w:rPr>
          <w:sz w:val="20"/>
          <w:szCs w:val="20"/>
        </w:rPr>
        <w:t>The lease liabilities are recognized based on the present value of the remaining lease payments for each operating lease using each respective remaining lease term and a corresponding estimated incremental borrowing rate. We estimated the incremental borro</w:t>
      </w:r>
      <w:r>
        <w:rPr>
          <w:sz w:val="20"/>
          <w:szCs w:val="20"/>
        </w:rPr>
        <w:t>wing rate primarily by reference to average yield spread on debt issuances by companies of a similar credit rating as us, and the treasury yields as of January 1, 2019. We had no material amount of leases covered by the standard where we are the lessor (pr</w:t>
      </w:r>
      <w:r>
        <w:rPr>
          <w:sz w:val="20"/>
          <w:szCs w:val="20"/>
        </w:rPr>
        <w:t xml:space="preserve">incipally our storage leases) because substantially all of such leases are month to month. For leases where we are the lessee or the lessor, we applied (i) the package of practical expedients to not reassess prior conclusions related to contracts that are </w:t>
      </w:r>
      <w:r>
        <w:rPr>
          <w:sz w:val="20"/>
          <w:szCs w:val="20"/>
        </w:rPr>
        <w:t>or that contain leases, lease classification and initial direct costs, (ii) the hindsight practical expedient to determine the lease term and in assessing impairment of the right of use assets, and (iii) the easement practical expedient to not assess wheth</w:t>
      </w:r>
      <w:r>
        <w:rPr>
          <w:sz w:val="20"/>
          <w:szCs w:val="20"/>
        </w:rPr>
        <w:t>er existing or expired land easements that were not previously accounted for as leases under ASC 840 are or contain a lease under this new standard. In addition, for leases where we are the lessee, we also elected to (a) not apply the new standard to our l</w:t>
      </w:r>
      <w:r>
        <w:rPr>
          <w:sz w:val="20"/>
          <w:szCs w:val="20"/>
        </w:rPr>
        <w:t>eases with an original term of 12 months or less, and (b) not separate lease and associated non-lease components</w:t>
      </w:r>
      <w:r>
        <w:rPr>
          <w:sz w:val="20"/>
          <w:szCs w:val="20"/>
        </w:rPr>
        <w:t>.</w:t>
      </w:r>
    </w:p>
    <w:p w:rsidR="00000000" w:rsidRDefault="00865332">
      <w:pPr>
        <w:pStyle w:val="a3"/>
        <w:spacing w:before="0" w:beforeAutospacing="0" w:after="0" w:afterAutospacing="0" w:line="259" w:lineRule="auto"/>
        <w:ind w:left="360" w:hanging="360"/>
        <w:divId w:val="1556088573"/>
        <w:rPr>
          <w:sz w:val="20"/>
          <w:szCs w:val="20"/>
        </w:rPr>
      </w:pPr>
      <w:r>
        <w:rPr>
          <w:sz w:val="20"/>
          <w:szCs w:val="20"/>
        </w:rPr>
        <w:t>13</w:t>
      </w:r>
      <w:r>
        <w:rPr>
          <w:sz w:val="20"/>
          <w:szCs w:val="20"/>
        </w:rPr>
        <w:t>.</w:t>
      </w:r>
      <w:r>
        <w:rPr>
          <w:sz w:val="20"/>
          <w:szCs w:val="20"/>
          <w:u w:val="single"/>
        </w:rPr>
        <w:t>Commitments and Contingencie</w:t>
      </w:r>
      <w:r>
        <w:rPr>
          <w:sz w:val="20"/>
          <w:szCs w:val="20"/>
          <w:u w:val="single"/>
        </w:rPr>
        <w:t>s</w:t>
      </w:r>
    </w:p>
    <w:p w:rsidR="00000000" w:rsidRDefault="00865332">
      <w:pPr>
        <w:pStyle w:val="a3"/>
        <w:spacing w:before="0" w:beforeAutospacing="0" w:after="0" w:afterAutospacing="0" w:line="259" w:lineRule="auto"/>
        <w:ind w:left="360" w:firstLine="720"/>
        <w:jc w:val="both"/>
        <w:divId w:val="1556088573"/>
        <w:rPr>
          <w:sz w:val="20"/>
          <w:szCs w:val="20"/>
        </w:rPr>
      </w:pPr>
      <w:r>
        <w:rPr>
          <w:sz w:val="20"/>
          <w:szCs w:val="20"/>
          <w:u w:val="single"/>
        </w:rPr>
        <w:t>Contingent Losse</w:t>
      </w:r>
      <w:r>
        <w:rPr>
          <w:sz w:val="20"/>
          <w:szCs w:val="20"/>
          <w:u w:val="single"/>
        </w:rPr>
        <w:t>s</w:t>
      </w:r>
    </w:p>
    <w:p w:rsidR="00000000" w:rsidRDefault="00865332">
      <w:pPr>
        <w:pStyle w:val="a3"/>
        <w:spacing w:before="0" w:beforeAutospacing="0" w:after="0" w:afterAutospacing="0" w:line="259" w:lineRule="auto"/>
        <w:ind w:left="360" w:firstLine="720"/>
        <w:jc w:val="both"/>
        <w:divId w:val="1556088573"/>
        <w:rPr>
          <w:sz w:val="20"/>
          <w:szCs w:val="20"/>
        </w:rPr>
      </w:pPr>
      <w:r>
        <w:rPr>
          <w:sz w:val="20"/>
          <w:szCs w:val="20"/>
        </w:rPr>
        <w:t>We are a party to various legal proceedings and subject to various claims and complaints; h</w:t>
      </w:r>
      <w:r>
        <w:rPr>
          <w:sz w:val="20"/>
          <w:szCs w:val="20"/>
        </w:rPr>
        <w:t>owever, we believe that the likelihood of these contingencies resulting in a material loss to the Company, either individually or in the aggregate, is remote</w:t>
      </w:r>
      <w:r>
        <w:rPr>
          <w:sz w:val="20"/>
          <w:szCs w:val="20"/>
        </w:rPr>
        <w:t>.</w:t>
      </w:r>
    </w:p>
    <w:p w:rsidR="00000000" w:rsidRDefault="00865332">
      <w:pPr>
        <w:pStyle w:val="a3"/>
        <w:spacing w:before="0" w:beforeAutospacing="0" w:after="0" w:afterAutospacing="0" w:line="259" w:lineRule="auto"/>
        <w:ind w:left="360" w:firstLine="720"/>
        <w:jc w:val="both"/>
        <w:divId w:val="1556088573"/>
        <w:rPr>
          <w:sz w:val="20"/>
          <w:szCs w:val="20"/>
        </w:rPr>
      </w:pPr>
      <w:r>
        <w:rPr>
          <w:sz w:val="20"/>
          <w:szCs w:val="20"/>
          <w:u w:val="single"/>
        </w:rPr>
        <w:t>Insurance and Loss Exposure</w:t>
      </w:r>
      <w:r>
        <w:rPr>
          <w:sz w:val="20"/>
          <w:szCs w:val="20"/>
          <w:u w:val="single"/>
        </w:rPr>
        <w:t xml:space="preserve"> </w:t>
      </w:r>
    </w:p>
    <w:p w:rsidR="00000000" w:rsidRDefault="00865332">
      <w:pPr>
        <w:pStyle w:val="a3"/>
        <w:spacing w:before="0" w:beforeAutospacing="0" w:after="0" w:afterAutospacing="0" w:line="259" w:lineRule="auto"/>
        <w:ind w:left="360" w:firstLine="720"/>
        <w:jc w:val="both"/>
        <w:divId w:val="1556088573"/>
        <w:rPr>
          <w:sz w:val="20"/>
          <w:szCs w:val="20"/>
        </w:rPr>
      </w:pPr>
      <w:r>
        <w:rPr>
          <w:sz w:val="20"/>
          <w:szCs w:val="20"/>
        </w:rPr>
        <w:t>We carry property, earthquake, general liability, employee medical i</w:t>
      </w:r>
      <w:r>
        <w:rPr>
          <w:sz w:val="20"/>
          <w:szCs w:val="20"/>
        </w:rPr>
        <w:t xml:space="preserve">nsurance and workers compensation coverage through internationally recognized insurance carriers, subject to deductibles. Our deductible for general liability is </w:t>
      </w:r>
      <w:r>
        <w:rPr>
          <w:sz w:val="20"/>
          <w:szCs w:val="20"/>
        </w:rPr>
        <w:t>$</w:t>
      </w:r>
      <w:r>
        <w:rPr>
          <w:sz w:val="20"/>
          <w:szCs w:val="20"/>
        </w:rPr>
        <w:t>2.</w:t>
      </w:r>
      <w:r>
        <w:rPr>
          <w:sz w:val="20"/>
          <w:szCs w:val="20"/>
        </w:rPr>
        <w:t>0</w:t>
      </w:r>
      <w:r>
        <w:rPr>
          <w:sz w:val="20"/>
          <w:szCs w:val="20"/>
        </w:rPr>
        <w:t xml:space="preserve"> million per occurrence. Our annual deductible for property loss is </w:t>
      </w:r>
      <w:r>
        <w:rPr>
          <w:sz w:val="20"/>
          <w:szCs w:val="20"/>
        </w:rPr>
        <w:t>$</w:t>
      </w:r>
      <w:r>
        <w:rPr>
          <w:sz w:val="20"/>
          <w:szCs w:val="20"/>
        </w:rPr>
        <w:t>25.</w:t>
      </w:r>
      <w:r>
        <w:rPr>
          <w:sz w:val="20"/>
          <w:szCs w:val="20"/>
        </w:rPr>
        <w:t>0</w:t>
      </w:r>
      <w:r>
        <w:rPr>
          <w:sz w:val="20"/>
          <w:szCs w:val="20"/>
        </w:rPr>
        <w:t> million per occu</w:t>
      </w:r>
      <w:r>
        <w:rPr>
          <w:sz w:val="20"/>
          <w:szCs w:val="20"/>
        </w:rPr>
        <w:t xml:space="preserve">rrence. This deductible decreases to </w:t>
      </w:r>
      <w:r>
        <w:rPr>
          <w:sz w:val="20"/>
          <w:szCs w:val="20"/>
        </w:rPr>
        <w:t>$</w:t>
      </w:r>
      <w:r>
        <w:rPr>
          <w:sz w:val="20"/>
          <w:szCs w:val="20"/>
        </w:rPr>
        <w:t>5.</w:t>
      </w:r>
      <w:r>
        <w:rPr>
          <w:sz w:val="20"/>
          <w:szCs w:val="20"/>
        </w:rPr>
        <w:t>0</w:t>
      </w:r>
      <w:r>
        <w:rPr>
          <w:sz w:val="20"/>
          <w:szCs w:val="20"/>
        </w:rPr>
        <w:t xml:space="preserve"> million once we reach </w:t>
      </w:r>
      <w:r>
        <w:rPr>
          <w:sz w:val="20"/>
          <w:szCs w:val="20"/>
        </w:rPr>
        <w:t>$</w:t>
      </w:r>
      <w:r>
        <w:rPr>
          <w:sz w:val="20"/>
          <w:szCs w:val="20"/>
        </w:rPr>
        <w:t>35.</w:t>
      </w:r>
      <w:r>
        <w:rPr>
          <w:sz w:val="20"/>
          <w:szCs w:val="20"/>
        </w:rPr>
        <w:t>0</w:t>
      </w:r>
      <w:r>
        <w:rPr>
          <w:sz w:val="20"/>
          <w:szCs w:val="20"/>
        </w:rPr>
        <w:t xml:space="preserve"> million in aggregate losses for occurrences that exceed</w:t>
      </w:r>
      <w:r>
        <w:rPr>
          <w:sz w:val="20"/>
          <w:szCs w:val="20"/>
        </w:rPr>
        <w:t xml:space="preserve"> </w:t>
      </w:r>
      <w:r>
        <w:rPr>
          <w:sz w:val="20"/>
          <w:szCs w:val="20"/>
        </w:rPr>
        <w:t>$</w:t>
      </w:r>
      <w:r>
        <w:rPr>
          <w:sz w:val="20"/>
          <w:szCs w:val="20"/>
        </w:rPr>
        <w:t>5.</w:t>
      </w:r>
      <w:r>
        <w:rPr>
          <w:sz w:val="20"/>
          <w:szCs w:val="20"/>
        </w:rPr>
        <w:t>0</w:t>
      </w:r>
      <w:r>
        <w:rPr>
          <w:sz w:val="20"/>
          <w:szCs w:val="20"/>
        </w:rPr>
        <w:t xml:space="preserve"> million.</w:t>
      </w:r>
      <w:r>
        <w:rPr>
          <w:sz w:val="20"/>
          <w:szCs w:val="20"/>
        </w:rPr>
        <w:t xml:space="preserve"> </w:t>
      </w:r>
      <w:r>
        <w:rPr>
          <w:sz w:val="20"/>
          <w:szCs w:val="20"/>
        </w:rPr>
        <w:t xml:space="preserve">Insurance carriers’ aggregate limits on these policies of </w:t>
      </w:r>
      <w:r>
        <w:rPr>
          <w:sz w:val="20"/>
          <w:szCs w:val="20"/>
        </w:rPr>
        <w:t>$</w:t>
      </w:r>
      <w:r>
        <w:rPr>
          <w:sz w:val="20"/>
          <w:szCs w:val="20"/>
        </w:rPr>
        <w:t>75.</w:t>
      </w:r>
      <w:r>
        <w:rPr>
          <w:sz w:val="20"/>
          <w:szCs w:val="20"/>
        </w:rPr>
        <w:t>0</w:t>
      </w:r>
      <w:r>
        <w:rPr>
          <w:sz w:val="20"/>
          <w:szCs w:val="20"/>
        </w:rPr>
        <w:t xml:space="preserve"> million for property losses and </w:t>
      </w:r>
      <w:r>
        <w:rPr>
          <w:sz w:val="20"/>
          <w:szCs w:val="20"/>
        </w:rPr>
        <w:t>$</w:t>
      </w:r>
      <w:r>
        <w:rPr>
          <w:sz w:val="20"/>
          <w:szCs w:val="20"/>
        </w:rPr>
        <w:t>102.</w:t>
      </w:r>
      <w:r>
        <w:rPr>
          <w:sz w:val="20"/>
          <w:szCs w:val="20"/>
        </w:rPr>
        <w:t>0</w:t>
      </w:r>
      <w:r>
        <w:rPr>
          <w:sz w:val="20"/>
          <w:szCs w:val="20"/>
        </w:rPr>
        <w:t> million for g</w:t>
      </w:r>
      <w:r>
        <w:rPr>
          <w:sz w:val="20"/>
          <w:szCs w:val="20"/>
        </w:rPr>
        <w:t>eneral liability losses are higher than estimates of maximum probable losses that could occur from individual catastrophic events determined in recent engineering and actuarial studies; however, in case of multiple catastrophic events, these limits could b</w:t>
      </w:r>
      <w:r>
        <w:rPr>
          <w:sz w:val="20"/>
          <w:szCs w:val="20"/>
        </w:rPr>
        <w:t>e exceeded</w:t>
      </w:r>
      <w:r>
        <w:rPr>
          <w:sz w:val="20"/>
          <w:szCs w:val="20"/>
        </w:rPr>
        <w:t>.</w:t>
      </w:r>
    </w:p>
    <w:p w:rsidR="00000000" w:rsidRDefault="00865332">
      <w:pPr>
        <w:pStyle w:val="a3"/>
        <w:spacing w:before="0" w:beforeAutospacing="0" w:after="0" w:afterAutospacing="0" w:line="259" w:lineRule="auto"/>
        <w:ind w:left="360" w:firstLine="720"/>
        <w:jc w:val="both"/>
        <w:divId w:val="1556088573"/>
        <w:rPr>
          <w:sz w:val="20"/>
          <w:szCs w:val="20"/>
        </w:rPr>
      </w:pPr>
      <w:r>
        <w:rPr>
          <w:sz w:val="20"/>
          <w:szCs w:val="20"/>
        </w:rPr>
        <w:t>We reinsure a program that provides insurance to our customers from an independent third-party insurer. This program covers customer claims for losses to goods stored at our facilities as a result of specific named perils (earthquakes are not c</w:t>
      </w:r>
      <w:r>
        <w:rPr>
          <w:sz w:val="20"/>
          <w:szCs w:val="20"/>
        </w:rPr>
        <w:t xml:space="preserve">overed by this program), up to a maximum limit of </w:t>
      </w:r>
      <w:r>
        <w:rPr>
          <w:sz w:val="20"/>
          <w:szCs w:val="20"/>
        </w:rPr>
        <w:t>$</w:t>
      </w:r>
      <w:r>
        <w:rPr>
          <w:sz w:val="20"/>
          <w:szCs w:val="20"/>
        </w:rPr>
        <w:t>5,00</w:t>
      </w:r>
      <w:r>
        <w:rPr>
          <w:sz w:val="20"/>
          <w:szCs w:val="20"/>
        </w:rPr>
        <w:t>0</w:t>
      </w:r>
      <w:r>
        <w:rPr>
          <w:sz w:val="20"/>
          <w:szCs w:val="20"/>
        </w:rPr>
        <w:t xml:space="preserve"> per storage unit. We reinsure all risks in this program, but purchase insurance to cover this exposure for a limit of </w:t>
      </w:r>
      <w:r>
        <w:rPr>
          <w:sz w:val="20"/>
          <w:szCs w:val="20"/>
        </w:rPr>
        <w:t>$</w:t>
      </w:r>
      <w:r>
        <w:rPr>
          <w:sz w:val="20"/>
          <w:szCs w:val="20"/>
        </w:rPr>
        <w:t>15.</w:t>
      </w:r>
      <w:r>
        <w:rPr>
          <w:sz w:val="20"/>
          <w:szCs w:val="20"/>
        </w:rPr>
        <w:t>0</w:t>
      </w:r>
      <w:r>
        <w:rPr>
          <w:sz w:val="20"/>
          <w:szCs w:val="20"/>
        </w:rPr>
        <w:t xml:space="preserve"> million for losses in excess of </w:t>
      </w:r>
      <w:r>
        <w:rPr>
          <w:sz w:val="20"/>
          <w:szCs w:val="20"/>
        </w:rPr>
        <w:t>$</w:t>
      </w:r>
      <w:r>
        <w:rPr>
          <w:sz w:val="20"/>
          <w:szCs w:val="20"/>
        </w:rPr>
        <w:t>5.</w:t>
      </w:r>
      <w:r>
        <w:rPr>
          <w:sz w:val="20"/>
          <w:szCs w:val="20"/>
        </w:rPr>
        <w:t>0</w:t>
      </w:r>
      <w:r>
        <w:rPr>
          <w:sz w:val="20"/>
          <w:szCs w:val="20"/>
        </w:rPr>
        <w:t xml:space="preserve"> million per occurrence. We are subject</w:t>
      </w:r>
      <w:r>
        <w:rPr>
          <w:sz w:val="20"/>
          <w:szCs w:val="20"/>
        </w:rPr>
        <w:t xml:space="preserve"> to licensing requirements and regulations in several states. Customers participate in the program at their option. At December 31, 2019, there were approximately</w:t>
      </w:r>
      <w:r>
        <w:rPr>
          <w:sz w:val="20"/>
          <w:szCs w:val="20"/>
        </w:rPr>
        <w:t xml:space="preserve"> </w:t>
      </w:r>
      <w:r>
        <w:rPr>
          <w:sz w:val="20"/>
          <w:szCs w:val="20"/>
        </w:rPr>
        <w:t>935,00</w:t>
      </w:r>
      <w:r>
        <w:rPr>
          <w:sz w:val="20"/>
          <w:szCs w:val="20"/>
        </w:rPr>
        <w:t>0</w:t>
      </w:r>
      <w:r>
        <w:rPr>
          <w:sz w:val="20"/>
          <w:szCs w:val="20"/>
        </w:rPr>
        <w:t xml:space="preserve"> certificates held by our self-storage customers, representing aggregate coverage of a</w:t>
      </w:r>
      <w:r>
        <w:rPr>
          <w:sz w:val="20"/>
          <w:szCs w:val="20"/>
        </w:rPr>
        <w:t xml:space="preserve">pproximately </w:t>
      </w:r>
      <w:r>
        <w:rPr>
          <w:sz w:val="20"/>
          <w:szCs w:val="20"/>
        </w:rPr>
        <w:t>$</w:t>
      </w:r>
      <w:r>
        <w:rPr>
          <w:sz w:val="20"/>
          <w:szCs w:val="20"/>
        </w:rPr>
        <w:t>3.</w:t>
      </w:r>
      <w:r>
        <w:rPr>
          <w:sz w:val="20"/>
          <w:szCs w:val="20"/>
        </w:rPr>
        <w:t>2</w:t>
      </w:r>
      <w:r>
        <w:rPr>
          <w:sz w:val="20"/>
          <w:szCs w:val="20"/>
        </w:rPr>
        <w:t> billion</w:t>
      </w:r>
      <w:r>
        <w:rPr>
          <w:sz w:val="20"/>
          <w:szCs w:val="20"/>
        </w:rPr>
        <w:t>.</w:t>
      </w:r>
    </w:p>
    <w:p w:rsidR="00000000" w:rsidRDefault="00865332">
      <w:pPr>
        <w:pStyle w:val="a3"/>
        <w:spacing w:before="0" w:beforeAutospacing="0" w:after="0" w:afterAutospacing="0" w:line="276" w:lineRule="auto"/>
        <w:divId w:val="1556088573"/>
        <w:rPr>
          <w:sz w:val="20"/>
          <w:szCs w:val="20"/>
        </w:rPr>
      </w:pPr>
      <w:r>
        <w:rPr>
          <w:sz w:val="20"/>
          <w:szCs w:val="20"/>
          <w:u w:val="single"/>
        </w:rPr>
        <w:br/>
      </w:r>
      <w:r>
        <w:rPr>
          <w:sz w:val="20"/>
          <w:szCs w:val="20"/>
          <w:u w:val="single"/>
        </w:rPr>
        <w:t>‎</w:t>
      </w:r>
      <w:r>
        <w:rPr>
          <w:sz w:val="20"/>
          <w:szCs w:val="20"/>
        </w:rPr>
        <w:t xml:space="preserve"> </w:t>
      </w:r>
    </w:p>
    <w:p w:rsidR="00000000" w:rsidRDefault="00865332">
      <w:pPr>
        <w:pStyle w:val="a3"/>
        <w:spacing w:before="0" w:beforeAutospacing="0" w:after="0" w:afterAutospacing="0" w:line="259" w:lineRule="auto"/>
        <w:jc w:val="center"/>
        <w:divId w:val="498664519"/>
        <w:rPr>
          <w:sz w:val="20"/>
          <w:szCs w:val="20"/>
        </w:rPr>
      </w:pPr>
      <w:r>
        <w:rPr>
          <w:sz w:val="20"/>
          <w:szCs w:val="20"/>
        </w:rPr>
        <w:t>F</w:t>
      </w:r>
      <w:r>
        <w:rPr>
          <w:sz w:val="20"/>
          <w:szCs w:val="20"/>
        </w:rPr>
        <w:t>-</w:t>
      </w:r>
      <w:r>
        <w:rPr>
          <w:rStyle w:val="ctheaderfooterpage"/>
          <w:sz w:val="20"/>
          <w:szCs w:val="20"/>
        </w:rPr>
        <w:t>3</w:t>
      </w:r>
      <w:r>
        <w:rPr>
          <w:rStyle w:val="ctheaderfooterpage"/>
          <w:sz w:val="20"/>
          <w:szCs w:val="20"/>
        </w:rPr>
        <w:t>0</w:t>
      </w:r>
    </w:p>
    <w:p w:rsidR="00000000" w:rsidRDefault="00865332">
      <w:pPr>
        <w:spacing w:before="360" w:after="360"/>
        <w:divId w:val="574122930"/>
        <w:rPr>
          <w:rFonts w:eastAsia="Times New Roman"/>
        </w:rPr>
      </w:pPr>
      <w:r>
        <w:rPr>
          <w:rFonts w:eastAsia="Times New Roman"/>
        </w:rPr>
        <w:pict>
          <v:rect id="_x0000_i1125" style="width:0;height:1.5pt" o:hralign="center" o:hrstd="t" o:hr="t" fillcolor="#a0a0a0" stroked="f"/>
        </w:pict>
      </w:r>
    </w:p>
    <w:p w:rsidR="00000000" w:rsidRDefault="00865332">
      <w:pPr>
        <w:pStyle w:val="a3"/>
        <w:spacing w:before="0" w:beforeAutospacing="0" w:after="0" w:afterAutospacing="0" w:line="259" w:lineRule="auto"/>
        <w:jc w:val="center"/>
        <w:divId w:val="269899533"/>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269899533"/>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269899533"/>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firstLine="720"/>
        <w:jc w:val="both"/>
        <w:divId w:val="1578977087"/>
        <w:rPr>
          <w:sz w:val="20"/>
          <w:szCs w:val="20"/>
        </w:rPr>
      </w:pPr>
      <w:r>
        <w:rPr>
          <w:sz w:val="20"/>
          <w:szCs w:val="20"/>
          <w:u w:val="single"/>
        </w:rPr>
        <w:t>Construction Commitment</w:t>
      </w:r>
      <w:r>
        <w:rPr>
          <w:sz w:val="20"/>
          <w:szCs w:val="20"/>
          <w:u w:val="single"/>
        </w:rPr>
        <w:t>s</w:t>
      </w:r>
    </w:p>
    <w:p w:rsidR="00000000" w:rsidRDefault="00865332">
      <w:pPr>
        <w:pStyle w:val="a3"/>
        <w:spacing w:before="0" w:beforeAutospacing="0" w:after="0" w:afterAutospacing="0" w:line="259" w:lineRule="auto"/>
        <w:ind w:left="360" w:firstLine="720"/>
        <w:jc w:val="both"/>
        <w:divId w:val="1578977087"/>
        <w:rPr>
          <w:sz w:val="20"/>
          <w:szCs w:val="20"/>
        </w:rPr>
      </w:pPr>
      <w:r>
        <w:rPr>
          <w:sz w:val="20"/>
          <w:szCs w:val="20"/>
        </w:rPr>
        <w:t>We have construction commitments representing future expected payments for construction under co</w:t>
      </w:r>
      <w:r>
        <w:rPr>
          <w:sz w:val="20"/>
          <w:szCs w:val="20"/>
        </w:rPr>
        <w:t xml:space="preserve">ntract totaling </w:t>
      </w:r>
      <w:r>
        <w:rPr>
          <w:sz w:val="20"/>
          <w:szCs w:val="20"/>
        </w:rPr>
        <w:t>$</w:t>
      </w:r>
      <w:r>
        <w:rPr>
          <w:sz w:val="20"/>
          <w:szCs w:val="20"/>
        </w:rPr>
        <w:t>77.</w:t>
      </w:r>
      <w:r>
        <w:rPr>
          <w:sz w:val="20"/>
          <w:szCs w:val="20"/>
        </w:rPr>
        <w:t>2</w:t>
      </w:r>
      <w:r>
        <w:rPr>
          <w:sz w:val="20"/>
          <w:szCs w:val="20"/>
        </w:rPr>
        <w:t xml:space="preserve"> million at December 31, 2019. We expect to pay approximately </w:t>
      </w:r>
      <w:r>
        <w:rPr>
          <w:sz w:val="20"/>
          <w:szCs w:val="20"/>
        </w:rPr>
        <w:t>$</w:t>
      </w:r>
      <w:r>
        <w:rPr>
          <w:sz w:val="20"/>
          <w:szCs w:val="20"/>
        </w:rPr>
        <w:t>69.</w:t>
      </w:r>
      <w:r>
        <w:rPr>
          <w:sz w:val="20"/>
          <w:szCs w:val="20"/>
        </w:rPr>
        <w:t>7</w:t>
      </w:r>
      <w:r>
        <w:rPr>
          <w:sz w:val="20"/>
          <w:szCs w:val="20"/>
        </w:rPr>
        <w:t xml:space="preserve"> million in 2020 and </w:t>
      </w:r>
      <w:r>
        <w:rPr>
          <w:sz w:val="20"/>
          <w:szCs w:val="20"/>
        </w:rPr>
        <w:t>$</w:t>
      </w:r>
      <w:r>
        <w:rPr>
          <w:sz w:val="20"/>
          <w:szCs w:val="20"/>
        </w:rPr>
        <w:t>7.</w:t>
      </w:r>
      <w:r>
        <w:rPr>
          <w:sz w:val="20"/>
          <w:szCs w:val="20"/>
        </w:rPr>
        <w:t>5</w:t>
      </w:r>
      <w:r>
        <w:rPr>
          <w:sz w:val="20"/>
          <w:szCs w:val="20"/>
        </w:rPr>
        <w:t xml:space="preserve"> million in 2021 for these construction commitments</w:t>
      </w:r>
      <w:r>
        <w:rPr>
          <w:sz w:val="20"/>
          <w:szCs w:val="20"/>
        </w:rPr>
        <w:t>.</w:t>
      </w:r>
    </w:p>
    <w:p w:rsidR="00000000" w:rsidRDefault="00865332">
      <w:pPr>
        <w:pStyle w:val="a3"/>
        <w:spacing w:before="0" w:beforeAutospacing="0" w:after="0" w:afterAutospacing="0" w:line="259" w:lineRule="auto"/>
        <w:ind w:left="360" w:hanging="360"/>
        <w:divId w:val="1578977087"/>
        <w:rPr>
          <w:sz w:val="20"/>
          <w:szCs w:val="20"/>
        </w:rPr>
      </w:pPr>
      <w:r>
        <w:rPr>
          <w:sz w:val="20"/>
          <w:szCs w:val="20"/>
        </w:rPr>
        <w:t>14</w:t>
      </w:r>
      <w:r>
        <w:rPr>
          <w:sz w:val="20"/>
          <w:szCs w:val="20"/>
        </w:rPr>
        <w:t>.</w:t>
      </w:r>
      <w:r>
        <w:rPr>
          <w:sz w:val="20"/>
          <w:szCs w:val="20"/>
          <w:u w:val="single"/>
        </w:rPr>
        <w:t>Supplementary Quarterly Financial Data (unaudited</w:t>
      </w:r>
      <w:r>
        <w:rPr>
          <w:sz w:val="20"/>
          <w:szCs w:val="20"/>
          <w:u w:val="single"/>
        </w:rPr>
        <w:t>)</w:t>
      </w:r>
    </w:p>
    <w:tbl>
      <w:tblPr>
        <w:tblW w:w="5000" w:type="pct"/>
        <w:tblCellMar>
          <w:top w:w="15" w:type="dxa"/>
          <w:left w:w="15" w:type="dxa"/>
          <w:bottom w:w="15" w:type="dxa"/>
          <w:right w:w="15" w:type="dxa"/>
        </w:tblCellMar>
        <w:tblLook w:val="04A0" w:firstRow="1" w:lastRow="0" w:firstColumn="1" w:lastColumn="0" w:noHBand="0" w:noVBand="1"/>
      </w:tblPr>
      <w:tblGrid>
        <w:gridCol w:w="3150"/>
        <w:gridCol w:w="165"/>
        <w:gridCol w:w="166"/>
        <w:gridCol w:w="982"/>
        <w:gridCol w:w="133"/>
        <w:gridCol w:w="166"/>
        <w:gridCol w:w="982"/>
        <w:gridCol w:w="133"/>
        <w:gridCol w:w="166"/>
        <w:gridCol w:w="982"/>
        <w:gridCol w:w="133"/>
        <w:gridCol w:w="166"/>
        <w:gridCol w:w="982"/>
      </w:tblGrid>
      <w:tr w:rsidR="00000000">
        <w:trPr>
          <w:divId w:val="1578977087"/>
          <w:trHeight w:val="14"/>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0"/>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March 31</w:t>
            </w:r>
            <w:r>
              <w:rPr>
                <w:sz w:val="20"/>
                <w:szCs w:val="20"/>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June 30</w:t>
            </w:r>
            <w:r>
              <w:rPr>
                <w:sz w:val="20"/>
                <w:szCs w:val="20"/>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December 31</w:t>
            </w:r>
            <w:r>
              <w:rPr>
                <w:sz w:val="20"/>
                <w:szCs w:val="20"/>
              </w:rPr>
              <w:t>,</w:t>
            </w: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9</w:t>
            </w:r>
          </w:p>
        </w:tc>
      </w:tr>
      <w:tr w:rsidR="00000000">
        <w:trPr>
          <w:divId w:val="1578977087"/>
          <w:trHeight w:val="259"/>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0"/>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(Amounts in thousands, except per share data</w:t>
            </w:r>
            <w:r>
              <w:rPr>
                <w:sz w:val="20"/>
                <w:szCs w:val="20"/>
              </w:rPr>
              <w:t>)</w:t>
            </w:r>
          </w:p>
        </w:tc>
      </w:tr>
      <w:tr w:rsidR="00000000">
        <w:trPr>
          <w:divId w:val="1578977087"/>
          <w:trHeight w:val="86"/>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Self-storage and ancillary revenues</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689,03</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710,95</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729,33</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717,49</w:t>
            </w:r>
            <w:r>
              <w:rPr>
                <w:sz w:val="20"/>
                <w:szCs w:val="20"/>
              </w:rPr>
              <w:t>9</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59"/>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Self-storage and ancillary cost of operation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204,20</w:t>
            </w:r>
            <w:r>
              <w:rPr>
                <w:sz w:val="20"/>
                <w:szCs w:val="20"/>
              </w:rPr>
              <w:t>1</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207,73</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212,26</w:t>
            </w:r>
            <w:r>
              <w:rPr>
                <w:sz w:val="20"/>
                <w:szCs w:val="20"/>
              </w:rPr>
              <w:t>2</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172,58</w:t>
            </w:r>
            <w:r>
              <w:rPr>
                <w:sz w:val="20"/>
                <w:szCs w:val="20"/>
              </w:rPr>
              <w:t>4</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Depreciation and amortizatio</w:t>
            </w:r>
            <w:r>
              <w:rPr>
                <w:sz w:val="20"/>
                <w:szCs w:val="20"/>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121,94</w:t>
            </w:r>
            <w:r>
              <w:rPr>
                <w:sz w:val="20"/>
                <w:szCs w:val="20"/>
              </w:rPr>
              <w:t>1</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126,85</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129,23</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134,88</w:t>
            </w:r>
            <w:r>
              <w:rPr>
                <w:sz w:val="20"/>
                <w:szCs w:val="20"/>
              </w:rPr>
              <w:t>5</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Incom</w:t>
            </w:r>
            <w:r>
              <w:rPr>
                <w:sz w:val="20"/>
                <w:szCs w:val="20"/>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367,67</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371,45</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399,42</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387,09</w:t>
            </w:r>
            <w:r>
              <w:rPr>
                <w:sz w:val="20"/>
                <w:szCs w:val="20"/>
              </w:rPr>
              <w:t>7</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Per Common Shar</w:t>
            </w:r>
            <w:r>
              <w:rPr>
                <w:sz w:val="20"/>
                <w:szCs w:val="20"/>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income - Basi</w:t>
            </w:r>
            <w:r>
              <w:rPr>
                <w:sz w:val="20"/>
                <w:szCs w:val="20"/>
              </w:rPr>
              <w:t>c</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w:t>
            </w:r>
            <w:r>
              <w:rPr>
                <w:sz w:val="20"/>
                <w:szCs w:val="20"/>
              </w:rPr>
              <w:t>4</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8</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income - Dilute</w:t>
            </w:r>
            <w:r>
              <w:rPr>
                <w:sz w:val="20"/>
                <w:szCs w:val="20"/>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1.7</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w:t>
            </w:r>
            <w:r>
              <w:rPr>
                <w:sz w:val="20"/>
                <w:szCs w:val="20"/>
              </w:rPr>
              <w:t>3</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7</w:t>
            </w:r>
          </w:p>
        </w:tc>
      </w:tr>
      <w:tr w:rsidR="00000000">
        <w:trPr>
          <w:divId w:val="1578977087"/>
          <w:trHeight w:val="259"/>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59"/>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346"/>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0"/>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March 31</w:t>
            </w:r>
            <w:r>
              <w:rPr>
                <w:sz w:val="20"/>
                <w:szCs w:val="20"/>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June 30</w:t>
            </w:r>
            <w:r>
              <w:rPr>
                <w:sz w:val="20"/>
                <w:szCs w:val="20"/>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December 31</w:t>
            </w:r>
            <w:r>
              <w:rPr>
                <w:sz w:val="20"/>
                <w:szCs w:val="20"/>
              </w:rPr>
              <w:t>,</w:t>
            </w: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201</w:t>
            </w:r>
            <w:r>
              <w:rPr>
                <w:sz w:val="20"/>
                <w:szCs w:val="20"/>
              </w:rPr>
              <w:t>8</w:t>
            </w:r>
          </w:p>
        </w:tc>
      </w:tr>
      <w:tr w:rsidR="00000000">
        <w:trPr>
          <w:divId w:val="1578977087"/>
          <w:trHeight w:val="259"/>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10"/>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(Amounts in thousands, except per share data</w:t>
            </w:r>
            <w:r>
              <w:rPr>
                <w:sz w:val="20"/>
                <w:szCs w:val="20"/>
              </w:rPr>
              <w:t>)</w:t>
            </w:r>
          </w:p>
        </w:tc>
      </w:tr>
      <w:tr w:rsidR="00000000">
        <w:trPr>
          <w:divId w:val="1578977087"/>
          <w:trHeight w:val="86"/>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74"/>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Self-storage and ancillary revenues</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669,92</w:t>
            </w:r>
            <w:r>
              <w:rPr>
                <w:sz w:val="20"/>
                <w:szCs w:val="20"/>
              </w:rPr>
              <w:t>4</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685,52</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706,36</w:t>
            </w:r>
            <w:r>
              <w:rPr>
                <w:sz w:val="20"/>
                <w:szCs w:val="20"/>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692,46</w:t>
            </w:r>
            <w:r>
              <w:rPr>
                <w:sz w:val="20"/>
                <w:szCs w:val="20"/>
              </w:rPr>
              <w:t>0</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59"/>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Self-storage and ancillary cost of operation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192,82</w:t>
            </w:r>
            <w:r>
              <w:rPr>
                <w:sz w:val="20"/>
                <w:szCs w:val="20"/>
              </w:rPr>
              <w:t>7</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190,97</w:t>
            </w:r>
            <w:r>
              <w:rPr>
                <w:sz w:val="20"/>
                <w:szCs w:val="20"/>
              </w:rPr>
              <w:t>7</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195,54</w:t>
            </w:r>
            <w:r>
              <w:rPr>
                <w:sz w:val="20"/>
                <w:szCs w:val="20"/>
              </w:rPr>
              <w:t>4</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160,37</w:t>
            </w:r>
            <w:r>
              <w:rPr>
                <w:sz w:val="20"/>
                <w:szCs w:val="20"/>
              </w:rPr>
              <w:t>4</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Depreciation and amortizatio</w:t>
            </w:r>
            <w:r>
              <w:rPr>
                <w:sz w:val="20"/>
                <w:szCs w:val="20"/>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117,97</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119,77</w:t>
            </w:r>
            <w:r>
              <w:rPr>
                <w:sz w:val="20"/>
                <w:szCs w:val="20"/>
              </w:rPr>
              <w:t>7</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124,51</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121,37</w:t>
            </w:r>
            <w:r>
              <w:rPr>
                <w:sz w:val="20"/>
                <w:szCs w:val="20"/>
              </w:rPr>
              <w:t>4</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Incom</w:t>
            </w:r>
            <w:r>
              <w:rPr>
                <w:sz w:val="20"/>
                <w:szCs w:val="20"/>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344,43</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405,29</w:t>
            </w:r>
            <w:r>
              <w:rPr>
                <w:sz w:val="20"/>
                <w:szCs w:val="20"/>
              </w:rPr>
              <w:t>2</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379,58</w:t>
            </w:r>
            <w:r>
              <w:rPr>
                <w:sz w:val="20"/>
                <w:szCs w:val="20"/>
              </w:rPr>
              <w:t>9</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587,90</w:t>
            </w:r>
            <w:r>
              <w:rPr>
                <w:sz w:val="20"/>
                <w:szCs w:val="20"/>
              </w:rPr>
              <w:t>6</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Per Common Shar</w:t>
            </w:r>
            <w:r>
              <w:rPr>
                <w:sz w:val="20"/>
                <w:szCs w:val="20"/>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income - Basi</w:t>
            </w:r>
            <w:r>
              <w:rPr>
                <w:sz w:val="20"/>
                <w:szCs w:val="20"/>
              </w:rPr>
              <w:t>c</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w:t>
            </w:r>
            <w:r>
              <w:rPr>
                <w:sz w:val="20"/>
                <w:szCs w:val="20"/>
              </w:rPr>
              <w:t>6</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5</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w:t>
            </w:r>
            <w:r>
              <w:rPr>
                <w:sz w:val="20"/>
                <w:szCs w:val="20"/>
              </w:rPr>
              <w:t>5</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divId w:val="1578977087"/>
          <w:trHeight w:val="245"/>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20"/>
                <w:szCs w:val="20"/>
              </w:rPr>
            </w:pPr>
            <w:r>
              <w:rPr>
                <w:sz w:val="20"/>
                <w:szCs w:val="20"/>
              </w:rPr>
              <w:t>Net income - Dilute</w:t>
            </w:r>
            <w:r>
              <w:rPr>
                <w:sz w:val="20"/>
                <w:szCs w:val="20"/>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1.6</w:t>
            </w:r>
            <w:r>
              <w:rPr>
                <w:sz w:val="20"/>
                <w:szCs w:val="20"/>
              </w:rPr>
              <w:t>5</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2.0</w:t>
            </w:r>
            <w:r>
              <w:rPr>
                <w:sz w:val="20"/>
                <w:szCs w:val="20"/>
              </w:rPr>
              <w:t>0</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1.8</w:t>
            </w:r>
            <w:r>
              <w:rPr>
                <w:sz w:val="20"/>
                <w:szCs w:val="20"/>
              </w:rPr>
              <w:t>5</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center"/>
              <w:rPr>
                <w:sz w:val="20"/>
                <w:szCs w:val="20"/>
              </w:rPr>
            </w:pPr>
            <w:r>
              <w:rPr>
                <w:sz w:val="20"/>
                <w:szCs w:val="20"/>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right="72"/>
              <w:jc w:val="right"/>
              <w:rPr>
                <w:sz w:val="20"/>
                <w:szCs w:val="20"/>
              </w:rPr>
            </w:pPr>
            <w:r>
              <w:rPr>
                <w:sz w:val="20"/>
                <w:szCs w:val="20"/>
              </w:rPr>
              <w:t>3.0</w:t>
            </w:r>
            <w:r>
              <w:rPr>
                <w:sz w:val="20"/>
                <w:szCs w:val="20"/>
              </w:rPr>
              <w:t>4</w:t>
            </w:r>
          </w:p>
        </w:tc>
      </w:tr>
      <w:tr w:rsidR="00000000">
        <w:trPr>
          <w:divId w:val="1578977087"/>
          <w:trHeight w:val="130"/>
        </w:trPr>
        <w:tc>
          <w:tcPr>
            <w:tcW w:w="18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000000" w:rsidRDefault="00865332">
      <w:pPr>
        <w:pStyle w:val="a3"/>
        <w:spacing w:before="0" w:beforeAutospacing="0" w:after="0" w:afterAutospacing="0" w:line="259" w:lineRule="auto"/>
        <w:ind w:left="360" w:hanging="360"/>
        <w:divId w:val="1578977087"/>
        <w:rPr>
          <w:sz w:val="20"/>
          <w:szCs w:val="20"/>
        </w:rPr>
      </w:pPr>
      <w:r>
        <w:rPr>
          <w:sz w:val="20"/>
          <w:szCs w:val="20"/>
        </w:rPr>
        <w:t>15</w:t>
      </w:r>
      <w:r>
        <w:rPr>
          <w:sz w:val="20"/>
          <w:szCs w:val="20"/>
        </w:rPr>
        <w:t>.</w:t>
      </w:r>
      <w:r>
        <w:rPr>
          <w:sz w:val="20"/>
          <w:szCs w:val="20"/>
          <w:u w:val="single"/>
        </w:rPr>
        <w:t>Subsequent Event</w:t>
      </w:r>
      <w:r>
        <w:rPr>
          <w:sz w:val="20"/>
          <w:szCs w:val="20"/>
          <w:u w:val="single"/>
        </w:rPr>
        <w:t>s</w:t>
      </w:r>
    </w:p>
    <w:p w:rsidR="00000000" w:rsidRDefault="00865332">
      <w:pPr>
        <w:pStyle w:val="a3"/>
        <w:spacing w:before="0" w:beforeAutospacing="0" w:after="0" w:afterAutospacing="0" w:line="259" w:lineRule="auto"/>
        <w:ind w:left="360" w:firstLine="720"/>
        <w:jc w:val="both"/>
        <w:divId w:val="1578977087"/>
        <w:rPr>
          <w:sz w:val="20"/>
          <w:szCs w:val="20"/>
        </w:rPr>
      </w:pPr>
      <w:r>
        <w:rPr>
          <w:sz w:val="20"/>
          <w:szCs w:val="20"/>
        </w:rPr>
        <w:t>Subsequent to December 31, 2019, we acquired or were under contract to acquire</w:t>
      </w:r>
      <w:r>
        <w:rPr>
          <w:sz w:val="20"/>
          <w:szCs w:val="20"/>
        </w:rPr>
        <w:t xml:space="preserve"> </w:t>
      </w:r>
      <w:r>
        <w:rPr>
          <w:sz w:val="20"/>
          <w:szCs w:val="20"/>
        </w:rPr>
        <w:t>1</w:t>
      </w:r>
      <w:r>
        <w:rPr>
          <w:sz w:val="20"/>
          <w:szCs w:val="20"/>
        </w:rPr>
        <w:t>4</w:t>
      </w:r>
      <w:r>
        <w:rPr>
          <w:sz w:val="20"/>
          <w:szCs w:val="20"/>
        </w:rPr>
        <w:t xml:space="preserve"> self-storage facilities </w:t>
      </w:r>
      <w:r>
        <w:rPr>
          <w:sz w:val="20"/>
          <w:szCs w:val="20"/>
        </w:rPr>
        <w:t>(</w:t>
      </w:r>
      <w:r>
        <w:rPr>
          <w:sz w:val="20"/>
          <w:szCs w:val="20"/>
        </w:rPr>
        <w:t>fou</w:t>
      </w:r>
      <w:r>
        <w:rPr>
          <w:sz w:val="20"/>
          <w:szCs w:val="20"/>
        </w:rPr>
        <w:t>r</w:t>
      </w:r>
      <w:r>
        <w:rPr>
          <w:sz w:val="20"/>
          <w:szCs w:val="20"/>
        </w:rPr>
        <w:t xml:space="preserve"> in Ohio,</w:t>
      </w:r>
      <w:r>
        <w:rPr>
          <w:sz w:val="20"/>
          <w:szCs w:val="20"/>
        </w:rPr>
        <w:t xml:space="preserve"> </w:t>
      </w:r>
      <w:r>
        <w:rPr>
          <w:sz w:val="20"/>
          <w:szCs w:val="20"/>
        </w:rPr>
        <w:t>thre</w:t>
      </w:r>
      <w:r>
        <w:rPr>
          <w:sz w:val="20"/>
          <w:szCs w:val="20"/>
        </w:rPr>
        <w:t>e</w:t>
      </w:r>
      <w:r>
        <w:rPr>
          <w:sz w:val="20"/>
          <w:szCs w:val="20"/>
        </w:rPr>
        <w:t xml:space="preserve"> in California,</w:t>
      </w:r>
      <w:r>
        <w:rPr>
          <w:sz w:val="20"/>
          <w:szCs w:val="20"/>
        </w:rPr>
        <w:t xml:space="preserve"> </w:t>
      </w:r>
      <w:r>
        <w:rPr>
          <w:sz w:val="20"/>
          <w:szCs w:val="20"/>
        </w:rPr>
        <w:t>tw</w:t>
      </w:r>
      <w:r>
        <w:rPr>
          <w:sz w:val="20"/>
          <w:szCs w:val="20"/>
        </w:rPr>
        <w:t>o</w:t>
      </w:r>
      <w:r>
        <w:rPr>
          <w:sz w:val="20"/>
          <w:szCs w:val="20"/>
        </w:rPr>
        <w:t xml:space="preserve"> </w:t>
      </w:r>
      <w:r>
        <w:rPr>
          <w:sz w:val="20"/>
          <w:szCs w:val="20"/>
        </w:rPr>
        <w:t>each in New York and Tennessee and</w:t>
      </w:r>
      <w:r>
        <w:rPr>
          <w:sz w:val="20"/>
          <w:szCs w:val="20"/>
        </w:rPr>
        <w:t xml:space="preserve"> </w:t>
      </w:r>
      <w:r>
        <w:rPr>
          <w:sz w:val="20"/>
          <w:szCs w:val="20"/>
        </w:rPr>
        <w:t>on</w:t>
      </w:r>
      <w:r>
        <w:rPr>
          <w:sz w:val="20"/>
          <w:szCs w:val="20"/>
        </w:rPr>
        <w:t>e</w:t>
      </w:r>
      <w:r>
        <w:rPr>
          <w:sz w:val="20"/>
          <w:szCs w:val="20"/>
        </w:rPr>
        <w:t xml:space="preserve"> each i</w:t>
      </w:r>
      <w:r>
        <w:rPr>
          <w:sz w:val="20"/>
          <w:szCs w:val="20"/>
        </w:rPr>
        <w:t>n</w:t>
      </w:r>
      <w:r>
        <w:rPr>
          <w:sz w:val="20"/>
          <w:szCs w:val="20"/>
        </w:rPr>
        <w:t xml:space="preserve"> Indian</w:t>
      </w:r>
      <w:r>
        <w:rPr>
          <w:sz w:val="20"/>
          <w:szCs w:val="20"/>
        </w:rPr>
        <w:t>a</w:t>
      </w:r>
      <w:r>
        <w:rPr>
          <w:sz w:val="20"/>
          <w:szCs w:val="20"/>
        </w:rPr>
        <w:t>, Massachusetts, and Nebraska) with</w:t>
      </w:r>
      <w:r>
        <w:rPr>
          <w:sz w:val="20"/>
          <w:szCs w:val="20"/>
        </w:rPr>
        <w:t xml:space="preserve"> </w:t>
      </w:r>
      <w:r>
        <w:rPr>
          <w:sz w:val="20"/>
          <w:szCs w:val="20"/>
        </w:rPr>
        <w:t>1.</w:t>
      </w:r>
      <w:r>
        <w:rPr>
          <w:sz w:val="20"/>
          <w:szCs w:val="20"/>
        </w:rPr>
        <w:t>1</w:t>
      </w:r>
      <w:r>
        <w:rPr>
          <w:sz w:val="20"/>
          <w:szCs w:val="20"/>
        </w:rPr>
        <w:t xml:space="preserve"> million net rentable square feet, for </w:t>
      </w:r>
      <w:r>
        <w:rPr>
          <w:sz w:val="20"/>
          <w:szCs w:val="20"/>
        </w:rPr>
        <w:t>$</w:t>
      </w:r>
      <w:r>
        <w:rPr>
          <w:sz w:val="20"/>
          <w:szCs w:val="20"/>
        </w:rPr>
        <w:t>245.</w:t>
      </w:r>
      <w:r>
        <w:rPr>
          <w:sz w:val="20"/>
          <w:szCs w:val="20"/>
        </w:rPr>
        <w:t>3</w:t>
      </w:r>
      <w:r>
        <w:rPr>
          <w:sz w:val="20"/>
          <w:szCs w:val="20"/>
        </w:rPr>
        <w:t xml:space="preserve"> million</w:t>
      </w:r>
      <w:r>
        <w:rPr>
          <w:sz w:val="20"/>
          <w:szCs w:val="20"/>
        </w:rPr>
        <w:t>.</w:t>
      </w:r>
    </w:p>
    <w:p w:rsidR="00000000" w:rsidRDefault="00865332">
      <w:pPr>
        <w:pStyle w:val="a3"/>
        <w:spacing w:before="0" w:beforeAutospacing="0" w:after="0" w:afterAutospacing="0" w:line="259" w:lineRule="auto"/>
        <w:ind w:left="360" w:firstLine="720"/>
        <w:jc w:val="both"/>
        <w:divId w:val="1578977087"/>
        <w:rPr>
          <w:sz w:val="20"/>
          <w:szCs w:val="20"/>
        </w:rPr>
      </w:pPr>
      <w:r>
        <w:rPr>
          <w:sz w:val="20"/>
          <w:szCs w:val="20"/>
        </w:rPr>
        <w:t xml:space="preserve">On January 24, 2020, we completed a public offering of </w:t>
      </w:r>
      <w:r>
        <w:rPr>
          <w:sz w:val="20"/>
          <w:szCs w:val="20"/>
        </w:rPr>
        <w:t>€</w:t>
      </w:r>
      <w:r>
        <w:rPr>
          <w:sz w:val="20"/>
          <w:szCs w:val="20"/>
        </w:rPr>
        <w:t>50</w:t>
      </w:r>
      <w:r>
        <w:rPr>
          <w:sz w:val="20"/>
          <w:szCs w:val="20"/>
        </w:rPr>
        <w:t>0</w:t>
      </w:r>
      <w:r>
        <w:rPr>
          <w:sz w:val="20"/>
          <w:szCs w:val="20"/>
        </w:rPr>
        <w:t xml:space="preserve"> million (</w:t>
      </w:r>
      <w:r>
        <w:rPr>
          <w:sz w:val="20"/>
          <w:szCs w:val="20"/>
        </w:rPr>
        <w:t>$</w:t>
      </w:r>
      <w:r>
        <w:rPr>
          <w:sz w:val="20"/>
          <w:szCs w:val="20"/>
        </w:rPr>
        <w:t>551.</w:t>
      </w:r>
      <w:r>
        <w:rPr>
          <w:sz w:val="20"/>
          <w:szCs w:val="20"/>
        </w:rPr>
        <w:t>6</w:t>
      </w:r>
      <w:r>
        <w:rPr>
          <w:sz w:val="20"/>
          <w:szCs w:val="20"/>
        </w:rPr>
        <w:t xml:space="preserve"> million) aggregate principal amo</w:t>
      </w:r>
      <w:r>
        <w:rPr>
          <w:sz w:val="20"/>
          <w:szCs w:val="20"/>
        </w:rPr>
        <w:t>unt of senior notes bearing interest at an annual rate of</w:t>
      </w:r>
      <w:r>
        <w:rPr>
          <w:sz w:val="20"/>
          <w:szCs w:val="20"/>
        </w:rPr>
        <w:t xml:space="preserve"> </w:t>
      </w:r>
      <w:r>
        <w:rPr>
          <w:sz w:val="20"/>
          <w:szCs w:val="20"/>
        </w:rPr>
        <w:t>0.87</w:t>
      </w:r>
      <w:r>
        <w:rPr>
          <w:sz w:val="20"/>
          <w:szCs w:val="20"/>
        </w:rPr>
        <w:t>5</w:t>
      </w:r>
      <w:r>
        <w:rPr>
          <w:sz w:val="20"/>
          <w:szCs w:val="20"/>
        </w:rPr>
        <w:t>% and maturing on</w:t>
      </w:r>
      <w:r>
        <w:rPr>
          <w:sz w:val="20"/>
          <w:szCs w:val="20"/>
        </w:rPr>
        <w:t xml:space="preserve"> </w:t>
      </w:r>
      <w:r>
        <w:rPr>
          <w:sz w:val="20"/>
          <w:szCs w:val="20"/>
        </w:rPr>
        <w:t>January 24, 203</w:t>
      </w:r>
      <w:r>
        <w:rPr>
          <w:sz w:val="20"/>
          <w:szCs w:val="20"/>
        </w:rPr>
        <w:t>2</w:t>
      </w:r>
      <w:r>
        <w:rPr>
          <w:sz w:val="20"/>
          <w:szCs w:val="20"/>
        </w:rPr>
        <w:t>.</w:t>
      </w:r>
      <w:r>
        <w:rPr>
          <w:sz w:val="20"/>
          <w:szCs w:val="20"/>
        </w:rPr>
        <w:t xml:space="preserve"> </w:t>
      </w:r>
    </w:p>
    <w:p w:rsidR="00000000" w:rsidRDefault="00865332">
      <w:pPr>
        <w:pStyle w:val="a3"/>
        <w:spacing w:before="0" w:beforeAutospacing="0" w:after="0" w:afterAutospacing="0" w:line="259" w:lineRule="auto"/>
        <w:jc w:val="center"/>
        <w:divId w:val="1632595093"/>
        <w:rPr>
          <w:sz w:val="20"/>
          <w:szCs w:val="20"/>
        </w:rPr>
      </w:pPr>
      <w:r>
        <w:rPr>
          <w:sz w:val="20"/>
          <w:szCs w:val="20"/>
        </w:rPr>
        <w:t>F</w:t>
      </w:r>
      <w:r>
        <w:rPr>
          <w:sz w:val="20"/>
          <w:szCs w:val="20"/>
        </w:rPr>
        <w:t>-</w:t>
      </w:r>
      <w:r>
        <w:rPr>
          <w:rStyle w:val="ctheaderfooterpage"/>
          <w:sz w:val="20"/>
          <w:szCs w:val="20"/>
        </w:rPr>
        <w:t>3</w:t>
      </w:r>
      <w:r>
        <w:rPr>
          <w:rStyle w:val="ctheaderfooterpage"/>
          <w:sz w:val="20"/>
          <w:szCs w:val="20"/>
        </w:rPr>
        <w:t>1</w:t>
      </w:r>
    </w:p>
    <w:p w:rsidR="00000000" w:rsidRDefault="00865332">
      <w:pPr>
        <w:spacing w:before="360" w:after="360"/>
        <w:divId w:val="405955262"/>
        <w:rPr>
          <w:rFonts w:eastAsia="Times New Roman"/>
        </w:rPr>
      </w:pPr>
      <w:r>
        <w:rPr>
          <w:rFonts w:eastAsia="Times New Roman"/>
        </w:rPr>
        <w:pict>
          <v:rect id="_x0000_i1126" style="width:0;height:1.5pt" o:hralign="center" o:hrstd="t" o:hr="t" fillcolor="#a0a0a0" stroked="f"/>
        </w:pict>
      </w:r>
    </w:p>
    <w:p w:rsidR="00000000" w:rsidRDefault="00865332">
      <w:pPr>
        <w:pStyle w:val="a3"/>
        <w:spacing w:before="0" w:beforeAutospacing="0" w:after="0" w:afterAutospacing="0" w:line="259" w:lineRule="auto"/>
        <w:jc w:val="center"/>
        <w:divId w:val="765230813"/>
        <w:rPr>
          <w:sz w:val="20"/>
          <w:szCs w:val="20"/>
        </w:rPr>
      </w:pPr>
      <w:r>
        <w:rPr>
          <w:b/>
          <w:bCs/>
          <w:sz w:val="20"/>
          <w:szCs w:val="20"/>
        </w:rPr>
        <w:t>PUBLIC STORAG</w:t>
      </w:r>
      <w:r>
        <w:rPr>
          <w:b/>
          <w:bCs/>
          <w:sz w:val="20"/>
          <w:szCs w:val="20"/>
        </w:rPr>
        <w:t>E</w:t>
      </w:r>
    </w:p>
    <w:p w:rsidR="00000000" w:rsidRDefault="00865332">
      <w:pPr>
        <w:pStyle w:val="a3"/>
        <w:spacing w:before="0" w:beforeAutospacing="0" w:after="0" w:afterAutospacing="0" w:line="259" w:lineRule="auto"/>
        <w:jc w:val="center"/>
        <w:divId w:val="765230813"/>
        <w:rPr>
          <w:sz w:val="20"/>
          <w:szCs w:val="20"/>
        </w:rPr>
      </w:pPr>
      <w:r>
        <w:rPr>
          <w:b/>
          <w:bCs/>
          <w:sz w:val="20"/>
          <w:szCs w:val="20"/>
        </w:rPr>
        <w:t>NOTES TO FINANCIAL STATEMENT</w:t>
      </w:r>
      <w:r>
        <w:rPr>
          <w:b/>
          <w:bCs/>
          <w:sz w:val="20"/>
          <w:szCs w:val="20"/>
        </w:rPr>
        <w:t>S</w:t>
      </w:r>
    </w:p>
    <w:p w:rsidR="00000000" w:rsidRDefault="00865332">
      <w:pPr>
        <w:pStyle w:val="a3"/>
        <w:spacing w:before="0" w:beforeAutospacing="0" w:after="0" w:afterAutospacing="0" w:line="259" w:lineRule="auto"/>
        <w:jc w:val="center"/>
        <w:divId w:val="765230813"/>
        <w:rPr>
          <w:sz w:val="20"/>
          <w:szCs w:val="20"/>
        </w:rPr>
      </w:pPr>
      <w:r>
        <w:rPr>
          <w:b/>
          <w:bCs/>
          <w:sz w:val="20"/>
          <w:szCs w:val="20"/>
        </w:rPr>
        <w:t>December 31, 201</w:t>
      </w:r>
      <w:r>
        <w:rPr>
          <w:b/>
          <w:bCs/>
          <w:sz w:val="20"/>
          <w:szCs w:val="20"/>
        </w:rPr>
        <w:t>9</w:t>
      </w:r>
    </w:p>
    <w:p w:rsidR="00000000" w:rsidRDefault="00865332">
      <w:pPr>
        <w:pStyle w:val="a3"/>
        <w:spacing w:before="0" w:beforeAutospacing="0" w:after="0" w:afterAutospacing="0" w:line="259" w:lineRule="auto"/>
        <w:ind w:left="360"/>
        <w:jc w:val="both"/>
        <w:divId w:val="911742731"/>
        <w:rPr>
          <w:sz w:val="20"/>
          <w:szCs w:val="20"/>
        </w:rPr>
      </w:pPr>
      <w:r>
        <w:rPr>
          <w:sz w:val="20"/>
          <w:szCs w:val="20"/>
        </w:rPr>
        <w:t xml:space="preserve">Interest on the senior notes is payable annually, commencing January 24, 2021. In connection with the offering, we incurred a total of </w:t>
      </w:r>
      <w:r>
        <w:rPr>
          <w:sz w:val="20"/>
          <w:szCs w:val="20"/>
        </w:rPr>
        <w:t>$</w:t>
      </w:r>
      <w:r>
        <w:rPr>
          <w:sz w:val="20"/>
          <w:szCs w:val="20"/>
        </w:rPr>
        <w:t>6.</w:t>
      </w:r>
      <w:r>
        <w:rPr>
          <w:sz w:val="20"/>
          <w:szCs w:val="20"/>
        </w:rPr>
        <w:t>4</w:t>
      </w:r>
      <w:r>
        <w:rPr>
          <w:sz w:val="20"/>
          <w:szCs w:val="20"/>
        </w:rPr>
        <w:t xml:space="preserve"> million in costs</w:t>
      </w:r>
      <w:r>
        <w:rPr>
          <w:sz w:val="20"/>
          <w:szCs w:val="20"/>
        </w:rPr>
        <w:t>.</w:t>
      </w:r>
    </w:p>
    <w:p w:rsidR="00000000" w:rsidRDefault="00865332">
      <w:pPr>
        <w:pStyle w:val="a3"/>
        <w:spacing w:before="0" w:beforeAutospacing="0" w:after="0" w:afterAutospacing="0" w:line="259" w:lineRule="auto"/>
        <w:ind w:left="360" w:firstLine="720"/>
        <w:jc w:val="both"/>
        <w:divId w:val="911742731"/>
        <w:rPr>
          <w:sz w:val="20"/>
          <w:szCs w:val="20"/>
        </w:rPr>
      </w:pPr>
      <w:r>
        <w:rPr>
          <w:sz w:val="20"/>
          <w:szCs w:val="20"/>
        </w:rPr>
        <w:t>As we reported in an SEC form 8-K on February 14, 2020, we submitted a non-binding proposal to acq</w:t>
      </w:r>
      <w:r>
        <w:rPr>
          <w:sz w:val="20"/>
          <w:szCs w:val="20"/>
        </w:rPr>
        <w:t>uire</w:t>
      </w:r>
      <w:r>
        <w:rPr>
          <w:sz w:val="20"/>
          <w:szCs w:val="20"/>
        </w:rPr>
        <w:t xml:space="preserve"> </w:t>
      </w:r>
      <w:r>
        <w:rPr>
          <w:sz w:val="20"/>
          <w:szCs w:val="20"/>
        </w:rPr>
        <w:t>10</w:t>
      </w:r>
      <w:r>
        <w:rPr>
          <w:sz w:val="20"/>
          <w:szCs w:val="20"/>
        </w:rPr>
        <w:t>0</w:t>
      </w:r>
      <w:r>
        <w:rPr>
          <w:sz w:val="20"/>
          <w:szCs w:val="20"/>
        </w:rPr>
        <w:t>% of the issued stapled securities of National Storage REIT (“NSR”), an Australia-based publicly-traded REIT (ASX:NSR) that owns and operates</w:t>
      </w:r>
      <w:r>
        <w:rPr>
          <w:sz w:val="20"/>
          <w:szCs w:val="20"/>
        </w:rPr>
        <w:t xml:space="preserve"> </w:t>
      </w:r>
      <w:r>
        <w:rPr>
          <w:sz w:val="20"/>
          <w:szCs w:val="20"/>
        </w:rPr>
        <w:t>16</w:t>
      </w:r>
      <w:r>
        <w:rPr>
          <w:sz w:val="20"/>
          <w:szCs w:val="20"/>
        </w:rPr>
        <w:t>7</w:t>
      </w:r>
      <w:r>
        <w:rPr>
          <w:sz w:val="20"/>
          <w:szCs w:val="20"/>
        </w:rPr>
        <w:t xml:space="preserve"> self-storage facilities in Australia and New Zealand, for a cash purchase price of A</w:t>
      </w:r>
      <w:r>
        <w:rPr>
          <w:sz w:val="20"/>
          <w:szCs w:val="20"/>
        </w:rPr>
        <w:t>$</w:t>
      </w:r>
      <w:r>
        <w:rPr>
          <w:sz w:val="20"/>
          <w:szCs w:val="20"/>
        </w:rPr>
        <w:t>2.4</w:t>
      </w:r>
      <w:r>
        <w:rPr>
          <w:sz w:val="20"/>
          <w:szCs w:val="20"/>
        </w:rPr>
        <w:t>0</w:t>
      </w:r>
      <w:r>
        <w:rPr>
          <w:sz w:val="20"/>
          <w:szCs w:val="20"/>
        </w:rPr>
        <w:t xml:space="preserve"> per share. O</w:t>
      </w:r>
      <w:r>
        <w:rPr>
          <w:sz w:val="20"/>
          <w:szCs w:val="20"/>
        </w:rPr>
        <w:t>ur proposal was subject to a number of conditions, including due diligence. Any transaction would be subject to processes for acquisition of widely held entities under Australian law, including securityholder approval. There is no assurance that Public Sto</w:t>
      </w:r>
      <w:r>
        <w:rPr>
          <w:sz w:val="20"/>
          <w:szCs w:val="20"/>
        </w:rPr>
        <w:t>rage will reach a definitive agreement or consummate a transaction with NSR or that if such an agreement is reached, it will be on terms consistent with our non-binding proposal</w:t>
      </w:r>
      <w:r>
        <w:rPr>
          <w:sz w:val="20"/>
          <w:szCs w:val="20"/>
        </w:rPr>
        <w:t>.</w:t>
      </w:r>
    </w:p>
    <w:p w:rsidR="00000000" w:rsidRDefault="00865332">
      <w:pPr>
        <w:pStyle w:val="a3"/>
        <w:spacing w:before="0" w:beforeAutospacing="0" w:after="0" w:afterAutospacing="0" w:line="259" w:lineRule="auto"/>
        <w:jc w:val="center"/>
        <w:divId w:val="300115247"/>
        <w:rPr>
          <w:sz w:val="20"/>
          <w:szCs w:val="20"/>
        </w:rPr>
      </w:pPr>
      <w:r>
        <w:rPr>
          <w:sz w:val="20"/>
          <w:szCs w:val="20"/>
        </w:rPr>
        <w:t>F</w:t>
      </w:r>
      <w:r>
        <w:rPr>
          <w:sz w:val="20"/>
          <w:szCs w:val="20"/>
        </w:rPr>
        <w:t>-</w:t>
      </w:r>
      <w:r>
        <w:rPr>
          <w:rStyle w:val="ctheaderfooterpage"/>
          <w:sz w:val="20"/>
          <w:szCs w:val="20"/>
        </w:rPr>
        <w:t>3</w:t>
      </w:r>
      <w:r>
        <w:rPr>
          <w:rStyle w:val="ctheaderfooterpage"/>
          <w:sz w:val="20"/>
          <w:szCs w:val="20"/>
        </w:rPr>
        <w:t>2</w:t>
      </w:r>
    </w:p>
    <w:p w:rsidR="00000000" w:rsidRDefault="00865332">
      <w:pPr>
        <w:spacing w:before="360" w:after="360"/>
        <w:divId w:val="1877542559"/>
        <w:rPr>
          <w:rFonts w:eastAsia="Times New Roman"/>
        </w:rPr>
      </w:pPr>
      <w:r>
        <w:rPr>
          <w:rFonts w:eastAsia="Times New Roman"/>
        </w:rPr>
        <w:pict>
          <v:rect id="_x0000_i1127" style="width:0;height:1.5pt" o:hralign="center" o:hrstd="t" o:hr="t" fillcolor="#a0a0a0" stroked="f"/>
        </w:pict>
      </w:r>
    </w:p>
    <w:tbl>
      <w:tblPr>
        <w:tblW w:w="12200" w:type="pct"/>
        <w:tblCellMar>
          <w:top w:w="15" w:type="dxa"/>
          <w:left w:w="15" w:type="dxa"/>
          <w:bottom w:w="15" w:type="dxa"/>
          <w:right w:w="15" w:type="dxa"/>
        </w:tblCellMar>
        <w:tblLook w:val="04A0" w:firstRow="1" w:lastRow="0" w:firstColumn="1" w:lastColumn="0" w:noHBand="0" w:noVBand="1"/>
      </w:tblPr>
      <w:tblGrid>
        <w:gridCol w:w="1520"/>
        <w:gridCol w:w="660"/>
        <w:gridCol w:w="670"/>
        <w:gridCol w:w="600"/>
        <w:gridCol w:w="527"/>
        <w:gridCol w:w="1040"/>
        <w:gridCol w:w="860"/>
        <w:gridCol w:w="466"/>
        <w:gridCol w:w="709"/>
        <w:gridCol w:w="589"/>
        <w:gridCol w:w="990"/>
        <w:gridCol w:w="5818"/>
        <w:gridCol w:w="5818"/>
      </w:tblGrid>
      <w:tr w:rsidR="00000000">
        <w:trPr>
          <w:gridAfter w:val="2"/>
          <w:divId w:val="1692025109"/>
          <w:wAfter w:w="11976" w:type="dxa"/>
          <w:trHeight w:val="14"/>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2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r>
      <w:tr w:rsidR="00000000">
        <w:trPr>
          <w:divId w:val="1692025109"/>
          <w:trHeight w:val="245"/>
        </w:trPr>
        <w:tc>
          <w:tcPr>
            <w:tcW w:w="2045" w:type="pct"/>
            <w:gridSpan w:val="11"/>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PUBLIC STORAG</w:t>
            </w:r>
            <w:r>
              <w:rPr>
                <w:color w:val="000000"/>
                <w:sz w:val="18"/>
                <w:szCs w:val="18"/>
              </w:rPr>
              <w:t>E</w:t>
            </w:r>
          </w:p>
        </w:tc>
        <w:tc>
          <w:tcPr>
            <w:tcW w:w="1475" w:type="pct"/>
            <w:tcBorders>
              <w:top w:val="nil"/>
              <w:left w:val="nil"/>
              <w:bottom w:val="nil"/>
              <w:right w:val="nil"/>
            </w:tcBorders>
            <w:tcMar>
              <w:top w:w="0" w:type="dxa"/>
              <w:left w:w="15" w:type="dxa"/>
              <w:bottom w:w="0" w:type="dxa"/>
              <w:right w:w="15" w:type="dxa"/>
            </w:tcMar>
            <w:hideMark/>
          </w:tcPr>
          <w:p w:rsidR="00000000" w:rsidRDefault="00865332">
            <w:pPr>
              <w:rPr>
                <w:sz w:val="18"/>
                <w:szCs w:val="18"/>
              </w:rPr>
            </w:pPr>
          </w:p>
        </w:tc>
        <w:tc>
          <w:tcPr>
            <w:tcW w:w="148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692025109"/>
          <w:trHeight w:val="245"/>
        </w:trPr>
        <w:tc>
          <w:tcPr>
            <w:tcW w:w="2045" w:type="pct"/>
            <w:gridSpan w:val="11"/>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SCHEDULE III - REAL ESTAT</w:t>
            </w:r>
            <w:r>
              <w:rPr>
                <w:color w:val="000000"/>
                <w:sz w:val="18"/>
                <w:szCs w:val="18"/>
              </w:rPr>
              <w:t>E</w:t>
            </w:r>
          </w:p>
        </w:tc>
        <w:tc>
          <w:tcPr>
            <w:tcW w:w="1475" w:type="pct"/>
            <w:tcBorders>
              <w:top w:val="nil"/>
              <w:left w:val="nil"/>
              <w:bottom w:val="nil"/>
              <w:right w:val="nil"/>
            </w:tcBorders>
            <w:tcMar>
              <w:top w:w="0" w:type="dxa"/>
              <w:left w:w="15" w:type="dxa"/>
              <w:bottom w:w="0" w:type="dxa"/>
              <w:right w:w="15" w:type="dxa"/>
            </w:tcMar>
            <w:hideMark/>
          </w:tcPr>
          <w:p w:rsidR="00000000" w:rsidRDefault="00865332">
            <w:pPr>
              <w:rPr>
                <w:sz w:val="18"/>
                <w:szCs w:val="18"/>
              </w:rPr>
            </w:pPr>
          </w:p>
        </w:tc>
        <w:tc>
          <w:tcPr>
            <w:tcW w:w="148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692025109"/>
          <w:trHeight w:val="245"/>
        </w:trPr>
        <w:tc>
          <w:tcPr>
            <w:tcW w:w="2045" w:type="pct"/>
            <w:gridSpan w:val="11"/>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AND ACCUMULATED DEPRECIATIO</w:t>
            </w:r>
            <w:r>
              <w:rPr>
                <w:color w:val="000000"/>
                <w:sz w:val="18"/>
                <w:szCs w:val="18"/>
              </w:rPr>
              <w:t>N</w:t>
            </w:r>
          </w:p>
        </w:tc>
        <w:tc>
          <w:tcPr>
            <w:tcW w:w="1475" w:type="pct"/>
            <w:tcBorders>
              <w:top w:val="nil"/>
              <w:left w:val="nil"/>
              <w:bottom w:val="nil"/>
              <w:right w:val="nil"/>
            </w:tcBorders>
            <w:tcMar>
              <w:top w:w="0" w:type="dxa"/>
              <w:left w:w="15" w:type="dxa"/>
              <w:bottom w:w="0" w:type="dxa"/>
              <w:right w:w="15" w:type="dxa"/>
            </w:tcMar>
            <w:hideMark/>
          </w:tcPr>
          <w:p w:rsidR="00000000" w:rsidRDefault="00865332">
            <w:pPr>
              <w:rPr>
                <w:sz w:val="18"/>
                <w:szCs w:val="18"/>
              </w:rPr>
            </w:pPr>
          </w:p>
        </w:tc>
        <w:tc>
          <w:tcPr>
            <w:tcW w:w="148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692025109"/>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2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692025109"/>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2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692025109"/>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18"/>
                <w:szCs w:val="18"/>
              </w:rPr>
            </w:pPr>
            <w:r>
              <w:rPr>
                <w:color w:val="000000"/>
                <w:sz w:val="18"/>
                <w:szCs w:val="18"/>
              </w:rPr>
              <w:t>Ne</w:t>
            </w:r>
            <w:r>
              <w:rPr>
                <w:color w:val="000000"/>
                <w:sz w:val="18"/>
                <w:szCs w:val="18"/>
              </w:rPr>
              <w:t>t</w:t>
            </w: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201</w:t>
            </w:r>
            <w:r>
              <w:rPr>
                <w:color w:val="000000"/>
                <w:sz w:val="18"/>
                <w:szCs w:val="18"/>
              </w:rPr>
              <w:t>9</w:t>
            </w:r>
          </w:p>
        </w:tc>
        <w:tc>
          <w:tcPr>
            <w:tcW w:w="355" w:type="pct"/>
            <w:gridSpan w:val="2"/>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Initial Cos</w:t>
            </w:r>
            <w:r>
              <w:rPr>
                <w:color w:val="000000"/>
                <w:sz w:val="18"/>
                <w:szCs w:val="18"/>
              </w:rPr>
              <w:t>t</w:t>
            </w: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Cost</w:t>
            </w:r>
            <w:r>
              <w:rPr>
                <w:color w:val="000000"/>
                <w:sz w:val="18"/>
                <w:szCs w:val="18"/>
              </w:rPr>
              <w:t>s</w:t>
            </w:r>
          </w:p>
        </w:tc>
        <w:tc>
          <w:tcPr>
            <w:tcW w:w="555" w:type="pct"/>
            <w:gridSpan w:val="3"/>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Gross Carrying Amoun</w:t>
            </w:r>
            <w:r>
              <w:rPr>
                <w:color w:val="000000"/>
                <w:sz w:val="18"/>
                <w:szCs w:val="18"/>
              </w:rPr>
              <w:t>t</w:t>
            </w: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sz w:val="18"/>
                <w:szCs w:val="18"/>
              </w:rPr>
            </w:pP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692025109"/>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No. o</w:t>
            </w:r>
            <w:r>
              <w:rPr>
                <w:color w:val="000000"/>
                <w:sz w:val="18"/>
                <w:szCs w:val="18"/>
              </w:rPr>
              <w:t>f</w:t>
            </w:r>
          </w:p>
        </w:tc>
        <w:tc>
          <w:tcPr>
            <w:tcW w:w="13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18"/>
                <w:szCs w:val="18"/>
              </w:rPr>
            </w:pPr>
            <w:r>
              <w:rPr>
                <w:color w:val="000000"/>
                <w:sz w:val="18"/>
                <w:szCs w:val="18"/>
              </w:rPr>
              <w:t>Rentabl</w:t>
            </w:r>
            <w:r>
              <w:rPr>
                <w:color w:val="000000"/>
                <w:sz w:val="18"/>
                <w:szCs w:val="18"/>
              </w:rPr>
              <w:t>e</w:t>
            </w: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Encum</w:t>
            </w:r>
            <w:r>
              <w:rPr>
                <w:color w:val="000000"/>
                <w:sz w:val="18"/>
                <w:szCs w:val="18"/>
              </w:rPr>
              <w:t>-</w:t>
            </w:r>
          </w:p>
        </w:tc>
        <w:tc>
          <w:tcPr>
            <w:tcW w:w="170" w:type="pct"/>
            <w:tcBorders>
              <w:top w:val="single" w:sz="8" w:space="0" w:color="000000"/>
              <w:left w:val="nil"/>
              <w:bottom w:val="nil"/>
              <w:right w:val="nil"/>
            </w:tcBorders>
            <w:tcMar>
              <w:top w:w="0" w:type="dxa"/>
              <w:left w:w="0" w:type="dxa"/>
              <w:bottom w:w="0" w:type="dxa"/>
              <w:right w:w="0" w:type="dxa"/>
            </w:tcMar>
            <w:vAlign w:val="bottom"/>
            <w:hideMark/>
          </w:tcPr>
          <w:p w:rsidR="00000000" w:rsidRDefault="00865332">
            <w:pPr>
              <w:rPr>
                <w:sz w:val="18"/>
                <w:szCs w:val="18"/>
              </w:rPr>
            </w:pPr>
          </w:p>
        </w:tc>
        <w:tc>
          <w:tcPr>
            <w:tcW w:w="185" w:type="pct"/>
            <w:tcBorders>
              <w:top w:val="single" w:sz="8" w:space="0" w:color="000000"/>
              <w:left w:val="nil"/>
              <w:bottom w:val="nil"/>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 xml:space="preserve">Buildings </w:t>
            </w:r>
            <w:r>
              <w:rPr>
                <w:color w:val="000000"/>
                <w:sz w:val="18"/>
                <w:szCs w:val="18"/>
              </w:rPr>
              <w:t>&amp;</w:t>
            </w: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Subsequent</w:t>
            </w:r>
            <w:r>
              <w:rPr>
                <w:color w:val="000000"/>
                <w:sz w:val="18"/>
                <w:szCs w:val="18"/>
              </w:rPr>
              <w:t xml:space="preserve"> </w:t>
            </w:r>
          </w:p>
        </w:tc>
        <w:tc>
          <w:tcPr>
            <w:tcW w:w="555" w:type="pct"/>
            <w:gridSpan w:val="3"/>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At December 31, 201</w:t>
            </w:r>
            <w:r>
              <w:rPr>
                <w:color w:val="000000"/>
                <w:sz w:val="18"/>
                <w:szCs w:val="18"/>
              </w:rPr>
              <w:t>9</w:t>
            </w: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Accumulate</w:t>
            </w:r>
            <w:r>
              <w:rPr>
                <w:color w:val="000000"/>
                <w:sz w:val="18"/>
                <w:szCs w:val="18"/>
              </w:rPr>
              <w:t>d</w:t>
            </w: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692025109"/>
          <w:trHeight w:val="245"/>
        </w:trPr>
        <w:tc>
          <w:tcPr>
            <w:tcW w:w="41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Descriptio</w:t>
            </w:r>
            <w:r>
              <w:rPr>
                <w:color w:val="000000"/>
                <w:sz w:val="18"/>
                <w:szCs w:val="18"/>
              </w:rPr>
              <w:t>n</w:t>
            </w:r>
          </w:p>
        </w:tc>
        <w:tc>
          <w:tcPr>
            <w:tcW w:w="12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Facilitie</w:t>
            </w:r>
            <w:r>
              <w:rPr>
                <w:color w:val="000000"/>
                <w:sz w:val="18"/>
                <w:szCs w:val="18"/>
              </w:rPr>
              <w:t>s</w:t>
            </w:r>
          </w:p>
        </w:tc>
        <w:tc>
          <w:tcPr>
            <w:tcW w:w="130" w:type="pct"/>
            <w:tcBorders>
              <w:top w:val="nil"/>
              <w:left w:val="nil"/>
              <w:bottom w:val="single" w:sz="8" w:space="0" w:color="000000"/>
              <w:right w:val="nil"/>
            </w:tcBorders>
            <w:tcMar>
              <w:top w:w="0" w:type="dxa"/>
              <w:left w:w="0" w:type="dxa"/>
              <w:bottom w:w="0" w:type="dxa"/>
              <w:right w:w="0" w:type="dxa"/>
            </w:tcMar>
            <w:hideMark/>
          </w:tcPr>
          <w:p w:rsidR="00000000" w:rsidRDefault="00865332">
            <w:pPr>
              <w:pStyle w:val="a3"/>
              <w:spacing w:before="0" w:beforeAutospacing="0" w:after="0" w:afterAutospacing="0" w:line="276" w:lineRule="auto"/>
              <w:jc w:val="center"/>
              <w:rPr>
                <w:sz w:val="18"/>
                <w:szCs w:val="18"/>
              </w:rPr>
            </w:pPr>
            <w:r>
              <w:rPr>
                <w:color w:val="000000"/>
                <w:sz w:val="18"/>
                <w:szCs w:val="18"/>
              </w:rPr>
              <w:t>Sq. Fee</w:t>
            </w:r>
            <w:r>
              <w:rPr>
                <w:color w:val="000000"/>
                <w:sz w:val="18"/>
                <w:szCs w:val="18"/>
              </w:rPr>
              <w:t>t</w:t>
            </w:r>
          </w:p>
        </w:tc>
        <w:tc>
          <w:tcPr>
            <w:tcW w:w="11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brance</w:t>
            </w:r>
            <w:r>
              <w:rPr>
                <w:color w:val="000000"/>
                <w:sz w:val="18"/>
                <w:szCs w:val="18"/>
              </w:rPr>
              <w:t>s</w:t>
            </w:r>
          </w:p>
        </w:tc>
        <w:tc>
          <w:tcPr>
            <w:tcW w:w="170"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Lan</w:t>
            </w:r>
            <w:r>
              <w:rPr>
                <w:color w:val="000000"/>
                <w:sz w:val="18"/>
                <w:szCs w:val="18"/>
              </w:rPr>
              <w:t>d</w:t>
            </w:r>
          </w:p>
        </w:tc>
        <w:tc>
          <w:tcPr>
            <w:tcW w:w="18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Improvement</w:t>
            </w:r>
            <w:r>
              <w:rPr>
                <w:color w:val="000000"/>
                <w:sz w:val="18"/>
                <w:szCs w:val="18"/>
              </w:rPr>
              <w:t>s</w:t>
            </w:r>
          </w:p>
        </w:tc>
        <w:tc>
          <w:tcPr>
            <w:tcW w:w="18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to Acquisitio</w:t>
            </w:r>
            <w:r>
              <w:rPr>
                <w:color w:val="000000"/>
                <w:sz w:val="18"/>
                <w:szCs w:val="18"/>
              </w:rPr>
              <w:t>n</w:t>
            </w:r>
          </w:p>
        </w:tc>
        <w:tc>
          <w:tcPr>
            <w:tcW w:w="155" w:type="pct"/>
            <w:tcBorders>
              <w:top w:val="single" w:sz="8" w:space="0" w:color="000000"/>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Lan</w:t>
            </w:r>
            <w:r>
              <w:rPr>
                <w:color w:val="000000"/>
                <w:sz w:val="18"/>
                <w:szCs w:val="18"/>
              </w:rPr>
              <w:t>d</w:t>
            </w:r>
          </w:p>
        </w:tc>
        <w:tc>
          <w:tcPr>
            <w:tcW w:w="215" w:type="pct"/>
            <w:tcBorders>
              <w:top w:val="single" w:sz="8" w:space="0" w:color="000000"/>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Building</w:t>
            </w:r>
            <w:r>
              <w:rPr>
                <w:color w:val="000000"/>
                <w:sz w:val="18"/>
                <w:szCs w:val="18"/>
              </w:rPr>
              <w:t>s</w:t>
            </w:r>
          </w:p>
        </w:tc>
        <w:tc>
          <w:tcPr>
            <w:tcW w:w="185" w:type="pct"/>
            <w:tcBorders>
              <w:top w:val="single" w:sz="8" w:space="0" w:color="000000"/>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Tota</w:t>
            </w:r>
            <w:r>
              <w:rPr>
                <w:color w:val="000000"/>
                <w:sz w:val="18"/>
                <w:szCs w:val="18"/>
              </w:rPr>
              <w:t>l</w:t>
            </w:r>
          </w:p>
        </w:tc>
        <w:tc>
          <w:tcPr>
            <w:tcW w:w="170"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Depreciatio</w:t>
            </w:r>
            <w:r>
              <w:rPr>
                <w:color w:val="000000"/>
                <w:sz w:val="18"/>
                <w:szCs w:val="18"/>
              </w:rPr>
              <w:t>n</w:t>
            </w: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677"/>
        <w:gridCol w:w="506"/>
        <w:gridCol w:w="548"/>
        <w:gridCol w:w="514"/>
        <w:gridCol w:w="681"/>
        <w:gridCol w:w="739"/>
        <w:gridCol w:w="697"/>
        <w:gridCol w:w="681"/>
        <w:gridCol w:w="805"/>
        <w:gridCol w:w="747"/>
        <w:gridCol w:w="706"/>
      </w:tblGrid>
      <w:tr w:rsidR="00000000">
        <w:trPr>
          <w:trHeight w:val="14"/>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rPr>
            </w:pP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Self-storage facilities by market</w:t>
            </w:r>
            <w:r>
              <w:rPr>
                <w:color w:val="000000"/>
                <w:sz w:val="18"/>
                <w:szCs w:val="18"/>
              </w:rPr>
              <w:t>:</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Los Angele</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16,16</w:t>
            </w:r>
            <w:r>
              <w:rPr>
                <w:color w:val="000000"/>
                <w:sz w:val="18"/>
                <w:szCs w:val="18"/>
              </w:rPr>
              <w:t>8</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49</w:t>
            </w:r>
            <w:r>
              <w:rPr>
                <w:color w:val="000000"/>
                <w:sz w:val="18"/>
                <w:szCs w:val="18"/>
              </w:rPr>
              <w:t>8</w:t>
            </w:r>
            <w:r>
              <w:rPr>
                <w:color w:val="000000"/>
                <w:sz w:val="18"/>
                <w:szCs w:val="18"/>
              </w:rPr>
              <w:t> </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510,24</w:t>
            </w:r>
            <w:r>
              <w:rPr>
                <w:color w:val="000000"/>
                <w:sz w:val="18"/>
                <w:szCs w:val="18"/>
              </w:rPr>
              <w:t>9</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924,34</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336,65</w:t>
            </w:r>
            <w:r>
              <w:rPr>
                <w:color w:val="000000"/>
                <w:sz w:val="18"/>
                <w:szCs w:val="18"/>
              </w:rPr>
              <w:t>3</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507,86</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1,263,38</w:t>
            </w:r>
            <w:r>
              <w:rPr>
                <w:color w:val="000000"/>
                <w:sz w:val="18"/>
                <w:szCs w:val="18"/>
              </w:rPr>
              <w:t>5</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1,771,24</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737,20</w:t>
            </w:r>
            <w:r>
              <w:rPr>
                <w:color w:val="000000"/>
                <w:sz w:val="18"/>
                <w:szCs w:val="18"/>
              </w:rPr>
              <w:t>8</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Housto</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w:t>
            </w: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10,42</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186,32</w:t>
            </w:r>
            <w:r>
              <w:rPr>
                <w:color w:val="000000"/>
                <w:sz w:val="18"/>
                <w:szCs w:val="18"/>
              </w:rPr>
              <w:t>0</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467,08</w:t>
            </w:r>
            <w:r>
              <w:rPr>
                <w:color w:val="000000"/>
                <w:sz w:val="18"/>
                <w:szCs w:val="18"/>
              </w:rPr>
              <w:t>4</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216,91</w:t>
            </w:r>
            <w:r>
              <w:rPr>
                <w:color w:val="000000"/>
                <w:sz w:val="18"/>
                <w:szCs w:val="18"/>
              </w:rPr>
              <w:t>5</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185,78</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684,53</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870,31</w:t>
            </w:r>
            <w:r>
              <w:rPr>
                <w:color w:val="000000"/>
                <w:sz w:val="18"/>
                <w:szCs w:val="18"/>
              </w:rPr>
              <w:t>9</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287,54</w:t>
            </w:r>
            <w:r>
              <w:rPr>
                <w:color w:val="000000"/>
                <w:sz w:val="18"/>
                <w:szCs w:val="18"/>
              </w:rPr>
              <w:t>2</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San Francisc</w:t>
            </w:r>
            <w:r>
              <w:rPr>
                <w:color w:val="000000"/>
                <w:sz w:val="18"/>
                <w:szCs w:val="18"/>
              </w:rPr>
              <w:t>o</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w:t>
            </w:r>
            <w:r>
              <w:rPr>
                <w:color w:val="000000"/>
                <w:sz w:val="18"/>
                <w:szCs w:val="18"/>
              </w:rPr>
              <w:t>8</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8,98</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241,79</w:t>
            </w:r>
            <w:r>
              <w:rPr>
                <w:color w:val="000000"/>
                <w:sz w:val="18"/>
                <w:szCs w:val="18"/>
              </w:rPr>
              <w:t>1</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527,12</w:t>
            </w:r>
            <w:r>
              <w:rPr>
                <w:color w:val="000000"/>
                <w:sz w:val="18"/>
                <w:szCs w:val="18"/>
              </w:rPr>
              <w:t>7</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211,25</w:t>
            </w:r>
            <w:r>
              <w:rPr>
                <w:color w:val="000000"/>
                <w:sz w:val="18"/>
                <w:szCs w:val="18"/>
              </w:rPr>
              <w:t>1</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254,54</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725,62</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980,16</w:t>
            </w:r>
            <w:r>
              <w:rPr>
                <w:color w:val="000000"/>
                <w:sz w:val="18"/>
                <w:szCs w:val="18"/>
              </w:rPr>
              <w:t>9</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456,54</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Dallas/Ft. Wort</w:t>
            </w:r>
            <w:r>
              <w:rPr>
                <w:color w:val="000000"/>
                <w:sz w:val="18"/>
                <w:szCs w:val="18"/>
              </w:rPr>
              <w:t>h</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8,99</w:t>
            </w:r>
            <w:r>
              <w:rPr>
                <w:color w:val="000000"/>
                <w:sz w:val="18"/>
                <w:szCs w:val="18"/>
              </w:rPr>
              <w:t>1</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176,96</w:t>
            </w:r>
            <w:r>
              <w:rPr>
                <w:color w:val="000000"/>
                <w:sz w:val="18"/>
                <w:szCs w:val="18"/>
              </w:rPr>
              <w:t>2</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437,88</w:t>
            </w:r>
            <w:r>
              <w:rPr>
                <w:color w:val="000000"/>
                <w:sz w:val="18"/>
                <w:szCs w:val="18"/>
              </w:rPr>
              <w:t>4</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129,90</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178,56</w:t>
            </w:r>
            <w:r>
              <w:rPr>
                <w:color w:val="000000"/>
                <w:sz w:val="18"/>
                <w:szCs w:val="18"/>
              </w:rPr>
              <w:t>2</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566,18</w:t>
            </w:r>
            <w:r>
              <w:rPr>
                <w:color w:val="000000"/>
                <w:sz w:val="18"/>
                <w:szCs w:val="18"/>
              </w:rPr>
              <w:t>4</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744,74</w:t>
            </w:r>
            <w:r>
              <w:rPr>
                <w:color w:val="000000"/>
                <w:sz w:val="18"/>
                <w:szCs w:val="18"/>
              </w:rPr>
              <w:t>6</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281,71</w:t>
            </w:r>
            <w:r>
              <w:rPr>
                <w:color w:val="000000"/>
                <w:sz w:val="18"/>
                <w:szCs w:val="18"/>
              </w:rPr>
              <w:t>7</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Chicag</w:t>
            </w:r>
            <w:r>
              <w:rPr>
                <w:color w:val="000000"/>
                <w:sz w:val="18"/>
                <w:szCs w:val="18"/>
              </w:rPr>
              <w:t>o</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w:t>
            </w:r>
            <w:r>
              <w:rPr>
                <w:color w:val="000000"/>
                <w:sz w:val="18"/>
                <w:szCs w:val="18"/>
              </w:rPr>
              <w:t>0</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8,17</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137,16</w:t>
            </w:r>
            <w:r>
              <w:rPr>
                <w:color w:val="000000"/>
                <w:sz w:val="18"/>
                <w:szCs w:val="18"/>
              </w:rPr>
              <w:t>5</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352,59</w:t>
            </w:r>
            <w:r>
              <w:rPr>
                <w:color w:val="000000"/>
                <w:sz w:val="18"/>
                <w:szCs w:val="18"/>
              </w:rPr>
              <w:t>5</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128,16</w:t>
            </w:r>
            <w:r>
              <w:rPr>
                <w:color w:val="000000"/>
                <w:sz w:val="18"/>
                <w:szCs w:val="18"/>
              </w:rPr>
              <w:t>5</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140,00</w:t>
            </w:r>
            <w:r>
              <w:rPr>
                <w:color w:val="000000"/>
                <w:sz w:val="18"/>
                <w:szCs w:val="18"/>
              </w:rPr>
              <w:t>2</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477,92</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617,92</w:t>
            </w:r>
            <w:r>
              <w:rPr>
                <w:color w:val="000000"/>
                <w:sz w:val="18"/>
                <w:szCs w:val="18"/>
              </w:rPr>
              <w:t>5</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361,66</w:t>
            </w:r>
            <w:r>
              <w:rPr>
                <w:color w:val="000000"/>
                <w:sz w:val="18"/>
                <w:szCs w:val="18"/>
              </w:rPr>
              <w:t>2</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New Yor</w:t>
            </w:r>
            <w:r>
              <w:rPr>
                <w:color w:val="000000"/>
                <w:sz w:val="18"/>
                <w:szCs w:val="18"/>
              </w:rPr>
              <w:t>k</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6,93</w:t>
            </w:r>
            <w:r>
              <w:rPr>
                <w:color w:val="000000"/>
                <w:sz w:val="18"/>
                <w:szCs w:val="18"/>
              </w:rPr>
              <w:t>9</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250,90</w:t>
            </w:r>
            <w:r>
              <w:rPr>
                <w:color w:val="000000"/>
                <w:sz w:val="18"/>
                <w:szCs w:val="18"/>
              </w:rPr>
              <w:t>0</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548,54</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190,53</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257,23</w:t>
            </w:r>
            <w:r>
              <w:rPr>
                <w:color w:val="000000"/>
                <w:sz w:val="18"/>
                <w:szCs w:val="18"/>
              </w:rPr>
              <w:t>7</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732,74</w:t>
            </w:r>
            <w:r>
              <w:rPr>
                <w:color w:val="000000"/>
                <w:sz w:val="18"/>
                <w:szCs w:val="18"/>
              </w:rPr>
              <w:t>0</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989,97</w:t>
            </w:r>
            <w:r>
              <w:rPr>
                <w:color w:val="000000"/>
                <w:sz w:val="18"/>
                <w:szCs w:val="18"/>
              </w:rPr>
              <w:t>7</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418,57</w:t>
            </w:r>
            <w:r>
              <w:rPr>
                <w:color w:val="000000"/>
                <w:sz w:val="18"/>
                <w:szCs w:val="18"/>
              </w:rPr>
              <w:t>0</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Atlant</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6,98</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1,77</w:t>
            </w:r>
            <w:r>
              <w:rPr>
                <w:color w:val="000000"/>
                <w:sz w:val="18"/>
                <w:szCs w:val="18"/>
              </w:rPr>
              <w:t>1</w:t>
            </w:r>
            <w:r>
              <w:rPr>
                <w:color w:val="000000"/>
                <w:sz w:val="18"/>
                <w:szCs w:val="18"/>
              </w:rPr>
              <w:t> </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132,63</w:t>
            </w:r>
            <w:r>
              <w:rPr>
                <w:color w:val="000000"/>
                <w:sz w:val="18"/>
                <w:szCs w:val="18"/>
              </w:rPr>
              <w:t>1</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345,58</w:t>
            </w:r>
            <w:r>
              <w:rPr>
                <w:color w:val="000000"/>
                <w:sz w:val="18"/>
                <w:szCs w:val="18"/>
              </w:rPr>
              <w:t>7</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86,37</w:t>
            </w:r>
            <w:r>
              <w:rPr>
                <w:color w:val="000000"/>
                <w:sz w:val="18"/>
                <w:szCs w:val="18"/>
              </w:rPr>
              <w:t>9</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132,99</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431,60</w:t>
            </w:r>
            <w:r>
              <w:rPr>
                <w:color w:val="000000"/>
                <w:sz w:val="18"/>
                <w:szCs w:val="18"/>
              </w:rPr>
              <w:t>4</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564,59</w:t>
            </w:r>
            <w:r>
              <w:rPr>
                <w:color w:val="000000"/>
                <w:sz w:val="18"/>
                <w:szCs w:val="18"/>
              </w:rPr>
              <w:t>7</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261,13</w:t>
            </w:r>
            <w:r>
              <w:rPr>
                <w:color w:val="000000"/>
                <w:sz w:val="18"/>
                <w:szCs w:val="18"/>
              </w:rPr>
              <w:t>8</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Seattle/Tacom</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6,79</w:t>
            </w:r>
            <w:r>
              <w:rPr>
                <w:color w:val="000000"/>
                <w:sz w:val="18"/>
                <w:szCs w:val="18"/>
              </w:rPr>
              <w:t>4</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198,06</w:t>
            </w:r>
            <w:r>
              <w:rPr>
                <w:color w:val="000000"/>
                <w:sz w:val="18"/>
                <w:szCs w:val="18"/>
              </w:rPr>
              <w:t>3</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531,74</w:t>
            </w:r>
            <w:r>
              <w:rPr>
                <w:color w:val="000000"/>
                <w:sz w:val="18"/>
                <w:szCs w:val="18"/>
              </w:rPr>
              <w:t>2</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104,11</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198,71</w:t>
            </w:r>
            <w:r>
              <w:rPr>
                <w:color w:val="000000"/>
                <w:sz w:val="18"/>
                <w:szCs w:val="18"/>
              </w:rPr>
              <w:t>0</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635,21</w:t>
            </w:r>
            <w:r>
              <w:rPr>
                <w:color w:val="000000"/>
                <w:sz w:val="18"/>
                <w:szCs w:val="18"/>
              </w:rPr>
              <w:t>1</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833,92</w:t>
            </w:r>
            <w:r>
              <w:rPr>
                <w:color w:val="000000"/>
                <w:sz w:val="18"/>
                <w:szCs w:val="18"/>
              </w:rPr>
              <w:t>1</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324,18</w:t>
            </w:r>
            <w:r>
              <w:rPr>
                <w:color w:val="000000"/>
                <w:sz w:val="18"/>
                <w:szCs w:val="18"/>
              </w:rPr>
              <w:t>1</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Miam</w:t>
            </w:r>
            <w:r>
              <w:rPr>
                <w:color w:val="000000"/>
                <w:sz w:val="18"/>
                <w:szCs w:val="18"/>
              </w:rPr>
              <w:t>i</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6,72</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239,29</w:t>
            </w:r>
            <w:r>
              <w:rPr>
                <w:color w:val="000000"/>
                <w:sz w:val="18"/>
                <w:szCs w:val="18"/>
              </w:rPr>
              <w:t>1</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497,38</w:t>
            </w:r>
            <w:r>
              <w:rPr>
                <w:color w:val="000000"/>
                <w:sz w:val="18"/>
                <w:szCs w:val="18"/>
              </w:rPr>
              <w:t>0</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105,51</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241,18</w:t>
            </w:r>
            <w:r>
              <w:rPr>
                <w:color w:val="000000"/>
                <w:sz w:val="18"/>
                <w:szCs w:val="18"/>
              </w:rPr>
              <w:t>4</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600,99</w:t>
            </w:r>
            <w:r>
              <w:rPr>
                <w:color w:val="000000"/>
                <w:sz w:val="18"/>
                <w:szCs w:val="18"/>
              </w:rPr>
              <w:t>7</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842,18</w:t>
            </w:r>
            <w:r>
              <w:rPr>
                <w:color w:val="000000"/>
                <w:sz w:val="18"/>
                <w:szCs w:val="18"/>
              </w:rPr>
              <w:t>1</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307,96</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Washington D</w:t>
            </w:r>
            <w:r>
              <w:rPr>
                <w:color w:val="000000"/>
                <w:sz w:val="18"/>
                <w:szCs w:val="18"/>
              </w:rPr>
              <w:t>C</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1</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5,64</w:t>
            </w:r>
            <w:r>
              <w:rPr>
                <w:color w:val="000000"/>
                <w:sz w:val="18"/>
                <w:szCs w:val="18"/>
              </w:rPr>
              <w:t>8</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233,90</w:t>
            </w:r>
            <w:r>
              <w:rPr>
                <w:color w:val="000000"/>
                <w:sz w:val="18"/>
                <w:szCs w:val="18"/>
              </w:rPr>
              <w:t>5</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406,76</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116,97</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239,05</w:t>
            </w:r>
            <w:r>
              <w:rPr>
                <w:color w:val="000000"/>
                <w:sz w:val="18"/>
                <w:szCs w:val="18"/>
              </w:rPr>
              <w:t>9</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518,58</w:t>
            </w:r>
            <w:r>
              <w:rPr>
                <w:color w:val="000000"/>
                <w:sz w:val="18"/>
                <w:szCs w:val="18"/>
              </w:rPr>
              <w:t>9</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757,64</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306,49</w:t>
            </w:r>
            <w:r>
              <w:rPr>
                <w:color w:val="000000"/>
                <w:sz w:val="18"/>
                <w:szCs w:val="18"/>
              </w:rPr>
              <w:t>7</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Orlando/Dayton</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w:t>
            </w: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4,55</w:t>
            </w:r>
            <w:r>
              <w:rPr>
                <w:color w:val="000000"/>
                <w:sz w:val="18"/>
                <w:szCs w:val="18"/>
              </w:rPr>
              <w:t>0</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11,88</w:t>
            </w:r>
            <w:r>
              <w:rPr>
                <w:color w:val="000000"/>
                <w:sz w:val="18"/>
                <w:szCs w:val="18"/>
              </w:rPr>
              <w:t>6</w:t>
            </w:r>
            <w:r>
              <w:rPr>
                <w:color w:val="000000"/>
                <w:sz w:val="18"/>
                <w:szCs w:val="18"/>
              </w:rPr>
              <w:t> </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140,41</w:t>
            </w:r>
            <w:r>
              <w:rPr>
                <w:color w:val="000000"/>
                <w:sz w:val="18"/>
                <w:szCs w:val="18"/>
              </w:rPr>
              <w:t>1</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253,37</w:t>
            </w:r>
            <w:r>
              <w:rPr>
                <w:color w:val="000000"/>
                <w:sz w:val="18"/>
                <w:szCs w:val="18"/>
              </w:rPr>
              <w:t>5</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57,73</w:t>
            </w:r>
            <w:r>
              <w:rPr>
                <w:color w:val="000000"/>
                <w:sz w:val="18"/>
                <w:szCs w:val="18"/>
              </w:rPr>
              <w:t>1</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145,89</w:t>
            </w:r>
            <w:r>
              <w:rPr>
                <w:color w:val="000000"/>
                <w:sz w:val="18"/>
                <w:szCs w:val="18"/>
              </w:rPr>
              <w:t>2</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305,62</w:t>
            </w:r>
            <w:r>
              <w:rPr>
                <w:color w:val="000000"/>
                <w:sz w:val="18"/>
                <w:szCs w:val="18"/>
              </w:rPr>
              <w:t>5</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451,51</w:t>
            </w:r>
            <w:r>
              <w:rPr>
                <w:color w:val="000000"/>
                <w:sz w:val="18"/>
                <w:szCs w:val="18"/>
              </w:rPr>
              <w:t>7</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154,12</w:t>
            </w:r>
            <w:r>
              <w:rPr>
                <w:color w:val="000000"/>
                <w:sz w:val="18"/>
                <w:szCs w:val="18"/>
              </w:rPr>
              <w:t>8</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Denve</w:t>
            </w:r>
            <w:r>
              <w:rPr>
                <w:color w:val="000000"/>
                <w:sz w:val="18"/>
                <w:szCs w:val="18"/>
              </w:rPr>
              <w:t>r</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w:t>
            </w:r>
            <w:r>
              <w:rPr>
                <w:color w:val="000000"/>
                <w:sz w:val="18"/>
                <w:szCs w:val="18"/>
              </w:rPr>
              <w:t>1</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4,53</w:t>
            </w:r>
            <w:r>
              <w:rPr>
                <w:color w:val="000000"/>
                <w:sz w:val="18"/>
                <w:szCs w:val="18"/>
              </w:rPr>
              <w:t>1</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9,29</w:t>
            </w:r>
            <w:r>
              <w:rPr>
                <w:color w:val="000000"/>
                <w:sz w:val="18"/>
                <w:szCs w:val="18"/>
              </w:rPr>
              <w:t>9</w:t>
            </w:r>
            <w:r>
              <w:rPr>
                <w:color w:val="000000"/>
                <w:sz w:val="18"/>
                <w:szCs w:val="18"/>
              </w:rPr>
              <w:t> </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95,00</w:t>
            </w:r>
            <w:r>
              <w:rPr>
                <w:color w:val="000000"/>
                <w:sz w:val="18"/>
                <w:szCs w:val="18"/>
              </w:rPr>
              <w:t>9</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226,49</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92,83</w:t>
            </w:r>
            <w:r>
              <w:rPr>
                <w:color w:val="000000"/>
                <w:sz w:val="18"/>
                <w:szCs w:val="18"/>
              </w:rPr>
              <w:t>5</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95,73</w:t>
            </w:r>
            <w:r>
              <w:rPr>
                <w:color w:val="000000"/>
                <w:sz w:val="18"/>
                <w:szCs w:val="18"/>
              </w:rPr>
              <w:t>0</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318,61</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414,34</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143,58</w:t>
            </w:r>
            <w:r>
              <w:rPr>
                <w:color w:val="000000"/>
                <w:sz w:val="18"/>
                <w:szCs w:val="18"/>
              </w:rPr>
              <w:t>2</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Charlott</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6</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4,35</w:t>
            </w:r>
            <w:r>
              <w:rPr>
                <w:color w:val="000000"/>
                <w:sz w:val="18"/>
                <w:szCs w:val="18"/>
              </w:rPr>
              <w:t>4</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80,25</w:t>
            </w:r>
            <w:r>
              <w:rPr>
                <w:color w:val="000000"/>
                <w:sz w:val="18"/>
                <w:szCs w:val="18"/>
              </w:rPr>
              <w:t>3</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205,37</w:t>
            </w:r>
            <w:r>
              <w:rPr>
                <w:color w:val="000000"/>
                <w:sz w:val="18"/>
                <w:szCs w:val="18"/>
              </w:rPr>
              <w:t>0</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76,52</w:t>
            </w:r>
            <w:r>
              <w:rPr>
                <w:color w:val="000000"/>
                <w:sz w:val="18"/>
                <w:szCs w:val="18"/>
              </w:rPr>
              <w:t>8</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88,11</w:t>
            </w:r>
            <w:r>
              <w:rPr>
                <w:color w:val="000000"/>
                <w:sz w:val="18"/>
                <w:szCs w:val="18"/>
              </w:rPr>
              <w:t>6</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274,03</w:t>
            </w:r>
            <w:r>
              <w:rPr>
                <w:color w:val="000000"/>
                <w:sz w:val="18"/>
                <w:szCs w:val="18"/>
              </w:rPr>
              <w:t>5</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362,15</w:t>
            </w:r>
            <w:r>
              <w:rPr>
                <w:color w:val="000000"/>
                <w:sz w:val="18"/>
                <w:szCs w:val="18"/>
              </w:rPr>
              <w:t>1</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118,76</w:t>
            </w:r>
            <w:r>
              <w:rPr>
                <w:color w:val="000000"/>
                <w:sz w:val="18"/>
                <w:szCs w:val="18"/>
              </w:rPr>
              <w:t>2</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Minneapolis/St. Pau</w:t>
            </w:r>
            <w:r>
              <w:rPr>
                <w:color w:val="000000"/>
                <w:sz w:val="18"/>
                <w:szCs w:val="18"/>
              </w:rPr>
              <w:t>l</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4,23</w:t>
            </w:r>
            <w:r>
              <w:rPr>
                <w:color w:val="000000"/>
                <w:sz w:val="18"/>
                <w:szCs w:val="18"/>
              </w:rPr>
              <w:t>7</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2,90</w:t>
            </w:r>
            <w:r>
              <w:rPr>
                <w:color w:val="000000"/>
                <w:sz w:val="18"/>
                <w:szCs w:val="18"/>
              </w:rPr>
              <w:t>5</w:t>
            </w:r>
            <w:r>
              <w:rPr>
                <w:color w:val="000000"/>
                <w:sz w:val="18"/>
                <w:szCs w:val="18"/>
              </w:rPr>
              <w:t> </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111,50</w:t>
            </w:r>
            <w:r>
              <w:rPr>
                <w:color w:val="000000"/>
                <w:sz w:val="18"/>
                <w:szCs w:val="18"/>
              </w:rPr>
              <w:t>7</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233,25</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66,01</w:t>
            </w:r>
            <w:r>
              <w:rPr>
                <w:color w:val="000000"/>
                <w:sz w:val="18"/>
                <w:szCs w:val="18"/>
              </w:rPr>
              <w:t>7</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111,67</w:t>
            </w:r>
            <w:r>
              <w:rPr>
                <w:color w:val="000000"/>
                <w:sz w:val="18"/>
                <w:szCs w:val="18"/>
              </w:rPr>
              <w:t>2</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299,11</w:t>
            </w:r>
            <w:r>
              <w:rPr>
                <w:color w:val="000000"/>
                <w:sz w:val="18"/>
                <w:szCs w:val="18"/>
              </w:rPr>
              <w:t>1</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410,78</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117,37</w:t>
            </w:r>
            <w:r>
              <w:rPr>
                <w:color w:val="000000"/>
                <w:sz w:val="18"/>
                <w:szCs w:val="18"/>
              </w:rPr>
              <w:t>5</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Tamp</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3,68</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88,91</w:t>
            </w:r>
            <w:r>
              <w:rPr>
                <w:color w:val="000000"/>
                <w:sz w:val="18"/>
                <w:szCs w:val="18"/>
              </w:rPr>
              <w:t>9</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181,40</w:t>
            </w:r>
            <w:r>
              <w:rPr>
                <w:color w:val="000000"/>
                <w:sz w:val="18"/>
                <w:szCs w:val="18"/>
              </w:rPr>
              <w:t>2</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47,99</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91,68</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226,63</w:t>
            </w:r>
            <w:r>
              <w:rPr>
                <w:color w:val="000000"/>
                <w:sz w:val="18"/>
                <w:szCs w:val="18"/>
              </w:rPr>
              <w:t>4</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318,31</w:t>
            </w:r>
            <w:r>
              <w:rPr>
                <w:color w:val="000000"/>
                <w:sz w:val="18"/>
                <w:szCs w:val="18"/>
              </w:rPr>
              <w:t>5</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122,70</w:t>
            </w:r>
            <w:r>
              <w:rPr>
                <w:color w:val="000000"/>
                <w:sz w:val="18"/>
                <w:szCs w:val="18"/>
              </w:rPr>
              <w:t>3</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Philadelphi</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6</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3,54</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51,68</w:t>
            </w:r>
            <w:r>
              <w:rPr>
                <w:color w:val="000000"/>
                <w:sz w:val="18"/>
                <w:szCs w:val="18"/>
              </w:rPr>
              <w:t>2</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152,40</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56,99</w:t>
            </w:r>
            <w:r>
              <w:rPr>
                <w:color w:val="000000"/>
                <w:sz w:val="18"/>
                <w:szCs w:val="18"/>
              </w:rPr>
              <w:t>1</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50,70</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210,37</w:t>
            </w:r>
            <w:r>
              <w:rPr>
                <w:color w:val="000000"/>
                <w:sz w:val="18"/>
                <w:szCs w:val="18"/>
              </w:rPr>
              <w:t>6</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261,07</w:t>
            </w:r>
            <w:r>
              <w:rPr>
                <w:color w:val="000000"/>
                <w:sz w:val="18"/>
                <w:szCs w:val="18"/>
              </w:rPr>
              <w:t>9</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160,00</w:t>
            </w:r>
            <w:r>
              <w:rPr>
                <w:color w:val="000000"/>
                <w:sz w:val="18"/>
                <w:szCs w:val="18"/>
              </w:rPr>
              <w:t>0</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West Palm Beac</w:t>
            </w:r>
            <w:r>
              <w:rPr>
                <w:color w:val="000000"/>
                <w:sz w:val="18"/>
                <w:szCs w:val="18"/>
              </w:rPr>
              <w:t>h</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w:t>
            </w:r>
            <w:r>
              <w:rPr>
                <w:color w:val="000000"/>
                <w:sz w:val="18"/>
                <w:szCs w:val="18"/>
              </w:rPr>
              <w:t>6</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3,72</w:t>
            </w:r>
            <w:r>
              <w:rPr>
                <w:color w:val="000000"/>
                <w:sz w:val="18"/>
                <w:szCs w:val="18"/>
              </w:rPr>
              <w:t>1</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156,78</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221,47</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60,55</w:t>
            </w:r>
            <w:r>
              <w:rPr>
                <w:color w:val="000000"/>
                <w:sz w:val="18"/>
                <w:szCs w:val="18"/>
              </w:rPr>
              <w:t>7</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157,49</w:t>
            </w:r>
            <w:r>
              <w:rPr>
                <w:color w:val="000000"/>
                <w:sz w:val="18"/>
                <w:szCs w:val="18"/>
              </w:rPr>
              <w:t>6</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281,32</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438,82</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120,95</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Detroi</w:t>
            </w:r>
            <w:r>
              <w:rPr>
                <w:color w:val="000000"/>
                <w:sz w:val="18"/>
                <w:szCs w:val="18"/>
              </w:rPr>
              <w:t>t</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w:t>
            </w: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2,95</w:t>
            </w:r>
            <w:r>
              <w:rPr>
                <w:color w:val="000000"/>
                <w:sz w:val="18"/>
                <w:szCs w:val="18"/>
              </w:rPr>
              <w:t>0</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63,80</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168,89</w:t>
            </w:r>
            <w:r>
              <w:rPr>
                <w:color w:val="000000"/>
                <w:sz w:val="18"/>
                <w:szCs w:val="18"/>
              </w:rPr>
              <w:t>7</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37,77</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64,65</w:t>
            </w:r>
            <w:r>
              <w:rPr>
                <w:color w:val="000000"/>
                <w:sz w:val="18"/>
                <w:szCs w:val="18"/>
              </w:rPr>
              <w:t>4</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205,81</w:t>
            </w:r>
            <w:r>
              <w:rPr>
                <w:color w:val="000000"/>
                <w:sz w:val="18"/>
                <w:szCs w:val="18"/>
              </w:rPr>
              <w:t>7</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270,47</w:t>
            </w:r>
            <w:r>
              <w:rPr>
                <w:color w:val="000000"/>
                <w:sz w:val="18"/>
                <w:szCs w:val="18"/>
              </w:rPr>
              <w:t>1</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111,49</w:t>
            </w:r>
            <w:r>
              <w:rPr>
                <w:color w:val="000000"/>
                <w:sz w:val="18"/>
                <w:szCs w:val="18"/>
              </w:rPr>
              <w:t>5</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Phoeni</w:t>
            </w:r>
            <w:r>
              <w:rPr>
                <w:color w:val="000000"/>
                <w:sz w:val="18"/>
                <w:szCs w:val="18"/>
              </w:rPr>
              <w:t>x</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w:t>
            </w:r>
            <w:r>
              <w:rPr>
                <w:color w:val="000000"/>
                <w:sz w:val="18"/>
                <w:szCs w:val="18"/>
              </w:rPr>
              <w:t>0</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2,66</w:t>
            </w:r>
            <w:r>
              <w:rPr>
                <w:color w:val="000000"/>
                <w:sz w:val="18"/>
                <w:szCs w:val="18"/>
              </w:rPr>
              <w:t>4</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65,71</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185,11</w:t>
            </w:r>
            <w:r>
              <w:rPr>
                <w:color w:val="000000"/>
                <w:sz w:val="18"/>
                <w:szCs w:val="18"/>
              </w:rPr>
              <w:t>7</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27,22</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65,70</w:t>
            </w:r>
            <w:r>
              <w:rPr>
                <w:color w:val="000000"/>
                <w:sz w:val="18"/>
                <w:szCs w:val="18"/>
              </w:rPr>
              <w:t>9</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212,35</w:t>
            </w:r>
            <w:r>
              <w:rPr>
                <w:color w:val="000000"/>
                <w:sz w:val="18"/>
                <w:szCs w:val="18"/>
              </w:rPr>
              <w:t>0</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278,05</w:t>
            </w:r>
            <w:r>
              <w:rPr>
                <w:color w:val="000000"/>
                <w:sz w:val="18"/>
                <w:szCs w:val="18"/>
              </w:rPr>
              <w:t>9</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103,14</w:t>
            </w:r>
            <w:r>
              <w:rPr>
                <w:color w:val="000000"/>
                <w:sz w:val="18"/>
                <w:szCs w:val="18"/>
              </w:rPr>
              <w:t>6</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Austi</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w:t>
            </w: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2,44</w:t>
            </w:r>
            <w:r>
              <w:rPr>
                <w:color w:val="000000"/>
                <w:sz w:val="18"/>
                <w:szCs w:val="18"/>
              </w:rPr>
              <w:t>7</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56,91</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127,01</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43,76</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58,94</w:t>
            </w:r>
            <w:r>
              <w:rPr>
                <w:color w:val="000000"/>
                <w:sz w:val="18"/>
                <w:szCs w:val="18"/>
              </w:rPr>
              <w:t>0</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168,75</w:t>
            </w:r>
            <w:r>
              <w:rPr>
                <w:color w:val="000000"/>
                <w:sz w:val="18"/>
                <w:szCs w:val="18"/>
              </w:rPr>
              <w:t>5</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227,69</w:t>
            </w:r>
            <w:r>
              <w:rPr>
                <w:color w:val="000000"/>
                <w:sz w:val="18"/>
                <w:szCs w:val="18"/>
              </w:rPr>
              <w:t>5</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83,51</w:t>
            </w:r>
            <w:r>
              <w:rPr>
                <w:color w:val="000000"/>
                <w:sz w:val="18"/>
                <w:szCs w:val="18"/>
              </w:rPr>
              <w:t>2</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Portlan</w:t>
            </w:r>
            <w:r>
              <w:rPr>
                <w:color w:val="000000"/>
                <w:sz w:val="18"/>
                <w:szCs w:val="18"/>
              </w:rPr>
              <w:t>d</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w:t>
            </w:r>
            <w:r>
              <w:rPr>
                <w:color w:val="000000"/>
                <w:sz w:val="18"/>
                <w:szCs w:val="18"/>
              </w:rPr>
              <w:t>3</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2,25</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51,18</w:t>
            </w:r>
            <w:r>
              <w:rPr>
                <w:color w:val="000000"/>
                <w:sz w:val="18"/>
                <w:szCs w:val="18"/>
              </w:rPr>
              <w:t>2</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126,46</w:t>
            </w:r>
            <w:r>
              <w:rPr>
                <w:color w:val="000000"/>
                <w:sz w:val="18"/>
                <w:szCs w:val="18"/>
              </w:rPr>
              <w:t>4</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27,53</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51,84</w:t>
            </w:r>
            <w:r>
              <w:rPr>
                <w:color w:val="000000"/>
                <w:sz w:val="18"/>
                <w:szCs w:val="18"/>
              </w:rPr>
              <w:t>0</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153,34</w:t>
            </w:r>
            <w:r>
              <w:rPr>
                <w:color w:val="000000"/>
                <w:sz w:val="18"/>
                <w:szCs w:val="18"/>
              </w:rPr>
              <w:t>2</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205,18</w:t>
            </w:r>
            <w:r>
              <w:rPr>
                <w:color w:val="000000"/>
                <w:sz w:val="18"/>
                <w:szCs w:val="18"/>
              </w:rPr>
              <w:t>2</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101,42</w:t>
            </w:r>
            <w:r>
              <w:rPr>
                <w:color w:val="000000"/>
                <w:sz w:val="18"/>
                <w:szCs w:val="18"/>
              </w:rPr>
              <w:t>2</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Sacrament</w:t>
            </w:r>
            <w:r>
              <w:rPr>
                <w:color w:val="000000"/>
                <w:sz w:val="18"/>
                <w:szCs w:val="18"/>
              </w:rPr>
              <w:t>o</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1,95</w:t>
            </w:r>
            <w:r>
              <w:rPr>
                <w:color w:val="000000"/>
                <w:sz w:val="18"/>
                <w:szCs w:val="18"/>
              </w:rPr>
              <w:t>9</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25,14</w:t>
            </w:r>
            <w:r>
              <w:rPr>
                <w:color w:val="000000"/>
                <w:sz w:val="18"/>
                <w:szCs w:val="18"/>
              </w:rPr>
              <w:t>1</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69,40</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28,18</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25,64</w:t>
            </w:r>
            <w:r>
              <w:rPr>
                <w:color w:val="000000"/>
                <w:sz w:val="18"/>
                <w:szCs w:val="18"/>
              </w:rPr>
              <w:t>6</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97,08</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122,73</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76,66</w:t>
            </w:r>
            <w:r>
              <w:rPr>
                <w:color w:val="000000"/>
                <w:sz w:val="18"/>
                <w:szCs w:val="18"/>
              </w:rPr>
              <w:t>1</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Raleig</w:t>
            </w:r>
            <w:r>
              <w:rPr>
                <w:color w:val="000000"/>
                <w:sz w:val="18"/>
                <w:szCs w:val="18"/>
              </w:rPr>
              <w:t>h</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8</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1,97</w:t>
            </w:r>
            <w:r>
              <w:rPr>
                <w:color w:val="000000"/>
                <w:sz w:val="18"/>
                <w:szCs w:val="18"/>
              </w:rPr>
              <w:t>5</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50,34</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99,58</w:t>
            </w:r>
            <w:r>
              <w:rPr>
                <w:color w:val="000000"/>
                <w:sz w:val="18"/>
                <w:szCs w:val="18"/>
              </w:rPr>
              <w:t>3</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38,19</w:t>
            </w:r>
            <w:r>
              <w:rPr>
                <w:color w:val="000000"/>
                <w:sz w:val="18"/>
                <w:szCs w:val="18"/>
              </w:rPr>
              <w:t>5</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51,47</w:t>
            </w:r>
            <w:r>
              <w:rPr>
                <w:color w:val="000000"/>
                <w:sz w:val="18"/>
                <w:szCs w:val="18"/>
              </w:rPr>
              <w:t>9</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136,64</w:t>
            </w:r>
            <w:r>
              <w:rPr>
                <w:color w:val="000000"/>
                <w:sz w:val="18"/>
                <w:szCs w:val="18"/>
              </w:rPr>
              <w:t>7</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188,12</w:t>
            </w:r>
            <w:r>
              <w:rPr>
                <w:color w:val="000000"/>
                <w:sz w:val="18"/>
                <w:szCs w:val="18"/>
              </w:rPr>
              <w:t>6</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60,48</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San Dieg</w:t>
            </w:r>
            <w:r>
              <w:rPr>
                <w:color w:val="000000"/>
                <w:sz w:val="18"/>
                <w:szCs w:val="18"/>
              </w:rPr>
              <w:t>o</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0</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1,81</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47,88</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108,91</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40,72</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50,39</w:t>
            </w:r>
            <w:r>
              <w:rPr>
                <w:color w:val="000000"/>
                <w:sz w:val="18"/>
                <w:szCs w:val="18"/>
              </w:rPr>
              <w:t>4</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147,12</w:t>
            </w:r>
            <w:r>
              <w:rPr>
                <w:color w:val="000000"/>
                <w:sz w:val="18"/>
                <w:szCs w:val="18"/>
              </w:rPr>
              <w:t>5</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197,51</w:t>
            </w:r>
            <w:r>
              <w:rPr>
                <w:color w:val="000000"/>
                <w:sz w:val="18"/>
                <w:szCs w:val="18"/>
              </w:rPr>
              <w:t>9</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86,88</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San Antoni</w:t>
            </w:r>
            <w:r>
              <w:rPr>
                <w:color w:val="000000"/>
                <w:sz w:val="18"/>
                <w:szCs w:val="18"/>
              </w:rPr>
              <w:t>o</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8</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1,79</w:t>
            </w:r>
            <w:r>
              <w:rPr>
                <w:color w:val="000000"/>
                <w:sz w:val="18"/>
                <w:szCs w:val="18"/>
              </w:rPr>
              <w:t>1</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27,56</w:t>
            </w:r>
            <w:r>
              <w:rPr>
                <w:color w:val="000000"/>
                <w:sz w:val="18"/>
                <w:szCs w:val="18"/>
              </w:rPr>
              <w:t>6</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76,02</w:t>
            </w:r>
            <w:r>
              <w:rPr>
                <w:color w:val="000000"/>
                <w:sz w:val="18"/>
                <w:szCs w:val="18"/>
              </w:rPr>
              <w:t>8</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27,03</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27,52</w:t>
            </w:r>
            <w:r>
              <w:rPr>
                <w:color w:val="000000"/>
                <w:sz w:val="18"/>
                <w:szCs w:val="18"/>
              </w:rPr>
              <w:t>4</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103,10</w:t>
            </w:r>
            <w:r>
              <w:rPr>
                <w:color w:val="000000"/>
                <w:sz w:val="18"/>
                <w:szCs w:val="18"/>
              </w:rPr>
              <w:t>0</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130,62</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66,13</w:t>
            </w:r>
            <w:r>
              <w:rPr>
                <w:color w:val="000000"/>
                <w:sz w:val="18"/>
                <w:szCs w:val="18"/>
              </w:rPr>
              <w:t>1</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Norfol</w:t>
            </w:r>
            <w:r>
              <w:rPr>
                <w:color w:val="000000"/>
                <w:sz w:val="18"/>
                <w:szCs w:val="18"/>
              </w:rPr>
              <w:t>k</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w:t>
            </w:r>
            <w:r>
              <w:rPr>
                <w:color w:val="000000"/>
                <w:sz w:val="18"/>
                <w:szCs w:val="18"/>
              </w:rPr>
              <w:t>6</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2,21</w:t>
            </w:r>
            <w:r>
              <w:rPr>
                <w:color w:val="000000"/>
                <w:sz w:val="18"/>
                <w:szCs w:val="18"/>
              </w:rPr>
              <w:t>5</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47,72</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128,98</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22,39</w:t>
            </w:r>
            <w:r>
              <w:rPr>
                <w:color w:val="000000"/>
                <w:sz w:val="18"/>
                <w:szCs w:val="18"/>
              </w:rPr>
              <w:t>8</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46,84</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152,26</w:t>
            </w:r>
            <w:r>
              <w:rPr>
                <w:color w:val="000000"/>
                <w:sz w:val="18"/>
                <w:szCs w:val="18"/>
              </w:rPr>
              <w:t>9</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199,11</w:t>
            </w:r>
            <w:r>
              <w:rPr>
                <w:color w:val="000000"/>
                <w:sz w:val="18"/>
                <w:szCs w:val="18"/>
              </w:rPr>
              <w:t>2</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63,43</w:t>
            </w:r>
            <w:r>
              <w:rPr>
                <w:color w:val="000000"/>
                <w:sz w:val="18"/>
                <w:szCs w:val="18"/>
              </w:rPr>
              <w:t>0</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Bosto</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1,86</w:t>
            </w:r>
            <w:r>
              <w:rPr>
                <w:color w:val="000000"/>
                <w:sz w:val="18"/>
                <w:szCs w:val="18"/>
              </w:rPr>
              <w:t>4</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70,26</w:t>
            </w:r>
            <w:r>
              <w:rPr>
                <w:color w:val="000000"/>
                <w:sz w:val="18"/>
                <w:szCs w:val="18"/>
              </w:rPr>
              <w:t>1</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194,58</w:t>
            </w:r>
            <w:r>
              <w:rPr>
                <w:color w:val="000000"/>
                <w:sz w:val="18"/>
                <w:szCs w:val="18"/>
              </w:rPr>
              <w:t>8</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24,28</w:t>
            </w:r>
            <w:r>
              <w:rPr>
                <w:color w:val="000000"/>
                <w:sz w:val="18"/>
                <w:szCs w:val="18"/>
              </w:rPr>
              <w:t>7</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70,82</w:t>
            </w:r>
            <w:r>
              <w:rPr>
                <w:color w:val="000000"/>
                <w:sz w:val="18"/>
                <w:szCs w:val="18"/>
              </w:rPr>
              <w:t>7</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218,30</w:t>
            </w:r>
            <w:r>
              <w:rPr>
                <w:color w:val="000000"/>
                <w:sz w:val="18"/>
                <w:szCs w:val="18"/>
              </w:rPr>
              <w:t>9</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289,13</w:t>
            </w:r>
            <w:r>
              <w:rPr>
                <w:color w:val="000000"/>
                <w:sz w:val="18"/>
                <w:szCs w:val="18"/>
              </w:rPr>
              <w:t>6</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91,34</w:t>
            </w:r>
            <w:r>
              <w:rPr>
                <w:color w:val="000000"/>
                <w:sz w:val="18"/>
                <w:szCs w:val="18"/>
              </w:rPr>
              <w:t>8</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Columbu</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1,62</w:t>
            </w:r>
            <w:r>
              <w:rPr>
                <w:color w:val="000000"/>
                <w:sz w:val="18"/>
                <w:szCs w:val="18"/>
              </w:rPr>
              <w:t>9</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25,34</w:t>
            </w:r>
            <w:r>
              <w:rPr>
                <w:color w:val="000000"/>
                <w:sz w:val="18"/>
                <w:szCs w:val="18"/>
              </w:rPr>
              <w:t>1</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64,74</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27,25</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25,44</w:t>
            </w:r>
            <w:r>
              <w:rPr>
                <w:color w:val="000000"/>
                <w:sz w:val="18"/>
                <w:szCs w:val="18"/>
              </w:rPr>
              <w:t>8</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91,89</w:t>
            </w:r>
            <w:r>
              <w:rPr>
                <w:color w:val="000000"/>
                <w:sz w:val="18"/>
                <w:szCs w:val="18"/>
              </w:rPr>
              <w:t>5</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117,34</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44,93</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Oklahoma Cit</w:t>
            </w:r>
            <w:r>
              <w:rPr>
                <w:color w:val="000000"/>
                <w:sz w:val="18"/>
                <w:szCs w:val="18"/>
              </w:rPr>
              <w:t>y</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1,53</w:t>
            </w:r>
            <w:r>
              <w:rPr>
                <w:color w:val="000000"/>
                <w:sz w:val="18"/>
                <w:szCs w:val="18"/>
              </w:rPr>
              <w:t>1</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35,70</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68,36</w:t>
            </w:r>
            <w:r>
              <w:rPr>
                <w:color w:val="000000"/>
                <w:sz w:val="18"/>
                <w:szCs w:val="18"/>
              </w:rPr>
              <w:t>0</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13,47</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35,70</w:t>
            </w:r>
            <w:r>
              <w:rPr>
                <w:color w:val="000000"/>
                <w:sz w:val="18"/>
                <w:szCs w:val="18"/>
              </w:rPr>
              <w:t>4</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81,83</w:t>
            </w:r>
            <w:r>
              <w:rPr>
                <w:color w:val="000000"/>
                <w:sz w:val="18"/>
                <w:szCs w:val="18"/>
              </w:rPr>
              <w:t>0</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117,53</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23,56</w:t>
            </w:r>
            <w:r>
              <w:rPr>
                <w:color w:val="000000"/>
                <w:sz w:val="18"/>
                <w:szCs w:val="18"/>
              </w:rPr>
              <w:t>8</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Baltimor</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3</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1,47</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25,17</w:t>
            </w:r>
            <w:r>
              <w:rPr>
                <w:color w:val="000000"/>
                <w:sz w:val="18"/>
                <w:szCs w:val="18"/>
              </w:rPr>
              <w:t>6</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79,73</w:t>
            </w:r>
            <w:r>
              <w:rPr>
                <w:color w:val="000000"/>
                <w:sz w:val="18"/>
                <w:szCs w:val="18"/>
              </w:rPr>
              <w:t>4</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19,07</w:t>
            </w:r>
            <w:r>
              <w:rPr>
                <w:color w:val="000000"/>
                <w:sz w:val="18"/>
                <w:szCs w:val="18"/>
              </w:rPr>
              <w:t>8</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25,30</w:t>
            </w:r>
            <w:r>
              <w:rPr>
                <w:color w:val="000000"/>
                <w:sz w:val="18"/>
                <w:szCs w:val="18"/>
              </w:rPr>
              <w:t>0</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98,68</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123,98</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70,71</w:t>
            </w:r>
            <w:r>
              <w:rPr>
                <w:color w:val="000000"/>
                <w:sz w:val="18"/>
                <w:szCs w:val="18"/>
              </w:rPr>
              <w:t>7</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Indianapoli</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5</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1,58</w:t>
            </w:r>
            <w:r>
              <w:rPr>
                <w:color w:val="000000"/>
                <w:sz w:val="18"/>
                <w:szCs w:val="18"/>
              </w:rPr>
              <w:t>0</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25,75</w:t>
            </w:r>
            <w:r>
              <w:rPr>
                <w:color w:val="000000"/>
                <w:sz w:val="18"/>
                <w:szCs w:val="18"/>
              </w:rPr>
              <w:t>2</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69,61</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13,51</w:t>
            </w:r>
            <w:r>
              <w:rPr>
                <w:color w:val="000000"/>
                <w:sz w:val="18"/>
                <w:szCs w:val="18"/>
              </w:rPr>
              <w:t>1</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26,75</w:t>
            </w:r>
            <w:r>
              <w:rPr>
                <w:color w:val="000000"/>
                <w:sz w:val="18"/>
                <w:szCs w:val="18"/>
              </w:rPr>
              <w:t>2</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82,13</w:t>
            </w:r>
            <w:r>
              <w:rPr>
                <w:color w:val="000000"/>
                <w:sz w:val="18"/>
                <w:szCs w:val="18"/>
              </w:rPr>
              <w:t>0</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108,88</w:t>
            </w:r>
            <w:r>
              <w:rPr>
                <w:color w:val="000000"/>
                <w:sz w:val="18"/>
                <w:szCs w:val="18"/>
              </w:rPr>
              <w:t>2</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45,21</w:t>
            </w:r>
            <w:r>
              <w:rPr>
                <w:color w:val="000000"/>
                <w:sz w:val="18"/>
                <w:szCs w:val="18"/>
              </w:rPr>
              <w:t>7</w:t>
            </w:r>
            <w:r>
              <w:rPr>
                <w:color w:val="000000"/>
                <w:sz w:val="18"/>
                <w:szCs w:val="18"/>
              </w:rPr>
              <w:t> </w:t>
            </w:r>
          </w:p>
        </w:tc>
      </w:tr>
    </w:tbl>
    <w:p w:rsidR="00000000" w:rsidRDefault="00865332">
      <w:pPr>
        <w:pStyle w:val="a3"/>
        <w:spacing w:before="0" w:beforeAutospacing="0" w:after="0" w:afterAutospacing="0" w:line="259" w:lineRule="auto"/>
        <w:jc w:val="center"/>
        <w:divId w:val="127822180"/>
        <w:rPr>
          <w:sz w:val="20"/>
          <w:szCs w:val="20"/>
        </w:rPr>
      </w:pPr>
      <w:r>
        <w:rPr>
          <w:sz w:val="20"/>
          <w:szCs w:val="20"/>
        </w:rPr>
        <w:t>F</w:t>
      </w:r>
      <w:r>
        <w:rPr>
          <w:sz w:val="20"/>
          <w:szCs w:val="20"/>
        </w:rPr>
        <w:t>-</w:t>
      </w:r>
      <w:r>
        <w:rPr>
          <w:rStyle w:val="ctheaderfooterpage"/>
          <w:sz w:val="20"/>
          <w:szCs w:val="20"/>
        </w:rPr>
        <w:t>3</w:t>
      </w:r>
      <w:r>
        <w:rPr>
          <w:rStyle w:val="ctheaderfooterpage"/>
          <w:sz w:val="20"/>
          <w:szCs w:val="20"/>
        </w:rPr>
        <w:t>3</w:t>
      </w:r>
    </w:p>
    <w:p w:rsidR="00000000" w:rsidRDefault="00865332">
      <w:pPr>
        <w:spacing w:before="360" w:after="360"/>
        <w:divId w:val="220287463"/>
        <w:rPr>
          <w:rFonts w:eastAsia="Times New Roman"/>
        </w:rPr>
      </w:pPr>
      <w:r>
        <w:rPr>
          <w:rFonts w:eastAsia="Times New Roman"/>
        </w:rPr>
        <w:pict>
          <v:rect id="_x0000_i1128" style="width:0;height:1.5pt" o:hralign="center" o:hrstd="t" o:hr="t" fillcolor="#a0a0a0" stroked="f"/>
        </w:pict>
      </w:r>
    </w:p>
    <w:tbl>
      <w:tblPr>
        <w:tblW w:w="12200" w:type="pct"/>
        <w:tblCellMar>
          <w:top w:w="15" w:type="dxa"/>
          <w:left w:w="15" w:type="dxa"/>
          <w:bottom w:w="15" w:type="dxa"/>
          <w:right w:w="15" w:type="dxa"/>
        </w:tblCellMar>
        <w:tblLook w:val="04A0" w:firstRow="1" w:lastRow="0" w:firstColumn="1" w:lastColumn="0" w:noHBand="0" w:noVBand="1"/>
      </w:tblPr>
      <w:tblGrid>
        <w:gridCol w:w="1520"/>
        <w:gridCol w:w="660"/>
        <w:gridCol w:w="670"/>
        <w:gridCol w:w="600"/>
        <w:gridCol w:w="527"/>
        <w:gridCol w:w="1040"/>
        <w:gridCol w:w="860"/>
        <w:gridCol w:w="466"/>
        <w:gridCol w:w="709"/>
        <w:gridCol w:w="589"/>
        <w:gridCol w:w="990"/>
        <w:gridCol w:w="5818"/>
        <w:gridCol w:w="5818"/>
      </w:tblGrid>
      <w:tr w:rsidR="00000000">
        <w:trPr>
          <w:gridAfter w:val="2"/>
          <w:divId w:val="1783764300"/>
          <w:wAfter w:w="11976" w:type="dxa"/>
          <w:trHeight w:val="14"/>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2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r>
      <w:tr w:rsidR="00000000">
        <w:trPr>
          <w:divId w:val="1783764300"/>
          <w:trHeight w:val="245"/>
        </w:trPr>
        <w:tc>
          <w:tcPr>
            <w:tcW w:w="2045" w:type="pct"/>
            <w:gridSpan w:val="11"/>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PUBLIC STORAG</w:t>
            </w:r>
            <w:r>
              <w:rPr>
                <w:color w:val="000000"/>
                <w:sz w:val="18"/>
                <w:szCs w:val="18"/>
              </w:rPr>
              <w:t>E</w:t>
            </w:r>
          </w:p>
        </w:tc>
        <w:tc>
          <w:tcPr>
            <w:tcW w:w="1475" w:type="pct"/>
            <w:tcBorders>
              <w:top w:val="nil"/>
              <w:left w:val="nil"/>
              <w:bottom w:val="nil"/>
              <w:right w:val="nil"/>
            </w:tcBorders>
            <w:tcMar>
              <w:top w:w="0" w:type="dxa"/>
              <w:left w:w="15" w:type="dxa"/>
              <w:bottom w:w="0" w:type="dxa"/>
              <w:right w:w="15" w:type="dxa"/>
            </w:tcMar>
            <w:hideMark/>
          </w:tcPr>
          <w:p w:rsidR="00000000" w:rsidRDefault="00865332">
            <w:pPr>
              <w:rPr>
                <w:sz w:val="18"/>
                <w:szCs w:val="18"/>
              </w:rPr>
            </w:pPr>
          </w:p>
        </w:tc>
        <w:tc>
          <w:tcPr>
            <w:tcW w:w="148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783764300"/>
          <w:trHeight w:val="245"/>
        </w:trPr>
        <w:tc>
          <w:tcPr>
            <w:tcW w:w="2045" w:type="pct"/>
            <w:gridSpan w:val="11"/>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SCHEDULE III - REAL ESTAT</w:t>
            </w:r>
            <w:r>
              <w:rPr>
                <w:color w:val="000000"/>
                <w:sz w:val="18"/>
                <w:szCs w:val="18"/>
              </w:rPr>
              <w:t>E</w:t>
            </w:r>
          </w:p>
        </w:tc>
        <w:tc>
          <w:tcPr>
            <w:tcW w:w="1475" w:type="pct"/>
            <w:tcBorders>
              <w:top w:val="nil"/>
              <w:left w:val="nil"/>
              <w:bottom w:val="nil"/>
              <w:right w:val="nil"/>
            </w:tcBorders>
            <w:tcMar>
              <w:top w:w="0" w:type="dxa"/>
              <w:left w:w="15" w:type="dxa"/>
              <w:bottom w:w="0" w:type="dxa"/>
              <w:right w:w="15" w:type="dxa"/>
            </w:tcMar>
            <w:hideMark/>
          </w:tcPr>
          <w:p w:rsidR="00000000" w:rsidRDefault="00865332">
            <w:pPr>
              <w:rPr>
                <w:sz w:val="18"/>
                <w:szCs w:val="18"/>
              </w:rPr>
            </w:pPr>
          </w:p>
        </w:tc>
        <w:tc>
          <w:tcPr>
            <w:tcW w:w="148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783764300"/>
          <w:trHeight w:val="245"/>
        </w:trPr>
        <w:tc>
          <w:tcPr>
            <w:tcW w:w="2045" w:type="pct"/>
            <w:gridSpan w:val="11"/>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AND ACCUMULATED DEPRECIATIO</w:t>
            </w:r>
            <w:r>
              <w:rPr>
                <w:color w:val="000000"/>
                <w:sz w:val="18"/>
                <w:szCs w:val="18"/>
              </w:rPr>
              <w:t>N</w:t>
            </w:r>
          </w:p>
        </w:tc>
        <w:tc>
          <w:tcPr>
            <w:tcW w:w="1475" w:type="pct"/>
            <w:tcBorders>
              <w:top w:val="nil"/>
              <w:left w:val="nil"/>
              <w:bottom w:val="nil"/>
              <w:right w:val="nil"/>
            </w:tcBorders>
            <w:tcMar>
              <w:top w:w="0" w:type="dxa"/>
              <w:left w:w="15" w:type="dxa"/>
              <w:bottom w:w="0" w:type="dxa"/>
              <w:right w:w="15" w:type="dxa"/>
            </w:tcMar>
            <w:hideMark/>
          </w:tcPr>
          <w:p w:rsidR="00000000" w:rsidRDefault="00865332">
            <w:pPr>
              <w:rPr>
                <w:sz w:val="18"/>
                <w:szCs w:val="18"/>
              </w:rPr>
            </w:pPr>
          </w:p>
        </w:tc>
        <w:tc>
          <w:tcPr>
            <w:tcW w:w="148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783764300"/>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2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783764300"/>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2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783764300"/>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18"/>
                <w:szCs w:val="18"/>
              </w:rPr>
            </w:pPr>
            <w:r>
              <w:rPr>
                <w:color w:val="000000"/>
                <w:sz w:val="18"/>
                <w:szCs w:val="18"/>
              </w:rPr>
              <w:t>Ne</w:t>
            </w:r>
            <w:r>
              <w:rPr>
                <w:color w:val="000000"/>
                <w:sz w:val="18"/>
                <w:szCs w:val="18"/>
              </w:rPr>
              <w:t>t</w:t>
            </w: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201</w:t>
            </w:r>
            <w:r>
              <w:rPr>
                <w:color w:val="000000"/>
                <w:sz w:val="18"/>
                <w:szCs w:val="18"/>
              </w:rPr>
              <w:t>9</w:t>
            </w:r>
          </w:p>
        </w:tc>
        <w:tc>
          <w:tcPr>
            <w:tcW w:w="355" w:type="pct"/>
            <w:gridSpan w:val="2"/>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Initial Cos</w:t>
            </w:r>
            <w:r>
              <w:rPr>
                <w:color w:val="000000"/>
                <w:sz w:val="18"/>
                <w:szCs w:val="18"/>
              </w:rPr>
              <w:t>t</w:t>
            </w: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Cost</w:t>
            </w:r>
            <w:r>
              <w:rPr>
                <w:color w:val="000000"/>
                <w:sz w:val="18"/>
                <w:szCs w:val="18"/>
              </w:rPr>
              <w:t>s</w:t>
            </w:r>
          </w:p>
        </w:tc>
        <w:tc>
          <w:tcPr>
            <w:tcW w:w="555" w:type="pct"/>
            <w:gridSpan w:val="3"/>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Gross Carrying Amoun</w:t>
            </w:r>
            <w:r>
              <w:rPr>
                <w:color w:val="000000"/>
                <w:sz w:val="18"/>
                <w:szCs w:val="18"/>
              </w:rPr>
              <w:t>t</w:t>
            </w: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sz w:val="18"/>
                <w:szCs w:val="18"/>
              </w:rPr>
            </w:pP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783764300"/>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No. o</w:t>
            </w:r>
            <w:r>
              <w:rPr>
                <w:color w:val="000000"/>
                <w:sz w:val="18"/>
                <w:szCs w:val="18"/>
              </w:rPr>
              <w:t>f</w:t>
            </w:r>
          </w:p>
        </w:tc>
        <w:tc>
          <w:tcPr>
            <w:tcW w:w="13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18"/>
                <w:szCs w:val="18"/>
              </w:rPr>
            </w:pPr>
            <w:r>
              <w:rPr>
                <w:color w:val="000000"/>
                <w:sz w:val="18"/>
                <w:szCs w:val="18"/>
              </w:rPr>
              <w:t>Rentabl</w:t>
            </w:r>
            <w:r>
              <w:rPr>
                <w:color w:val="000000"/>
                <w:sz w:val="18"/>
                <w:szCs w:val="18"/>
              </w:rPr>
              <w:t>e</w:t>
            </w: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Encum</w:t>
            </w:r>
            <w:r>
              <w:rPr>
                <w:color w:val="000000"/>
                <w:sz w:val="18"/>
                <w:szCs w:val="18"/>
              </w:rPr>
              <w:t>-</w:t>
            </w:r>
          </w:p>
        </w:tc>
        <w:tc>
          <w:tcPr>
            <w:tcW w:w="170" w:type="pct"/>
            <w:tcBorders>
              <w:top w:val="single" w:sz="8" w:space="0" w:color="000000"/>
              <w:left w:val="nil"/>
              <w:bottom w:val="nil"/>
              <w:right w:val="nil"/>
            </w:tcBorders>
            <w:tcMar>
              <w:top w:w="0" w:type="dxa"/>
              <w:left w:w="0" w:type="dxa"/>
              <w:bottom w:w="0" w:type="dxa"/>
              <w:right w:w="0" w:type="dxa"/>
            </w:tcMar>
            <w:vAlign w:val="bottom"/>
            <w:hideMark/>
          </w:tcPr>
          <w:p w:rsidR="00000000" w:rsidRDefault="00865332">
            <w:pPr>
              <w:rPr>
                <w:sz w:val="18"/>
                <w:szCs w:val="18"/>
              </w:rPr>
            </w:pPr>
          </w:p>
        </w:tc>
        <w:tc>
          <w:tcPr>
            <w:tcW w:w="185" w:type="pct"/>
            <w:tcBorders>
              <w:top w:val="single" w:sz="8" w:space="0" w:color="000000"/>
              <w:left w:val="nil"/>
              <w:bottom w:val="nil"/>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 xml:space="preserve">Buildings </w:t>
            </w:r>
            <w:r>
              <w:rPr>
                <w:color w:val="000000"/>
                <w:sz w:val="18"/>
                <w:szCs w:val="18"/>
              </w:rPr>
              <w:t>&amp;</w:t>
            </w: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Subsequent</w:t>
            </w:r>
            <w:r>
              <w:rPr>
                <w:color w:val="000000"/>
                <w:sz w:val="18"/>
                <w:szCs w:val="18"/>
              </w:rPr>
              <w:t xml:space="preserve"> </w:t>
            </w:r>
          </w:p>
        </w:tc>
        <w:tc>
          <w:tcPr>
            <w:tcW w:w="555" w:type="pct"/>
            <w:gridSpan w:val="3"/>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At December 31, 201</w:t>
            </w:r>
            <w:r>
              <w:rPr>
                <w:color w:val="000000"/>
                <w:sz w:val="18"/>
                <w:szCs w:val="18"/>
              </w:rPr>
              <w:t>9</w:t>
            </w: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Accumulate</w:t>
            </w:r>
            <w:r>
              <w:rPr>
                <w:color w:val="000000"/>
                <w:sz w:val="18"/>
                <w:szCs w:val="18"/>
              </w:rPr>
              <w:t>d</w:t>
            </w: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783764300"/>
          <w:trHeight w:val="245"/>
        </w:trPr>
        <w:tc>
          <w:tcPr>
            <w:tcW w:w="41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Descriptio</w:t>
            </w:r>
            <w:r>
              <w:rPr>
                <w:color w:val="000000"/>
                <w:sz w:val="18"/>
                <w:szCs w:val="18"/>
              </w:rPr>
              <w:t>n</w:t>
            </w:r>
          </w:p>
        </w:tc>
        <w:tc>
          <w:tcPr>
            <w:tcW w:w="12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Facilitie</w:t>
            </w:r>
            <w:r>
              <w:rPr>
                <w:color w:val="000000"/>
                <w:sz w:val="18"/>
                <w:szCs w:val="18"/>
              </w:rPr>
              <w:t>s</w:t>
            </w:r>
          </w:p>
        </w:tc>
        <w:tc>
          <w:tcPr>
            <w:tcW w:w="130" w:type="pct"/>
            <w:tcBorders>
              <w:top w:val="nil"/>
              <w:left w:val="nil"/>
              <w:bottom w:val="single" w:sz="8" w:space="0" w:color="000000"/>
              <w:right w:val="nil"/>
            </w:tcBorders>
            <w:tcMar>
              <w:top w:w="0" w:type="dxa"/>
              <w:left w:w="0" w:type="dxa"/>
              <w:bottom w:w="0" w:type="dxa"/>
              <w:right w:w="0" w:type="dxa"/>
            </w:tcMar>
            <w:hideMark/>
          </w:tcPr>
          <w:p w:rsidR="00000000" w:rsidRDefault="00865332">
            <w:pPr>
              <w:pStyle w:val="a3"/>
              <w:spacing w:before="0" w:beforeAutospacing="0" w:after="0" w:afterAutospacing="0" w:line="276" w:lineRule="auto"/>
              <w:jc w:val="center"/>
              <w:rPr>
                <w:sz w:val="18"/>
                <w:szCs w:val="18"/>
              </w:rPr>
            </w:pPr>
            <w:r>
              <w:rPr>
                <w:color w:val="000000"/>
                <w:sz w:val="18"/>
                <w:szCs w:val="18"/>
              </w:rPr>
              <w:t>Sq. Fee</w:t>
            </w:r>
            <w:r>
              <w:rPr>
                <w:color w:val="000000"/>
                <w:sz w:val="18"/>
                <w:szCs w:val="18"/>
              </w:rPr>
              <w:t>t</w:t>
            </w:r>
          </w:p>
        </w:tc>
        <w:tc>
          <w:tcPr>
            <w:tcW w:w="11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brance</w:t>
            </w:r>
            <w:r>
              <w:rPr>
                <w:color w:val="000000"/>
                <w:sz w:val="18"/>
                <w:szCs w:val="18"/>
              </w:rPr>
              <w:t>s</w:t>
            </w:r>
          </w:p>
        </w:tc>
        <w:tc>
          <w:tcPr>
            <w:tcW w:w="170"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Lan</w:t>
            </w:r>
            <w:r>
              <w:rPr>
                <w:color w:val="000000"/>
                <w:sz w:val="18"/>
                <w:szCs w:val="18"/>
              </w:rPr>
              <w:t>d</w:t>
            </w:r>
          </w:p>
        </w:tc>
        <w:tc>
          <w:tcPr>
            <w:tcW w:w="18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Improvement</w:t>
            </w:r>
            <w:r>
              <w:rPr>
                <w:color w:val="000000"/>
                <w:sz w:val="18"/>
                <w:szCs w:val="18"/>
              </w:rPr>
              <w:t>s</w:t>
            </w:r>
          </w:p>
        </w:tc>
        <w:tc>
          <w:tcPr>
            <w:tcW w:w="18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to Acquisitio</w:t>
            </w:r>
            <w:r>
              <w:rPr>
                <w:color w:val="000000"/>
                <w:sz w:val="18"/>
                <w:szCs w:val="18"/>
              </w:rPr>
              <w:t>n</w:t>
            </w:r>
          </w:p>
        </w:tc>
        <w:tc>
          <w:tcPr>
            <w:tcW w:w="155" w:type="pct"/>
            <w:tcBorders>
              <w:top w:val="single" w:sz="8" w:space="0" w:color="000000"/>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Lan</w:t>
            </w:r>
            <w:r>
              <w:rPr>
                <w:color w:val="000000"/>
                <w:sz w:val="18"/>
                <w:szCs w:val="18"/>
              </w:rPr>
              <w:t>d</w:t>
            </w:r>
          </w:p>
        </w:tc>
        <w:tc>
          <w:tcPr>
            <w:tcW w:w="215" w:type="pct"/>
            <w:tcBorders>
              <w:top w:val="single" w:sz="8" w:space="0" w:color="000000"/>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Building</w:t>
            </w:r>
            <w:r>
              <w:rPr>
                <w:color w:val="000000"/>
                <w:sz w:val="18"/>
                <w:szCs w:val="18"/>
              </w:rPr>
              <w:t>s</w:t>
            </w:r>
          </w:p>
        </w:tc>
        <w:tc>
          <w:tcPr>
            <w:tcW w:w="185" w:type="pct"/>
            <w:tcBorders>
              <w:top w:val="single" w:sz="8" w:space="0" w:color="000000"/>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Tota</w:t>
            </w:r>
            <w:r>
              <w:rPr>
                <w:color w:val="000000"/>
                <w:sz w:val="18"/>
                <w:szCs w:val="18"/>
              </w:rPr>
              <w:t>l</w:t>
            </w:r>
          </w:p>
        </w:tc>
        <w:tc>
          <w:tcPr>
            <w:tcW w:w="170"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Depreciatio</w:t>
            </w:r>
            <w:r>
              <w:rPr>
                <w:color w:val="000000"/>
                <w:sz w:val="18"/>
                <w:szCs w:val="18"/>
              </w:rPr>
              <w:t>n</w:t>
            </w: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677"/>
        <w:gridCol w:w="506"/>
        <w:gridCol w:w="548"/>
        <w:gridCol w:w="514"/>
        <w:gridCol w:w="681"/>
        <w:gridCol w:w="739"/>
        <w:gridCol w:w="697"/>
        <w:gridCol w:w="681"/>
        <w:gridCol w:w="805"/>
        <w:gridCol w:w="747"/>
        <w:gridCol w:w="706"/>
      </w:tblGrid>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St. Loui</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6</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1,44</w:t>
            </w:r>
            <w:r>
              <w:rPr>
                <w:color w:val="000000"/>
                <w:sz w:val="18"/>
                <w:szCs w:val="18"/>
              </w:rPr>
              <w:t>3</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20,03</w:t>
            </w:r>
            <w:r>
              <w:rPr>
                <w:color w:val="000000"/>
                <w:sz w:val="18"/>
                <w:szCs w:val="18"/>
              </w:rPr>
              <w:t>7</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56,23</w:t>
            </w:r>
            <w:r>
              <w:rPr>
                <w:color w:val="000000"/>
                <w:sz w:val="18"/>
                <w:szCs w:val="18"/>
              </w:rPr>
              <w:t>7</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21,85</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20,68</w:t>
            </w:r>
            <w:r>
              <w:rPr>
                <w:color w:val="000000"/>
                <w:sz w:val="18"/>
                <w:szCs w:val="18"/>
              </w:rPr>
              <w:t>0</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77,44</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98,12</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63,36</w:t>
            </w:r>
            <w:r>
              <w:rPr>
                <w:color w:val="000000"/>
                <w:sz w:val="18"/>
                <w:szCs w:val="18"/>
              </w:rPr>
              <w:t>1</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Kansas Cit</w:t>
            </w:r>
            <w:r>
              <w:rPr>
                <w:color w:val="000000"/>
                <w:sz w:val="18"/>
                <w:szCs w:val="18"/>
              </w:rPr>
              <w:t>y</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1,46</w:t>
            </w:r>
            <w:r>
              <w:rPr>
                <w:color w:val="000000"/>
                <w:sz w:val="18"/>
                <w:szCs w:val="18"/>
              </w:rPr>
              <w:t>1</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14,22</w:t>
            </w:r>
            <w:r>
              <w:rPr>
                <w:color w:val="000000"/>
                <w:sz w:val="18"/>
                <w:szCs w:val="18"/>
              </w:rPr>
              <w:t>5</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43,73</w:t>
            </w:r>
            <w:r>
              <w:rPr>
                <w:color w:val="000000"/>
                <w:sz w:val="18"/>
                <w:szCs w:val="18"/>
              </w:rPr>
              <w:t>2</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28,12</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14,42</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71,65</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86,08</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59,66</w:t>
            </w:r>
            <w:r>
              <w:rPr>
                <w:color w:val="000000"/>
                <w:sz w:val="18"/>
                <w:szCs w:val="18"/>
              </w:rPr>
              <w:t>6</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Columbi</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3</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1,33</w:t>
            </w:r>
            <w:r>
              <w:rPr>
                <w:color w:val="000000"/>
                <w:sz w:val="18"/>
                <w:szCs w:val="18"/>
              </w:rPr>
              <w:t>1</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20,16</w:t>
            </w:r>
            <w:r>
              <w:rPr>
                <w:color w:val="000000"/>
                <w:sz w:val="18"/>
                <w:szCs w:val="18"/>
              </w:rPr>
              <w:t>9</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57,13</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19,88</w:t>
            </w:r>
            <w:r>
              <w:rPr>
                <w:color w:val="000000"/>
                <w:sz w:val="18"/>
                <w:szCs w:val="18"/>
              </w:rPr>
              <w:t>2</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20,92</w:t>
            </w:r>
            <w:r>
              <w:rPr>
                <w:color w:val="000000"/>
                <w:sz w:val="18"/>
                <w:szCs w:val="18"/>
              </w:rPr>
              <w:t>8</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76,25</w:t>
            </w:r>
            <w:r>
              <w:rPr>
                <w:color w:val="000000"/>
                <w:sz w:val="18"/>
                <w:szCs w:val="18"/>
              </w:rPr>
              <w:t>4</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97,18</w:t>
            </w:r>
            <w:r>
              <w:rPr>
                <w:color w:val="000000"/>
                <w:sz w:val="18"/>
                <w:szCs w:val="18"/>
              </w:rPr>
              <w:t>2</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35,29</w:t>
            </w:r>
            <w:r>
              <w:rPr>
                <w:color w:val="000000"/>
                <w:sz w:val="18"/>
                <w:szCs w:val="18"/>
              </w:rPr>
              <w:t>2</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Las Vega</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0</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1,25</w:t>
            </w:r>
            <w:r>
              <w:rPr>
                <w:color w:val="000000"/>
                <w:sz w:val="18"/>
                <w:szCs w:val="18"/>
              </w:rPr>
              <w:t>9</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23,16</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52,72</w:t>
            </w:r>
            <w:r>
              <w:rPr>
                <w:color w:val="000000"/>
                <w:sz w:val="18"/>
                <w:szCs w:val="18"/>
              </w:rPr>
              <w:t>3</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10,29</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22,41</w:t>
            </w:r>
            <w:r>
              <w:rPr>
                <w:color w:val="000000"/>
                <w:sz w:val="18"/>
                <w:szCs w:val="18"/>
              </w:rPr>
              <w:t>7</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63,77</w:t>
            </w:r>
            <w:r>
              <w:rPr>
                <w:color w:val="000000"/>
                <w:sz w:val="18"/>
                <w:szCs w:val="18"/>
              </w:rPr>
              <w:t>0</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86,18</w:t>
            </w:r>
            <w:r>
              <w:rPr>
                <w:color w:val="000000"/>
                <w:sz w:val="18"/>
                <w:szCs w:val="18"/>
              </w:rPr>
              <w:t>7</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48,40</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Milwauke</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5</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96</w:t>
            </w:r>
            <w:r>
              <w:rPr>
                <w:color w:val="000000"/>
                <w:sz w:val="18"/>
                <w:szCs w:val="18"/>
              </w:rPr>
              <w:t>4</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91</w:t>
            </w:r>
            <w:r>
              <w:rPr>
                <w:color w:val="000000"/>
                <w:sz w:val="18"/>
                <w:szCs w:val="18"/>
              </w:rPr>
              <w:t>6</w:t>
            </w:r>
            <w:r>
              <w:rPr>
                <w:color w:val="000000"/>
                <w:sz w:val="18"/>
                <w:szCs w:val="18"/>
              </w:rPr>
              <w:t> </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13,18</w:t>
            </w:r>
            <w:r>
              <w:rPr>
                <w:color w:val="000000"/>
                <w:sz w:val="18"/>
                <w:szCs w:val="18"/>
              </w:rPr>
              <w:t>9</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32,07</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10,10</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13,15</w:t>
            </w:r>
            <w:r>
              <w:rPr>
                <w:color w:val="000000"/>
                <w:sz w:val="18"/>
                <w:szCs w:val="18"/>
              </w:rPr>
              <w:t>8</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42,20</w:t>
            </w:r>
            <w:r>
              <w:rPr>
                <w:color w:val="000000"/>
                <w:sz w:val="18"/>
                <w:szCs w:val="18"/>
              </w:rPr>
              <w:t>6</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55,36</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33,05</w:t>
            </w:r>
            <w:r>
              <w:rPr>
                <w:color w:val="000000"/>
                <w:sz w:val="18"/>
                <w:szCs w:val="18"/>
              </w:rPr>
              <w:t>7</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Cincinnat</w:t>
            </w:r>
            <w:r>
              <w:rPr>
                <w:color w:val="000000"/>
                <w:sz w:val="18"/>
                <w:szCs w:val="18"/>
              </w:rPr>
              <w:t>i</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94</w:t>
            </w:r>
            <w:r>
              <w:rPr>
                <w:color w:val="000000"/>
                <w:sz w:val="18"/>
                <w:szCs w:val="18"/>
              </w:rPr>
              <w:t>7</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15,02</w:t>
            </w:r>
            <w:r>
              <w:rPr>
                <w:color w:val="000000"/>
                <w:sz w:val="18"/>
                <w:szCs w:val="18"/>
              </w:rPr>
              <w:t>3</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32,35</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22,87</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14,94</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55,30</w:t>
            </w:r>
            <w:r>
              <w:rPr>
                <w:color w:val="000000"/>
                <w:sz w:val="18"/>
                <w:szCs w:val="18"/>
              </w:rPr>
              <w:t>7</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70,24</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30,00</w:t>
            </w:r>
            <w:r>
              <w:rPr>
                <w:color w:val="000000"/>
                <w:sz w:val="18"/>
                <w:szCs w:val="18"/>
              </w:rPr>
              <w:t>7</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Louisvill</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5</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91</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23,56</w:t>
            </w:r>
            <w:r>
              <w:rPr>
                <w:color w:val="000000"/>
                <w:sz w:val="18"/>
                <w:szCs w:val="18"/>
              </w:rPr>
              <w:t>3</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46,10</w:t>
            </w:r>
            <w:r>
              <w:rPr>
                <w:color w:val="000000"/>
                <w:sz w:val="18"/>
                <w:szCs w:val="18"/>
              </w:rPr>
              <w:t>8</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7,52</w:t>
            </w:r>
            <w:r>
              <w:rPr>
                <w:color w:val="000000"/>
                <w:sz w:val="18"/>
                <w:szCs w:val="18"/>
              </w:rPr>
              <w:t>3</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23,56</w:t>
            </w:r>
            <w:r>
              <w:rPr>
                <w:color w:val="000000"/>
                <w:sz w:val="18"/>
                <w:szCs w:val="18"/>
              </w:rPr>
              <w:t>2</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53,63</w:t>
            </w:r>
            <w:r>
              <w:rPr>
                <w:color w:val="000000"/>
                <w:sz w:val="18"/>
                <w:szCs w:val="18"/>
              </w:rPr>
              <w:t>2</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77,19</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13,63</w:t>
            </w:r>
            <w:r>
              <w:rPr>
                <w:color w:val="000000"/>
                <w:sz w:val="18"/>
                <w:szCs w:val="18"/>
              </w:rPr>
              <w:t>0</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Jacksonvill</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84</w:t>
            </w:r>
            <w:r>
              <w:rPr>
                <w:color w:val="000000"/>
                <w:sz w:val="18"/>
                <w:szCs w:val="18"/>
              </w:rPr>
              <w:t>1</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11,25</w:t>
            </w:r>
            <w:r>
              <w:rPr>
                <w:color w:val="000000"/>
                <w:sz w:val="18"/>
                <w:szCs w:val="18"/>
              </w:rPr>
              <w:t>2</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27,71</w:t>
            </w:r>
            <w:r>
              <w:rPr>
                <w:color w:val="000000"/>
                <w:sz w:val="18"/>
                <w:szCs w:val="18"/>
              </w:rPr>
              <w:t>4</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11,82</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11,30</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39,48</w:t>
            </w:r>
            <w:r>
              <w:rPr>
                <w:color w:val="000000"/>
                <w:sz w:val="18"/>
                <w:szCs w:val="18"/>
              </w:rPr>
              <w:t>5</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50,78</w:t>
            </w:r>
            <w:r>
              <w:rPr>
                <w:color w:val="000000"/>
                <w:sz w:val="18"/>
                <w:szCs w:val="18"/>
              </w:rPr>
              <w:t>6</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32,21</w:t>
            </w:r>
            <w:r>
              <w:rPr>
                <w:color w:val="000000"/>
                <w:sz w:val="18"/>
                <w:szCs w:val="18"/>
              </w:rPr>
              <w:t>5</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Nashville/Bowling Gree</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1,10</w:t>
            </w:r>
            <w:r>
              <w:rPr>
                <w:color w:val="000000"/>
                <w:sz w:val="18"/>
                <w:szCs w:val="18"/>
              </w:rPr>
              <w:t>8</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18,78</w:t>
            </w:r>
            <w:r>
              <w:rPr>
                <w:color w:val="000000"/>
                <w:sz w:val="18"/>
                <w:szCs w:val="18"/>
              </w:rPr>
              <w:t>7</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35,42</w:t>
            </w:r>
            <w:r>
              <w:rPr>
                <w:color w:val="000000"/>
                <w:sz w:val="18"/>
                <w:szCs w:val="18"/>
              </w:rPr>
              <w:t>5</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30,35</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18,78</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65,78</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84,56</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28,54</w:t>
            </w:r>
            <w:r>
              <w:rPr>
                <w:color w:val="000000"/>
                <w:sz w:val="18"/>
                <w:szCs w:val="18"/>
              </w:rPr>
              <w:t>3</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Honolul</w:t>
            </w:r>
            <w:r>
              <w:rPr>
                <w:color w:val="000000"/>
                <w:sz w:val="18"/>
                <w:szCs w:val="18"/>
              </w:rPr>
              <w:t>u</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1</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80</w:t>
            </w:r>
            <w:r>
              <w:rPr>
                <w:color w:val="000000"/>
                <w:sz w:val="18"/>
                <w:szCs w:val="18"/>
              </w:rPr>
              <w:t>7</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54,18</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106,29</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12,70</w:t>
            </w:r>
            <w:r>
              <w:rPr>
                <w:color w:val="000000"/>
                <w:sz w:val="18"/>
                <w:szCs w:val="18"/>
              </w:rPr>
              <w:t>3</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55,10</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118,08</w:t>
            </w:r>
            <w:r>
              <w:rPr>
                <w:color w:val="000000"/>
                <w:sz w:val="18"/>
                <w:szCs w:val="18"/>
              </w:rPr>
              <w:t>5</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173,18</w:t>
            </w:r>
            <w:r>
              <w:rPr>
                <w:color w:val="000000"/>
                <w:sz w:val="18"/>
                <w:szCs w:val="18"/>
              </w:rPr>
              <w:t>6</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63,34</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Greensbor</w:t>
            </w:r>
            <w:r>
              <w:rPr>
                <w:color w:val="000000"/>
                <w:sz w:val="18"/>
                <w:szCs w:val="18"/>
              </w:rPr>
              <w:t>o</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84</w:t>
            </w:r>
            <w:r>
              <w:rPr>
                <w:color w:val="000000"/>
                <w:sz w:val="18"/>
                <w:szCs w:val="18"/>
              </w:rPr>
              <w:t>5</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13,41</w:t>
            </w:r>
            <w:r>
              <w:rPr>
                <w:color w:val="000000"/>
                <w:sz w:val="18"/>
                <w:szCs w:val="18"/>
              </w:rPr>
              <w:t>3</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35,32</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13,64</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15,50</w:t>
            </w:r>
            <w:r>
              <w:rPr>
                <w:color w:val="000000"/>
                <w:sz w:val="18"/>
                <w:szCs w:val="18"/>
              </w:rPr>
              <w:t>2</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46,88</w:t>
            </w:r>
            <w:r>
              <w:rPr>
                <w:color w:val="000000"/>
                <w:sz w:val="18"/>
                <w:szCs w:val="18"/>
              </w:rPr>
              <w:t>1</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62,38</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25,85</w:t>
            </w:r>
            <w:r>
              <w:rPr>
                <w:color w:val="000000"/>
                <w:sz w:val="18"/>
                <w:szCs w:val="18"/>
              </w:rPr>
              <w:t>3</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Colorado Spring</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99</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10,58</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38,23</w:t>
            </w:r>
            <w:r>
              <w:rPr>
                <w:color w:val="000000"/>
                <w:sz w:val="18"/>
                <w:szCs w:val="18"/>
              </w:rPr>
              <w:t>7</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22,06</w:t>
            </w:r>
            <w:r>
              <w:rPr>
                <w:color w:val="000000"/>
                <w:sz w:val="18"/>
                <w:szCs w:val="18"/>
              </w:rPr>
              <w:t>9</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10,58</w:t>
            </w:r>
            <w:r>
              <w:rPr>
                <w:color w:val="000000"/>
                <w:sz w:val="18"/>
                <w:szCs w:val="18"/>
              </w:rPr>
              <w:t>4</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60,31</w:t>
            </w:r>
            <w:r>
              <w:rPr>
                <w:color w:val="000000"/>
                <w:sz w:val="18"/>
                <w:szCs w:val="18"/>
              </w:rPr>
              <w:t>0</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70,89</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28,10</w:t>
            </w:r>
            <w:r>
              <w:rPr>
                <w:color w:val="000000"/>
                <w:sz w:val="18"/>
                <w:szCs w:val="18"/>
              </w:rPr>
              <w:t>8</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Chattanoog</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0</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69</w:t>
            </w:r>
            <w:r>
              <w:rPr>
                <w:color w:val="000000"/>
                <w:sz w:val="18"/>
                <w:szCs w:val="18"/>
              </w:rPr>
              <w:t>5</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6,56</w:t>
            </w:r>
            <w:r>
              <w:rPr>
                <w:color w:val="000000"/>
                <w:sz w:val="18"/>
                <w:szCs w:val="18"/>
              </w:rPr>
              <w:t>9</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26,04</w:t>
            </w:r>
            <w:r>
              <w:rPr>
                <w:color w:val="000000"/>
                <w:sz w:val="18"/>
                <w:szCs w:val="18"/>
              </w:rPr>
              <w:t>5</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7,50</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6,37</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33,74</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40,11</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14,69</w:t>
            </w:r>
            <w:r>
              <w:rPr>
                <w:color w:val="000000"/>
                <w:sz w:val="18"/>
                <w:szCs w:val="18"/>
              </w:rPr>
              <w:t>1</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Hartford/New Have</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1</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69</w:t>
            </w:r>
            <w:r>
              <w:rPr>
                <w:color w:val="000000"/>
                <w:sz w:val="18"/>
                <w:szCs w:val="18"/>
              </w:rPr>
              <w:t>3</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6,77</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19,95</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21,85</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8,44</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40,14</w:t>
            </w:r>
            <w:r>
              <w:rPr>
                <w:color w:val="000000"/>
                <w:sz w:val="18"/>
                <w:szCs w:val="18"/>
              </w:rPr>
              <w:t>4</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48,58</w:t>
            </w:r>
            <w:r>
              <w:rPr>
                <w:color w:val="000000"/>
                <w:sz w:val="18"/>
                <w:szCs w:val="18"/>
              </w:rPr>
              <w:t>7</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31,81</w:t>
            </w:r>
            <w:r>
              <w:rPr>
                <w:color w:val="000000"/>
                <w:sz w:val="18"/>
                <w:szCs w:val="18"/>
              </w:rPr>
              <w:t>0</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Savanna</w:t>
            </w:r>
            <w:r>
              <w:rPr>
                <w:color w:val="000000"/>
                <w:sz w:val="18"/>
                <w:szCs w:val="18"/>
              </w:rPr>
              <w:t>h</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68</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33,09</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42,46</w:t>
            </w:r>
            <w:r>
              <w:rPr>
                <w:color w:val="000000"/>
                <w:sz w:val="18"/>
                <w:szCs w:val="18"/>
              </w:rPr>
              <w:t>5</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2,57</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31,76</w:t>
            </w:r>
            <w:r>
              <w:rPr>
                <w:color w:val="000000"/>
                <w:sz w:val="18"/>
                <w:szCs w:val="18"/>
              </w:rPr>
              <w:t>6</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46,36</w:t>
            </w:r>
            <w:r>
              <w:rPr>
                <w:color w:val="000000"/>
                <w:sz w:val="18"/>
                <w:szCs w:val="18"/>
              </w:rPr>
              <w:t>9</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78,13</w:t>
            </w:r>
            <w:r>
              <w:rPr>
                <w:color w:val="000000"/>
                <w:sz w:val="18"/>
                <w:szCs w:val="18"/>
              </w:rPr>
              <w:t>5</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15,91</w:t>
            </w:r>
            <w:r>
              <w:rPr>
                <w:color w:val="000000"/>
                <w:sz w:val="18"/>
                <w:szCs w:val="18"/>
              </w:rPr>
              <w:t>0</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Charlesto</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95</w:t>
            </w:r>
            <w:r>
              <w:rPr>
                <w:color w:val="000000"/>
                <w:sz w:val="18"/>
                <w:szCs w:val="18"/>
              </w:rPr>
              <w:t>0</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16,94</w:t>
            </w:r>
            <w:r>
              <w:rPr>
                <w:color w:val="000000"/>
                <w:sz w:val="18"/>
                <w:szCs w:val="18"/>
              </w:rPr>
              <w:t>7</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56,79</w:t>
            </w:r>
            <w:r>
              <w:rPr>
                <w:color w:val="000000"/>
                <w:sz w:val="18"/>
                <w:szCs w:val="18"/>
              </w:rPr>
              <w:t>3</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17,25</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17,92</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73,07</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90,99</w:t>
            </w:r>
            <w:r>
              <w:rPr>
                <w:color w:val="000000"/>
                <w:sz w:val="18"/>
                <w:szCs w:val="18"/>
              </w:rPr>
              <w:t>6</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23,80</w:t>
            </w:r>
            <w:r>
              <w:rPr>
                <w:color w:val="000000"/>
                <w:sz w:val="18"/>
                <w:szCs w:val="18"/>
              </w:rPr>
              <w:t>1</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Fort Myers/Naple</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0</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77</w:t>
            </w:r>
            <w:r>
              <w:rPr>
                <w:color w:val="000000"/>
                <w:sz w:val="18"/>
                <w:szCs w:val="18"/>
              </w:rPr>
              <w:t>0</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21,52</w:t>
            </w:r>
            <w:r>
              <w:rPr>
                <w:color w:val="000000"/>
                <w:sz w:val="18"/>
                <w:szCs w:val="18"/>
              </w:rPr>
              <w:t>2</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46,39</w:t>
            </w:r>
            <w:r>
              <w:rPr>
                <w:color w:val="000000"/>
                <w:sz w:val="18"/>
                <w:szCs w:val="18"/>
              </w:rPr>
              <w:t>5</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5,35</w:t>
            </w:r>
            <w:r>
              <w:rPr>
                <w:color w:val="000000"/>
                <w:sz w:val="18"/>
                <w:szCs w:val="18"/>
              </w:rPr>
              <w:t>2</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21,75</w:t>
            </w:r>
            <w:r>
              <w:rPr>
                <w:color w:val="000000"/>
                <w:sz w:val="18"/>
                <w:szCs w:val="18"/>
              </w:rPr>
              <w:t>7</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51,51</w:t>
            </w:r>
            <w:r>
              <w:rPr>
                <w:color w:val="000000"/>
                <w:sz w:val="18"/>
                <w:szCs w:val="18"/>
              </w:rPr>
              <w:t>2</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73,26</w:t>
            </w:r>
            <w:r>
              <w:rPr>
                <w:color w:val="000000"/>
                <w:sz w:val="18"/>
                <w:szCs w:val="18"/>
              </w:rPr>
              <w:t>9</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17,49</w:t>
            </w:r>
            <w:r>
              <w:rPr>
                <w:color w:val="000000"/>
                <w:sz w:val="18"/>
                <w:szCs w:val="18"/>
              </w:rPr>
              <w:t>3</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New Orlean</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62</w:t>
            </w:r>
            <w:r>
              <w:rPr>
                <w:color w:val="000000"/>
                <w:sz w:val="18"/>
                <w:szCs w:val="18"/>
              </w:rPr>
              <w:t>7</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9,20</w:t>
            </w:r>
            <w:r>
              <w:rPr>
                <w:color w:val="000000"/>
                <w:sz w:val="18"/>
                <w:szCs w:val="18"/>
              </w:rPr>
              <w:t>5</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30,83</w:t>
            </w:r>
            <w:r>
              <w:rPr>
                <w:color w:val="000000"/>
                <w:sz w:val="18"/>
                <w:szCs w:val="18"/>
              </w:rPr>
              <w:t>2</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6,25</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9,37</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36,91</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46,29</w:t>
            </w:r>
            <w:r>
              <w:rPr>
                <w:color w:val="000000"/>
                <w:sz w:val="18"/>
                <w:szCs w:val="18"/>
              </w:rPr>
              <w:t>1</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24,91</w:t>
            </w:r>
            <w:r>
              <w:rPr>
                <w:color w:val="000000"/>
                <w:sz w:val="18"/>
                <w:szCs w:val="18"/>
              </w:rPr>
              <w:t>6</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Greensville/Spartanburg/Ashevill</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1</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62</w:t>
            </w:r>
            <w:r>
              <w:rPr>
                <w:color w:val="000000"/>
                <w:sz w:val="18"/>
                <w:szCs w:val="18"/>
              </w:rPr>
              <w:t>3</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9,03</w:t>
            </w:r>
            <w:r>
              <w:rPr>
                <w:color w:val="000000"/>
                <w:sz w:val="18"/>
                <w:szCs w:val="18"/>
              </w:rPr>
              <w:t>6</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20,76</w:t>
            </w:r>
            <w:r>
              <w:rPr>
                <w:color w:val="000000"/>
                <w:sz w:val="18"/>
                <w:szCs w:val="18"/>
              </w:rPr>
              <w:t>7</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10,05</w:t>
            </w:r>
            <w:r>
              <w:rPr>
                <w:color w:val="000000"/>
                <w:sz w:val="18"/>
                <w:szCs w:val="18"/>
              </w:rPr>
              <w:t>1</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9,96</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29,88</w:t>
            </w:r>
            <w:r>
              <w:rPr>
                <w:color w:val="000000"/>
                <w:sz w:val="18"/>
                <w:szCs w:val="18"/>
              </w:rPr>
              <w:t>9</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39,85</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20,32</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Ren</w:t>
            </w:r>
            <w:r>
              <w:rPr>
                <w:color w:val="000000"/>
                <w:sz w:val="18"/>
                <w:szCs w:val="18"/>
              </w:rPr>
              <w:t>o</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55</w:t>
            </w:r>
            <w:r>
              <w:rPr>
                <w:color w:val="000000"/>
                <w:sz w:val="18"/>
                <w:szCs w:val="18"/>
              </w:rPr>
              <w:t>9</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5,48</w:t>
            </w:r>
            <w:r>
              <w:rPr>
                <w:color w:val="000000"/>
                <w:sz w:val="18"/>
                <w:szCs w:val="18"/>
              </w:rPr>
              <w:t>7</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18,70</w:t>
            </w:r>
            <w:r>
              <w:rPr>
                <w:color w:val="000000"/>
                <w:sz w:val="18"/>
                <w:szCs w:val="18"/>
              </w:rPr>
              <w:t>4</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4,05</w:t>
            </w:r>
            <w:r>
              <w:rPr>
                <w:color w:val="000000"/>
                <w:sz w:val="18"/>
                <w:szCs w:val="18"/>
              </w:rPr>
              <w:t>8</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5,48</w:t>
            </w:r>
            <w:r>
              <w:rPr>
                <w:color w:val="000000"/>
                <w:sz w:val="18"/>
                <w:szCs w:val="18"/>
              </w:rPr>
              <w:t>7</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22,76</w:t>
            </w:r>
            <w:r>
              <w:rPr>
                <w:color w:val="000000"/>
                <w:sz w:val="18"/>
                <w:szCs w:val="18"/>
              </w:rPr>
              <w:t>2</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28,24</w:t>
            </w:r>
            <w:r>
              <w:rPr>
                <w:color w:val="000000"/>
                <w:sz w:val="18"/>
                <w:szCs w:val="18"/>
              </w:rPr>
              <w:t>9</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12,11</w:t>
            </w:r>
            <w:r>
              <w:rPr>
                <w:color w:val="000000"/>
                <w:sz w:val="18"/>
                <w:szCs w:val="18"/>
              </w:rPr>
              <w:t>0</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Birmingha</w:t>
            </w:r>
            <w:r>
              <w:rPr>
                <w:color w:val="000000"/>
                <w:sz w:val="18"/>
                <w:szCs w:val="18"/>
              </w:rPr>
              <w:t>m</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53</w:t>
            </w:r>
            <w:r>
              <w:rPr>
                <w:color w:val="000000"/>
                <w:sz w:val="18"/>
                <w:szCs w:val="18"/>
              </w:rPr>
              <w:t>8</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5,22</w:t>
            </w:r>
            <w:r>
              <w:rPr>
                <w:color w:val="000000"/>
                <w:sz w:val="18"/>
                <w:szCs w:val="18"/>
              </w:rPr>
              <w:t>9</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17,83</w:t>
            </w:r>
            <w:r>
              <w:rPr>
                <w:color w:val="000000"/>
                <w:sz w:val="18"/>
                <w:szCs w:val="18"/>
              </w:rPr>
              <w:t>5</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13,32</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5,11</w:t>
            </w:r>
            <w:r>
              <w:rPr>
                <w:color w:val="000000"/>
                <w:sz w:val="18"/>
                <w:szCs w:val="18"/>
              </w:rPr>
              <w:t>7</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31,27</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36,39</w:t>
            </w:r>
            <w:r>
              <w:rPr>
                <w:color w:val="000000"/>
                <w:sz w:val="18"/>
                <w:szCs w:val="18"/>
              </w:rPr>
              <w:t>0</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27,33</w:t>
            </w:r>
            <w:r>
              <w:rPr>
                <w:color w:val="000000"/>
                <w:sz w:val="18"/>
                <w:szCs w:val="18"/>
              </w:rPr>
              <w:t>5</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Salt Lake Cit</w:t>
            </w:r>
            <w:r>
              <w:rPr>
                <w:color w:val="000000"/>
                <w:sz w:val="18"/>
                <w:szCs w:val="18"/>
              </w:rPr>
              <w:t>y</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w:t>
            </w:r>
            <w:r>
              <w:rPr>
                <w:color w:val="000000"/>
                <w:sz w:val="18"/>
                <w:szCs w:val="18"/>
              </w:rPr>
              <w:t>7</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7,84</w:t>
            </w:r>
            <w:r>
              <w:rPr>
                <w:color w:val="000000"/>
                <w:sz w:val="18"/>
                <w:szCs w:val="18"/>
              </w:rPr>
              <w:t>6</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15,94</w:t>
            </w:r>
            <w:r>
              <w:rPr>
                <w:color w:val="000000"/>
                <w:sz w:val="18"/>
                <w:szCs w:val="18"/>
              </w:rPr>
              <w:t>7</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4,86</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7,49</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21,15</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28,65</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14,50</w:t>
            </w:r>
            <w:r>
              <w:rPr>
                <w:color w:val="000000"/>
                <w:sz w:val="18"/>
                <w:szCs w:val="18"/>
              </w:rPr>
              <w:t>6</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Memphi</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w:t>
            </w:r>
            <w:r>
              <w:rPr>
                <w:color w:val="000000"/>
                <w:sz w:val="18"/>
                <w:szCs w:val="18"/>
              </w:rPr>
              <w:t>0</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7,96</w:t>
            </w:r>
            <w:r>
              <w:rPr>
                <w:color w:val="000000"/>
                <w:sz w:val="18"/>
                <w:szCs w:val="18"/>
              </w:rPr>
              <w:t>2</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21,98</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9,04</w:t>
            </w:r>
            <w:r>
              <w:rPr>
                <w:color w:val="000000"/>
                <w:sz w:val="18"/>
                <w:szCs w:val="18"/>
              </w:rPr>
              <w:t>9</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9,31</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29,67</w:t>
            </w:r>
            <w:r>
              <w:rPr>
                <w:color w:val="000000"/>
                <w:sz w:val="18"/>
                <w:szCs w:val="18"/>
              </w:rPr>
              <w:t>7</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38,99</w:t>
            </w:r>
            <w:r>
              <w:rPr>
                <w:color w:val="000000"/>
                <w:sz w:val="18"/>
                <w:szCs w:val="18"/>
              </w:rPr>
              <w:t>2</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20,27</w:t>
            </w:r>
            <w:r>
              <w:rPr>
                <w:color w:val="000000"/>
                <w:sz w:val="18"/>
                <w:szCs w:val="18"/>
              </w:rPr>
              <w:t>8</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Buffalo/Rocheste</w:t>
            </w:r>
            <w:r>
              <w:rPr>
                <w:color w:val="000000"/>
                <w:sz w:val="18"/>
                <w:szCs w:val="18"/>
              </w:rPr>
              <w:t>r</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6,78</w:t>
            </w:r>
            <w:r>
              <w:rPr>
                <w:color w:val="000000"/>
                <w:sz w:val="18"/>
                <w:szCs w:val="18"/>
              </w:rPr>
              <w:t>5</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17,95</w:t>
            </w:r>
            <w:r>
              <w:rPr>
                <w:color w:val="000000"/>
                <w:sz w:val="18"/>
                <w:szCs w:val="18"/>
              </w:rPr>
              <w:t>4</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3,83</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6,78</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21,79</w:t>
            </w:r>
            <w:r>
              <w:rPr>
                <w:color w:val="000000"/>
                <w:sz w:val="18"/>
                <w:szCs w:val="18"/>
              </w:rPr>
              <w:t>2</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28,57</w:t>
            </w:r>
            <w:r>
              <w:rPr>
                <w:color w:val="000000"/>
                <w:sz w:val="18"/>
                <w:szCs w:val="18"/>
              </w:rPr>
              <w:t>5</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13,58</w:t>
            </w:r>
            <w:r>
              <w:rPr>
                <w:color w:val="000000"/>
                <w:sz w:val="18"/>
                <w:szCs w:val="18"/>
              </w:rPr>
              <w:t>9</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Richmon</w:t>
            </w:r>
            <w:r>
              <w:rPr>
                <w:color w:val="000000"/>
                <w:sz w:val="18"/>
                <w:szCs w:val="18"/>
              </w:rPr>
              <w:t>d</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3</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65</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18,09</w:t>
            </w:r>
            <w:r>
              <w:rPr>
                <w:color w:val="000000"/>
                <w:sz w:val="18"/>
                <w:szCs w:val="18"/>
              </w:rPr>
              <w:t>2</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40,16</w:t>
            </w:r>
            <w:r>
              <w:rPr>
                <w:color w:val="000000"/>
                <w:sz w:val="18"/>
                <w:szCs w:val="18"/>
              </w:rPr>
              <w:t>0</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5,17</w:t>
            </w:r>
            <w:r>
              <w:rPr>
                <w:color w:val="000000"/>
                <w:sz w:val="18"/>
                <w:szCs w:val="18"/>
              </w:rPr>
              <w:t>2</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17,89</w:t>
            </w:r>
            <w:r>
              <w:rPr>
                <w:color w:val="000000"/>
                <w:sz w:val="18"/>
                <w:szCs w:val="18"/>
              </w:rPr>
              <w:t>7</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45,52</w:t>
            </w:r>
            <w:r>
              <w:rPr>
                <w:color w:val="000000"/>
                <w:sz w:val="18"/>
                <w:szCs w:val="18"/>
              </w:rPr>
              <w:t>7</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63,42</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18,11</w:t>
            </w:r>
            <w:r>
              <w:rPr>
                <w:color w:val="000000"/>
                <w:sz w:val="18"/>
                <w:szCs w:val="18"/>
              </w:rPr>
              <w:t>8</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Tucso</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w:t>
            </w:r>
            <w:r>
              <w:rPr>
                <w:color w:val="000000"/>
                <w:sz w:val="18"/>
                <w:szCs w:val="18"/>
              </w:rPr>
              <w:t>9</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9,40</w:t>
            </w:r>
            <w:r>
              <w:rPr>
                <w:color w:val="000000"/>
                <w:sz w:val="18"/>
                <w:szCs w:val="18"/>
              </w:rPr>
              <w:t>3</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25,49</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5,73</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9,88</w:t>
            </w:r>
            <w:r>
              <w:rPr>
                <w:color w:val="000000"/>
                <w:sz w:val="18"/>
                <w:szCs w:val="18"/>
              </w:rPr>
              <w:t>4</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30,74</w:t>
            </w:r>
            <w:r>
              <w:rPr>
                <w:color w:val="000000"/>
                <w:sz w:val="18"/>
                <w:szCs w:val="18"/>
              </w:rPr>
              <w:t>4</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40,62</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19,10</w:t>
            </w:r>
            <w:r>
              <w:rPr>
                <w:color w:val="000000"/>
                <w:sz w:val="18"/>
                <w:szCs w:val="18"/>
              </w:rPr>
              <w:t>1</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Cleveland/Akro</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w:t>
            </w:r>
            <w:r>
              <w:rPr>
                <w:color w:val="000000"/>
                <w:sz w:val="18"/>
                <w:szCs w:val="18"/>
              </w:rPr>
              <w:t>3</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4,07</w:t>
            </w:r>
            <w:r>
              <w:rPr>
                <w:color w:val="000000"/>
                <w:sz w:val="18"/>
                <w:szCs w:val="18"/>
              </w:rPr>
              <w:t>0</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16,13</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5,48</w:t>
            </w:r>
            <w:r>
              <w:rPr>
                <w:color w:val="000000"/>
                <w:sz w:val="18"/>
                <w:szCs w:val="18"/>
              </w:rPr>
              <w:t>3</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4,46</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21,22</w:t>
            </w:r>
            <w:r>
              <w:rPr>
                <w:color w:val="000000"/>
                <w:sz w:val="18"/>
                <w:szCs w:val="18"/>
              </w:rPr>
              <w:t>9</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25,69</w:t>
            </w:r>
            <w:r>
              <w:rPr>
                <w:color w:val="000000"/>
                <w:sz w:val="18"/>
                <w:szCs w:val="18"/>
              </w:rPr>
              <w:t>2</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11,95</w:t>
            </w:r>
            <w:r>
              <w:rPr>
                <w:color w:val="000000"/>
                <w:sz w:val="18"/>
                <w:szCs w:val="18"/>
              </w:rPr>
              <w:t>4</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Wichit</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w:t>
            </w:r>
            <w:r>
              <w:rPr>
                <w:color w:val="000000"/>
                <w:sz w:val="18"/>
                <w:szCs w:val="18"/>
              </w:rPr>
              <w:t>3</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2,01</w:t>
            </w:r>
            <w:r>
              <w:rPr>
                <w:color w:val="000000"/>
                <w:sz w:val="18"/>
                <w:szCs w:val="18"/>
              </w:rPr>
              <w:t>7</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6,69</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7,26</w:t>
            </w:r>
            <w:r>
              <w:rPr>
                <w:color w:val="000000"/>
                <w:sz w:val="18"/>
                <w:szCs w:val="18"/>
              </w:rPr>
              <w:t>5</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2,13</w:t>
            </w:r>
            <w:r>
              <w:rPr>
                <w:color w:val="000000"/>
                <w:sz w:val="18"/>
                <w:szCs w:val="18"/>
              </w:rPr>
              <w:t>0</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13,84</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15,97</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11,75</w:t>
            </w:r>
            <w:r>
              <w:rPr>
                <w:color w:val="000000"/>
                <w:sz w:val="18"/>
                <w:szCs w:val="18"/>
              </w:rPr>
              <w:t>5</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Mobil</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0</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4,68</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21,17</w:t>
            </w:r>
            <w:r>
              <w:rPr>
                <w:color w:val="000000"/>
                <w:sz w:val="18"/>
                <w:szCs w:val="18"/>
              </w:rPr>
              <w:t>0</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4,90</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4,51</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26,24</w:t>
            </w:r>
            <w:r>
              <w:rPr>
                <w:color w:val="000000"/>
                <w:sz w:val="18"/>
                <w:szCs w:val="18"/>
              </w:rPr>
              <w:t>9</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30,76</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12,90</w:t>
            </w:r>
            <w:r>
              <w:rPr>
                <w:color w:val="000000"/>
                <w:sz w:val="18"/>
                <w:szCs w:val="18"/>
              </w:rPr>
              <w:t>0</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Omah</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37</w:t>
            </w:r>
            <w:r>
              <w:rPr>
                <w:color w:val="000000"/>
                <w:sz w:val="18"/>
                <w:szCs w:val="18"/>
              </w:rPr>
              <w:t>7</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7,49</w:t>
            </w:r>
            <w:r>
              <w:rPr>
                <w:color w:val="000000"/>
                <w:sz w:val="18"/>
                <w:szCs w:val="18"/>
              </w:rPr>
              <w:t>1</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20,93</w:t>
            </w:r>
            <w:r>
              <w:rPr>
                <w:color w:val="000000"/>
                <w:sz w:val="18"/>
                <w:szCs w:val="18"/>
              </w:rPr>
              <w:t>0</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3,01</w:t>
            </w:r>
            <w:r>
              <w:rPr>
                <w:color w:val="000000"/>
                <w:sz w:val="18"/>
                <w:szCs w:val="18"/>
              </w:rPr>
              <w:t>9</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7,49</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23,94</w:t>
            </w:r>
            <w:r>
              <w:rPr>
                <w:color w:val="000000"/>
                <w:sz w:val="18"/>
                <w:szCs w:val="18"/>
              </w:rPr>
              <w:t>9</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31,44</w:t>
            </w:r>
            <w:r>
              <w:rPr>
                <w:color w:val="000000"/>
                <w:sz w:val="18"/>
                <w:szCs w:val="18"/>
              </w:rPr>
              <w:t>0</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3,18</w:t>
            </w:r>
            <w:r>
              <w:rPr>
                <w:color w:val="000000"/>
                <w:sz w:val="18"/>
                <w:szCs w:val="18"/>
              </w:rPr>
              <w:t>9</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Monterey/Salina</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32</w:t>
            </w:r>
            <w:r>
              <w:rPr>
                <w:color w:val="000000"/>
                <w:sz w:val="18"/>
                <w:szCs w:val="18"/>
              </w:rPr>
              <w:t>9</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8,46</w:t>
            </w:r>
            <w:r>
              <w:rPr>
                <w:color w:val="000000"/>
                <w:sz w:val="18"/>
                <w:szCs w:val="18"/>
              </w:rPr>
              <w:t>5</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24,15</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4,17</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8,45</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28,33</w:t>
            </w:r>
            <w:r>
              <w:rPr>
                <w:color w:val="000000"/>
                <w:sz w:val="18"/>
                <w:szCs w:val="18"/>
              </w:rPr>
              <w:t>1</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36,78</w:t>
            </w:r>
            <w:r>
              <w:rPr>
                <w:color w:val="000000"/>
                <w:sz w:val="18"/>
                <w:szCs w:val="18"/>
              </w:rPr>
              <w:t>6</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21,03</w:t>
            </w:r>
            <w:r>
              <w:rPr>
                <w:color w:val="000000"/>
                <w:sz w:val="18"/>
                <w:szCs w:val="18"/>
              </w:rPr>
              <w:t>3</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Palm Spring</w:t>
            </w:r>
            <w:r>
              <w:rPr>
                <w:color w:val="000000"/>
                <w:sz w:val="18"/>
                <w:szCs w:val="18"/>
              </w:rPr>
              <w:t>s</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w:t>
            </w:r>
            <w:r>
              <w:rPr>
                <w:color w:val="000000"/>
                <w:sz w:val="18"/>
                <w:szCs w:val="18"/>
              </w:rPr>
              <w:t>2</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8,30</w:t>
            </w:r>
            <w:r>
              <w:rPr>
                <w:color w:val="000000"/>
                <w:sz w:val="18"/>
                <w:szCs w:val="18"/>
              </w:rPr>
              <w:t>9</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18,06</w:t>
            </w:r>
            <w:r>
              <w:rPr>
                <w:color w:val="000000"/>
                <w:sz w:val="18"/>
                <w:szCs w:val="18"/>
              </w:rPr>
              <w:t>5</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1,28</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8,30</w:t>
            </w:r>
            <w:r>
              <w:rPr>
                <w:color w:val="000000"/>
                <w:sz w:val="18"/>
                <w:szCs w:val="18"/>
              </w:rPr>
              <w:t>9</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19,35</w:t>
            </w:r>
            <w:r>
              <w:rPr>
                <w:color w:val="000000"/>
                <w:sz w:val="18"/>
                <w:szCs w:val="18"/>
              </w:rPr>
              <w:t>1</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27,66</w:t>
            </w:r>
            <w:r>
              <w:rPr>
                <w:color w:val="000000"/>
                <w:sz w:val="18"/>
                <w:szCs w:val="18"/>
              </w:rPr>
              <w:t>0</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10,35</w:t>
            </w:r>
            <w:r>
              <w:rPr>
                <w:color w:val="000000"/>
                <w:sz w:val="18"/>
                <w:szCs w:val="18"/>
              </w:rPr>
              <w:t>6</w:t>
            </w:r>
            <w:r>
              <w:rPr>
                <w:color w:val="000000"/>
                <w:sz w:val="18"/>
                <w:szCs w:val="18"/>
              </w:rPr>
              <w:t> </w:t>
            </w:r>
          </w:p>
        </w:tc>
      </w:tr>
    </w:tbl>
    <w:p w:rsidR="00000000" w:rsidRDefault="00865332">
      <w:pPr>
        <w:pStyle w:val="a3"/>
        <w:spacing w:before="0" w:beforeAutospacing="0" w:after="0" w:afterAutospacing="0" w:line="259" w:lineRule="auto"/>
        <w:jc w:val="center"/>
        <w:divId w:val="1570261785"/>
        <w:rPr>
          <w:sz w:val="20"/>
          <w:szCs w:val="20"/>
        </w:rPr>
      </w:pPr>
      <w:r>
        <w:rPr>
          <w:sz w:val="20"/>
          <w:szCs w:val="20"/>
        </w:rPr>
        <w:t>F</w:t>
      </w:r>
      <w:r>
        <w:rPr>
          <w:sz w:val="20"/>
          <w:szCs w:val="20"/>
        </w:rPr>
        <w:t>-</w:t>
      </w:r>
      <w:r>
        <w:rPr>
          <w:rStyle w:val="ctheaderfooterpage"/>
          <w:sz w:val="20"/>
          <w:szCs w:val="20"/>
        </w:rPr>
        <w:t>3</w:t>
      </w:r>
      <w:r>
        <w:rPr>
          <w:rStyle w:val="ctheaderfooterpage"/>
          <w:sz w:val="20"/>
          <w:szCs w:val="20"/>
        </w:rPr>
        <w:t>4</w:t>
      </w:r>
    </w:p>
    <w:p w:rsidR="00000000" w:rsidRDefault="00865332">
      <w:pPr>
        <w:spacing w:before="360" w:after="360"/>
        <w:divId w:val="572471657"/>
        <w:rPr>
          <w:rFonts w:eastAsia="Times New Roman"/>
        </w:rPr>
      </w:pPr>
      <w:r>
        <w:rPr>
          <w:rFonts w:eastAsia="Times New Roman"/>
        </w:rPr>
        <w:pict>
          <v:rect id="_x0000_i1129" style="width:0;height:1.5pt" o:hralign="center" o:hrstd="t" o:hr="t" fillcolor="#a0a0a0" stroked="f"/>
        </w:pict>
      </w:r>
    </w:p>
    <w:tbl>
      <w:tblPr>
        <w:tblW w:w="12200" w:type="pct"/>
        <w:tblCellMar>
          <w:top w:w="15" w:type="dxa"/>
          <w:left w:w="15" w:type="dxa"/>
          <w:bottom w:w="15" w:type="dxa"/>
          <w:right w:w="15" w:type="dxa"/>
        </w:tblCellMar>
        <w:tblLook w:val="04A0" w:firstRow="1" w:lastRow="0" w:firstColumn="1" w:lastColumn="0" w:noHBand="0" w:noVBand="1"/>
      </w:tblPr>
      <w:tblGrid>
        <w:gridCol w:w="1520"/>
        <w:gridCol w:w="660"/>
        <w:gridCol w:w="670"/>
        <w:gridCol w:w="600"/>
        <w:gridCol w:w="527"/>
        <w:gridCol w:w="1040"/>
        <w:gridCol w:w="860"/>
        <w:gridCol w:w="466"/>
        <w:gridCol w:w="709"/>
        <w:gridCol w:w="589"/>
        <w:gridCol w:w="990"/>
        <w:gridCol w:w="5818"/>
        <w:gridCol w:w="5818"/>
      </w:tblGrid>
      <w:tr w:rsidR="00000000">
        <w:trPr>
          <w:gridAfter w:val="2"/>
          <w:divId w:val="1577788493"/>
          <w:wAfter w:w="11976" w:type="dxa"/>
          <w:trHeight w:val="14"/>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2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r>
      <w:tr w:rsidR="00000000">
        <w:trPr>
          <w:divId w:val="1577788493"/>
          <w:trHeight w:val="245"/>
        </w:trPr>
        <w:tc>
          <w:tcPr>
            <w:tcW w:w="2045" w:type="pct"/>
            <w:gridSpan w:val="11"/>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PUBLIC STORAG</w:t>
            </w:r>
            <w:r>
              <w:rPr>
                <w:color w:val="000000"/>
                <w:sz w:val="18"/>
                <w:szCs w:val="18"/>
              </w:rPr>
              <w:t>E</w:t>
            </w:r>
          </w:p>
        </w:tc>
        <w:tc>
          <w:tcPr>
            <w:tcW w:w="1475" w:type="pct"/>
            <w:tcBorders>
              <w:top w:val="nil"/>
              <w:left w:val="nil"/>
              <w:bottom w:val="nil"/>
              <w:right w:val="nil"/>
            </w:tcBorders>
            <w:tcMar>
              <w:top w:w="0" w:type="dxa"/>
              <w:left w:w="15" w:type="dxa"/>
              <w:bottom w:w="0" w:type="dxa"/>
              <w:right w:w="15" w:type="dxa"/>
            </w:tcMar>
            <w:hideMark/>
          </w:tcPr>
          <w:p w:rsidR="00000000" w:rsidRDefault="00865332">
            <w:pPr>
              <w:rPr>
                <w:sz w:val="18"/>
                <w:szCs w:val="18"/>
              </w:rPr>
            </w:pPr>
          </w:p>
        </w:tc>
        <w:tc>
          <w:tcPr>
            <w:tcW w:w="148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577788493"/>
          <w:trHeight w:val="245"/>
        </w:trPr>
        <w:tc>
          <w:tcPr>
            <w:tcW w:w="2045" w:type="pct"/>
            <w:gridSpan w:val="11"/>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SCHEDULE III - REAL ESTAT</w:t>
            </w:r>
            <w:r>
              <w:rPr>
                <w:color w:val="000000"/>
                <w:sz w:val="18"/>
                <w:szCs w:val="18"/>
              </w:rPr>
              <w:t>E</w:t>
            </w:r>
          </w:p>
        </w:tc>
        <w:tc>
          <w:tcPr>
            <w:tcW w:w="1475" w:type="pct"/>
            <w:tcBorders>
              <w:top w:val="nil"/>
              <w:left w:val="nil"/>
              <w:bottom w:val="nil"/>
              <w:right w:val="nil"/>
            </w:tcBorders>
            <w:tcMar>
              <w:top w:w="0" w:type="dxa"/>
              <w:left w:w="15" w:type="dxa"/>
              <w:bottom w:w="0" w:type="dxa"/>
              <w:right w:w="15" w:type="dxa"/>
            </w:tcMar>
            <w:hideMark/>
          </w:tcPr>
          <w:p w:rsidR="00000000" w:rsidRDefault="00865332">
            <w:pPr>
              <w:rPr>
                <w:sz w:val="18"/>
                <w:szCs w:val="18"/>
              </w:rPr>
            </w:pPr>
          </w:p>
        </w:tc>
        <w:tc>
          <w:tcPr>
            <w:tcW w:w="148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577788493"/>
          <w:trHeight w:val="245"/>
        </w:trPr>
        <w:tc>
          <w:tcPr>
            <w:tcW w:w="2045" w:type="pct"/>
            <w:gridSpan w:val="11"/>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AND ACCUMULATED DEPRECIATIO</w:t>
            </w:r>
            <w:r>
              <w:rPr>
                <w:color w:val="000000"/>
                <w:sz w:val="18"/>
                <w:szCs w:val="18"/>
              </w:rPr>
              <w:t>N</w:t>
            </w:r>
          </w:p>
        </w:tc>
        <w:tc>
          <w:tcPr>
            <w:tcW w:w="1475" w:type="pct"/>
            <w:tcBorders>
              <w:top w:val="nil"/>
              <w:left w:val="nil"/>
              <w:bottom w:val="nil"/>
              <w:right w:val="nil"/>
            </w:tcBorders>
            <w:tcMar>
              <w:top w:w="0" w:type="dxa"/>
              <w:left w:w="15" w:type="dxa"/>
              <w:bottom w:w="0" w:type="dxa"/>
              <w:right w:w="15" w:type="dxa"/>
            </w:tcMar>
            <w:hideMark/>
          </w:tcPr>
          <w:p w:rsidR="00000000" w:rsidRDefault="00865332">
            <w:pPr>
              <w:rPr>
                <w:sz w:val="18"/>
                <w:szCs w:val="18"/>
              </w:rPr>
            </w:pPr>
          </w:p>
        </w:tc>
        <w:tc>
          <w:tcPr>
            <w:tcW w:w="148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r>
      <w:tr w:rsidR="00000000">
        <w:trPr>
          <w:divId w:val="1577788493"/>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2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577788493"/>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rPr>
                <w:rFonts w:eastAsia="Times New Roman"/>
                <w:sz w:val="20"/>
                <w:szCs w:val="20"/>
              </w:rPr>
            </w:pP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5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2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577788493"/>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3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18"/>
                <w:szCs w:val="18"/>
              </w:rPr>
            </w:pPr>
            <w:r>
              <w:rPr>
                <w:color w:val="000000"/>
                <w:sz w:val="18"/>
                <w:szCs w:val="18"/>
              </w:rPr>
              <w:t>Ne</w:t>
            </w:r>
            <w:r>
              <w:rPr>
                <w:color w:val="000000"/>
                <w:sz w:val="18"/>
                <w:szCs w:val="18"/>
              </w:rPr>
              <w:t>t</w:t>
            </w: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201</w:t>
            </w:r>
            <w:r>
              <w:rPr>
                <w:color w:val="000000"/>
                <w:sz w:val="18"/>
                <w:szCs w:val="18"/>
              </w:rPr>
              <w:t>9</w:t>
            </w:r>
          </w:p>
        </w:tc>
        <w:tc>
          <w:tcPr>
            <w:tcW w:w="355" w:type="pct"/>
            <w:gridSpan w:val="2"/>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Initial Cos</w:t>
            </w:r>
            <w:r>
              <w:rPr>
                <w:color w:val="000000"/>
                <w:sz w:val="18"/>
                <w:szCs w:val="18"/>
              </w:rPr>
              <w:t>t</w:t>
            </w: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Cost</w:t>
            </w:r>
            <w:r>
              <w:rPr>
                <w:color w:val="000000"/>
                <w:sz w:val="18"/>
                <w:szCs w:val="18"/>
              </w:rPr>
              <w:t>s</w:t>
            </w:r>
          </w:p>
        </w:tc>
        <w:tc>
          <w:tcPr>
            <w:tcW w:w="555" w:type="pct"/>
            <w:gridSpan w:val="3"/>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Gross Carrying Amoun</w:t>
            </w:r>
            <w:r>
              <w:rPr>
                <w:color w:val="000000"/>
                <w:sz w:val="18"/>
                <w:szCs w:val="18"/>
              </w:rPr>
              <w:t>t</w:t>
            </w: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rPr>
                <w:sz w:val="18"/>
                <w:szCs w:val="18"/>
              </w:rPr>
            </w:pP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577788493"/>
          <w:trHeight w:val="245"/>
        </w:trPr>
        <w:tc>
          <w:tcPr>
            <w:tcW w:w="415" w:type="pct"/>
            <w:tcBorders>
              <w:top w:val="nil"/>
              <w:left w:val="nil"/>
              <w:bottom w:val="nil"/>
              <w:right w:val="nil"/>
            </w:tcBorders>
            <w:tcMar>
              <w:top w:w="0" w:type="dxa"/>
              <w:left w:w="15" w:type="dxa"/>
              <w:bottom w:w="0" w:type="dxa"/>
              <w:right w:w="15" w:type="dxa"/>
            </w:tcMar>
            <w:vAlign w:val="bottom"/>
            <w:hideMark/>
          </w:tcPr>
          <w:p w:rsidR="00000000" w:rsidRDefault="00865332">
            <w:pPr>
              <w:rPr>
                <w:rFonts w:eastAsia="Times New Roman"/>
                <w:sz w:val="20"/>
                <w:szCs w:val="20"/>
              </w:rPr>
            </w:pPr>
          </w:p>
        </w:tc>
        <w:tc>
          <w:tcPr>
            <w:tcW w:w="12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No. o</w:t>
            </w:r>
            <w:r>
              <w:rPr>
                <w:color w:val="000000"/>
                <w:sz w:val="18"/>
                <w:szCs w:val="18"/>
              </w:rPr>
              <w:t>f</w:t>
            </w:r>
          </w:p>
        </w:tc>
        <w:tc>
          <w:tcPr>
            <w:tcW w:w="130" w:type="pct"/>
            <w:tcBorders>
              <w:top w:val="nil"/>
              <w:left w:val="nil"/>
              <w:bottom w:val="nil"/>
              <w:right w:val="nil"/>
            </w:tcBorders>
            <w:tcMar>
              <w:top w:w="0" w:type="dxa"/>
              <w:left w:w="15" w:type="dxa"/>
              <w:bottom w:w="0" w:type="dxa"/>
              <w:right w:w="15" w:type="dxa"/>
            </w:tcMar>
            <w:hideMark/>
          </w:tcPr>
          <w:p w:rsidR="00000000" w:rsidRDefault="00865332">
            <w:pPr>
              <w:pStyle w:val="a3"/>
              <w:spacing w:before="0" w:beforeAutospacing="0" w:after="0" w:afterAutospacing="0" w:line="276" w:lineRule="auto"/>
              <w:jc w:val="center"/>
              <w:rPr>
                <w:sz w:val="18"/>
                <w:szCs w:val="18"/>
              </w:rPr>
            </w:pPr>
            <w:r>
              <w:rPr>
                <w:color w:val="000000"/>
                <w:sz w:val="18"/>
                <w:szCs w:val="18"/>
              </w:rPr>
              <w:t>Rentabl</w:t>
            </w:r>
            <w:r>
              <w:rPr>
                <w:color w:val="000000"/>
                <w:sz w:val="18"/>
                <w:szCs w:val="18"/>
              </w:rPr>
              <w:t>e</w:t>
            </w:r>
          </w:p>
        </w:tc>
        <w:tc>
          <w:tcPr>
            <w:tcW w:w="11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Encum</w:t>
            </w:r>
            <w:r>
              <w:rPr>
                <w:color w:val="000000"/>
                <w:sz w:val="18"/>
                <w:szCs w:val="18"/>
              </w:rPr>
              <w:t>-</w:t>
            </w:r>
          </w:p>
        </w:tc>
        <w:tc>
          <w:tcPr>
            <w:tcW w:w="170" w:type="pct"/>
            <w:tcBorders>
              <w:top w:val="single" w:sz="8" w:space="0" w:color="000000"/>
              <w:left w:val="nil"/>
              <w:bottom w:val="nil"/>
              <w:right w:val="nil"/>
            </w:tcBorders>
            <w:tcMar>
              <w:top w:w="0" w:type="dxa"/>
              <w:left w:w="0" w:type="dxa"/>
              <w:bottom w:w="0" w:type="dxa"/>
              <w:right w:w="0" w:type="dxa"/>
            </w:tcMar>
            <w:vAlign w:val="bottom"/>
            <w:hideMark/>
          </w:tcPr>
          <w:p w:rsidR="00000000" w:rsidRDefault="00865332">
            <w:pPr>
              <w:rPr>
                <w:sz w:val="18"/>
                <w:szCs w:val="18"/>
              </w:rPr>
            </w:pPr>
          </w:p>
        </w:tc>
        <w:tc>
          <w:tcPr>
            <w:tcW w:w="185" w:type="pct"/>
            <w:tcBorders>
              <w:top w:val="single" w:sz="8" w:space="0" w:color="000000"/>
              <w:left w:val="nil"/>
              <w:bottom w:val="nil"/>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 xml:space="preserve">Buildings </w:t>
            </w:r>
            <w:r>
              <w:rPr>
                <w:color w:val="000000"/>
                <w:sz w:val="18"/>
                <w:szCs w:val="18"/>
              </w:rPr>
              <w:t>&amp;</w:t>
            </w:r>
          </w:p>
        </w:tc>
        <w:tc>
          <w:tcPr>
            <w:tcW w:w="185"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Subsequent</w:t>
            </w:r>
            <w:r>
              <w:rPr>
                <w:color w:val="000000"/>
                <w:sz w:val="18"/>
                <w:szCs w:val="18"/>
              </w:rPr>
              <w:t xml:space="preserve"> </w:t>
            </w:r>
          </w:p>
        </w:tc>
        <w:tc>
          <w:tcPr>
            <w:tcW w:w="555" w:type="pct"/>
            <w:gridSpan w:val="3"/>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At December 31, 201</w:t>
            </w:r>
            <w:r>
              <w:rPr>
                <w:color w:val="000000"/>
                <w:sz w:val="18"/>
                <w:szCs w:val="18"/>
              </w:rPr>
              <w:t>9</w:t>
            </w:r>
          </w:p>
        </w:tc>
        <w:tc>
          <w:tcPr>
            <w:tcW w:w="170" w:type="pct"/>
            <w:tcBorders>
              <w:top w:val="nil"/>
              <w:left w:val="nil"/>
              <w:bottom w:val="nil"/>
              <w:right w:val="nil"/>
            </w:tcBorders>
            <w:tcMar>
              <w:top w:w="0" w:type="dxa"/>
              <w:left w:w="15" w:type="dxa"/>
              <w:bottom w:w="0" w:type="dxa"/>
              <w:right w:w="15"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Accumulate</w:t>
            </w:r>
            <w:r>
              <w:rPr>
                <w:color w:val="000000"/>
                <w:sz w:val="18"/>
                <w:szCs w:val="18"/>
              </w:rPr>
              <w:t>d</w:t>
            </w: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r w:rsidR="00000000">
        <w:trPr>
          <w:divId w:val="1577788493"/>
          <w:trHeight w:val="245"/>
        </w:trPr>
        <w:tc>
          <w:tcPr>
            <w:tcW w:w="41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Descriptio</w:t>
            </w:r>
            <w:r>
              <w:rPr>
                <w:color w:val="000000"/>
                <w:sz w:val="18"/>
                <w:szCs w:val="18"/>
              </w:rPr>
              <w:t>n</w:t>
            </w:r>
          </w:p>
        </w:tc>
        <w:tc>
          <w:tcPr>
            <w:tcW w:w="12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Facilitie</w:t>
            </w:r>
            <w:r>
              <w:rPr>
                <w:color w:val="000000"/>
                <w:sz w:val="18"/>
                <w:szCs w:val="18"/>
              </w:rPr>
              <w:t>s</w:t>
            </w:r>
          </w:p>
        </w:tc>
        <w:tc>
          <w:tcPr>
            <w:tcW w:w="130" w:type="pct"/>
            <w:tcBorders>
              <w:top w:val="nil"/>
              <w:left w:val="nil"/>
              <w:bottom w:val="single" w:sz="8" w:space="0" w:color="000000"/>
              <w:right w:val="nil"/>
            </w:tcBorders>
            <w:tcMar>
              <w:top w:w="0" w:type="dxa"/>
              <w:left w:w="0" w:type="dxa"/>
              <w:bottom w:w="0" w:type="dxa"/>
              <w:right w:w="0" w:type="dxa"/>
            </w:tcMar>
            <w:hideMark/>
          </w:tcPr>
          <w:p w:rsidR="00000000" w:rsidRDefault="00865332">
            <w:pPr>
              <w:pStyle w:val="a3"/>
              <w:spacing w:before="0" w:beforeAutospacing="0" w:after="0" w:afterAutospacing="0" w:line="276" w:lineRule="auto"/>
              <w:jc w:val="center"/>
              <w:rPr>
                <w:sz w:val="18"/>
                <w:szCs w:val="18"/>
              </w:rPr>
            </w:pPr>
            <w:r>
              <w:rPr>
                <w:color w:val="000000"/>
                <w:sz w:val="18"/>
                <w:szCs w:val="18"/>
              </w:rPr>
              <w:t>Sq. Fee</w:t>
            </w:r>
            <w:r>
              <w:rPr>
                <w:color w:val="000000"/>
                <w:sz w:val="18"/>
                <w:szCs w:val="18"/>
              </w:rPr>
              <w:t>t</w:t>
            </w:r>
          </w:p>
        </w:tc>
        <w:tc>
          <w:tcPr>
            <w:tcW w:w="11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brance</w:t>
            </w:r>
            <w:r>
              <w:rPr>
                <w:color w:val="000000"/>
                <w:sz w:val="18"/>
                <w:szCs w:val="18"/>
              </w:rPr>
              <w:t>s</w:t>
            </w:r>
          </w:p>
        </w:tc>
        <w:tc>
          <w:tcPr>
            <w:tcW w:w="170"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Lan</w:t>
            </w:r>
            <w:r>
              <w:rPr>
                <w:color w:val="000000"/>
                <w:sz w:val="18"/>
                <w:szCs w:val="18"/>
              </w:rPr>
              <w:t>d</w:t>
            </w:r>
          </w:p>
        </w:tc>
        <w:tc>
          <w:tcPr>
            <w:tcW w:w="18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Improvement</w:t>
            </w:r>
            <w:r>
              <w:rPr>
                <w:color w:val="000000"/>
                <w:sz w:val="18"/>
                <w:szCs w:val="18"/>
              </w:rPr>
              <w:t>s</w:t>
            </w:r>
          </w:p>
        </w:tc>
        <w:tc>
          <w:tcPr>
            <w:tcW w:w="185"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to Acquisitio</w:t>
            </w:r>
            <w:r>
              <w:rPr>
                <w:color w:val="000000"/>
                <w:sz w:val="18"/>
                <w:szCs w:val="18"/>
              </w:rPr>
              <w:t>n</w:t>
            </w:r>
          </w:p>
        </w:tc>
        <w:tc>
          <w:tcPr>
            <w:tcW w:w="155" w:type="pct"/>
            <w:tcBorders>
              <w:top w:val="single" w:sz="8" w:space="0" w:color="000000"/>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Lan</w:t>
            </w:r>
            <w:r>
              <w:rPr>
                <w:color w:val="000000"/>
                <w:sz w:val="18"/>
                <w:szCs w:val="18"/>
              </w:rPr>
              <w:t>d</w:t>
            </w:r>
          </w:p>
        </w:tc>
        <w:tc>
          <w:tcPr>
            <w:tcW w:w="215" w:type="pct"/>
            <w:tcBorders>
              <w:top w:val="single" w:sz="8" w:space="0" w:color="000000"/>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Building</w:t>
            </w:r>
            <w:r>
              <w:rPr>
                <w:color w:val="000000"/>
                <w:sz w:val="18"/>
                <w:szCs w:val="18"/>
              </w:rPr>
              <w:t>s</w:t>
            </w:r>
          </w:p>
        </w:tc>
        <w:tc>
          <w:tcPr>
            <w:tcW w:w="185" w:type="pct"/>
            <w:tcBorders>
              <w:top w:val="single" w:sz="8" w:space="0" w:color="000000"/>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Tota</w:t>
            </w:r>
            <w:r>
              <w:rPr>
                <w:color w:val="000000"/>
                <w:sz w:val="18"/>
                <w:szCs w:val="18"/>
              </w:rPr>
              <w:t>l</w:t>
            </w:r>
          </w:p>
        </w:tc>
        <w:tc>
          <w:tcPr>
            <w:tcW w:w="170" w:type="pct"/>
            <w:tcBorders>
              <w:top w:val="nil"/>
              <w:left w:val="nil"/>
              <w:bottom w:val="single" w:sz="8" w:space="0" w:color="000000"/>
              <w:right w:val="nil"/>
            </w:tcBorders>
            <w:tcMar>
              <w:top w:w="0" w:type="dxa"/>
              <w:left w:w="0" w:type="dxa"/>
              <w:bottom w:w="0" w:type="dxa"/>
              <w:right w:w="0" w:type="dxa"/>
            </w:tcMar>
            <w:vAlign w:val="bottom"/>
            <w:hideMark/>
          </w:tcPr>
          <w:p w:rsidR="00000000" w:rsidRDefault="00865332">
            <w:pPr>
              <w:pStyle w:val="a3"/>
              <w:spacing w:before="0" w:beforeAutospacing="0" w:after="0" w:afterAutospacing="0" w:line="276" w:lineRule="auto"/>
              <w:jc w:val="center"/>
              <w:rPr>
                <w:sz w:val="18"/>
                <w:szCs w:val="18"/>
              </w:rPr>
            </w:pPr>
            <w:r>
              <w:rPr>
                <w:color w:val="000000"/>
                <w:sz w:val="18"/>
                <w:szCs w:val="18"/>
              </w:rPr>
              <w:t>Depreciatio</w:t>
            </w:r>
            <w:r>
              <w:rPr>
                <w:color w:val="000000"/>
                <w:sz w:val="18"/>
                <w:szCs w:val="18"/>
              </w:rPr>
              <w:t>n</w:t>
            </w:r>
          </w:p>
        </w:tc>
        <w:tc>
          <w:tcPr>
            <w:tcW w:w="0" w:type="auto"/>
            <w:vAlign w:val="center"/>
            <w:hideMark/>
          </w:tcPr>
          <w:p w:rsidR="00000000" w:rsidRDefault="00865332">
            <w:pPr>
              <w:rPr>
                <w:rFonts w:eastAsia="Times New Roman"/>
                <w:sz w:val="20"/>
                <w:szCs w:val="20"/>
              </w:rPr>
            </w:pPr>
          </w:p>
        </w:tc>
        <w:tc>
          <w:tcPr>
            <w:tcW w:w="0" w:type="auto"/>
            <w:vAlign w:val="center"/>
            <w:hideMark/>
          </w:tcPr>
          <w:p w:rsidR="00000000" w:rsidRDefault="00865332">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677"/>
        <w:gridCol w:w="506"/>
        <w:gridCol w:w="548"/>
        <w:gridCol w:w="514"/>
        <w:gridCol w:w="681"/>
        <w:gridCol w:w="739"/>
        <w:gridCol w:w="697"/>
        <w:gridCol w:w="681"/>
        <w:gridCol w:w="805"/>
        <w:gridCol w:w="747"/>
        <w:gridCol w:w="706"/>
      </w:tblGrid>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Evansvill</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32</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2,34</w:t>
            </w:r>
            <w:r>
              <w:rPr>
                <w:color w:val="000000"/>
                <w:sz w:val="18"/>
                <w:szCs w:val="18"/>
              </w:rPr>
              <w:t>0</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14,31</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1,19</w:t>
            </w:r>
            <w:r>
              <w:rPr>
                <w:color w:val="000000"/>
                <w:sz w:val="18"/>
                <w:szCs w:val="18"/>
              </w:rPr>
              <w:t>2</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2,31</w:t>
            </w:r>
            <w:r>
              <w:rPr>
                <w:color w:val="000000"/>
                <w:sz w:val="18"/>
                <w:szCs w:val="18"/>
              </w:rPr>
              <w:t>2</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15,53</w:t>
            </w:r>
            <w:r>
              <w:rPr>
                <w:color w:val="000000"/>
                <w:sz w:val="18"/>
                <w:szCs w:val="18"/>
              </w:rPr>
              <w:t>6</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17,84</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3,57</w:t>
            </w:r>
            <w:r>
              <w:rPr>
                <w:color w:val="000000"/>
                <w:sz w:val="18"/>
                <w:szCs w:val="18"/>
              </w:rPr>
              <w:t>7</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Dayto</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23</w:t>
            </w:r>
            <w:r>
              <w:rPr>
                <w:color w:val="000000"/>
                <w:sz w:val="18"/>
                <w:szCs w:val="18"/>
              </w:rPr>
              <w:t>0</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1,07</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8,97</w:t>
            </w:r>
            <w:r>
              <w:rPr>
                <w:color w:val="000000"/>
                <w:sz w:val="18"/>
                <w:szCs w:val="18"/>
              </w:rPr>
              <w:t>5</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4,81</w:t>
            </w:r>
            <w:r>
              <w:rPr>
                <w:color w:val="000000"/>
                <w:sz w:val="18"/>
                <w:szCs w:val="18"/>
              </w:rPr>
              <w:t>7</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1,07</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13,79</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14,86</w:t>
            </w:r>
            <w:r>
              <w:rPr>
                <w:color w:val="000000"/>
                <w:sz w:val="18"/>
                <w:szCs w:val="18"/>
              </w:rPr>
              <w:t>6</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7,06</w:t>
            </w:r>
            <w:r>
              <w:rPr>
                <w:color w:val="000000"/>
                <w:sz w:val="18"/>
                <w:szCs w:val="18"/>
              </w:rPr>
              <w:t>6</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August</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34</w:t>
            </w:r>
            <w:r>
              <w:rPr>
                <w:color w:val="000000"/>
                <w:sz w:val="18"/>
                <w:szCs w:val="18"/>
              </w:rPr>
              <w:t>5</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4,98</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13,12</w:t>
            </w:r>
            <w:r>
              <w:rPr>
                <w:color w:val="000000"/>
                <w:sz w:val="18"/>
                <w:szCs w:val="18"/>
              </w:rPr>
              <w:t>0</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3,63</w:t>
            </w:r>
            <w:r>
              <w:rPr>
                <w:color w:val="000000"/>
                <w:sz w:val="18"/>
                <w:szCs w:val="18"/>
              </w:rPr>
              <w:t>3</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4,98</w:t>
            </w:r>
            <w:r>
              <w:rPr>
                <w:color w:val="000000"/>
                <w:sz w:val="18"/>
                <w:szCs w:val="18"/>
              </w:rPr>
              <w:t>4</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16,75</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21,73</w:t>
            </w:r>
            <w:r>
              <w:rPr>
                <w:color w:val="000000"/>
                <w:sz w:val="18"/>
                <w:szCs w:val="18"/>
              </w:rPr>
              <w:t>7</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5,93</w:t>
            </w:r>
            <w:r>
              <w:rPr>
                <w:color w:val="000000"/>
                <w:sz w:val="18"/>
                <w:szCs w:val="18"/>
              </w:rPr>
              <w:t>9</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Fort Wayn</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w:t>
            </w:r>
            <w:r>
              <w:rPr>
                <w:color w:val="000000"/>
                <w:sz w:val="18"/>
                <w:szCs w:val="18"/>
              </w:rPr>
              <w:t>8</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34</w:t>
            </w:r>
            <w:r>
              <w:rPr>
                <w:color w:val="000000"/>
                <w:sz w:val="18"/>
                <w:szCs w:val="18"/>
              </w:rPr>
              <w:t>9</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3,59</w:t>
            </w:r>
            <w:r>
              <w:rPr>
                <w:color w:val="000000"/>
                <w:sz w:val="18"/>
                <w:szCs w:val="18"/>
              </w:rPr>
              <w:t>4</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3,12</w:t>
            </w:r>
            <w:r>
              <w:rPr>
                <w:color w:val="000000"/>
                <w:sz w:val="18"/>
                <w:szCs w:val="18"/>
              </w:rPr>
              <w:t>6</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34</w:t>
            </w:r>
            <w:r>
              <w:rPr>
                <w:color w:val="000000"/>
                <w:sz w:val="18"/>
                <w:szCs w:val="18"/>
              </w:rPr>
              <w:t>9</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6,72</w:t>
            </w:r>
            <w:r>
              <w:rPr>
                <w:color w:val="000000"/>
                <w:sz w:val="18"/>
                <w:szCs w:val="18"/>
              </w:rPr>
              <w:t>0</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7,06</w:t>
            </w:r>
            <w:r>
              <w:rPr>
                <w:color w:val="000000"/>
                <w:sz w:val="18"/>
                <w:szCs w:val="18"/>
              </w:rPr>
              <w:t>9</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5,80</w:t>
            </w:r>
            <w:r>
              <w:rPr>
                <w:color w:val="000000"/>
                <w:sz w:val="18"/>
                <w:szCs w:val="18"/>
              </w:rPr>
              <w:t>2</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Providenc</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w:t>
            </w:r>
            <w:r>
              <w:rPr>
                <w:color w:val="000000"/>
                <w:sz w:val="18"/>
                <w:szCs w:val="18"/>
              </w:rPr>
              <w:t>5</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99</w:t>
            </w:r>
            <w:r>
              <w:rPr>
                <w:color w:val="000000"/>
                <w:sz w:val="18"/>
                <w:szCs w:val="18"/>
              </w:rPr>
              <w:t>5</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11,20</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2,95</w:t>
            </w:r>
            <w:r>
              <w:rPr>
                <w:color w:val="000000"/>
                <w:sz w:val="18"/>
                <w:szCs w:val="18"/>
              </w:rPr>
              <w:t>7</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99</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14,16</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15,15</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6,29</w:t>
            </w:r>
            <w:r>
              <w:rPr>
                <w:color w:val="000000"/>
                <w:sz w:val="18"/>
                <w:szCs w:val="18"/>
              </w:rPr>
              <w:t>5</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Huntsville/Decatu</w:t>
            </w:r>
            <w:r>
              <w:rPr>
                <w:color w:val="000000"/>
                <w:sz w:val="18"/>
                <w:szCs w:val="18"/>
              </w:rPr>
              <w:t>r</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w:t>
            </w:r>
            <w:r>
              <w:rPr>
                <w:color w:val="000000"/>
                <w:sz w:val="18"/>
                <w:szCs w:val="18"/>
              </w:rPr>
              <w:t>3</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1,02</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3,32</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3,02</w:t>
            </w:r>
            <w:r>
              <w:rPr>
                <w:color w:val="000000"/>
                <w:sz w:val="18"/>
                <w:szCs w:val="18"/>
              </w:rPr>
              <w:t>9</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97</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6,40</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7,37</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5,96</w:t>
            </w:r>
            <w:r>
              <w:rPr>
                <w:color w:val="000000"/>
                <w:sz w:val="18"/>
                <w:szCs w:val="18"/>
              </w:rPr>
              <w:t>3</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Shrevepor</w:t>
            </w:r>
            <w:r>
              <w:rPr>
                <w:color w:val="000000"/>
                <w:sz w:val="18"/>
                <w:szCs w:val="18"/>
              </w:rPr>
              <w:t>t</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w:t>
            </w:r>
            <w:r>
              <w:rPr>
                <w:color w:val="000000"/>
                <w:sz w:val="18"/>
                <w:szCs w:val="18"/>
              </w:rPr>
              <w:t>0</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81</w:t>
            </w:r>
            <w:r>
              <w:rPr>
                <w:color w:val="000000"/>
                <w:sz w:val="18"/>
                <w:szCs w:val="18"/>
              </w:rPr>
              <w:t>7</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3,03</w:t>
            </w:r>
            <w:r>
              <w:rPr>
                <w:color w:val="000000"/>
                <w:sz w:val="18"/>
                <w:szCs w:val="18"/>
              </w:rPr>
              <w:t>0</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2,25</w:t>
            </w:r>
            <w:r>
              <w:rPr>
                <w:color w:val="000000"/>
                <w:sz w:val="18"/>
                <w:szCs w:val="18"/>
              </w:rPr>
              <w:t>4</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74</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5,36</w:t>
            </w:r>
            <w:r>
              <w:rPr>
                <w:color w:val="000000"/>
                <w:sz w:val="18"/>
                <w:szCs w:val="18"/>
              </w:rPr>
              <w:t>0</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6,10</w:t>
            </w:r>
            <w:r>
              <w:rPr>
                <w:color w:val="000000"/>
                <w:sz w:val="18"/>
                <w:szCs w:val="18"/>
              </w:rPr>
              <w:t>1</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4,67</w:t>
            </w:r>
            <w:r>
              <w:rPr>
                <w:color w:val="000000"/>
                <w:sz w:val="18"/>
                <w:szCs w:val="18"/>
              </w:rPr>
              <w:t>8</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Springfield/Holyok</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w:t>
            </w:r>
            <w:r>
              <w:rPr>
                <w:color w:val="000000"/>
                <w:sz w:val="18"/>
                <w:szCs w:val="18"/>
              </w:rPr>
              <w:t>4</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1,42</w:t>
            </w:r>
            <w:r>
              <w:rPr>
                <w:color w:val="000000"/>
                <w:sz w:val="18"/>
                <w:szCs w:val="18"/>
              </w:rPr>
              <w:t>8</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3,38</w:t>
            </w:r>
            <w:r>
              <w:rPr>
                <w:color w:val="000000"/>
                <w:sz w:val="18"/>
                <w:szCs w:val="18"/>
              </w:rPr>
              <w:t>0</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1,81</w:t>
            </w:r>
            <w:r>
              <w:rPr>
                <w:color w:val="000000"/>
                <w:sz w:val="18"/>
                <w:szCs w:val="18"/>
              </w:rPr>
              <w:t>5</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1,42</w:t>
            </w:r>
            <w:r>
              <w:rPr>
                <w:color w:val="000000"/>
                <w:sz w:val="18"/>
                <w:szCs w:val="18"/>
              </w:rPr>
              <w:t>7</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5,19</w:t>
            </w:r>
            <w:r>
              <w:rPr>
                <w:color w:val="000000"/>
                <w:sz w:val="18"/>
                <w:szCs w:val="18"/>
              </w:rPr>
              <w:t>6</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6,62</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4,67</w:t>
            </w:r>
            <w:r>
              <w:rPr>
                <w:color w:val="000000"/>
                <w:sz w:val="18"/>
                <w:szCs w:val="18"/>
              </w:rPr>
              <w:t>1</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Rocheste</w:t>
            </w:r>
            <w:r>
              <w:rPr>
                <w:color w:val="000000"/>
                <w:sz w:val="18"/>
                <w:szCs w:val="18"/>
              </w:rPr>
              <w:t>r</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9</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1,04</w:t>
            </w:r>
            <w:r>
              <w:rPr>
                <w:color w:val="000000"/>
                <w:sz w:val="18"/>
                <w:szCs w:val="18"/>
              </w:rPr>
              <w:t>7</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2,24</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2,09</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98</w:t>
            </w:r>
            <w:r>
              <w:rPr>
                <w:color w:val="000000"/>
                <w:sz w:val="18"/>
                <w:szCs w:val="18"/>
              </w:rPr>
              <w:t>0</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4,40</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5,38</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3,93</w:t>
            </w:r>
            <w:r>
              <w:rPr>
                <w:color w:val="000000"/>
                <w:sz w:val="18"/>
                <w:szCs w:val="18"/>
              </w:rPr>
              <w:t>1</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Santa Barbar</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8</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5,73</w:t>
            </w:r>
            <w:r>
              <w:rPr>
                <w:color w:val="000000"/>
                <w:sz w:val="18"/>
                <w:szCs w:val="18"/>
              </w:rPr>
              <w:t>3</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9,10</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45</w:t>
            </w:r>
            <w:r>
              <w:rPr>
                <w:color w:val="000000"/>
                <w:sz w:val="18"/>
                <w:szCs w:val="18"/>
              </w:rPr>
              <w:t>2</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5,73</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9,55</w:t>
            </w:r>
            <w:r>
              <w:rPr>
                <w:color w:val="000000"/>
                <w:sz w:val="18"/>
                <w:szCs w:val="18"/>
              </w:rPr>
              <w:t>8</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15,29</w:t>
            </w:r>
            <w:r>
              <w:rPr>
                <w:color w:val="000000"/>
                <w:sz w:val="18"/>
                <w:szCs w:val="18"/>
              </w:rPr>
              <w:t>1</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5,41</w:t>
            </w:r>
            <w:r>
              <w:rPr>
                <w:color w:val="000000"/>
                <w:sz w:val="18"/>
                <w:szCs w:val="18"/>
              </w:rPr>
              <w:t>7</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Topek</w:t>
            </w:r>
            <w:r>
              <w:rPr>
                <w:color w:val="000000"/>
                <w:sz w:val="18"/>
                <w:szCs w:val="18"/>
              </w:rPr>
              <w:t>a</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4</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w:t>
            </w:r>
            <w:r>
              <w:rPr>
                <w:color w:val="000000"/>
                <w:sz w:val="18"/>
                <w:szCs w:val="18"/>
              </w:rPr>
              <w:t>5</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1,41</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2,06</w:t>
            </w:r>
            <w:r>
              <w:rPr>
                <w:color w:val="000000"/>
                <w:sz w:val="18"/>
                <w:szCs w:val="18"/>
              </w:rPr>
              <w:t>7</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3,48</w:t>
            </w:r>
            <w:r>
              <w:rPr>
                <w:color w:val="000000"/>
                <w:sz w:val="18"/>
                <w:szCs w:val="18"/>
              </w:rPr>
              <w:t>6</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3,71</w:t>
            </w:r>
            <w:r>
              <w:rPr>
                <w:color w:val="000000"/>
                <w:sz w:val="18"/>
                <w:szCs w:val="18"/>
              </w:rPr>
              <w:t>1</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2,96</w:t>
            </w:r>
            <w:r>
              <w:rPr>
                <w:color w:val="000000"/>
                <w:sz w:val="18"/>
                <w:szCs w:val="18"/>
              </w:rPr>
              <w:t>6</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Lansin</w:t>
            </w:r>
            <w:r>
              <w:rPr>
                <w:color w:val="000000"/>
                <w:sz w:val="18"/>
                <w:szCs w:val="18"/>
              </w:rPr>
              <w:t>g</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w:t>
            </w:r>
            <w:r>
              <w:rPr>
                <w:color w:val="000000"/>
                <w:sz w:val="18"/>
                <w:szCs w:val="18"/>
              </w:rPr>
              <w:t>8</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55</w:t>
            </w:r>
            <w:r>
              <w:rPr>
                <w:color w:val="000000"/>
                <w:sz w:val="18"/>
                <w:szCs w:val="18"/>
              </w:rPr>
              <w:t>6</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2,88</w:t>
            </w:r>
            <w:r>
              <w:rPr>
                <w:color w:val="000000"/>
                <w:sz w:val="18"/>
                <w:szCs w:val="18"/>
              </w:rPr>
              <w:t>2</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89</w:t>
            </w:r>
            <w:r>
              <w:rPr>
                <w:color w:val="000000"/>
                <w:sz w:val="18"/>
                <w:szCs w:val="18"/>
              </w:rPr>
              <w:t>1</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55</w:t>
            </w:r>
            <w:r>
              <w:rPr>
                <w:color w:val="000000"/>
                <w:sz w:val="18"/>
                <w:szCs w:val="18"/>
              </w:rPr>
              <w:t>6</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3,77</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4,32</w:t>
            </w:r>
            <w:r>
              <w:rPr>
                <w:color w:val="000000"/>
                <w:sz w:val="18"/>
                <w:szCs w:val="18"/>
              </w:rPr>
              <w:t>9</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2,23</w:t>
            </w:r>
            <w:r>
              <w:rPr>
                <w:color w:val="000000"/>
                <w:sz w:val="18"/>
                <w:szCs w:val="18"/>
              </w:rPr>
              <w:t>9</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Roanok</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w:t>
            </w:r>
            <w:r>
              <w:rPr>
                <w:color w:val="000000"/>
                <w:sz w:val="18"/>
                <w:szCs w:val="18"/>
              </w:rPr>
              <w:t>9</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2,14</w:t>
            </w:r>
            <w:r>
              <w:rPr>
                <w:color w:val="000000"/>
                <w:sz w:val="18"/>
                <w:szCs w:val="18"/>
              </w:rPr>
              <w:t>7</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13,80</w:t>
            </w:r>
            <w:r>
              <w:rPr>
                <w:color w:val="000000"/>
                <w:sz w:val="18"/>
                <w:szCs w:val="18"/>
              </w:rPr>
              <w:t>1</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84</w:t>
            </w:r>
            <w:r>
              <w:rPr>
                <w:color w:val="000000"/>
                <w:sz w:val="18"/>
                <w:szCs w:val="18"/>
              </w:rPr>
              <w:t>2</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2,14</w:t>
            </w:r>
            <w:r>
              <w:rPr>
                <w:color w:val="000000"/>
                <w:sz w:val="18"/>
                <w:szCs w:val="18"/>
              </w:rPr>
              <w:t>7</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14,64</w:t>
            </w:r>
            <w:r>
              <w:rPr>
                <w:color w:val="000000"/>
                <w:sz w:val="18"/>
                <w:szCs w:val="18"/>
              </w:rPr>
              <w:t>3</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16,79</w:t>
            </w:r>
            <w:r>
              <w:rPr>
                <w:color w:val="000000"/>
                <w:sz w:val="18"/>
                <w:szCs w:val="18"/>
              </w:rPr>
              <w:t>0</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2,52</w:t>
            </w:r>
            <w:r>
              <w:rPr>
                <w:color w:val="000000"/>
                <w:sz w:val="18"/>
                <w:szCs w:val="18"/>
              </w:rPr>
              <w:t>3</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Flin</w:t>
            </w:r>
            <w:r>
              <w:rPr>
                <w:color w:val="000000"/>
                <w:sz w:val="18"/>
                <w:szCs w:val="18"/>
              </w:rPr>
              <w:t>t</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w:t>
            </w:r>
            <w:r>
              <w:rPr>
                <w:color w:val="000000"/>
                <w:sz w:val="18"/>
                <w:szCs w:val="18"/>
              </w:rPr>
              <w:t>3</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3,06</w:t>
            </w:r>
            <w:r>
              <w:rPr>
                <w:color w:val="000000"/>
                <w:sz w:val="18"/>
                <w:szCs w:val="18"/>
              </w:rPr>
              <w:t>8</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w:t>
            </w:r>
            <w:r>
              <w:rPr>
                <w:color w:val="000000"/>
                <w:sz w:val="18"/>
                <w:szCs w:val="18"/>
              </w:rPr>
              <w:t>2</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w:t>
            </w:r>
            <w:r>
              <w:rPr>
                <w:color w:val="000000"/>
                <w:sz w:val="18"/>
                <w:szCs w:val="18"/>
              </w:rPr>
              <w:t>2</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3,31</w:t>
            </w:r>
            <w:r>
              <w:rPr>
                <w:color w:val="000000"/>
                <w:sz w:val="18"/>
                <w:szCs w:val="18"/>
              </w:rPr>
              <w:t>1</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3,85</w:t>
            </w:r>
            <w:r>
              <w:rPr>
                <w:color w:val="000000"/>
                <w:sz w:val="18"/>
                <w:szCs w:val="18"/>
              </w:rPr>
              <w:t>3</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1,82</w:t>
            </w:r>
            <w:r>
              <w:rPr>
                <w:color w:val="000000"/>
                <w:sz w:val="18"/>
                <w:szCs w:val="18"/>
              </w:rPr>
              <w:t>6</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Jopli</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6</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90</w:t>
            </w:r>
            <w:r>
              <w:rPr>
                <w:color w:val="000000"/>
                <w:sz w:val="18"/>
                <w:szCs w:val="18"/>
              </w:rPr>
              <w:t>4</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1,01</w:t>
            </w:r>
            <w:r>
              <w:rPr>
                <w:color w:val="000000"/>
                <w:sz w:val="18"/>
                <w:szCs w:val="18"/>
              </w:rPr>
              <w:t>2</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w:t>
            </w:r>
            <w:r>
              <w:rPr>
                <w:color w:val="000000"/>
                <w:sz w:val="18"/>
                <w:szCs w:val="18"/>
              </w:rPr>
              <w:t>4</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1,91</w:t>
            </w:r>
            <w:r>
              <w:rPr>
                <w:color w:val="000000"/>
                <w:sz w:val="18"/>
                <w:szCs w:val="18"/>
              </w:rPr>
              <w:t>6</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2,18</w:t>
            </w:r>
            <w:r>
              <w:rPr>
                <w:color w:val="000000"/>
                <w:sz w:val="18"/>
                <w:szCs w:val="18"/>
              </w:rPr>
              <w:t>0</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1,57</w:t>
            </w:r>
            <w:r>
              <w:rPr>
                <w:color w:val="000000"/>
                <w:sz w:val="18"/>
                <w:szCs w:val="18"/>
              </w:rPr>
              <w:t>9</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Syracus</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w:t>
            </w:r>
            <w:r>
              <w:rPr>
                <w:color w:val="000000"/>
                <w:sz w:val="18"/>
                <w:szCs w:val="18"/>
              </w:rPr>
              <w:t>5</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w:t>
            </w:r>
            <w:r>
              <w:rPr>
                <w:color w:val="000000"/>
                <w:sz w:val="18"/>
                <w:szCs w:val="18"/>
              </w:rPr>
              <w:t>5</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1,27</w:t>
            </w:r>
            <w:r>
              <w:rPr>
                <w:color w:val="000000"/>
                <w:sz w:val="18"/>
                <w:szCs w:val="18"/>
              </w:rPr>
              <w:t>9</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82</w:t>
            </w:r>
            <w:r>
              <w:rPr>
                <w:color w:val="000000"/>
                <w:sz w:val="18"/>
                <w:szCs w:val="18"/>
              </w:rPr>
              <w:t>0</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54</w:t>
            </w:r>
            <w:r>
              <w:rPr>
                <w:color w:val="000000"/>
                <w:sz w:val="18"/>
                <w:szCs w:val="18"/>
              </w:rPr>
              <w:t>5</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2,09</w:t>
            </w:r>
            <w:r>
              <w:rPr>
                <w:color w:val="000000"/>
                <w:sz w:val="18"/>
                <w:szCs w:val="18"/>
              </w:rPr>
              <w:t>9</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2,64</w:t>
            </w:r>
            <w:r>
              <w:rPr>
                <w:color w:val="000000"/>
                <w:sz w:val="18"/>
                <w:szCs w:val="18"/>
              </w:rPr>
              <w:t>4</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1,97</w:t>
            </w:r>
            <w:r>
              <w:rPr>
                <w:color w:val="000000"/>
                <w:sz w:val="18"/>
                <w:szCs w:val="18"/>
              </w:rPr>
              <w:t>6</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Modesto/Fresno/Stockto</w:t>
            </w:r>
            <w:r>
              <w:rPr>
                <w:color w:val="000000"/>
                <w:sz w:val="18"/>
                <w:szCs w:val="18"/>
              </w:rPr>
              <w:t>n</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 </w:t>
            </w: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3</w:t>
            </w:r>
            <w:r>
              <w:rPr>
                <w:color w:val="000000"/>
                <w:sz w:val="18"/>
                <w:szCs w:val="18"/>
              </w:rPr>
              <w:t>3</w:t>
            </w:r>
            <w:r>
              <w:rPr>
                <w:color w:val="000000"/>
                <w:sz w:val="18"/>
                <w:szCs w:val="18"/>
              </w:rPr>
              <w:t> </w:t>
            </w: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20</w:t>
            </w:r>
            <w:r>
              <w:rPr>
                <w:color w:val="000000"/>
                <w:sz w:val="18"/>
                <w:szCs w:val="18"/>
              </w:rPr>
              <w:t>6</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96</w:t>
            </w:r>
            <w:r>
              <w:rPr>
                <w:color w:val="000000"/>
                <w:sz w:val="18"/>
                <w:szCs w:val="18"/>
              </w:rPr>
              <w:t>8</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19</w:t>
            </w:r>
            <w:r>
              <w:rPr>
                <w:color w:val="000000"/>
                <w:sz w:val="18"/>
                <w:szCs w:val="18"/>
              </w:rPr>
              <w:t>3</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1,02</w:t>
            </w:r>
            <w:r>
              <w:rPr>
                <w:color w:val="000000"/>
                <w:sz w:val="18"/>
                <w:szCs w:val="18"/>
              </w:rPr>
              <w:t>5</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1,21</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79</w:t>
            </w:r>
            <w:r>
              <w:rPr>
                <w:color w:val="000000"/>
                <w:sz w:val="18"/>
                <w:szCs w:val="18"/>
              </w:rPr>
              <w:t>5</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Commercial and non-operatin</w:t>
            </w:r>
            <w:r>
              <w:rPr>
                <w:color w:val="000000"/>
                <w:sz w:val="18"/>
                <w:szCs w:val="18"/>
              </w:rPr>
              <w:t>g</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rPr>
                <w:sz w:val="18"/>
                <w:szCs w:val="18"/>
              </w:rPr>
            </w:pPr>
            <w:r>
              <w:rPr>
                <w:color w:val="000000"/>
                <w:sz w:val="18"/>
                <w:szCs w:val="18"/>
              </w:rPr>
              <w:t>real estat</w:t>
            </w:r>
            <w:r>
              <w:rPr>
                <w:color w:val="000000"/>
                <w:sz w:val="18"/>
                <w:szCs w:val="18"/>
              </w:rPr>
              <w:t>e</w:t>
            </w: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13,19</w:t>
            </w:r>
            <w:r>
              <w:rPr>
                <w:color w:val="000000"/>
                <w:sz w:val="18"/>
                <w:szCs w:val="18"/>
              </w:rPr>
              <w:t>4</w:t>
            </w:r>
            <w:r>
              <w:rPr>
                <w:color w:val="000000"/>
                <w:sz w:val="18"/>
                <w:szCs w:val="18"/>
              </w:rPr>
              <w:t> </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26,14</w:t>
            </w:r>
            <w:r>
              <w:rPr>
                <w:color w:val="000000"/>
                <w:sz w:val="18"/>
                <w:szCs w:val="18"/>
              </w:rPr>
              <w:t>3</w:t>
            </w:r>
            <w:r>
              <w:rPr>
                <w:color w:val="000000"/>
                <w:sz w:val="18"/>
                <w:szCs w:val="18"/>
              </w:rPr>
              <w:t> </w:t>
            </w: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28,81</w:t>
            </w:r>
            <w:r>
              <w:rPr>
                <w:color w:val="000000"/>
                <w:sz w:val="18"/>
                <w:szCs w:val="18"/>
              </w:rPr>
              <w:t>1</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14,23</w:t>
            </w:r>
            <w:r>
              <w:rPr>
                <w:color w:val="000000"/>
                <w:sz w:val="18"/>
                <w:szCs w:val="18"/>
              </w:rPr>
              <w:t>1</w:t>
            </w:r>
            <w:r>
              <w:rPr>
                <w:color w:val="000000"/>
                <w:sz w:val="18"/>
                <w:szCs w:val="18"/>
              </w:rPr>
              <w:t> </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53,91</w:t>
            </w:r>
            <w:r>
              <w:rPr>
                <w:color w:val="000000"/>
                <w:sz w:val="18"/>
                <w:szCs w:val="18"/>
              </w:rPr>
              <w:t>7</w:t>
            </w:r>
            <w:r>
              <w:rPr>
                <w:color w:val="000000"/>
                <w:sz w:val="18"/>
                <w:szCs w:val="18"/>
              </w:rPr>
              <w:t> </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68,14</w:t>
            </w:r>
            <w:r>
              <w:rPr>
                <w:color w:val="000000"/>
                <w:sz w:val="18"/>
                <w:szCs w:val="18"/>
              </w:rPr>
              <w:t>8</w:t>
            </w:r>
            <w:r>
              <w:rPr>
                <w:color w:val="000000"/>
                <w:sz w:val="18"/>
                <w:szCs w:val="18"/>
              </w:rPr>
              <w:t>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40,10</w:t>
            </w:r>
            <w:r>
              <w:rPr>
                <w:color w:val="000000"/>
                <w:sz w:val="18"/>
                <w:szCs w:val="18"/>
              </w:rPr>
              <w:t>7</w:t>
            </w:r>
            <w:r>
              <w:rPr>
                <w:color w:val="000000"/>
                <w:sz w:val="18"/>
                <w:szCs w:val="18"/>
              </w:rPr>
              <w:t> </w:t>
            </w: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trHeight w:val="259"/>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2,48</w:t>
            </w:r>
            <w:r>
              <w:rPr>
                <w:color w:val="000000"/>
                <w:sz w:val="18"/>
                <w:szCs w:val="18"/>
              </w:rPr>
              <w:t>3</w:t>
            </w:r>
            <w:r>
              <w:rPr>
                <w:color w:val="000000"/>
                <w:sz w:val="18"/>
                <w:szCs w:val="18"/>
              </w:rPr>
              <w:t> </w:t>
            </w:r>
          </w:p>
        </w:tc>
        <w:tc>
          <w:tcPr>
            <w:tcW w:w="3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168,90</w:t>
            </w:r>
            <w:r>
              <w:rPr>
                <w:color w:val="000000"/>
                <w:sz w:val="18"/>
                <w:szCs w:val="18"/>
              </w:rPr>
              <w:t>8</w:t>
            </w:r>
            <w:r>
              <w:rPr>
                <w:color w:val="000000"/>
                <w:sz w:val="18"/>
                <w:szCs w:val="18"/>
              </w:rPr>
              <w:t> </w:t>
            </w:r>
          </w:p>
        </w:tc>
        <w:tc>
          <w:tcPr>
            <w:tcW w:w="3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27,27</w:t>
            </w:r>
            <w:r>
              <w:rPr>
                <w:color w:val="000000"/>
                <w:sz w:val="18"/>
                <w:szCs w:val="18"/>
              </w:rPr>
              <w:t>5</w:t>
            </w:r>
          </w:p>
        </w:tc>
        <w:tc>
          <w:tcPr>
            <w:tcW w:w="4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4,124,27</w:t>
            </w:r>
            <w:r>
              <w:rPr>
                <w:color w:val="000000"/>
                <w:sz w:val="18"/>
                <w:szCs w:val="18"/>
              </w:rPr>
              <w:t>1</w:t>
            </w:r>
          </w:p>
        </w:tc>
        <w:tc>
          <w:tcPr>
            <w:tcW w:w="4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9,274,12</w:t>
            </w:r>
            <w:r>
              <w:rPr>
                <w:color w:val="000000"/>
                <w:sz w:val="18"/>
                <w:szCs w:val="18"/>
              </w:rPr>
              <w:t>2</w:t>
            </w: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2,890,75</w:t>
            </w:r>
            <w:r>
              <w:rPr>
                <w:color w:val="000000"/>
                <w:sz w:val="18"/>
                <w:szCs w:val="18"/>
              </w:rPr>
              <w:t>3</w:t>
            </w:r>
          </w:p>
        </w:tc>
        <w:tc>
          <w:tcPr>
            <w:tcW w:w="4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4,186,87</w:t>
            </w:r>
            <w:r>
              <w:rPr>
                <w:color w:val="000000"/>
                <w:sz w:val="18"/>
                <w:szCs w:val="18"/>
              </w:rPr>
              <w:t>3</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12,102,27</w:t>
            </w:r>
            <w:r>
              <w:rPr>
                <w:color w:val="000000"/>
                <w:sz w:val="18"/>
                <w:szCs w:val="18"/>
              </w:rPr>
              <w:t>3</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16,289,14</w:t>
            </w:r>
            <w:r>
              <w:rPr>
                <w:color w:val="000000"/>
                <w:sz w:val="18"/>
                <w:szCs w:val="18"/>
              </w:rPr>
              <w:t>6</w:t>
            </w:r>
          </w:p>
        </w:tc>
        <w:tc>
          <w:tcPr>
            <w:tcW w:w="4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6,623,47</w:t>
            </w:r>
            <w:r>
              <w:rPr>
                <w:color w:val="000000"/>
                <w:sz w:val="18"/>
                <w:szCs w:val="18"/>
              </w:rPr>
              <w:t>5</w:t>
            </w:r>
          </w:p>
        </w:tc>
      </w:tr>
      <w:tr w:rsidR="00000000">
        <w:trPr>
          <w:trHeight w:val="259"/>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c>
          <w:tcPr>
            <w:tcW w:w="30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3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4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9"/>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115"/>
              <w:rPr>
                <w:sz w:val="18"/>
                <w:szCs w:val="18"/>
              </w:rPr>
            </w:pPr>
            <w:r>
              <w:rPr>
                <w:color w:val="000000"/>
                <w:sz w:val="18"/>
                <w:szCs w:val="18"/>
              </w:rPr>
              <w:t xml:space="preserve">Note: </w:t>
            </w:r>
            <w:r>
              <w:rPr>
                <w:color w:val="000000"/>
                <w:sz w:val="18"/>
                <w:szCs w:val="18"/>
              </w:rPr>
              <w:t>Buildings and improvements are depreciated on a straight-line basis over estimated useful lives ranging generally</w:t>
            </w:r>
            <w:r>
              <w:rPr>
                <w:color w:val="000000"/>
                <w:sz w:val="18"/>
                <w:szCs w:val="18"/>
              </w:rPr>
              <w:t xml:space="preserve"> </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0" w:type="pct"/>
            <w:gridSpan w:val="9"/>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pStyle w:val="a3"/>
              <w:spacing w:before="0" w:beforeAutospacing="0" w:after="0" w:afterAutospacing="0" w:line="259" w:lineRule="auto"/>
              <w:ind w:left="475"/>
              <w:rPr>
                <w:sz w:val="18"/>
                <w:szCs w:val="18"/>
              </w:rPr>
            </w:pPr>
            <w:r>
              <w:rPr>
                <w:color w:val="000000"/>
                <w:sz w:val="18"/>
                <w:szCs w:val="18"/>
              </w:rPr>
              <w:t>between</w:t>
            </w:r>
            <w:r>
              <w:rPr>
                <w:color w:val="000000"/>
                <w:sz w:val="18"/>
                <w:szCs w:val="18"/>
              </w:rPr>
              <w:t xml:space="preserve"> </w:t>
            </w:r>
            <w:r>
              <w:rPr>
                <w:color w:val="000000"/>
                <w:sz w:val="18"/>
                <w:szCs w:val="18"/>
              </w:rPr>
              <w:t>5</w:t>
            </w:r>
            <w:r>
              <w:rPr>
                <w:color w:val="000000"/>
                <w:sz w:val="18"/>
                <w:szCs w:val="18"/>
              </w:rPr>
              <w:t xml:space="preserve"> to</w:t>
            </w:r>
            <w:r>
              <w:rPr>
                <w:color w:val="000000"/>
                <w:sz w:val="18"/>
                <w:szCs w:val="18"/>
              </w:rPr>
              <w:t xml:space="preserve"> </w:t>
            </w:r>
            <w:r>
              <w:rPr>
                <w:color w:val="000000"/>
                <w:sz w:val="18"/>
                <w:szCs w:val="18"/>
              </w:rPr>
              <w:t>2</w:t>
            </w:r>
            <w:r>
              <w:rPr>
                <w:color w:val="000000"/>
                <w:sz w:val="18"/>
                <w:szCs w:val="18"/>
              </w:rPr>
              <w:t>5</w:t>
            </w:r>
            <w:r>
              <w:rPr>
                <w:color w:val="000000"/>
                <w:sz w:val="18"/>
                <w:szCs w:val="18"/>
              </w:rPr>
              <w:t xml:space="preserve"> </w:t>
            </w:r>
            <w:r>
              <w:rPr>
                <w:color w:val="000000"/>
                <w:sz w:val="18"/>
                <w:szCs w:val="18"/>
              </w:rPr>
              <w:t>years. In addition, disclosures of the number and square footage of our facilities are unaudited</w:t>
            </w:r>
            <w:r>
              <w:rPr>
                <w:color w:val="000000"/>
                <w:sz w:val="18"/>
                <w:szCs w:val="18"/>
              </w:rPr>
              <w:t>.</w:t>
            </w: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sz w:val="18"/>
                <w:szCs w:val="18"/>
              </w:rPr>
            </w:pPr>
          </w:p>
        </w:tc>
      </w:tr>
      <w:tr w:rsidR="00000000">
        <w:trPr>
          <w:trHeight w:val="245"/>
        </w:trPr>
        <w:tc>
          <w:tcPr>
            <w:tcW w:w="10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3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c>
          <w:tcPr>
            <w:tcW w:w="4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865332">
            <w:pPr>
              <w:rPr>
                <w:rFonts w:eastAsia="Times New Roman"/>
                <w:sz w:val="20"/>
                <w:szCs w:val="20"/>
              </w:rPr>
            </w:pPr>
          </w:p>
        </w:tc>
      </w:tr>
    </w:tbl>
    <w:p w:rsidR="00865332" w:rsidRDefault="00865332">
      <w:pPr>
        <w:pStyle w:val="a3"/>
        <w:spacing w:before="0" w:beforeAutospacing="0" w:after="0" w:afterAutospacing="0" w:line="259" w:lineRule="auto"/>
        <w:jc w:val="center"/>
        <w:divId w:val="1001665278"/>
        <w:rPr>
          <w:sz w:val="20"/>
          <w:szCs w:val="20"/>
        </w:rPr>
      </w:pPr>
      <w:r>
        <w:rPr>
          <w:sz w:val="20"/>
          <w:szCs w:val="20"/>
        </w:rPr>
        <w:t>F</w:t>
      </w:r>
      <w:r>
        <w:rPr>
          <w:sz w:val="20"/>
          <w:szCs w:val="20"/>
        </w:rPr>
        <w:t>-</w:t>
      </w:r>
      <w:r>
        <w:rPr>
          <w:rStyle w:val="ctheaderfooterpage"/>
          <w:sz w:val="20"/>
          <w:szCs w:val="20"/>
        </w:rPr>
        <w:t>3</w:t>
      </w:r>
      <w:r>
        <w:rPr>
          <w:rStyle w:val="ctheaderfooterpage"/>
          <w:sz w:val="20"/>
          <w:szCs w:val="20"/>
        </w:rPr>
        <w:t>5</w:t>
      </w:r>
    </w:p>
    <w:sectPr w:rsidR="0086533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5332"/>
    <w:rsid w:val="00865332"/>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3/linkbase"/>
  <w:attachedSchema w:val="http://www.w3.org/1999/xlink"/>
  <w:attachedSchema w:val="http://www.xbrl.org/inlineXBRL/transformation/2015-02-26"/>
  <w:attachedSchema w:val="http://www.sec.gov/inlineXBRL/transformation/2015-08-31"/>
  <w:attachedSchema w:val="http://xbrl.org/2006/xbrldi"/>
  <w:attachedSchema w:val="http://xbrl.sec.gov/dei/2019-01-31"/>
  <w:attachedSchema w:val="http://www.xbrl.org/2003/iso4217"/>
  <w:attachedSchema w:val="http://fasb.org/us-gaap/2019-01-31"/>
  <w:attachedSchema w:val="http://www.publicstorage.com/20191231"/>
  <w:attachedSchema w:val="http://www.xbrl.org/2009/utr"/>
  <w:attachedSchema w:val="http://fasb.org/srt/2019-01-31"/>
  <w:attachedSchema w:val="http://xbrl.sec.gov/stpr/2018-01-31"/>
  <w:attachedSchema w:val="http://xbrl.sec.gov/country/2017-01-3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customStyle="1" w:styleId="ctheaderfooterpage">
    <w:name w:val="ctheaderfooterpage"/>
    <w:basedOn w:val="a0"/>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970">
      <w:marLeft w:val="0"/>
      <w:marRight w:val="0"/>
      <w:marTop w:val="0"/>
      <w:marBottom w:val="0"/>
      <w:divBdr>
        <w:top w:val="none" w:sz="0" w:space="0" w:color="auto"/>
        <w:left w:val="none" w:sz="0" w:space="0" w:color="auto"/>
        <w:bottom w:val="none" w:sz="0" w:space="0" w:color="auto"/>
        <w:right w:val="none" w:sz="0" w:space="0" w:color="auto"/>
      </w:divBdr>
    </w:div>
    <w:div w:id="4987766">
      <w:marLeft w:val="0"/>
      <w:marRight w:val="0"/>
      <w:marTop w:val="0"/>
      <w:marBottom w:val="0"/>
      <w:divBdr>
        <w:top w:val="none" w:sz="0" w:space="0" w:color="auto"/>
        <w:left w:val="none" w:sz="0" w:space="0" w:color="auto"/>
        <w:bottom w:val="none" w:sz="0" w:space="0" w:color="auto"/>
        <w:right w:val="none" w:sz="0" w:space="0" w:color="auto"/>
      </w:divBdr>
    </w:div>
    <w:div w:id="9114421">
      <w:marLeft w:val="0"/>
      <w:marRight w:val="0"/>
      <w:marTop w:val="0"/>
      <w:marBottom w:val="0"/>
      <w:divBdr>
        <w:top w:val="none" w:sz="0" w:space="0" w:color="auto"/>
        <w:left w:val="none" w:sz="0" w:space="0" w:color="auto"/>
        <w:bottom w:val="none" w:sz="0" w:space="0" w:color="auto"/>
        <w:right w:val="none" w:sz="0" w:space="0" w:color="auto"/>
      </w:divBdr>
      <w:divsChild>
        <w:div w:id="143006328">
          <w:marLeft w:val="0"/>
          <w:marRight w:val="0"/>
          <w:marTop w:val="0"/>
          <w:marBottom w:val="0"/>
          <w:divBdr>
            <w:top w:val="none" w:sz="0" w:space="0" w:color="auto"/>
            <w:left w:val="none" w:sz="0" w:space="0" w:color="auto"/>
            <w:bottom w:val="none" w:sz="0" w:space="0" w:color="auto"/>
            <w:right w:val="none" w:sz="0" w:space="0" w:color="auto"/>
          </w:divBdr>
        </w:div>
      </w:divsChild>
    </w:div>
    <w:div w:id="10886288">
      <w:marLeft w:val="0"/>
      <w:marRight w:val="0"/>
      <w:marTop w:val="0"/>
      <w:marBottom w:val="0"/>
      <w:divBdr>
        <w:top w:val="none" w:sz="0" w:space="0" w:color="auto"/>
        <w:left w:val="none" w:sz="0" w:space="0" w:color="auto"/>
        <w:bottom w:val="none" w:sz="0" w:space="0" w:color="auto"/>
        <w:right w:val="none" w:sz="0" w:space="0" w:color="auto"/>
      </w:divBdr>
      <w:divsChild>
        <w:div w:id="1705904582">
          <w:marLeft w:val="0"/>
          <w:marRight w:val="0"/>
          <w:marTop w:val="0"/>
          <w:marBottom w:val="0"/>
          <w:divBdr>
            <w:top w:val="none" w:sz="0" w:space="0" w:color="auto"/>
            <w:left w:val="none" w:sz="0" w:space="0" w:color="auto"/>
            <w:bottom w:val="none" w:sz="0" w:space="0" w:color="auto"/>
            <w:right w:val="none" w:sz="0" w:space="0" w:color="auto"/>
          </w:divBdr>
        </w:div>
      </w:divsChild>
    </w:div>
    <w:div w:id="21051834">
      <w:marLeft w:val="0"/>
      <w:marRight w:val="0"/>
      <w:marTop w:val="0"/>
      <w:marBottom w:val="0"/>
      <w:divBdr>
        <w:top w:val="none" w:sz="0" w:space="0" w:color="auto"/>
        <w:left w:val="none" w:sz="0" w:space="0" w:color="auto"/>
        <w:bottom w:val="none" w:sz="0" w:space="0" w:color="auto"/>
        <w:right w:val="none" w:sz="0" w:space="0" w:color="auto"/>
      </w:divBdr>
      <w:divsChild>
        <w:div w:id="1590503380">
          <w:marLeft w:val="0"/>
          <w:marRight w:val="0"/>
          <w:marTop w:val="0"/>
          <w:marBottom w:val="0"/>
          <w:divBdr>
            <w:top w:val="none" w:sz="0" w:space="0" w:color="auto"/>
            <w:left w:val="none" w:sz="0" w:space="0" w:color="auto"/>
            <w:bottom w:val="none" w:sz="0" w:space="0" w:color="auto"/>
            <w:right w:val="none" w:sz="0" w:space="0" w:color="auto"/>
          </w:divBdr>
        </w:div>
      </w:divsChild>
    </w:div>
    <w:div w:id="23023357">
      <w:marLeft w:val="0"/>
      <w:marRight w:val="0"/>
      <w:marTop w:val="0"/>
      <w:marBottom w:val="0"/>
      <w:divBdr>
        <w:top w:val="none" w:sz="0" w:space="0" w:color="auto"/>
        <w:left w:val="none" w:sz="0" w:space="0" w:color="auto"/>
        <w:bottom w:val="none" w:sz="0" w:space="0" w:color="auto"/>
        <w:right w:val="none" w:sz="0" w:space="0" w:color="auto"/>
      </w:divBdr>
    </w:div>
    <w:div w:id="29765932">
      <w:marLeft w:val="0"/>
      <w:marRight w:val="0"/>
      <w:marTop w:val="0"/>
      <w:marBottom w:val="0"/>
      <w:divBdr>
        <w:top w:val="none" w:sz="0" w:space="0" w:color="auto"/>
        <w:left w:val="none" w:sz="0" w:space="0" w:color="auto"/>
        <w:bottom w:val="none" w:sz="0" w:space="0" w:color="auto"/>
        <w:right w:val="none" w:sz="0" w:space="0" w:color="auto"/>
      </w:divBdr>
      <w:divsChild>
        <w:div w:id="2134446948">
          <w:marLeft w:val="0"/>
          <w:marRight w:val="0"/>
          <w:marTop w:val="0"/>
          <w:marBottom w:val="0"/>
          <w:divBdr>
            <w:top w:val="none" w:sz="0" w:space="0" w:color="auto"/>
            <w:left w:val="none" w:sz="0" w:space="0" w:color="auto"/>
            <w:bottom w:val="none" w:sz="0" w:space="0" w:color="auto"/>
            <w:right w:val="none" w:sz="0" w:space="0" w:color="auto"/>
          </w:divBdr>
        </w:div>
      </w:divsChild>
    </w:div>
    <w:div w:id="47342193">
      <w:marLeft w:val="0"/>
      <w:marRight w:val="0"/>
      <w:marTop w:val="0"/>
      <w:marBottom w:val="0"/>
      <w:divBdr>
        <w:top w:val="none" w:sz="0" w:space="0" w:color="auto"/>
        <w:left w:val="none" w:sz="0" w:space="0" w:color="auto"/>
        <w:bottom w:val="none" w:sz="0" w:space="0" w:color="auto"/>
        <w:right w:val="none" w:sz="0" w:space="0" w:color="auto"/>
      </w:divBdr>
      <w:divsChild>
        <w:div w:id="398483046">
          <w:marLeft w:val="0"/>
          <w:marRight w:val="0"/>
          <w:marTop w:val="0"/>
          <w:marBottom w:val="0"/>
          <w:divBdr>
            <w:top w:val="none" w:sz="0" w:space="0" w:color="auto"/>
            <w:left w:val="none" w:sz="0" w:space="0" w:color="auto"/>
            <w:bottom w:val="none" w:sz="0" w:space="0" w:color="auto"/>
            <w:right w:val="none" w:sz="0" w:space="0" w:color="auto"/>
          </w:divBdr>
        </w:div>
      </w:divsChild>
    </w:div>
    <w:div w:id="60713766">
      <w:marLeft w:val="0"/>
      <w:marRight w:val="0"/>
      <w:marTop w:val="0"/>
      <w:marBottom w:val="0"/>
      <w:divBdr>
        <w:top w:val="none" w:sz="0" w:space="0" w:color="auto"/>
        <w:left w:val="none" w:sz="0" w:space="0" w:color="auto"/>
        <w:bottom w:val="none" w:sz="0" w:space="0" w:color="auto"/>
        <w:right w:val="none" w:sz="0" w:space="0" w:color="auto"/>
      </w:divBdr>
    </w:div>
    <w:div w:id="67768536">
      <w:marLeft w:val="0"/>
      <w:marRight w:val="0"/>
      <w:marTop w:val="0"/>
      <w:marBottom w:val="0"/>
      <w:divBdr>
        <w:top w:val="none" w:sz="0" w:space="0" w:color="auto"/>
        <w:left w:val="none" w:sz="0" w:space="0" w:color="auto"/>
        <w:bottom w:val="none" w:sz="0" w:space="0" w:color="auto"/>
        <w:right w:val="none" w:sz="0" w:space="0" w:color="auto"/>
      </w:divBdr>
      <w:divsChild>
        <w:div w:id="1933196085">
          <w:marLeft w:val="0"/>
          <w:marRight w:val="0"/>
          <w:marTop w:val="0"/>
          <w:marBottom w:val="0"/>
          <w:divBdr>
            <w:top w:val="none" w:sz="0" w:space="0" w:color="auto"/>
            <w:left w:val="none" w:sz="0" w:space="0" w:color="auto"/>
            <w:bottom w:val="none" w:sz="0" w:space="0" w:color="auto"/>
            <w:right w:val="none" w:sz="0" w:space="0" w:color="auto"/>
          </w:divBdr>
        </w:div>
      </w:divsChild>
    </w:div>
    <w:div w:id="82919326">
      <w:marLeft w:val="0"/>
      <w:marRight w:val="0"/>
      <w:marTop w:val="0"/>
      <w:marBottom w:val="0"/>
      <w:divBdr>
        <w:top w:val="none" w:sz="0" w:space="0" w:color="auto"/>
        <w:left w:val="none" w:sz="0" w:space="0" w:color="auto"/>
        <w:bottom w:val="none" w:sz="0" w:space="0" w:color="auto"/>
        <w:right w:val="none" w:sz="0" w:space="0" w:color="auto"/>
      </w:divBdr>
      <w:divsChild>
        <w:div w:id="1604528707">
          <w:marLeft w:val="0"/>
          <w:marRight w:val="0"/>
          <w:marTop w:val="0"/>
          <w:marBottom w:val="0"/>
          <w:divBdr>
            <w:top w:val="none" w:sz="0" w:space="0" w:color="auto"/>
            <w:left w:val="none" w:sz="0" w:space="0" w:color="auto"/>
            <w:bottom w:val="none" w:sz="0" w:space="0" w:color="auto"/>
            <w:right w:val="none" w:sz="0" w:space="0" w:color="auto"/>
          </w:divBdr>
        </w:div>
        <w:div w:id="1536188369">
          <w:marLeft w:val="0"/>
          <w:marRight w:val="0"/>
          <w:marTop w:val="0"/>
          <w:marBottom w:val="0"/>
          <w:divBdr>
            <w:top w:val="none" w:sz="0" w:space="0" w:color="auto"/>
            <w:left w:val="none" w:sz="0" w:space="0" w:color="auto"/>
            <w:bottom w:val="none" w:sz="0" w:space="0" w:color="auto"/>
            <w:right w:val="none" w:sz="0" w:space="0" w:color="auto"/>
          </w:divBdr>
        </w:div>
      </w:divsChild>
    </w:div>
    <w:div w:id="85031951">
      <w:marLeft w:val="0"/>
      <w:marRight w:val="0"/>
      <w:marTop w:val="0"/>
      <w:marBottom w:val="0"/>
      <w:divBdr>
        <w:top w:val="none" w:sz="0" w:space="0" w:color="auto"/>
        <w:left w:val="none" w:sz="0" w:space="0" w:color="auto"/>
        <w:bottom w:val="none" w:sz="0" w:space="0" w:color="auto"/>
        <w:right w:val="none" w:sz="0" w:space="0" w:color="auto"/>
      </w:divBdr>
      <w:divsChild>
        <w:div w:id="1835757773">
          <w:marLeft w:val="0"/>
          <w:marRight w:val="0"/>
          <w:marTop w:val="0"/>
          <w:marBottom w:val="0"/>
          <w:divBdr>
            <w:top w:val="none" w:sz="0" w:space="0" w:color="auto"/>
            <w:left w:val="none" w:sz="0" w:space="0" w:color="auto"/>
            <w:bottom w:val="none" w:sz="0" w:space="0" w:color="auto"/>
            <w:right w:val="none" w:sz="0" w:space="0" w:color="auto"/>
          </w:divBdr>
        </w:div>
      </w:divsChild>
    </w:div>
    <w:div w:id="85733193">
      <w:marLeft w:val="0"/>
      <w:marRight w:val="0"/>
      <w:marTop w:val="0"/>
      <w:marBottom w:val="0"/>
      <w:divBdr>
        <w:top w:val="none" w:sz="0" w:space="0" w:color="auto"/>
        <w:left w:val="none" w:sz="0" w:space="0" w:color="auto"/>
        <w:bottom w:val="none" w:sz="0" w:space="0" w:color="auto"/>
        <w:right w:val="none" w:sz="0" w:space="0" w:color="auto"/>
      </w:divBdr>
      <w:divsChild>
        <w:div w:id="937715776">
          <w:marLeft w:val="0"/>
          <w:marRight w:val="0"/>
          <w:marTop w:val="0"/>
          <w:marBottom w:val="0"/>
          <w:divBdr>
            <w:top w:val="none" w:sz="0" w:space="0" w:color="auto"/>
            <w:left w:val="none" w:sz="0" w:space="0" w:color="auto"/>
            <w:bottom w:val="none" w:sz="0" w:space="0" w:color="auto"/>
            <w:right w:val="none" w:sz="0" w:space="0" w:color="auto"/>
          </w:divBdr>
        </w:div>
      </w:divsChild>
    </w:div>
    <w:div w:id="86734619">
      <w:marLeft w:val="0"/>
      <w:marRight w:val="0"/>
      <w:marTop w:val="0"/>
      <w:marBottom w:val="0"/>
      <w:divBdr>
        <w:top w:val="none" w:sz="0" w:space="0" w:color="auto"/>
        <w:left w:val="none" w:sz="0" w:space="0" w:color="auto"/>
        <w:bottom w:val="none" w:sz="0" w:space="0" w:color="auto"/>
        <w:right w:val="none" w:sz="0" w:space="0" w:color="auto"/>
      </w:divBdr>
      <w:divsChild>
        <w:div w:id="1568804368">
          <w:marLeft w:val="0"/>
          <w:marRight w:val="0"/>
          <w:marTop w:val="0"/>
          <w:marBottom w:val="0"/>
          <w:divBdr>
            <w:top w:val="none" w:sz="0" w:space="0" w:color="auto"/>
            <w:left w:val="none" w:sz="0" w:space="0" w:color="auto"/>
            <w:bottom w:val="none" w:sz="0" w:space="0" w:color="auto"/>
            <w:right w:val="none" w:sz="0" w:space="0" w:color="auto"/>
          </w:divBdr>
        </w:div>
      </w:divsChild>
    </w:div>
    <w:div w:id="99108863">
      <w:marLeft w:val="0"/>
      <w:marRight w:val="0"/>
      <w:marTop w:val="0"/>
      <w:marBottom w:val="0"/>
      <w:divBdr>
        <w:top w:val="none" w:sz="0" w:space="0" w:color="auto"/>
        <w:left w:val="none" w:sz="0" w:space="0" w:color="auto"/>
        <w:bottom w:val="none" w:sz="0" w:space="0" w:color="auto"/>
        <w:right w:val="none" w:sz="0" w:space="0" w:color="auto"/>
      </w:divBdr>
      <w:divsChild>
        <w:div w:id="1061366347">
          <w:marLeft w:val="0"/>
          <w:marRight w:val="0"/>
          <w:marTop w:val="0"/>
          <w:marBottom w:val="0"/>
          <w:divBdr>
            <w:top w:val="none" w:sz="0" w:space="0" w:color="auto"/>
            <w:left w:val="none" w:sz="0" w:space="0" w:color="auto"/>
            <w:bottom w:val="none" w:sz="0" w:space="0" w:color="auto"/>
            <w:right w:val="none" w:sz="0" w:space="0" w:color="auto"/>
          </w:divBdr>
        </w:div>
      </w:divsChild>
    </w:div>
    <w:div w:id="105739453">
      <w:marLeft w:val="0"/>
      <w:marRight w:val="0"/>
      <w:marTop w:val="0"/>
      <w:marBottom w:val="0"/>
      <w:divBdr>
        <w:top w:val="none" w:sz="0" w:space="0" w:color="auto"/>
        <w:left w:val="none" w:sz="0" w:space="0" w:color="auto"/>
        <w:bottom w:val="none" w:sz="0" w:space="0" w:color="auto"/>
        <w:right w:val="none" w:sz="0" w:space="0" w:color="auto"/>
      </w:divBdr>
      <w:divsChild>
        <w:div w:id="1667904803">
          <w:marLeft w:val="0"/>
          <w:marRight w:val="0"/>
          <w:marTop w:val="0"/>
          <w:marBottom w:val="0"/>
          <w:divBdr>
            <w:top w:val="none" w:sz="0" w:space="0" w:color="auto"/>
            <w:left w:val="none" w:sz="0" w:space="0" w:color="auto"/>
            <w:bottom w:val="none" w:sz="0" w:space="0" w:color="auto"/>
            <w:right w:val="none" w:sz="0" w:space="0" w:color="auto"/>
          </w:divBdr>
        </w:div>
      </w:divsChild>
    </w:div>
    <w:div w:id="107356874">
      <w:marLeft w:val="0"/>
      <w:marRight w:val="0"/>
      <w:marTop w:val="0"/>
      <w:marBottom w:val="0"/>
      <w:divBdr>
        <w:top w:val="none" w:sz="0" w:space="0" w:color="auto"/>
        <w:left w:val="none" w:sz="0" w:space="0" w:color="auto"/>
        <w:bottom w:val="none" w:sz="0" w:space="0" w:color="auto"/>
        <w:right w:val="none" w:sz="0" w:space="0" w:color="auto"/>
      </w:divBdr>
      <w:divsChild>
        <w:div w:id="1751930656">
          <w:marLeft w:val="0"/>
          <w:marRight w:val="0"/>
          <w:marTop w:val="0"/>
          <w:marBottom w:val="0"/>
          <w:divBdr>
            <w:top w:val="none" w:sz="0" w:space="0" w:color="auto"/>
            <w:left w:val="none" w:sz="0" w:space="0" w:color="auto"/>
            <w:bottom w:val="none" w:sz="0" w:space="0" w:color="auto"/>
            <w:right w:val="none" w:sz="0" w:space="0" w:color="auto"/>
          </w:divBdr>
        </w:div>
      </w:divsChild>
    </w:div>
    <w:div w:id="113794826">
      <w:marLeft w:val="0"/>
      <w:marRight w:val="0"/>
      <w:marTop w:val="0"/>
      <w:marBottom w:val="0"/>
      <w:divBdr>
        <w:top w:val="none" w:sz="0" w:space="0" w:color="auto"/>
        <w:left w:val="none" w:sz="0" w:space="0" w:color="auto"/>
        <w:bottom w:val="none" w:sz="0" w:space="0" w:color="auto"/>
        <w:right w:val="none" w:sz="0" w:space="0" w:color="auto"/>
      </w:divBdr>
    </w:div>
    <w:div w:id="115147887">
      <w:marLeft w:val="0"/>
      <w:marRight w:val="0"/>
      <w:marTop w:val="0"/>
      <w:marBottom w:val="0"/>
      <w:divBdr>
        <w:top w:val="none" w:sz="0" w:space="0" w:color="auto"/>
        <w:left w:val="none" w:sz="0" w:space="0" w:color="auto"/>
        <w:bottom w:val="none" w:sz="0" w:space="0" w:color="auto"/>
        <w:right w:val="none" w:sz="0" w:space="0" w:color="auto"/>
      </w:divBdr>
      <w:divsChild>
        <w:div w:id="388580971">
          <w:marLeft w:val="0"/>
          <w:marRight w:val="0"/>
          <w:marTop w:val="0"/>
          <w:marBottom w:val="0"/>
          <w:divBdr>
            <w:top w:val="none" w:sz="0" w:space="0" w:color="auto"/>
            <w:left w:val="none" w:sz="0" w:space="0" w:color="auto"/>
            <w:bottom w:val="none" w:sz="0" w:space="0" w:color="auto"/>
            <w:right w:val="none" w:sz="0" w:space="0" w:color="auto"/>
          </w:divBdr>
        </w:div>
      </w:divsChild>
    </w:div>
    <w:div w:id="123621667">
      <w:marLeft w:val="0"/>
      <w:marRight w:val="0"/>
      <w:marTop w:val="0"/>
      <w:marBottom w:val="0"/>
      <w:divBdr>
        <w:top w:val="none" w:sz="0" w:space="0" w:color="auto"/>
        <w:left w:val="none" w:sz="0" w:space="0" w:color="auto"/>
        <w:bottom w:val="none" w:sz="0" w:space="0" w:color="auto"/>
        <w:right w:val="none" w:sz="0" w:space="0" w:color="auto"/>
      </w:divBdr>
      <w:divsChild>
        <w:div w:id="698705934">
          <w:marLeft w:val="0"/>
          <w:marRight w:val="0"/>
          <w:marTop w:val="0"/>
          <w:marBottom w:val="0"/>
          <w:divBdr>
            <w:top w:val="none" w:sz="0" w:space="0" w:color="auto"/>
            <w:left w:val="none" w:sz="0" w:space="0" w:color="auto"/>
            <w:bottom w:val="none" w:sz="0" w:space="0" w:color="auto"/>
            <w:right w:val="none" w:sz="0" w:space="0" w:color="auto"/>
          </w:divBdr>
        </w:div>
      </w:divsChild>
    </w:div>
    <w:div w:id="146557393">
      <w:marLeft w:val="0"/>
      <w:marRight w:val="0"/>
      <w:marTop w:val="0"/>
      <w:marBottom w:val="0"/>
      <w:divBdr>
        <w:top w:val="none" w:sz="0" w:space="0" w:color="auto"/>
        <w:left w:val="none" w:sz="0" w:space="0" w:color="auto"/>
        <w:bottom w:val="none" w:sz="0" w:space="0" w:color="auto"/>
        <w:right w:val="none" w:sz="0" w:space="0" w:color="auto"/>
      </w:divBdr>
    </w:div>
    <w:div w:id="162864589">
      <w:marLeft w:val="0"/>
      <w:marRight w:val="0"/>
      <w:marTop w:val="0"/>
      <w:marBottom w:val="0"/>
      <w:divBdr>
        <w:top w:val="none" w:sz="0" w:space="0" w:color="auto"/>
        <w:left w:val="none" w:sz="0" w:space="0" w:color="auto"/>
        <w:bottom w:val="none" w:sz="0" w:space="0" w:color="auto"/>
        <w:right w:val="none" w:sz="0" w:space="0" w:color="auto"/>
      </w:divBdr>
      <w:divsChild>
        <w:div w:id="690229780">
          <w:marLeft w:val="0"/>
          <w:marRight w:val="0"/>
          <w:marTop w:val="0"/>
          <w:marBottom w:val="0"/>
          <w:divBdr>
            <w:top w:val="none" w:sz="0" w:space="0" w:color="auto"/>
            <w:left w:val="none" w:sz="0" w:space="0" w:color="auto"/>
            <w:bottom w:val="none" w:sz="0" w:space="0" w:color="auto"/>
            <w:right w:val="none" w:sz="0" w:space="0" w:color="auto"/>
          </w:divBdr>
        </w:div>
      </w:divsChild>
    </w:div>
    <w:div w:id="162935915">
      <w:marLeft w:val="0"/>
      <w:marRight w:val="0"/>
      <w:marTop w:val="0"/>
      <w:marBottom w:val="0"/>
      <w:divBdr>
        <w:top w:val="none" w:sz="0" w:space="0" w:color="auto"/>
        <w:left w:val="none" w:sz="0" w:space="0" w:color="auto"/>
        <w:bottom w:val="none" w:sz="0" w:space="0" w:color="auto"/>
        <w:right w:val="none" w:sz="0" w:space="0" w:color="auto"/>
      </w:divBdr>
      <w:divsChild>
        <w:div w:id="1842547336">
          <w:marLeft w:val="0"/>
          <w:marRight w:val="0"/>
          <w:marTop w:val="0"/>
          <w:marBottom w:val="0"/>
          <w:divBdr>
            <w:top w:val="none" w:sz="0" w:space="0" w:color="auto"/>
            <w:left w:val="none" w:sz="0" w:space="0" w:color="auto"/>
            <w:bottom w:val="none" w:sz="0" w:space="0" w:color="auto"/>
            <w:right w:val="none" w:sz="0" w:space="0" w:color="auto"/>
          </w:divBdr>
        </w:div>
      </w:divsChild>
    </w:div>
    <w:div w:id="173344948">
      <w:marLeft w:val="0"/>
      <w:marRight w:val="0"/>
      <w:marTop w:val="0"/>
      <w:marBottom w:val="0"/>
      <w:divBdr>
        <w:top w:val="none" w:sz="0" w:space="0" w:color="auto"/>
        <w:left w:val="none" w:sz="0" w:space="0" w:color="auto"/>
        <w:bottom w:val="none" w:sz="0" w:space="0" w:color="auto"/>
        <w:right w:val="none" w:sz="0" w:space="0" w:color="auto"/>
      </w:divBdr>
    </w:div>
    <w:div w:id="175928948">
      <w:marLeft w:val="0"/>
      <w:marRight w:val="0"/>
      <w:marTop w:val="0"/>
      <w:marBottom w:val="0"/>
      <w:divBdr>
        <w:top w:val="none" w:sz="0" w:space="0" w:color="auto"/>
        <w:left w:val="none" w:sz="0" w:space="0" w:color="auto"/>
        <w:bottom w:val="none" w:sz="0" w:space="0" w:color="auto"/>
        <w:right w:val="none" w:sz="0" w:space="0" w:color="auto"/>
      </w:divBdr>
      <w:divsChild>
        <w:div w:id="1144739729">
          <w:marLeft w:val="0"/>
          <w:marRight w:val="0"/>
          <w:marTop w:val="0"/>
          <w:marBottom w:val="0"/>
          <w:divBdr>
            <w:top w:val="none" w:sz="0" w:space="0" w:color="auto"/>
            <w:left w:val="none" w:sz="0" w:space="0" w:color="auto"/>
            <w:bottom w:val="none" w:sz="0" w:space="0" w:color="auto"/>
            <w:right w:val="none" w:sz="0" w:space="0" w:color="auto"/>
          </w:divBdr>
        </w:div>
      </w:divsChild>
    </w:div>
    <w:div w:id="178278078">
      <w:marLeft w:val="0"/>
      <w:marRight w:val="0"/>
      <w:marTop w:val="0"/>
      <w:marBottom w:val="0"/>
      <w:divBdr>
        <w:top w:val="none" w:sz="0" w:space="0" w:color="auto"/>
        <w:left w:val="none" w:sz="0" w:space="0" w:color="auto"/>
        <w:bottom w:val="none" w:sz="0" w:space="0" w:color="auto"/>
        <w:right w:val="none" w:sz="0" w:space="0" w:color="auto"/>
      </w:divBdr>
      <w:divsChild>
        <w:div w:id="1532644207">
          <w:marLeft w:val="0"/>
          <w:marRight w:val="0"/>
          <w:marTop w:val="0"/>
          <w:marBottom w:val="0"/>
          <w:divBdr>
            <w:top w:val="none" w:sz="0" w:space="0" w:color="auto"/>
            <w:left w:val="none" w:sz="0" w:space="0" w:color="auto"/>
            <w:bottom w:val="none" w:sz="0" w:space="0" w:color="auto"/>
            <w:right w:val="none" w:sz="0" w:space="0" w:color="auto"/>
          </w:divBdr>
        </w:div>
        <w:div w:id="311063180">
          <w:marLeft w:val="0"/>
          <w:marRight w:val="0"/>
          <w:marTop w:val="0"/>
          <w:marBottom w:val="0"/>
          <w:divBdr>
            <w:top w:val="none" w:sz="0" w:space="0" w:color="auto"/>
            <w:left w:val="none" w:sz="0" w:space="0" w:color="auto"/>
            <w:bottom w:val="none" w:sz="0" w:space="0" w:color="auto"/>
            <w:right w:val="none" w:sz="0" w:space="0" w:color="auto"/>
          </w:divBdr>
        </w:div>
      </w:divsChild>
    </w:div>
    <w:div w:id="178392742">
      <w:marLeft w:val="0"/>
      <w:marRight w:val="0"/>
      <w:marTop w:val="0"/>
      <w:marBottom w:val="0"/>
      <w:divBdr>
        <w:top w:val="none" w:sz="0" w:space="0" w:color="auto"/>
        <w:left w:val="none" w:sz="0" w:space="0" w:color="auto"/>
        <w:bottom w:val="none" w:sz="0" w:space="0" w:color="auto"/>
        <w:right w:val="none" w:sz="0" w:space="0" w:color="auto"/>
      </w:divBdr>
      <w:divsChild>
        <w:div w:id="1401904482">
          <w:marLeft w:val="0"/>
          <w:marRight w:val="0"/>
          <w:marTop w:val="0"/>
          <w:marBottom w:val="0"/>
          <w:divBdr>
            <w:top w:val="none" w:sz="0" w:space="0" w:color="auto"/>
            <w:left w:val="none" w:sz="0" w:space="0" w:color="auto"/>
            <w:bottom w:val="none" w:sz="0" w:space="0" w:color="auto"/>
            <w:right w:val="none" w:sz="0" w:space="0" w:color="auto"/>
          </w:divBdr>
        </w:div>
      </w:divsChild>
    </w:div>
    <w:div w:id="189803215">
      <w:marLeft w:val="0"/>
      <w:marRight w:val="0"/>
      <w:marTop w:val="0"/>
      <w:marBottom w:val="0"/>
      <w:divBdr>
        <w:top w:val="none" w:sz="0" w:space="0" w:color="auto"/>
        <w:left w:val="none" w:sz="0" w:space="0" w:color="auto"/>
        <w:bottom w:val="none" w:sz="0" w:space="0" w:color="auto"/>
        <w:right w:val="none" w:sz="0" w:space="0" w:color="auto"/>
      </w:divBdr>
      <w:divsChild>
        <w:div w:id="1208834615">
          <w:marLeft w:val="0"/>
          <w:marRight w:val="0"/>
          <w:marTop w:val="0"/>
          <w:marBottom w:val="0"/>
          <w:divBdr>
            <w:top w:val="none" w:sz="0" w:space="0" w:color="auto"/>
            <w:left w:val="none" w:sz="0" w:space="0" w:color="auto"/>
            <w:bottom w:val="none" w:sz="0" w:space="0" w:color="auto"/>
            <w:right w:val="none" w:sz="0" w:space="0" w:color="auto"/>
          </w:divBdr>
        </w:div>
        <w:div w:id="217666703">
          <w:marLeft w:val="0"/>
          <w:marRight w:val="0"/>
          <w:marTop w:val="0"/>
          <w:marBottom w:val="0"/>
          <w:divBdr>
            <w:top w:val="none" w:sz="0" w:space="0" w:color="auto"/>
            <w:left w:val="none" w:sz="0" w:space="0" w:color="auto"/>
            <w:bottom w:val="none" w:sz="0" w:space="0" w:color="auto"/>
            <w:right w:val="none" w:sz="0" w:space="0" w:color="auto"/>
          </w:divBdr>
        </w:div>
      </w:divsChild>
    </w:div>
    <w:div w:id="212011275">
      <w:marLeft w:val="0"/>
      <w:marRight w:val="0"/>
      <w:marTop w:val="0"/>
      <w:marBottom w:val="0"/>
      <w:divBdr>
        <w:top w:val="none" w:sz="0" w:space="0" w:color="auto"/>
        <w:left w:val="none" w:sz="0" w:space="0" w:color="auto"/>
        <w:bottom w:val="none" w:sz="0" w:space="0" w:color="auto"/>
        <w:right w:val="none" w:sz="0" w:space="0" w:color="auto"/>
      </w:divBdr>
      <w:divsChild>
        <w:div w:id="3631065">
          <w:marLeft w:val="0"/>
          <w:marRight w:val="0"/>
          <w:marTop w:val="0"/>
          <w:marBottom w:val="0"/>
          <w:divBdr>
            <w:top w:val="none" w:sz="0" w:space="0" w:color="auto"/>
            <w:left w:val="none" w:sz="0" w:space="0" w:color="auto"/>
            <w:bottom w:val="none" w:sz="0" w:space="0" w:color="auto"/>
            <w:right w:val="none" w:sz="0" w:space="0" w:color="auto"/>
          </w:divBdr>
        </w:div>
      </w:divsChild>
    </w:div>
    <w:div w:id="220287463">
      <w:marLeft w:val="0"/>
      <w:marRight w:val="0"/>
      <w:marTop w:val="0"/>
      <w:marBottom w:val="0"/>
      <w:divBdr>
        <w:top w:val="none" w:sz="0" w:space="0" w:color="auto"/>
        <w:left w:val="none" w:sz="0" w:space="0" w:color="auto"/>
        <w:bottom w:val="none" w:sz="0" w:space="0" w:color="auto"/>
        <w:right w:val="none" w:sz="0" w:space="0" w:color="auto"/>
      </w:divBdr>
      <w:divsChild>
        <w:div w:id="127822180">
          <w:marLeft w:val="0"/>
          <w:marRight w:val="0"/>
          <w:marTop w:val="0"/>
          <w:marBottom w:val="0"/>
          <w:divBdr>
            <w:top w:val="none" w:sz="0" w:space="0" w:color="auto"/>
            <w:left w:val="none" w:sz="0" w:space="0" w:color="auto"/>
            <w:bottom w:val="none" w:sz="0" w:space="0" w:color="auto"/>
            <w:right w:val="none" w:sz="0" w:space="0" w:color="auto"/>
          </w:divBdr>
        </w:div>
        <w:div w:id="1783764300">
          <w:marLeft w:val="0"/>
          <w:marRight w:val="0"/>
          <w:marTop w:val="0"/>
          <w:marBottom w:val="0"/>
          <w:divBdr>
            <w:top w:val="none" w:sz="0" w:space="0" w:color="auto"/>
            <w:left w:val="none" w:sz="0" w:space="0" w:color="auto"/>
            <w:bottom w:val="none" w:sz="0" w:space="0" w:color="auto"/>
            <w:right w:val="none" w:sz="0" w:space="0" w:color="auto"/>
          </w:divBdr>
        </w:div>
      </w:divsChild>
    </w:div>
    <w:div w:id="244799370">
      <w:marLeft w:val="0"/>
      <w:marRight w:val="0"/>
      <w:marTop w:val="0"/>
      <w:marBottom w:val="0"/>
      <w:divBdr>
        <w:top w:val="none" w:sz="0" w:space="0" w:color="auto"/>
        <w:left w:val="none" w:sz="0" w:space="0" w:color="auto"/>
        <w:bottom w:val="none" w:sz="0" w:space="0" w:color="auto"/>
        <w:right w:val="none" w:sz="0" w:space="0" w:color="auto"/>
      </w:divBdr>
    </w:div>
    <w:div w:id="259530341">
      <w:marLeft w:val="0"/>
      <w:marRight w:val="0"/>
      <w:marTop w:val="0"/>
      <w:marBottom w:val="0"/>
      <w:divBdr>
        <w:top w:val="none" w:sz="0" w:space="0" w:color="auto"/>
        <w:left w:val="none" w:sz="0" w:space="0" w:color="auto"/>
        <w:bottom w:val="none" w:sz="0" w:space="0" w:color="auto"/>
        <w:right w:val="none" w:sz="0" w:space="0" w:color="auto"/>
      </w:divBdr>
    </w:div>
    <w:div w:id="274101358">
      <w:marLeft w:val="0"/>
      <w:marRight w:val="0"/>
      <w:marTop w:val="0"/>
      <w:marBottom w:val="0"/>
      <w:divBdr>
        <w:top w:val="none" w:sz="0" w:space="0" w:color="auto"/>
        <w:left w:val="none" w:sz="0" w:space="0" w:color="auto"/>
        <w:bottom w:val="none" w:sz="0" w:space="0" w:color="auto"/>
        <w:right w:val="none" w:sz="0" w:space="0" w:color="auto"/>
      </w:divBdr>
      <w:divsChild>
        <w:div w:id="1965114193">
          <w:marLeft w:val="0"/>
          <w:marRight w:val="0"/>
          <w:marTop w:val="0"/>
          <w:marBottom w:val="0"/>
          <w:divBdr>
            <w:top w:val="none" w:sz="0" w:space="0" w:color="auto"/>
            <w:left w:val="none" w:sz="0" w:space="0" w:color="auto"/>
            <w:bottom w:val="none" w:sz="0" w:space="0" w:color="auto"/>
            <w:right w:val="none" w:sz="0" w:space="0" w:color="auto"/>
          </w:divBdr>
        </w:div>
      </w:divsChild>
    </w:div>
    <w:div w:id="305670581">
      <w:marLeft w:val="0"/>
      <w:marRight w:val="0"/>
      <w:marTop w:val="0"/>
      <w:marBottom w:val="0"/>
      <w:divBdr>
        <w:top w:val="none" w:sz="0" w:space="0" w:color="auto"/>
        <w:left w:val="none" w:sz="0" w:space="0" w:color="auto"/>
        <w:bottom w:val="none" w:sz="0" w:space="0" w:color="auto"/>
        <w:right w:val="none" w:sz="0" w:space="0" w:color="auto"/>
      </w:divBdr>
      <w:divsChild>
        <w:div w:id="536822049">
          <w:marLeft w:val="0"/>
          <w:marRight w:val="0"/>
          <w:marTop w:val="0"/>
          <w:marBottom w:val="0"/>
          <w:divBdr>
            <w:top w:val="none" w:sz="0" w:space="0" w:color="auto"/>
            <w:left w:val="none" w:sz="0" w:space="0" w:color="auto"/>
            <w:bottom w:val="none" w:sz="0" w:space="0" w:color="auto"/>
            <w:right w:val="none" w:sz="0" w:space="0" w:color="auto"/>
          </w:divBdr>
        </w:div>
        <w:div w:id="834030261">
          <w:marLeft w:val="0"/>
          <w:marRight w:val="0"/>
          <w:marTop w:val="0"/>
          <w:marBottom w:val="0"/>
          <w:divBdr>
            <w:top w:val="none" w:sz="0" w:space="0" w:color="auto"/>
            <w:left w:val="none" w:sz="0" w:space="0" w:color="auto"/>
            <w:bottom w:val="none" w:sz="0" w:space="0" w:color="auto"/>
            <w:right w:val="none" w:sz="0" w:space="0" w:color="auto"/>
          </w:divBdr>
        </w:div>
      </w:divsChild>
    </w:div>
    <w:div w:id="322512613">
      <w:marLeft w:val="0"/>
      <w:marRight w:val="0"/>
      <w:marTop w:val="0"/>
      <w:marBottom w:val="0"/>
      <w:divBdr>
        <w:top w:val="none" w:sz="0" w:space="0" w:color="auto"/>
        <w:left w:val="none" w:sz="0" w:space="0" w:color="auto"/>
        <w:bottom w:val="none" w:sz="0" w:space="0" w:color="auto"/>
        <w:right w:val="none" w:sz="0" w:space="0" w:color="auto"/>
      </w:divBdr>
    </w:div>
    <w:div w:id="333728922">
      <w:marLeft w:val="0"/>
      <w:marRight w:val="0"/>
      <w:marTop w:val="0"/>
      <w:marBottom w:val="0"/>
      <w:divBdr>
        <w:top w:val="none" w:sz="0" w:space="0" w:color="auto"/>
        <w:left w:val="none" w:sz="0" w:space="0" w:color="auto"/>
        <w:bottom w:val="none" w:sz="0" w:space="0" w:color="auto"/>
        <w:right w:val="none" w:sz="0" w:space="0" w:color="auto"/>
      </w:divBdr>
      <w:divsChild>
        <w:div w:id="1373266701">
          <w:marLeft w:val="0"/>
          <w:marRight w:val="0"/>
          <w:marTop w:val="0"/>
          <w:marBottom w:val="0"/>
          <w:divBdr>
            <w:top w:val="none" w:sz="0" w:space="0" w:color="auto"/>
            <w:left w:val="none" w:sz="0" w:space="0" w:color="auto"/>
            <w:bottom w:val="none" w:sz="0" w:space="0" w:color="auto"/>
            <w:right w:val="none" w:sz="0" w:space="0" w:color="auto"/>
          </w:divBdr>
        </w:div>
      </w:divsChild>
    </w:div>
    <w:div w:id="353386010">
      <w:marLeft w:val="0"/>
      <w:marRight w:val="0"/>
      <w:marTop w:val="0"/>
      <w:marBottom w:val="0"/>
      <w:divBdr>
        <w:top w:val="none" w:sz="0" w:space="0" w:color="auto"/>
        <w:left w:val="none" w:sz="0" w:space="0" w:color="auto"/>
        <w:bottom w:val="none" w:sz="0" w:space="0" w:color="auto"/>
        <w:right w:val="none" w:sz="0" w:space="0" w:color="auto"/>
      </w:divBdr>
    </w:div>
    <w:div w:id="359356982">
      <w:marLeft w:val="0"/>
      <w:marRight w:val="0"/>
      <w:marTop w:val="0"/>
      <w:marBottom w:val="0"/>
      <w:divBdr>
        <w:top w:val="none" w:sz="0" w:space="0" w:color="auto"/>
        <w:left w:val="none" w:sz="0" w:space="0" w:color="auto"/>
        <w:bottom w:val="none" w:sz="0" w:space="0" w:color="auto"/>
        <w:right w:val="none" w:sz="0" w:space="0" w:color="auto"/>
      </w:divBdr>
    </w:div>
    <w:div w:id="362436953">
      <w:marLeft w:val="0"/>
      <w:marRight w:val="0"/>
      <w:marTop w:val="0"/>
      <w:marBottom w:val="0"/>
      <w:divBdr>
        <w:top w:val="none" w:sz="0" w:space="0" w:color="auto"/>
        <w:left w:val="none" w:sz="0" w:space="0" w:color="auto"/>
        <w:bottom w:val="none" w:sz="0" w:space="0" w:color="auto"/>
        <w:right w:val="none" w:sz="0" w:space="0" w:color="auto"/>
      </w:divBdr>
    </w:div>
    <w:div w:id="365637682">
      <w:marLeft w:val="0"/>
      <w:marRight w:val="0"/>
      <w:marTop w:val="0"/>
      <w:marBottom w:val="0"/>
      <w:divBdr>
        <w:top w:val="none" w:sz="0" w:space="0" w:color="auto"/>
        <w:left w:val="none" w:sz="0" w:space="0" w:color="auto"/>
        <w:bottom w:val="none" w:sz="0" w:space="0" w:color="auto"/>
        <w:right w:val="none" w:sz="0" w:space="0" w:color="auto"/>
      </w:divBdr>
      <w:divsChild>
        <w:div w:id="1867524106">
          <w:marLeft w:val="0"/>
          <w:marRight w:val="0"/>
          <w:marTop w:val="0"/>
          <w:marBottom w:val="0"/>
          <w:divBdr>
            <w:top w:val="none" w:sz="0" w:space="0" w:color="auto"/>
            <w:left w:val="none" w:sz="0" w:space="0" w:color="auto"/>
            <w:bottom w:val="none" w:sz="0" w:space="0" w:color="auto"/>
            <w:right w:val="none" w:sz="0" w:space="0" w:color="auto"/>
          </w:divBdr>
        </w:div>
      </w:divsChild>
    </w:div>
    <w:div w:id="378096408">
      <w:marLeft w:val="0"/>
      <w:marRight w:val="0"/>
      <w:marTop w:val="0"/>
      <w:marBottom w:val="0"/>
      <w:divBdr>
        <w:top w:val="none" w:sz="0" w:space="0" w:color="auto"/>
        <w:left w:val="none" w:sz="0" w:space="0" w:color="auto"/>
        <w:bottom w:val="none" w:sz="0" w:space="0" w:color="auto"/>
        <w:right w:val="none" w:sz="0" w:space="0" w:color="auto"/>
      </w:divBdr>
      <w:divsChild>
        <w:div w:id="708456188">
          <w:marLeft w:val="0"/>
          <w:marRight w:val="0"/>
          <w:marTop w:val="0"/>
          <w:marBottom w:val="0"/>
          <w:divBdr>
            <w:top w:val="none" w:sz="0" w:space="0" w:color="auto"/>
            <w:left w:val="none" w:sz="0" w:space="0" w:color="auto"/>
            <w:bottom w:val="none" w:sz="0" w:space="0" w:color="auto"/>
            <w:right w:val="none" w:sz="0" w:space="0" w:color="auto"/>
          </w:divBdr>
        </w:div>
      </w:divsChild>
    </w:div>
    <w:div w:id="390621051">
      <w:marLeft w:val="0"/>
      <w:marRight w:val="0"/>
      <w:marTop w:val="0"/>
      <w:marBottom w:val="0"/>
      <w:divBdr>
        <w:top w:val="none" w:sz="0" w:space="0" w:color="auto"/>
        <w:left w:val="none" w:sz="0" w:space="0" w:color="auto"/>
        <w:bottom w:val="none" w:sz="0" w:space="0" w:color="auto"/>
        <w:right w:val="none" w:sz="0" w:space="0" w:color="auto"/>
      </w:divBdr>
    </w:div>
    <w:div w:id="405688201">
      <w:marLeft w:val="0"/>
      <w:marRight w:val="0"/>
      <w:marTop w:val="0"/>
      <w:marBottom w:val="0"/>
      <w:divBdr>
        <w:top w:val="none" w:sz="0" w:space="0" w:color="auto"/>
        <w:left w:val="none" w:sz="0" w:space="0" w:color="auto"/>
        <w:bottom w:val="none" w:sz="0" w:space="0" w:color="auto"/>
        <w:right w:val="none" w:sz="0" w:space="0" w:color="auto"/>
      </w:divBdr>
    </w:div>
    <w:div w:id="405955262">
      <w:marLeft w:val="0"/>
      <w:marRight w:val="0"/>
      <w:marTop w:val="0"/>
      <w:marBottom w:val="0"/>
      <w:divBdr>
        <w:top w:val="none" w:sz="0" w:space="0" w:color="auto"/>
        <w:left w:val="none" w:sz="0" w:space="0" w:color="auto"/>
        <w:bottom w:val="none" w:sz="0" w:space="0" w:color="auto"/>
        <w:right w:val="none" w:sz="0" w:space="0" w:color="auto"/>
      </w:divBdr>
      <w:divsChild>
        <w:div w:id="1632595093">
          <w:marLeft w:val="0"/>
          <w:marRight w:val="0"/>
          <w:marTop w:val="0"/>
          <w:marBottom w:val="0"/>
          <w:divBdr>
            <w:top w:val="none" w:sz="0" w:space="0" w:color="auto"/>
            <w:left w:val="none" w:sz="0" w:space="0" w:color="auto"/>
            <w:bottom w:val="none" w:sz="0" w:space="0" w:color="auto"/>
            <w:right w:val="none" w:sz="0" w:space="0" w:color="auto"/>
          </w:divBdr>
        </w:div>
        <w:div w:id="765230813">
          <w:marLeft w:val="0"/>
          <w:marRight w:val="0"/>
          <w:marTop w:val="0"/>
          <w:marBottom w:val="0"/>
          <w:divBdr>
            <w:top w:val="none" w:sz="0" w:space="0" w:color="auto"/>
            <w:left w:val="none" w:sz="0" w:space="0" w:color="auto"/>
            <w:bottom w:val="none" w:sz="0" w:space="0" w:color="auto"/>
            <w:right w:val="none" w:sz="0" w:space="0" w:color="auto"/>
          </w:divBdr>
        </w:div>
      </w:divsChild>
    </w:div>
    <w:div w:id="410397196">
      <w:marLeft w:val="0"/>
      <w:marRight w:val="0"/>
      <w:marTop w:val="0"/>
      <w:marBottom w:val="0"/>
      <w:divBdr>
        <w:top w:val="none" w:sz="0" w:space="0" w:color="auto"/>
        <w:left w:val="none" w:sz="0" w:space="0" w:color="auto"/>
        <w:bottom w:val="none" w:sz="0" w:space="0" w:color="auto"/>
        <w:right w:val="none" w:sz="0" w:space="0" w:color="auto"/>
      </w:divBdr>
      <w:divsChild>
        <w:div w:id="1932199340">
          <w:marLeft w:val="0"/>
          <w:marRight w:val="0"/>
          <w:marTop w:val="0"/>
          <w:marBottom w:val="0"/>
          <w:divBdr>
            <w:top w:val="none" w:sz="0" w:space="0" w:color="auto"/>
            <w:left w:val="none" w:sz="0" w:space="0" w:color="auto"/>
            <w:bottom w:val="none" w:sz="0" w:space="0" w:color="auto"/>
            <w:right w:val="none" w:sz="0" w:space="0" w:color="auto"/>
          </w:divBdr>
        </w:div>
      </w:divsChild>
    </w:div>
    <w:div w:id="462775992">
      <w:marLeft w:val="0"/>
      <w:marRight w:val="0"/>
      <w:marTop w:val="0"/>
      <w:marBottom w:val="0"/>
      <w:divBdr>
        <w:top w:val="none" w:sz="0" w:space="0" w:color="auto"/>
        <w:left w:val="none" w:sz="0" w:space="0" w:color="auto"/>
        <w:bottom w:val="none" w:sz="0" w:space="0" w:color="auto"/>
        <w:right w:val="none" w:sz="0" w:space="0" w:color="auto"/>
      </w:divBdr>
      <w:divsChild>
        <w:div w:id="1461071683">
          <w:marLeft w:val="0"/>
          <w:marRight w:val="0"/>
          <w:marTop w:val="0"/>
          <w:marBottom w:val="0"/>
          <w:divBdr>
            <w:top w:val="none" w:sz="0" w:space="0" w:color="auto"/>
            <w:left w:val="none" w:sz="0" w:space="0" w:color="auto"/>
            <w:bottom w:val="single" w:sz="8" w:space="1" w:color="auto"/>
            <w:right w:val="none" w:sz="0" w:space="0" w:color="auto"/>
          </w:divBdr>
        </w:div>
        <w:div w:id="1065487928">
          <w:marLeft w:val="0"/>
          <w:marRight w:val="0"/>
          <w:marTop w:val="0"/>
          <w:marBottom w:val="0"/>
          <w:divBdr>
            <w:top w:val="none" w:sz="0" w:space="0" w:color="auto"/>
            <w:left w:val="none" w:sz="0" w:space="0" w:color="auto"/>
            <w:bottom w:val="single" w:sz="8" w:space="1" w:color="auto"/>
            <w:right w:val="none" w:sz="0" w:space="0" w:color="auto"/>
          </w:divBdr>
        </w:div>
        <w:div w:id="2124884207">
          <w:marLeft w:val="0"/>
          <w:marRight w:val="0"/>
          <w:marTop w:val="0"/>
          <w:marBottom w:val="0"/>
          <w:divBdr>
            <w:top w:val="none" w:sz="0" w:space="0" w:color="auto"/>
            <w:left w:val="none" w:sz="0" w:space="0" w:color="auto"/>
            <w:bottom w:val="single" w:sz="8" w:space="1" w:color="auto"/>
            <w:right w:val="none" w:sz="0" w:space="0" w:color="auto"/>
          </w:divBdr>
        </w:div>
      </w:divsChild>
    </w:div>
    <w:div w:id="488251384">
      <w:marLeft w:val="0"/>
      <w:marRight w:val="0"/>
      <w:marTop w:val="0"/>
      <w:marBottom w:val="0"/>
      <w:divBdr>
        <w:top w:val="none" w:sz="0" w:space="0" w:color="auto"/>
        <w:left w:val="none" w:sz="0" w:space="0" w:color="auto"/>
        <w:bottom w:val="none" w:sz="0" w:space="0" w:color="auto"/>
        <w:right w:val="none" w:sz="0" w:space="0" w:color="auto"/>
      </w:divBdr>
    </w:div>
    <w:div w:id="504251820">
      <w:marLeft w:val="0"/>
      <w:marRight w:val="0"/>
      <w:marTop w:val="0"/>
      <w:marBottom w:val="0"/>
      <w:divBdr>
        <w:top w:val="none" w:sz="0" w:space="0" w:color="auto"/>
        <w:left w:val="none" w:sz="0" w:space="0" w:color="auto"/>
        <w:bottom w:val="none" w:sz="0" w:space="0" w:color="auto"/>
        <w:right w:val="none" w:sz="0" w:space="0" w:color="auto"/>
      </w:divBdr>
      <w:divsChild>
        <w:div w:id="1757438043">
          <w:marLeft w:val="0"/>
          <w:marRight w:val="0"/>
          <w:marTop w:val="0"/>
          <w:marBottom w:val="0"/>
          <w:divBdr>
            <w:top w:val="none" w:sz="0" w:space="0" w:color="auto"/>
            <w:left w:val="none" w:sz="0" w:space="0" w:color="auto"/>
            <w:bottom w:val="none" w:sz="0" w:space="0" w:color="auto"/>
            <w:right w:val="none" w:sz="0" w:space="0" w:color="auto"/>
          </w:divBdr>
        </w:div>
      </w:divsChild>
    </w:div>
    <w:div w:id="517042357">
      <w:marLeft w:val="0"/>
      <w:marRight w:val="0"/>
      <w:marTop w:val="0"/>
      <w:marBottom w:val="0"/>
      <w:divBdr>
        <w:top w:val="none" w:sz="0" w:space="0" w:color="auto"/>
        <w:left w:val="none" w:sz="0" w:space="0" w:color="auto"/>
        <w:bottom w:val="none" w:sz="0" w:space="0" w:color="auto"/>
        <w:right w:val="none" w:sz="0" w:space="0" w:color="auto"/>
      </w:divBdr>
      <w:divsChild>
        <w:div w:id="1472946004">
          <w:marLeft w:val="0"/>
          <w:marRight w:val="0"/>
          <w:marTop w:val="0"/>
          <w:marBottom w:val="0"/>
          <w:divBdr>
            <w:top w:val="none" w:sz="0" w:space="0" w:color="auto"/>
            <w:left w:val="none" w:sz="0" w:space="0" w:color="auto"/>
            <w:bottom w:val="single" w:sz="8" w:space="0" w:color="auto"/>
            <w:right w:val="none" w:sz="0" w:space="0" w:color="auto"/>
          </w:divBdr>
        </w:div>
        <w:div w:id="871499779">
          <w:marLeft w:val="0"/>
          <w:marRight w:val="0"/>
          <w:marTop w:val="0"/>
          <w:marBottom w:val="0"/>
          <w:divBdr>
            <w:top w:val="none" w:sz="0" w:space="0" w:color="auto"/>
            <w:left w:val="none" w:sz="0" w:space="0" w:color="auto"/>
            <w:bottom w:val="single" w:sz="8" w:space="0" w:color="auto"/>
            <w:right w:val="none" w:sz="0" w:space="0" w:color="auto"/>
          </w:divBdr>
        </w:div>
        <w:div w:id="1830362644">
          <w:marLeft w:val="0"/>
          <w:marRight w:val="0"/>
          <w:marTop w:val="0"/>
          <w:marBottom w:val="0"/>
          <w:divBdr>
            <w:top w:val="none" w:sz="0" w:space="0" w:color="auto"/>
            <w:left w:val="none" w:sz="0" w:space="0" w:color="auto"/>
            <w:bottom w:val="single" w:sz="8" w:space="0" w:color="auto"/>
            <w:right w:val="none" w:sz="0" w:space="0" w:color="auto"/>
          </w:divBdr>
        </w:div>
      </w:divsChild>
    </w:div>
    <w:div w:id="542598847">
      <w:marLeft w:val="0"/>
      <w:marRight w:val="0"/>
      <w:marTop w:val="0"/>
      <w:marBottom w:val="0"/>
      <w:divBdr>
        <w:top w:val="none" w:sz="0" w:space="0" w:color="auto"/>
        <w:left w:val="none" w:sz="0" w:space="0" w:color="auto"/>
        <w:bottom w:val="none" w:sz="0" w:space="0" w:color="auto"/>
        <w:right w:val="none" w:sz="0" w:space="0" w:color="auto"/>
      </w:divBdr>
    </w:div>
    <w:div w:id="544683394">
      <w:marLeft w:val="0"/>
      <w:marRight w:val="0"/>
      <w:marTop w:val="0"/>
      <w:marBottom w:val="0"/>
      <w:divBdr>
        <w:top w:val="none" w:sz="0" w:space="0" w:color="auto"/>
        <w:left w:val="none" w:sz="0" w:space="0" w:color="auto"/>
        <w:bottom w:val="none" w:sz="0" w:space="0" w:color="auto"/>
        <w:right w:val="none" w:sz="0" w:space="0" w:color="auto"/>
      </w:divBdr>
    </w:div>
    <w:div w:id="563108297">
      <w:marLeft w:val="0"/>
      <w:marRight w:val="0"/>
      <w:marTop w:val="0"/>
      <w:marBottom w:val="0"/>
      <w:divBdr>
        <w:top w:val="none" w:sz="0" w:space="0" w:color="auto"/>
        <w:left w:val="none" w:sz="0" w:space="0" w:color="auto"/>
        <w:bottom w:val="none" w:sz="0" w:space="0" w:color="auto"/>
        <w:right w:val="none" w:sz="0" w:space="0" w:color="auto"/>
      </w:divBdr>
      <w:divsChild>
        <w:div w:id="1397623966">
          <w:marLeft w:val="0"/>
          <w:marRight w:val="0"/>
          <w:marTop w:val="0"/>
          <w:marBottom w:val="0"/>
          <w:divBdr>
            <w:top w:val="none" w:sz="0" w:space="0" w:color="auto"/>
            <w:left w:val="none" w:sz="0" w:space="0" w:color="auto"/>
            <w:bottom w:val="none" w:sz="0" w:space="0" w:color="auto"/>
            <w:right w:val="none" w:sz="0" w:space="0" w:color="auto"/>
          </w:divBdr>
        </w:div>
      </w:divsChild>
    </w:div>
    <w:div w:id="566652765">
      <w:marLeft w:val="0"/>
      <w:marRight w:val="0"/>
      <w:marTop w:val="0"/>
      <w:marBottom w:val="0"/>
      <w:divBdr>
        <w:top w:val="none" w:sz="0" w:space="0" w:color="auto"/>
        <w:left w:val="none" w:sz="0" w:space="0" w:color="auto"/>
        <w:bottom w:val="none" w:sz="0" w:space="0" w:color="auto"/>
        <w:right w:val="none" w:sz="0" w:space="0" w:color="auto"/>
      </w:divBdr>
    </w:div>
    <w:div w:id="567960167">
      <w:marLeft w:val="0"/>
      <w:marRight w:val="0"/>
      <w:marTop w:val="0"/>
      <w:marBottom w:val="0"/>
      <w:divBdr>
        <w:top w:val="none" w:sz="0" w:space="0" w:color="auto"/>
        <w:left w:val="none" w:sz="0" w:space="0" w:color="auto"/>
        <w:bottom w:val="none" w:sz="0" w:space="0" w:color="auto"/>
        <w:right w:val="none" w:sz="0" w:space="0" w:color="auto"/>
      </w:divBdr>
      <w:divsChild>
        <w:div w:id="2053309081">
          <w:marLeft w:val="0"/>
          <w:marRight w:val="0"/>
          <w:marTop w:val="0"/>
          <w:marBottom w:val="0"/>
          <w:divBdr>
            <w:top w:val="none" w:sz="0" w:space="0" w:color="auto"/>
            <w:left w:val="none" w:sz="0" w:space="0" w:color="auto"/>
            <w:bottom w:val="none" w:sz="0" w:space="0" w:color="auto"/>
            <w:right w:val="none" w:sz="0" w:space="0" w:color="auto"/>
          </w:divBdr>
        </w:div>
      </w:divsChild>
    </w:div>
    <w:div w:id="572471657">
      <w:marLeft w:val="0"/>
      <w:marRight w:val="0"/>
      <w:marTop w:val="0"/>
      <w:marBottom w:val="0"/>
      <w:divBdr>
        <w:top w:val="none" w:sz="0" w:space="0" w:color="auto"/>
        <w:left w:val="none" w:sz="0" w:space="0" w:color="auto"/>
        <w:bottom w:val="none" w:sz="0" w:space="0" w:color="auto"/>
        <w:right w:val="none" w:sz="0" w:space="0" w:color="auto"/>
      </w:divBdr>
      <w:divsChild>
        <w:div w:id="1570261785">
          <w:marLeft w:val="0"/>
          <w:marRight w:val="0"/>
          <w:marTop w:val="0"/>
          <w:marBottom w:val="0"/>
          <w:divBdr>
            <w:top w:val="none" w:sz="0" w:space="0" w:color="auto"/>
            <w:left w:val="none" w:sz="0" w:space="0" w:color="auto"/>
            <w:bottom w:val="none" w:sz="0" w:space="0" w:color="auto"/>
            <w:right w:val="none" w:sz="0" w:space="0" w:color="auto"/>
          </w:divBdr>
        </w:div>
        <w:div w:id="1577788493">
          <w:marLeft w:val="0"/>
          <w:marRight w:val="0"/>
          <w:marTop w:val="0"/>
          <w:marBottom w:val="0"/>
          <w:divBdr>
            <w:top w:val="none" w:sz="0" w:space="0" w:color="auto"/>
            <w:left w:val="none" w:sz="0" w:space="0" w:color="auto"/>
            <w:bottom w:val="none" w:sz="0" w:space="0" w:color="auto"/>
            <w:right w:val="none" w:sz="0" w:space="0" w:color="auto"/>
          </w:divBdr>
        </w:div>
      </w:divsChild>
    </w:div>
    <w:div w:id="574122930">
      <w:marLeft w:val="0"/>
      <w:marRight w:val="0"/>
      <w:marTop w:val="0"/>
      <w:marBottom w:val="0"/>
      <w:divBdr>
        <w:top w:val="none" w:sz="0" w:space="0" w:color="auto"/>
        <w:left w:val="none" w:sz="0" w:space="0" w:color="auto"/>
        <w:bottom w:val="none" w:sz="0" w:space="0" w:color="auto"/>
        <w:right w:val="none" w:sz="0" w:space="0" w:color="auto"/>
      </w:divBdr>
      <w:divsChild>
        <w:div w:id="498664519">
          <w:marLeft w:val="0"/>
          <w:marRight w:val="0"/>
          <w:marTop w:val="0"/>
          <w:marBottom w:val="0"/>
          <w:divBdr>
            <w:top w:val="none" w:sz="0" w:space="0" w:color="auto"/>
            <w:left w:val="none" w:sz="0" w:space="0" w:color="auto"/>
            <w:bottom w:val="none" w:sz="0" w:space="0" w:color="auto"/>
            <w:right w:val="none" w:sz="0" w:space="0" w:color="auto"/>
          </w:divBdr>
        </w:div>
        <w:div w:id="269899533">
          <w:marLeft w:val="0"/>
          <w:marRight w:val="0"/>
          <w:marTop w:val="0"/>
          <w:marBottom w:val="0"/>
          <w:divBdr>
            <w:top w:val="none" w:sz="0" w:space="0" w:color="auto"/>
            <w:left w:val="none" w:sz="0" w:space="0" w:color="auto"/>
            <w:bottom w:val="none" w:sz="0" w:space="0" w:color="auto"/>
            <w:right w:val="none" w:sz="0" w:space="0" w:color="auto"/>
          </w:divBdr>
        </w:div>
      </w:divsChild>
    </w:div>
    <w:div w:id="581717130">
      <w:marLeft w:val="0"/>
      <w:marRight w:val="0"/>
      <w:marTop w:val="0"/>
      <w:marBottom w:val="0"/>
      <w:divBdr>
        <w:top w:val="none" w:sz="0" w:space="0" w:color="auto"/>
        <w:left w:val="none" w:sz="0" w:space="0" w:color="auto"/>
        <w:bottom w:val="none" w:sz="0" w:space="0" w:color="auto"/>
        <w:right w:val="none" w:sz="0" w:space="0" w:color="auto"/>
      </w:divBdr>
      <w:divsChild>
        <w:div w:id="869416915">
          <w:marLeft w:val="0"/>
          <w:marRight w:val="0"/>
          <w:marTop w:val="0"/>
          <w:marBottom w:val="0"/>
          <w:divBdr>
            <w:top w:val="none" w:sz="0" w:space="0" w:color="auto"/>
            <w:left w:val="none" w:sz="0" w:space="0" w:color="auto"/>
            <w:bottom w:val="none" w:sz="0" w:space="0" w:color="auto"/>
            <w:right w:val="none" w:sz="0" w:space="0" w:color="auto"/>
          </w:divBdr>
        </w:div>
      </w:divsChild>
    </w:div>
    <w:div w:id="582645635">
      <w:marLeft w:val="0"/>
      <w:marRight w:val="0"/>
      <w:marTop w:val="0"/>
      <w:marBottom w:val="0"/>
      <w:divBdr>
        <w:top w:val="none" w:sz="0" w:space="0" w:color="auto"/>
        <w:left w:val="none" w:sz="0" w:space="0" w:color="auto"/>
        <w:bottom w:val="none" w:sz="0" w:space="0" w:color="auto"/>
        <w:right w:val="none" w:sz="0" w:space="0" w:color="auto"/>
      </w:divBdr>
      <w:divsChild>
        <w:div w:id="1821263561">
          <w:marLeft w:val="0"/>
          <w:marRight w:val="0"/>
          <w:marTop w:val="0"/>
          <w:marBottom w:val="0"/>
          <w:divBdr>
            <w:top w:val="none" w:sz="0" w:space="0" w:color="auto"/>
            <w:left w:val="none" w:sz="0" w:space="0" w:color="auto"/>
            <w:bottom w:val="none" w:sz="0" w:space="0" w:color="auto"/>
            <w:right w:val="none" w:sz="0" w:space="0" w:color="auto"/>
          </w:divBdr>
        </w:div>
        <w:div w:id="596209262">
          <w:marLeft w:val="0"/>
          <w:marRight w:val="0"/>
          <w:marTop w:val="0"/>
          <w:marBottom w:val="0"/>
          <w:divBdr>
            <w:top w:val="none" w:sz="0" w:space="0" w:color="auto"/>
            <w:left w:val="none" w:sz="0" w:space="0" w:color="auto"/>
            <w:bottom w:val="none" w:sz="0" w:space="0" w:color="auto"/>
            <w:right w:val="none" w:sz="0" w:space="0" w:color="auto"/>
          </w:divBdr>
        </w:div>
      </w:divsChild>
    </w:div>
    <w:div w:id="587009940">
      <w:marLeft w:val="0"/>
      <w:marRight w:val="0"/>
      <w:marTop w:val="0"/>
      <w:marBottom w:val="0"/>
      <w:divBdr>
        <w:top w:val="none" w:sz="0" w:space="0" w:color="auto"/>
        <w:left w:val="none" w:sz="0" w:space="0" w:color="auto"/>
        <w:bottom w:val="none" w:sz="0" w:space="0" w:color="auto"/>
        <w:right w:val="none" w:sz="0" w:space="0" w:color="auto"/>
      </w:divBdr>
      <w:divsChild>
        <w:div w:id="1182090142">
          <w:marLeft w:val="0"/>
          <w:marRight w:val="0"/>
          <w:marTop w:val="0"/>
          <w:marBottom w:val="0"/>
          <w:divBdr>
            <w:top w:val="none" w:sz="0" w:space="0" w:color="auto"/>
            <w:left w:val="none" w:sz="0" w:space="0" w:color="auto"/>
            <w:bottom w:val="none" w:sz="0" w:space="0" w:color="auto"/>
            <w:right w:val="none" w:sz="0" w:space="0" w:color="auto"/>
          </w:divBdr>
        </w:div>
      </w:divsChild>
    </w:div>
    <w:div w:id="608855224">
      <w:marLeft w:val="0"/>
      <w:marRight w:val="0"/>
      <w:marTop w:val="0"/>
      <w:marBottom w:val="0"/>
      <w:divBdr>
        <w:top w:val="none" w:sz="0" w:space="0" w:color="auto"/>
        <w:left w:val="none" w:sz="0" w:space="0" w:color="auto"/>
        <w:bottom w:val="none" w:sz="0" w:space="0" w:color="auto"/>
        <w:right w:val="none" w:sz="0" w:space="0" w:color="auto"/>
      </w:divBdr>
      <w:divsChild>
        <w:div w:id="326786125">
          <w:marLeft w:val="0"/>
          <w:marRight w:val="0"/>
          <w:marTop w:val="0"/>
          <w:marBottom w:val="0"/>
          <w:divBdr>
            <w:top w:val="none" w:sz="0" w:space="0" w:color="auto"/>
            <w:left w:val="none" w:sz="0" w:space="0" w:color="auto"/>
            <w:bottom w:val="none" w:sz="0" w:space="0" w:color="auto"/>
            <w:right w:val="none" w:sz="0" w:space="0" w:color="auto"/>
          </w:divBdr>
        </w:div>
      </w:divsChild>
    </w:div>
    <w:div w:id="620498479">
      <w:marLeft w:val="0"/>
      <w:marRight w:val="0"/>
      <w:marTop w:val="0"/>
      <w:marBottom w:val="0"/>
      <w:divBdr>
        <w:top w:val="none" w:sz="0" w:space="0" w:color="auto"/>
        <w:left w:val="none" w:sz="0" w:space="0" w:color="auto"/>
        <w:bottom w:val="none" w:sz="0" w:space="0" w:color="auto"/>
        <w:right w:val="none" w:sz="0" w:space="0" w:color="auto"/>
      </w:divBdr>
      <w:divsChild>
        <w:div w:id="720253793">
          <w:marLeft w:val="0"/>
          <w:marRight w:val="0"/>
          <w:marTop w:val="0"/>
          <w:marBottom w:val="0"/>
          <w:divBdr>
            <w:top w:val="none" w:sz="0" w:space="0" w:color="auto"/>
            <w:left w:val="none" w:sz="0" w:space="0" w:color="auto"/>
            <w:bottom w:val="none" w:sz="0" w:space="0" w:color="auto"/>
            <w:right w:val="none" w:sz="0" w:space="0" w:color="auto"/>
          </w:divBdr>
        </w:div>
      </w:divsChild>
    </w:div>
    <w:div w:id="643659154">
      <w:marLeft w:val="0"/>
      <w:marRight w:val="0"/>
      <w:marTop w:val="0"/>
      <w:marBottom w:val="0"/>
      <w:divBdr>
        <w:top w:val="none" w:sz="0" w:space="0" w:color="auto"/>
        <w:left w:val="none" w:sz="0" w:space="0" w:color="auto"/>
        <w:bottom w:val="none" w:sz="0" w:space="0" w:color="auto"/>
        <w:right w:val="none" w:sz="0" w:space="0" w:color="auto"/>
      </w:divBdr>
      <w:divsChild>
        <w:div w:id="1631207264">
          <w:marLeft w:val="0"/>
          <w:marRight w:val="0"/>
          <w:marTop w:val="0"/>
          <w:marBottom w:val="0"/>
          <w:divBdr>
            <w:top w:val="none" w:sz="0" w:space="0" w:color="auto"/>
            <w:left w:val="none" w:sz="0" w:space="0" w:color="auto"/>
            <w:bottom w:val="none" w:sz="0" w:space="0" w:color="auto"/>
            <w:right w:val="none" w:sz="0" w:space="0" w:color="auto"/>
          </w:divBdr>
        </w:div>
        <w:div w:id="1938097950">
          <w:marLeft w:val="0"/>
          <w:marRight w:val="0"/>
          <w:marTop w:val="0"/>
          <w:marBottom w:val="0"/>
          <w:divBdr>
            <w:top w:val="none" w:sz="0" w:space="0" w:color="auto"/>
            <w:left w:val="none" w:sz="0" w:space="0" w:color="auto"/>
            <w:bottom w:val="none" w:sz="0" w:space="0" w:color="auto"/>
            <w:right w:val="none" w:sz="0" w:space="0" w:color="auto"/>
          </w:divBdr>
        </w:div>
      </w:divsChild>
    </w:div>
    <w:div w:id="656497655">
      <w:marLeft w:val="0"/>
      <w:marRight w:val="0"/>
      <w:marTop w:val="0"/>
      <w:marBottom w:val="0"/>
      <w:divBdr>
        <w:top w:val="none" w:sz="0" w:space="0" w:color="auto"/>
        <w:left w:val="none" w:sz="0" w:space="0" w:color="auto"/>
        <w:bottom w:val="none" w:sz="0" w:space="0" w:color="auto"/>
        <w:right w:val="none" w:sz="0" w:space="0" w:color="auto"/>
      </w:divBdr>
    </w:div>
    <w:div w:id="657071448">
      <w:marLeft w:val="0"/>
      <w:marRight w:val="0"/>
      <w:marTop w:val="0"/>
      <w:marBottom w:val="0"/>
      <w:divBdr>
        <w:top w:val="none" w:sz="0" w:space="0" w:color="auto"/>
        <w:left w:val="none" w:sz="0" w:space="0" w:color="auto"/>
        <w:bottom w:val="none" w:sz="0" w:space="0" w:color="auto"/>
        <w:right w:val="none" w:sz="0" w:space="0" w:color="auto"/>
      </w:divBdr>
      <w:divsChild>
        <w:div w:id="1200237212">
          <w:marLeft w:val="0"/>
          <w:marRight w:val="0"/>
          <w:marTop w:val="0"/>
          <w:marBottom w:val="0"/>
          <w:divBdr>
            <w:top w:val="none" w:sz="0" w:space="0" w:color="auto"/>
            <w:left w:val="none" w:sz="0" w:space="0" w:color="auto"/>
            <w:bottom w:val="none" w:sz="0" w:space="0" w:color="auto"/>
            <w:right w:val="none" w:sz="0" w:space="0" w:color="auto"/>
          </w:divBdr>
        </w:div>
      </w:divsChild>
    </w:div>
    <w:div w:id="658775171">
      <w:marLeft w:val="0"/>
      <w:marRight w:val="0"/>
      <w:marTop w:val="0"/>
      <w:marBottom w:val="0"/>
      <w:divBdr>
        <w:top w:val="none" w:sz="0" w:space="0" w:color="auto"/>
        <w:left w:val="none" w:sz="0" w:space="0" w:color="auto"/>
        <w:bottom w:val="none" w:sz="0" w:space="0" w:color="auto"/>
        <w:right w:val="none" w:sz="0" w:space="0" w:color="auto"/>
      </w:divBdr>
      <w:divsChild>
        <w:div w:id="977228747">
          <w:marLeft w:val="0"/>
          <w:marRight w:val="0"/>
          <w:marTop w:val="0"/>
          <w:marBottom w:val="0"/>
          <w:divBdr>
            <w:top w:val="none" w:sz="0" w:space="0" w:color="auto"/>
            <w:left w:val="none" w:sz="0" w:space="0" w:color="auto"/>
            <w:bottom w:val="none" w:sz="0" w:space="0" w:color="auto"/>
            <w:right w:val="none" w:sz="0" w:space="0" w:color="auto"/>
          </w:divBdr>
        </w:div>
      </w:divsChild>
    </w:div>
    <w:div w:id="666633924">
      <w:marLeft w:val="0"/>
      <w:marRight w:val="0"/>
      <w:marTop w:val="0"/>
      <w:marBottom w:val="0"/>
      <w:divBdr>
        <w:top w:val="none" w:sz="0" w:space="0" w:color="auto"/>
        <w:left w:val="none" w:sz="0" w:space="0" w:color="auto"/>
        <w:bottom w:val="none" w:sz="0" w:space="0" w:color="auto"/>
        <w:right w:val="none" w:sz="0" w:space="0" w:color="auto"/>
      </w:divBdr>
    </w:div>
    <w:div w:id="682322253">
      <w:marLeft w:val="0"/>
      <w:marRight w:val="0"/>
      <w:marTop w:val="0"/>
      <w:marBottom w:val="0"/>
      <w:divBdr>
        <w:top w:val="none" w:sz="0" w:space="0" w:color="auto"/>
        <w:left w:val="none" w:sz="0" w:space="0" w:color="auto"/>
        <w:bottom w:val="none" w:sz="0" w:space="0" w:color="auto"/>
        <w:right w:val="none" w:sz="0" w:space="0" w:color="auto"/>
      </w:divBdr>
    </w:div>
    <w:div w:id="686951775">
      <w:marLeft w:val="0"/>
      <w:marRight w:val="0"/>
      <w:marTop w:val="0"/>
      <w:marBottom w:val="0"/>
      <w:divBdr>
        <w:top w:val="none" w:sz="0" w:space="0" w:color="auto"/>
        <w:left w:val="none" w:sz="0" w:space="0" w:color="auto"/>
        <w:bottom w:val="none" w:sz="0" w:space="0" w:color="auto"/>
        <w:right w:val="none" w:sz="0" w:space="0" w:color="auto"/>
      </w:divBdr>
      <w:divsChild>
        <w:div w:id="1554151807">
          <w:marLeft w:val="0"/>
          <w:marRight w:val="0"/>
          <w:marTop w:val="0"/>
          <w:marBottom w:val="0"/>
          <w:divBdr>
            <w:top w:val="none" w:sz="0" w:space="0" w:color="auto"/>
            <w:left w:val="none" w:sz="0" w:space="0" w:color="auto"/>
            <w:bottom w:val="none" w:sz="0" w:space="0" w:color="auto"/>
            <w:right w:val="none" w:sz="0" w:space="0" w:color="auto"/>
          </w:divBdr>
        </w:div>
      </w:divsChild>
    </w:div>
    <w:div w:id="695929149">
      <w:marLeft w:val="0"/>
      <w:marRight w:val="0"/>
      <w:marTop w:val="0"/>
      <w:marBottom w:val="0"/>
      <w:divBdr>
        <w:top w:val="none" w:sz="0" w:space="0" w:color="auto"/>
        <w:left w:val="none" w:sz="0" w:space="0" w:color="auto"/>
        <w:bottom w:val="none" w:sz="0" w:space="0" w:color="auto"/>
        <w:right w:val="none" w:sz="0" w:space="0" w:color="auto"/>
      </w:divBdr>
    </w:div>
    <w:div w:id="697464684">
      <w:marLeft w:val="0"/>
      <w:marRight w:val="0"/>
      <w:marTop w:val="0"/>
      <w:marBottom w:val="0"/>
      <w:divBdr>
        <w:top w:val="none" w:sz="0" w:space="0" w:color="auto"/>
        <w:left w:val="none" w:sz="0" w:space="0" w:color="auto"/>
        <w:bottom w:val="none" w:sz="0" w:space="0" w:color="auto"/>
        <w:right w:val="none" w:sz="0" w:space="0" w:color="auto"/>
      </w:divBdr>
    </w:div>
    <w:div w:id="712387623">
      <w:marLeft w:val="0"/>
      <w:marRight w:val="0"/>
      <w:marTop w:val="0"/>
      <w:marBottom w:val="0"/>
      <w:divBdr>
        <w:top w:val="none" w:sz="0" w:space="0" w:color="auto"/>
        <w:left w:val="none" w:sz="0" w:space="0" w:color="auto"/>
        <w:bottom w:val="none" w:sz="0" w:space="0" w:color="auto"/>
        <w:right w:val="none" w:sz="0" w:space="0" w:color="auto"/>
      </w:divBdr>
      <w:divsChild>
        <w:div w:id="1798176896">
          <w:marLeft w:val="0"/>
          <w:marRight w:val="0"/>
          <w:marTop w:val="0"/>
          <w:marBottom w:val="0"/>
          <w:divBdr>
            <w:top w:val="none" w:sz="0" w:space="0" w:color="auto"/>
            <w:left w:val="none" w:sz="0" w:space="0" w:color="auto"/>
            <w:bottom w:val="none" w:sz="0" w:space="0" w:color="auto"/>
            <w:right w:val="none" w:sz="0" w:space="0" w:color="auto"/>
          </w:divBdr>
        </w:div>
      </w:divsChild>
    </w:div>
    <w:div w:id="713845593">
      <w:marLeft w:val="0"/>
      <w:marRight w:val="0"/>
      <w:marTop w:val="0"/>
      <w:marBottom w:val="0"/>
      <w:divBdr>
        <w:top w:val="none" w:sz="0" w:space="0" w:color="auto"/>
        <w:left w:val="none" w:sz="0" w:space="0" w:color="auto"/>
        <w:bottom w:val="none" w:sz="0" w:space="0" w:color="auto"/>
        <w:right w:val="none" w:sz="0" w:space="0" w:color="auto"/>
      </w:divBdr>
    </w:div>
    <w:div w:id="732506859">
      <w:marLeft w:val="0"/>
      <w:marRight w:val="0"/>
      <w:marTop w:val="0"/>
      <w:marBottom w:val="0"/>
      <w:divBdr>
        <w:top w:val="none" w:sz="0" w:space="0" w:color="auto"/>
        <w:left w:val="none" w:sz="0" w:space="0" w:color="auto"/>
        <w:bottom w:val="none" w:sz="0" w:space="0" w:color="auto"/>
        <w:right w:val="none" w:sz="0" w:space="0" w:color="auto"/>
      </w:divBdr>
    </w:div>
    <w:div w:id="733969543">
      <w:marLeft w:val="0"/>
      <w:marRight w:val="0"/>
      <w:marTop w:val="0"/>
      <w:marBottom w:val="0"/>
      <w:divBdr>
        <w:top w:val="none" w:sz="0" w:space="0" w:color="auto"/>
        <w:left w:val="none" w:sz="0" w:space="0" w:color="auto"/>
        <w:bottom w:val="none" w:sz="0" w:space="0" w:color="auto"/>
        <w:right w:val="none" w:sz="0" w:space="0" w:color="auto"/>
      </w:divBdr>
      <w:divsChild>
        <w:div w:id="1139347955">
          <w:marLeft w:val="0"/>
          <w:marRight w:val="0"/>
          <w:marTop w:val="0"/>
          <w:marBottom w:val="0"/>
          <w:divBdr>
            <w:top w:val="none" w:sz="0" w:space="0" w:color="auto"/>
            <w:left w:val="none" w:sz="0" w:space="0" w:color="auto"/>
            <w:bottom w:val="none" w:sz="0" w:space="0" w:color="auto"/>
            <w:right w:val="none" w:sz="0" w:space="0" w:color="auto"/>
          </w:divBdr>
        </w:div>
      </w:divsChild>
    </w:div>
    <w:div w:id="734622374">
      <w:marLeft w:val="0"/>
      <w:marRight w:val="0"/>
      <w:marTop w:val="0"/>
      <w:marBottom w:val="0"/>
      <w:divBdr>
        <w:top w:val="none" w:sz="0" w:space="0" w:color="auto"/>
        <w:left w:val="none" w:sz="0" w:space="0" w:color="auto"/>
        <w:bottom w:val="none" w:sz="0" w:space="0" w:color="auto"/>
        <w:right w:val="none" w:sz="0" w:space="0" w:color="auto"/>
      </w:divBdr>
      <w:divsChild>
        <w:div w:id="278727425">
          <w:marLeft w:val="0"/>
          <w:marRight w:val="0"/>
          <w:marTop w:val="0"/>
          <w:marBottom w:val="0"/>
          <w:divBdr>
            <w:top w:val="none" w:sz="0" w:space="0" w:color="auto"/>
            <w:left w:val="none" w:sz="0" w:space="0" w:color="auto"/>
            <w:bottom w:val="none" w:sz="0" w:space="0" w:color="auto"/>
            <w:right w:val="none" w:sz="0" w:space="0" w:color="auto"/>
          </w:divBdr>
        </w:div>
      </w:divsChild>
    </w:div>
    <w:div w:id="750468723">
      <w:marLeft w:val="0"/>
      <w:marRight w:val="0"/>
      <w:marTop w:val="0"/>
      <w:marBottom w:val="0"/>
      <w:divBdr>
        <w:top w:val="none" w:sz="0" w:space="0" w:color="auto"/>
        <w:left w:val="none" w:sz="0" w:space="0" w:color="auto"/>
        <w:bottom w:val="none" w:sz="0" w:space="0" w:color="auto"/>
        <w:right w:val="none" w:sz="0" w:space="0" w:color="auto"/>
      </w:divBdr>
      <w:divsChild>
        <w:div w:id="579369206">
          <w:marLeft w:val="0"/>
          <w:marRight w:val="0"/>
          <w:marTop w:val="0"/>
          <w:marBottom w:val="0"/>
          <w:divBdr>
            <w:top w:val="none" w:sz="0" w:space="0" w:color="auto"/>
            <w:left w:val="none" w:sz="0" w:space="0" w:color="auto"/>
            <w:bottom w:val="none" w:sz="0" w:space="0" w:color="auto"/>
            <w:right w:val="none" w:sz="0" w:space="0" w:color="auto"/>
          </w:divBdr>
        </w:div>
      </w:divsChild>
    </w:div>
    <w:div w:id="753939094">
      <w:marLeft w:val="0"/>
      <w:marRight w:val="0"/>
      <w:marTop w:val="0"/>
      <w:marBottom w:val="0"/>
      <w:divBdr>
        <w:top w:val="none" w:sz="0" w:space="0" w:color="auto"/>
        <w:left w:val="none" w:sz="0" w:space="0" w:color="auto"/>
        <w:bottom w:val="none" w:sz="0" w:space="0" w:color="auto"/>
        <w:right w:val="none" w:sz="0" w:space="0" w:color="auto"/>
      </w:divBdr>
      <w:divsChild>
        <w:div w:id="799811011">
          <w:marLeft w:val="0"/>
          <w:marRight w:val="0"/>
          <w:marTop w:val="0"/>
          <w:marBottom w:val="0"/>
          <w:divBdr>
            <w:top w:val="none" w:sz="0" w:space="0" w:color="auto"/>
            <w:left w:val="none" w:sz="0" w:space="0" w:color="auto"/>
            <w:bottom w:val="none" w:sz="0" w:space="0" w:color="auto"/>
            <w:right w:val="none" w:sz="0" w:space="0" w:color="auto"/>
          </w:divBdr>
        </w:div>
      </w:divsChild>
    </w:div>
    <w:div w:id="757362807">
      <w:marLeft w:val="0"/>
      <w:marRight w:val="0"/>
      <w:marTop w:val="0"/>
      <w:marBottom w:val="0"/>
      <w:divBdr>
        <w:top w:val="none" w:sz="0" w:space="0" w:color="auto"/>
        <w:left w:val="none" w:sz="0" w:space="0" w:color="auto"/>
        <w:bottom w:val="none" w:sz="0" w:space="0" w:color="auto"/>
        <w:right w:val="none" w:sz="0" w:space="0" w:color="auto"/>
      </w:divBdr>
      <w:divsChild>
        <w:div w:id="1552309576">
          <w:marLeft w:val="0"/>
          <w:marRight w:val="0"/>
          <w:marTop w:val="0"/>
          <w:marBottom w:val="0"/>
          <w:divBdr>
            <w:top w:val="none" w:sz="0" w:space="0" w:color="auto"/>
            <w:left w:val="none" w:sz="0" w:space="0" w:color="auto"/>
            <w:bottom w:val="none" w:sz="0" w:space="0" w:color="auto"/>
            <w:right w:val="none" w:sz="0" w:space="0" w:color="auto"/>
          </w:divBdr>
        </w:div>
      </w:divsChild>
    </w:div>
    <w:div w:id="773401022">
      <w:marLeft w:val="0"/>
      <w:marRight w:val="0"/>
      <w:marTop w:val="0"/>
      <w:marBottom w:val="0"/>
      <w:divBdr>
        <w:top w:val="none" w:sz="0" w:space="0" w:color="auto"/>
        <w:left w:val="none" w:sz="0" w:space="0" w:color="auto"/>
        <w:bottom w:val="none" w:sz="0" w:space="0" w:color="auto"/>
        <w:right w:val="none" w:sz="0" w:space="0" w:color="auto"/>
      </w:divBdr>
      <w:divsChild>
        <w:div w:id="1845897083">
          <w:marLeft w:val="0"/>
          <w:marRight w:val="0"/>
          <w:marTop w:val="0"/>
          <w:marBottom w:val="0"/>
          <w:divBdr>
            <w:top w:val="none" w:sz="0" w:space="0" w:color="auto"/>
            <w:left w:val="none" w:sz="0" w:space="0" w:color="auto"/>
            <w:bottom w:val="none" w:sz="0" w:space="0" w:color="auto"/>
            <w:right w:val="none" w:sz="0" w:space="0" w:color="auto"/>
          </w:divBdr>
        </w:div>
      </w:divsChild>
    </w:div>
    <w:div w:id="778305865">
      <w:marLeft w:val="0"/>
      <w:marRight w:val="0"/>
      <w:marTop w:val="0"/>
      <w:marBottom w:val="0"/>
      <w:divBdr>
        <w:top w:val="none" w:sz="0" w:space="0" w:color="auto"/>
        <w:left w:val="none" w:sz="0" w:space="0" w:color="auto"/>
        <w:bottom w:val="none" w:sz="0" w:space="0" w:color="auto"/>
        <w:right w:val="none" w:sz="0" w:space="0" w:color="auto"/>
      </w:divBdr>
      <w:divsChild>
        <w:div w:id="1068191437">
          <w:marLeft w:val="0"/>
          <w:marRight w:val="0"/>
          <w:marTop w:val="0"/>
          <w:marBottom w:val="0"/>
          <w:divBdr>
            <w:top w:val="none" w:sz="0" w:space="0" w:color="auto"/>
            <w:left w:val="none" w:sz="0" w:space="0" w:color="auto"/>
            <w:bottom w:val="none" w:sz="0" w:space="0" w:color="auto"/>
            <w:right w:val="none" w:sz="0" w:space="0" w:color="auto"/>
          </w:divBdr>
        </w:div>
      </w:divsChild>
    </w:div>
    <w:div w:id="782650807">
      <w:marLeft w:val="0"/>
      <w:marRight w:val="0"/>
      <w:marTop w:val="0"/>
      <w:marBottom w:val="0"/>
      <w:divBdr>
        <w:top w:val="none" w:sz="0" w:space="0" w:color="auto"/>
        <w:left w:val="none" w:sz="0" w:space="0" w:color="auto"/>
        <w:bottom w:val="none" w:sz="0" w:space="0" w:color="auto"/>
        <w:right w:val="none" w:sz="0" w:space="0" w:color="auto"/>
      </w:divBdr>
    </w:div>
    <w:div w:id="789398568">
      <w:marLeft w:val="0"/>
      <w:marRight w:val="0"/>
      <w:marTop w:val="0"/>
      <w:marBottom w:val="0"/>
      <w:divBdr>
        <w:top w:val="none" w:sz="0" w:space="0" w:color="auto"/>
        <w:left w:val="none" w:sz="0" w:space="0" w:color="auto"/>
        <w:bottom w:val="none" w:sz="0" w:space="0" w:color="auto"/>
        <w:right w:val="none" w:sz="0" w:space="0" w:color="auto"/>
      </w:divBdr>
      <w:divsChild>
        <w:div w:id="1051152010">
          <w:marLeft w:val="0"/>
          <w:marRight w:val="0"/>
          <w:marTop w:val="0"/>
          <w:marBottom w:val="0"/>
          <w:divBdr>
            <w:top w:val="none" w:sz="0" w:space="0" w:color="auto"/>
            <w:left w:val="none" w:sz="0" w:space="0" w:color="auto"/>
            <w:bottom w:val="none" w:sz="0" w:space="0" w:color="auto"/>
            <w:right w:val="none" w:sz="0" w:space="0" w:color="auto"/>
          </w:divBdr>
        </w:div>
      </w:divsChild>
    </w:div>
    <w:div w:id="792402792">
      <w:marLeft w:val="0"/>
      <w:marRight w:val="0"/>
      <w:marTop w:val="0"/>
      <w:marBottom w:val="0"/>
      <w:divBdr>
        <w:top w:val="none" w:sz="0" w:space="0" w:color="auto"/>
        <w:left w:val="none" w:sz="0" w:space="0" w:color="auto"/>
        <w:bottom w:val="none" w:sz="0" w:space="0" w:color="auto"/>
        <w:right w:val="none" w:sz="0" w:space="0" w:color="auto"/>
      </w:divBdr>
    </w:div>
    <w:div w:id="804084337">
      <w:marLeft w:val="0"/>
      <w:marRight w:val="0"/>
      <w:marTop w:val="0"/>
      <w:marBottom w:val="0"/>
      <w:divBdr>
        <w:top w:val="none" w:sz="0" w:space="0" w:color="auto"/>
        <w:left w:val="none" w:sz="0" w:space="0" w:color="auto"/>
        <w:bottom w:val="none" w:sz="0" w:space="0" w:color="auto"/>
        <w:right w:val="none" w:sz="0" w:space="0" w:color="auto"/>
      </w:divBdr>
      <w:divsChild>
        <w:div w:id="1651791646">
          <w:marLeft w:val="0"/>
          <w:marRight w:val="0"/>
          <w:marTop w:val="0"/>
          <w:marBottom w:val="0"/>
          <w:divBdr>
            <w:top w:val="none" w:sz="0" w:space="0" w:color="auto"/>
            <w:left w:val="none" w:sz="0" w:space="0" w:color="auto"/>
            <w:bottom w:val="none" w:sz="0" w:space="0" w:color="auto"/>
            <w:right w:val="none" w:sz="0" w:space="0" w:color="auto"/>
          </w:divBdr>
        </w:div>
      </w:divsChild>
    </w:div>
    <w:div w:id="805008027">
      <w:marLeft w:val="0"/>
      <w:marRight w:val="0"/>
      <w:marTop w:val="0"/>
      <w:marBottom w:val="0"/>
      <w:divBdr>
        <w:top w:val="none" w:sz="0" w:space="0" w:color="auto"/>
        <w:left w:val="none" w:sz="0" w:space="0" w:color="auto"/>
        <w:bottom w:val="none" w:sz="0" w:space="0" w:color="auto"/>
        <w:right w:val="none" w:sz="0" w:space="0" w:color="auto"/>
      </w:divBdr>
      <w:divsChild>
        <w:div w:id="1224946386">
          <w:marLeft w:val="0"/>
          <w:marRight w:val="0"/>
          <w:marTop w:val="0"/>
          <w:marBottom w:val="0"/>
          <w:divBdr>
            <w:top w:val="none" w:sz="0" w:space="0" w:color="auto"/>
            <w:left w:val="none" w:sz="0" w:space="0" w:color="auto"/>
            <w:bottom w:val="none" w:sz="0" w:space="0" w:color="auto"/>
            <w:right w:val="none" w:sz="0" w:space="0" w:color="auto"/>
          </w:divBdr>
        </w:div>
        <w:div w:id="1087775197">
          <w:marLeft w:val="0"/>
          <w:marRight w:val="0"/>
          <w:marTop w:val="0"/>
          <w:marBottom w:val="0"/>
          <w:divBdr>
            <w:top w:val="none" w:sz="0" w:space="0" w:color="auto"/>
            <w:left w:val="none" w:sz="0" w:space="0" w:color="auto"/>
            <w:bottom w:val="none" w:sz="0" w:space="0" w:color="auto"/>
            <w:right w:val="none" w:sz="0" w:space="0" w:color="auto"/>
          </w:divBdr>
        </w:div>
      </w:divsChild>
    </w:div>
    <w:div w:id="846290040">
      <w:marLeft w:val="0"/>
      <w:marRight w:val="0"/>
      <w:marTop w:val="0"/>
      <w:marBottom w:val="0"/>
      <w:divBdr>
        <w:top w:val="none" w:sz="0" w:space="0" w:color="auto"/>
        <w:left w:val="none" w:sz="0" w:space="0" w:color="auto"/>
        <w:bottom w:val="none" w:sz="0" w:space="0" w:color="auto"/>
        <w:right w:val="none" w:sz="0" w:space="0" w:color="auto"/>
      </w:divBdr>
      <w:divsChild>
        <w:div w:id="1159425329">
          <w:marLeft w:val="0"/>
          <w:marRight w:val="0"/>
          <w:marTop w:val="0"/>
          <w:marBottom w:val="0"/>
          <w:divBdr>
            <w:top w:val="none" w:sz="0" w:space="0" w:color="auto"/>
            <w:left w:val="none" w:sz="0" w:space="0" w:color="auto"/>
            <w:bottom w:val="none" w:sz="0" w:space="0" w:color="auto"/>
            <w:right w:val="none" w:sz="0" w:space="0" w:color="auto"/>
          </w:divBdr>
        </w:div>
        <w:div w:id="232006409">
          <w:marLeft w:val="0"/>
          <w:marRight w:val="0"/>
          <w:marTop w:val="0"/>
          <w:marBottom w:val="0"/>
          <w:divBdr>
            <w:top w:val="none" w:sz="0" w:space="0" w:color="auto"/>
            <w:left w:val="none" w:sz="0" w:space="0" w:color="auto"/>
            <w:bottom w:val="none" w:sz="0" w:space="0" w:color="auto"/>
            <w:right w:val="none" w:sz="0" w:space="0" w:color="auto"/>
          </w:divBdr>
        </w:div>
      </w:divsChild>
    </w:div>
    <w:div w:id="867371127">
      <w:marLeft w:val="0"/>
      <w:marRight w:val="0"/>
      <w:marTop w:val="0"/>
      <w:marBottom w:val="0"/>
      <w:divBdr>
        <w:top w:val="none" w:sz="0" w:space="0" w:color="auto"/>
        <w:left w:val="none" w:sz="0" w:space="0" w:color="auto"/>
        <w:bottom w:val="none" w:sz="0" w:space="0" w:color="auto"/>
        <w:right w:val="none" w:sz="0" w:space="0" w:color="auto"/>
      </w:divBdr>
    </w:div>
    <w:div w:id="904608447">
      <w:marLeft w:val="0"/>
      <w:marRight w:val="0"/>
      <w:marTop w:val="0"/>
      <w:marBottom w:val="0"/>
      <w:divBdr>
        <w:top w:val="none" w:sz="0" w:space="0" w:color="auto"/>
        <w:left w:val="none" w:sz="0" w:space="0" w:color="auto"/>
        <w:bottom w:val="none" w:sz="0" w:space="0" w:color="auto"/>
        <w:right w:val="none" w:sz="0" w:space="0" w:color="auto"/>
      </w:divBdr>
    </w:div>
    <w:div w:id="908923435">
      <w:marLeft w:val="0"/>
      <w:marRight w:val="0"/>
      <w:marTop w:val="0"/>
      <w:marBottom w:val="0"/>
      <w:divBdr>
        <w:top w:val="none" w:sz="0" w:space="0" w:color="auto"/>
        <w:left w:val="none" w:sz="0" w:space="0" w:color="auto"/>
        <w:bottom w:val="none" w:sz="0" w:space="0" w:color="auto"/>
        <w:right w:val="none" w:sz="0" w:space="0" w:color="auto"/>
      </w:divBdr>
      <w:divsChild>
        <w:div w:id="661202187">
          <w:marLeft w:val="0"/>
          <w:marRight w:val="0"/>
          <w:marTop w:val="0"/>
          <w:marBottom w:val="0"/>
          <w:divBdr>
            <w:top w:val="none" w:sz="0" w:space="0" w:color="auto"/>
            <w:left w:val="none" w:sz="0" w:space="0" w:color="auto"/>
            <w:bottom w:val="none" w:sz="0" w:space="0" w:color="auto"/>
            <w:right w:val="none" w:sz="0" w:space="0" w:color="auto"/>
          </w:divBdr>
        </w:div>
      </w:divsChild>
    </w:div>
    <w:div w:id="911742731">
      <w:marLeft w:val="0"/>
      <w:marRight w:val="0"/>
      <w:marTop w:val="0"/>
      <w:marBottom w:val="0"/>
      <w:divBdr>
        <w:top w:val="none" w:sz="0" w:space="0" w:color="auto"/>
        <w:left w:val="none" w:sz="0" w:space="0" w:color="auto"/>
        <w:bottom w:val="none" w:sz="0" w:space="0" w:color="auto"/>
        <w:right w:val="none" w:sz="0" w:space="0" w:color="auto"/>
      </w:divBdr>
    </w:div>
    <w:div w:id="925263417">
      <w:marLeft w:val="0"/>
      <w:marRight w:val="0"/>
      <w:marTop w:val="0"/>
      <w:marBottom w:val="0"/>
      <w:divBdr>
        <w:top w:val="none" w:sz="0" w:space="0" w:color="auto"/>
        <w:left w:val="none" w:sz="0" w:space="0" w:color="auto"/>
        <w:bottom w:val="none" w:sz="0" w:space="0" w:color="auto"/>
        <w:right w:val="none" w:sz="0" w:space="0" w:color="auto"/>
      </w:divBdr>
    </w:div>
    <w:div w:id="930745551">
      <w:marLeft w:val="0"/>
      <w:marRight w:val="0"/>
      <w:marTop w:val="0"/>
      <w:marBottom w:val="0"/>
      <w:divBdr>
        <w:top w:val="none" w:sz="0" w:space="0" w:color="auto"/>
        <w:left w:val="none" w:sz="0" w:space="0" w:color="auto"/>
        <w:bottom w:val="none" w:sz="0" w:space="0" w:color="auto"/>
        <w:right w:val="none" w:sz="0" w:space="0" w:color="auto"/>
      </w:divBdr>
    </w:div>
    <w:div w:id="970401689">
      <w:marLeft w:val="0"/>
      <w:marRight w:val="0"/>
      <w:marTop w:val="0"/>
      <w:marBottom w:val="0"/>
      <w:divBdr>
        <w:top w:val="none" w:sz="0" w:space="0" w:color="auto"/>
        <w:left w:val="none" w:sz="0" w:space="0" w:color="auto"/>
        <w:bottom w:val="none" w:sz="0" w:space="0" w:color="auto"/>
        <w:right w:val="none" w:sz="0" w:space="0" w:color="auto"/>
      </w:divBdr>
    </w:div>
    <w:div w:id="976690868">
      <w:marLeft w:val="0"/>
      <w:marRight w:val="0"/>
      <w:marTop w:val="0"/>
      <w:marBottom w:val="0"/>
      <w:divBdr>
        <w:top w:val="none" w:sz="0" w:space="0" w:color="auto"/>
        <w:left w:val="none" w:sz="0" w:space="0" w:color="auto"/>
        <w:bottom w:val="none" w:sz="0" w:space="0" w:color="auto"/>
        <w:right w:val="none" w:sz="0" w:space="0" w:color="auto"/>
      </w:divBdr>
      <w:divsChild>
        <w:div w:id="2017227595">
          <w:marLeft w:val="0"/>
          <w:marRight w:val="0"/>
          <w:marTop w:val="0"/>
          <w:marBottom w:val="0"/>
          <w:divBdr>
            <w:top w:val="none" w:sz="0" w:space="0" w:color="auto"/>
            <w:left w:val="none" w:sz="0" w:space="0" w:color="auto"/>
            <w:bottom w:val="none" w:sz="0" w:space="0" w:color="auto"/>
            <w:right w:val="none" w:sz="0" w:space="0" w:color="auto"/>
          </w:divBdr>
        </w:div>
      </w:divsChild>
    </w:div>
    <w:div w:id="987247780">
      <w:marLeft w:val="0"/>
      <w:marRight w:val="0"/>
      <w:marTop w:val="0"/>
      <w:marBottom w:val="0"/>
      <w:divBdr>
        <w:top w:val="none" w:sz="0" w:space="0" w:color="auto"/>
        <w:left w:val="none" w:sz="0" w:space="0" w:color="auto"/>
        <w:bottom w:val="none" w:sz="0" w:space="0" w:color="auto"/>
        <w:right w:val="none" w:sz="0" w:space="0" w:color="auto"/>
      </w:divBdr>
      <w:divsChild>
        <w:div w:id="503907366">
          <w:marLeft w:val="0"/>
          <w:marRight w:val="0"/>
          <w:marTop w:val="0"/>
          <w:marBottom w:val="0"/>
          <w:divBdr>
            <w:top w:val="none" w:sz="0" w:space="0" w:color="auto"/>
            <w:left w:val="none" w:sz="0" w:space="0" w:color="auto"/>
            <w:bottom w:val="none" w:sz="0" w:space="0" w:color="auto"/>
            <w:right w:val="none" w:sz="0" w:space="0" w:color="auto"/>
          </w:divBdr>
        </w:div>
        <w:div w:id="535964663">
          <w:marLeft w:val="0"/>
          <w:marRight w:val="0"/>
          <w:marTop w:val="0"/>
          <w:marBottom w:val="0"/>
          <w:divBdr>
            <w:top w:val="none" w:sz="0" w:space="0" w:color="auto"/>
            <w:left w:val="none" w:sz="0" w:space="0" w:color="auto"/>
            <w:bottom w:val="none" w:sz="0" w:space="0" w:color="auto"/>
            <w:right w:val="none" w:sz="0" w:space="0" w:color="auto"/>
          </w:divBdr>
        </w:div>
      </w:divsChild>
    </w:div>
    <w:div w:id="990060763">
      <w:marLeft w:val="0"/>
      <w:marRight w:val="0"/>
      <w:marTop w:val="0"/>
      <w:marBottom w:val="0"/>
      <w:divBdr>
        <w:top w:val="none" w:sz="0" w:space="0" w:color="auto"/>
        <w:left w:val="none" w:sz="0" w:space="0" w:color="auto"/>
        <w:bottom w:val="none" w:sz="0" w:space="0" w:color="auto"/>
        <w:right w:val="none" w:sz="0" w:space="0" w:color="auto"/>
      </w:divBdr>
    </w:div>
    <w:div w:id="1001665278">
      <w:marLeft w:val="0"/>
      <w:marRight w:val="0"/>
      <w:marTop w:val="0"/>
      <w:marBottom w:val="0"/>
      <w:divBdr>
        <w:top w:val="none" w:sz="0" w:space="0" w:color="auto"/>
        <w:left w:val="none" w:sz="0" w:space="0" w:color="auto"/>
        <w:bottom w:val="none" w:sz="0" w:space="0" w:color="auto"/>
        <w:right w:val="none" w:sz="0" w:space="0" w:color="auto"/>
      </w:divBdr>
    </w:div>
    <w:div w:id="1009797680">
      <w:marLeft w:val="0"/>
      <w:marRight w:val="0"/>
      <w:marTop w:val="0"/>
      <w:marBottom w:val="0"/>
      <w:divBdr>
        <w:top w:val="none" w:sz="0" w:space="0" w:color="auto"/>
        <w:left w:val="none" w:sz="0" w:space="0" w:color="auto"/>
        <w:bottom w:val="none" w:sz="0" w:space="0" w:color="auto"/>
        <w:right w:val="none" w:sz="0" w:space="0" w:color="auto"/>
      </w:divBdr>
      <w:divsChild>
        <w:div w:id="1821389092">
          <w:marLeft w:val="0"/>
          <w:marRight w:val="0"/>
          <w:marTop w:val="0"/>
          <w:marBottom w:val="0"/>
          <w:divBdr>
            <w:top w:val="none" w:sz="0" w:space="0" w:color="auto"/>
            <w:left w:val="none" w:sz="0" w:space="0" w:color="auto"/>
            <w:bottom w:val="none" w:sz="0" w:space="0" w:color="auto"/>
            <w:right w:val="none" w:sz="0" w:space="0" w:color="auto"/>
          </w:divBdr>
        </w:div>
      </w:divsChild>
    </w:div>
    <w:div w:id="1030450379">
      <w:marLeft w:val="0"/>
      <w:marRight w:val="0"/>
      <w:marTop w:val="0"/>
      <w:marBottom w:val="0"/>
      <w:divBdr>
        <w:top w:val="none" w:sz="0" w:space="0" w:color="auto"/>
        <w:left w:val="none" w:sz="0" w:space="0" w:color="auto"/>
        <w:bottom w:val="none" w:sz="0" w:space="0" w:color="auto"/>
        <w:right w:val="none" w:sz="0" w:space="0" w:color="auto"/>
      </w:divBdr>
    </w:div>
    <w:div w:id="1042482662">
      <w:marLeft w:val="0"/>
      <w:marRight w:val="0"/>
      <w:marTop w:val="0"/>
      <w:marBottom w:val="0"/>
      <w:divBdr>
        <w:top w:val="none" w:sz="0" w:space="0" w:color="auto"/>
        <w:left w:val="none" w:sz="0" w:space="0" w:color="auto"/>
        <w:bottom w:val="none" w:sz="0" w:space="0" w:color="auto"/>
        <w:right w:val="none" w:sz="0" w:space="0" w:color="auto"/>
      </w:divBdr>
    </w:div>
    <w:div w:id="1048796885">
      <w:marLeft w:val="0"/>
      <w:marRight w:val="0"/>
      <w:marTop w:val="0"/>
      <w:marBottom w:val="0"/>
      <w:divBdr>
        <w:top w:val="none" w:sz="0" w:space="0" w:color="auto"/>
        <w:left w:val="none" w:sz="0" w:space="0" w:color="auto"/>
        <w:bottom w:val="none" w:sz="0" w:space="0" w:color="auto"/>
        <w:right w:val="none" w:sz="0" w:space="0" w:color="auto"/>
      </w:divBdr>
    </w:div>
    <w:div w:id="1051881876">
      <w:marLeft w:val="0"/>
      <w:marRight w:val="0"/>
      <w:marTop w:val="0"/>
      <w:marBottom w:val="0"/>
      <w:divBdr>
        <w:top w:val="none" w:sz="0" w:space="0" w:color="auto"/>
        <w:left w:val="none" w:sz="0" w:space="0" w:color="auto"/>
        <w:bottom w:val="none" w:sz="0" w:space="0" w:color="auto"/>
        <w:right w:val="none" w:sz="0" w:space="0" w:color="auto"/>
      </w:divBdr>
    </w:div>
    <w:div w:id="1078794820">
      <w:marLeft w:val="0"/>
      <w:marRight w:val="0"/>
      <w:marTop w:val="0"/>
      <w:marBottom w:val="0"/>
      <w:divBdr>
        <w:top w:val="none" w:sz="0" w:space="0" w:color="auto"/>
        <w:left w:val="none" w:sz="0" w:space="0" w:color="auto"/>
        <w:bottom w:val="none" w:sz="0" w:space="0" w:color="auto"/>
        <w:right w:val="none" w:sz="0" w:space="0" w:color="auto"/>
      </w:divBdr>
    </w:div>
    <w:div w:id="1089541332">
      <w:marLeft w:val="0"/>
      <w:marRight w:val="0"/>
      <w:marTop w:val="0"/>
      <w:marBottom w:val="0"/>
      <w:divBdr>
        <w:top w:val="none" w:sz="0" w:space="0" w:color="auto"/>
        <w:left w:val="none" w:sz="0" w:space="0" w:color="auto"/>
        <w:bottom w:val="none" w:sz="0" w:space="0" w:color="auto"/>
        <w:right w:val="none" w:sz="0" w:space="0" w:color="auto"/>
      </w:divBdr>
    </w:div>
    <w:div w:id="1103300178">
      <w:marLeft w:val="0"/>
      <w:marRight w:val="0"/>
      <w:marTop w:val="0"/>
      <w:marBottom w:val="0"/>
      <w:divBdr>
        <w:top w:val="none" w:sz="0" w:space="0" w:color="auto"/>
        <w:left w:val="none" w:sz="0" w:space="0" w:color="auto"/>
        <w:bottom w:val="none" w:sz="0" w:space="0" w:color="auto"/>
        <w:right w:val="none" w:sz="0" w:space="0" w:color="auto"/>
      </w:divBdr>
    </w:div>
    <w:div w:id="1103955327">
      <w:marLeft w:val="0"/>
      <w:marRight w:val="0"/>
      <w:marTop w:val="0"/>
      <w:marBottom w:val="0"/>
      <w:divBdr>
        <w:top w:val="none" w:sz="0" w:space="0" w:color="auto"/>
        <w:left w:val="none" w:sz="0" w:space="0" w:color="auto"/>
        <w:bottom w:val="none" w:sz="0" w:space="0" w:color="auto"/>
        <w:right w:val="none" w:sz="0" w:space="0" w:color="auto"/>
      </w:divBdr>
    </w:div>
    <w:div w:id="1142036430">
      <w:marLeft w:val="0"/>
      <w:marRight w:val="0"/>
      <w:marTop w:val="0"/>
      <w:marBottom w:val="0"/>
      <w:divBdr>
        <w:top w:val="none" w:sz="0" w:space="0" w:color="auto"/>
        <w:left w:val="none" w:sz="0" w:space="0" w:color="auto"/>
        <w:bottom w:val="none" w:sz="0" w:space="0" w:color="auto"/>
        <w:right w:val="none" w:sz="0" w:space="0" w:color="auto"/>
      </w:divBdr>
      <w:divsChild>
        <w:div w:id="1078020616">
          <w:marLeft w:val="0"/>
          <w:marRight w:val="0"/>
          <w:marTop w:val="0"/>
          <w:marBottom w:val="0"/>
          <w:divBdr>
            <w:top w:val="none" w:sz="0" w:space="0" w:color="auto"/>
            <w:left w:val="none" w:sz="0" w:space="0" w:color="auto"/>
            <w:bottom w:val="none" w:sz="0" w:space="0" w:color="auto"/>
            <w:right w:val="none" w:sz="0" w:space="0" w:color="auto"/>
          </w:divBdr>
        </w:div>
      </w:divsChild>
    </w:div>
    <w:div w:id="1144935358">
      <w:marLeft w:val="0"/>
      <w:marRight w:val="0"/>
      <w:marTop w:val="0"/>
      <w:marBottom w:val="0"/>
      <w:divBdr>
        <w:top w:val="none" w:sz="0" w:space="0" w:color="auto"/>
        <w:left w:val="none" w:sz="0" w:space="0" w:color="auto"/>
        <w:bottom w:val="none" w:sz="0" w:space="0" w:color="auto"/>
        <w:right w:val="none" w:sz="0" w:space="0" w:color="auto"/>
      </w:divBdr>
    </w:div>
    <w:div w:id="1153984192">
      <w:marLeft w:val="0"/>
      <w:marRight w:val="0"/>
      <w:marTop w:val="0"/>
      <w:marBottom w:val="0"/>
      <w:divBdr>
        <w:top w:val="none" w:sz="0" w:space="0" w:color="auto"/>
        <w:left w:val="none" w:sz="0" w:space="0" w:color="auto"/>
        <w:bottom w:val="none" w:sz="0" w:space="0" w:color="auto"/>
        <w:right w:val="none" w:sz="0" w:space="0" w:color="auto"/>
      </w:divBdr>
    </w:div>
    <w:div w:id="1212230335">
      <w:marLeft w:val="0"/>
      <w:marRight w:val="0"/>
      <w:marTop w:val="0"/>
      <w:marBottom w:val="0"/>
      <w:divBdr>
        <w:top w:val="none" w:sz="0" w:space="0" w:color="auto"/>
        <w:left w:val="none" w:sz="0" w:space="0" w:color="auto"/>
        <w:bottom w:val="none" w:sz="0" w:space="0" w:color="auto"/>
        <w:right w:val="none" w:sz="0" w:space="0" w:color="auto"/>
      </w:divBdr>
    </w:div>
    <w:div w:id="1216812495">
      <w:marLeft w:val="0"/>
      <w:marRight w:val="0"/>
      <w:marTop w:val="0"/>
      <w:marBottom w:val="0"/>
      <w:divBdr>
        <w:top w:val="none" w:sz="0" w:space="0" w:color="auto"/>
        <w:left w:val="none" w:sz="0" w:space="0" w:color="auto"/>
        <w:bottom w:val="none" w:sz="0" w:space="0" w:color="auto"/>
        <w:right w:val="none" w:sz="0" w:space="0" w:color="auto"/>
      </w:divBdr>
      <w:divsChild>
        <w:div w:id="1576237240">
          <w:marLeft w:val="0"/>
          <w:marRight w:val="0"/>
          <w:marTop w:val="0"/>
          <w:marBottom w:val="0"/>
          <w:divBdr>
            <w:top w:val="none" w:sz="0" w:space="0" w:color="auto"/>
            <w:left w:val="none" w:sz="0" w:space="0" w:color="auto"/>
            <w:bottom w:val="none" w:sz="0" w:space="0" w:color="auto"/>
            <w:right w:val="none" w:sz="0" w:space="0" w:color="auto"/>
          </w:divBdr>
        </w:div>
      </w:divsChild>
    </w:div>
    <w:div w:id="1217813553">
      <w:marLeft w:val="0"/>
      <w:marRight w:val="0"/>
      <w:marTop w:val="0"/>
      <w:marBottom w:val="0"/>
      <w:divBdr>
        <w:top w:val="none" w:sz="0" w:space="0" w:color="auto"/>
        <w:left w:val="none" w:sz="0" w:space="0" w:color="auto"/>
        <w:bottom w:val="none" w:sz="0" w:space="0" w:color="auto"/>
        <w:right w:val="none" w:sz="0" w:space="0" w:color="auto"/>
      </w:divBdr>
    </w:div>
    <w:div w:id="1232305195">
      <w:marLeft w:val="0"/>
      <w:marRight w:val="0"/>
      <w:marTop w:val="0"/>
      <w:marBottom w:val="0"/>
      <w:divBdr>
        <w:top w:val="none" w:sz="0" w:space="0" w:color="auto"/>
        <w:left w:val="none" w:sz="0" w:space="0" w:color="auto"/>
        <w:bottom w:val="none" w:sz="0" w:space="0" w:color="auto"/>
        <w:right w:val="none" w:sz="0" w:space="0" w:color="auto"/>
      </w:divBdr>
      <w:divsChild>
        <w:div w:id="1001276661">
          <w:marLeft w:val="0"/>
          <w:marRight w:val="0"/>
          <w:marTop w:val="0"/>
          <w:marBottom w:val="0"/>
          <w:divBdr>
            <w:top w:val="none" w:sz="0" w:space="0" w:color="auto"/>
            <w:left w:val="none" w:sz="0" w:space="0" w:color="auto"/>
            <w:bottom w:val="none" w:sz="0" w:space="0" w:color="auto"/>
            <w:right w:val="none" w:sz="0" w:space="0" w:color="auto"/>
          </w:divBdr>
        </w:div>
        <w:div w:id="384523145">
          <w:marLeft w:val="0"/>
          <w:marRight w:val="0"/>
          <w:marTop w:val="0"/>
          <w:marBottom w:val="0"/>
          <w:divBdr>
            <w:top w:val="none" w:sz="0" w:space="0" w:color="auto"/>
            <w:left w:val="none" w:sz="0" w:space="0" w:color="auto"/>
            <w:bottom w:val="none" w:sz="0" w:space="0" w:color="auto"/>
            <w:right w:val="none" w:sz="0" w:space="0" w:color="auto"/>
          </w:divBdr>
        </w:div>
      </w:divsChild>
    </w:div>
    <w:div w:id="1232471449">
      <w:marLeft w:val="0"/>
      <w:marRight w:val="0"/>
      <w:marTop w:val="0"/>
      <w:marBottom w:val="0"/>
      <w:divBdr>
        <w:top w:val="none" w:sz="0" w:space="0" w:color="auto"/>
        <w:left w:val="none" w:sz="0" w:space="0" w:color="auto"/>
        <w:bottom w:val="none" w:sz="0" w:space="0" w:color="auto"/>
        <w:right w:val="none" w:sz="0" w:space="0" w:color="auto"/>
      </w:divBdr>
      <w:divsChild>
        <w:div w:id="1669820516">
          <w:marLeft w:val="0"/>
          <w:marRight w:val="0"/>
          <w:marTop w:val="0"/>
          <w:marBottom w:val="0"/>
          <w:divBdr>
            <w:top w:val="none" w:sz="0" w:space="0" w:color="auto"/>
            <w:left w:val="none" w:sz="0" w:space="0" w:color="auto"/>
            <w:bottom w:val="none" w:sz="0" w:space="0" w:color="auto"/>
            <w:right w:val="none" w:sz="0" w:space="0" w:color="auto"/>
          </w:divBdr>
        </w:div>
      </w:divsChild>
    </w:div>
    <w:div w:id="1234395181">
      <w:marLeft w:val="0"/>
      <w:marRight w:val="0"/>
      <w:marTop w:val="0"/>
      <w:marBottom w:val="0"/>
      <w:divBdr>
        <w:top w:val="none" w:sz="0" w:space="0" w:color="auto"/>
        <w:left w:val="none" w:sz="0" w:space="0" w:color="auto"/>
        <w:bottom w:val="none" w:sz="0" w:space="0" w:color="auto"/>
        <w:right w:val="none" w:sz="0" w:space="0" w:color="auto"/>
      </w:divBdr>
      <w:divsChild>
        <w:div w:id="147988014">
          <w:marLeft w:val="0"/>
          <w:marRight w:val="0"/>
          <w:marTop w:val="0"/>
          <w:marBottom w:val="0"/>
          <w:divBdr>
            <w:top w:val="none" w:sz="0" w:space="0" w:color="auto"/>
            <w:left w:val="none" w:sz="0" w:space="0" w:color="auto"/>
            <w:bottom w:val="none" w:sz="0" w:space="0" w:color="auto"/>
            <w:right w:val="none" w:sz="0" w:space="0" w:color="auto"/>
          </w:divBdr>
        </w:div>
      </w:divsChild>
    </w:div>
    <w:div w:id="1239750290">
      <w:marLeft w:val="0"/>
      <w:marRight w:val="0"/>
      <w:marTop w:val="0"/>
      <w:marBottom w:val="0"/>
      <w:divBdr>
        <w:top w:val="none" w:sz="0" w:space="0" w:color="auto"/>
        <w:left w:val="none" w:sz="0" w:space="0" w:color="auto"/>
        <w:bottom w:val="none" w:sz="0" w:space="0" w:color="auto"/>
        <w:right w:val="none" w:sz="0" w:space="0" w:color="auto"/>
      </w:divBdr>
      <w:divsChild>
        <w:div w:id="1445887469">
          <w:marLeft w:val="0"/>
          <w:marRight w:val="0"/>
          <w:marTop w:val="0"/>
          <w:marBottom w:val="0"/>
          <w:divBdr>
            <w:top w:val="none" w:sz="0" w:space="0" w:color="auto"/>
            <w:left w:val="none" w:sz="0" w:space="0" w:color="auto"/>
            <w:bottom w:val="single" w:sz="8" w:space="1" w:color="auto"/>
            <w:right w:val="none" w:sz="0" w:space="0" w:color="auto"/>
          </w:divBdr>
        </w:div>
      </w:divsChild>
    </w:div>
    <w:div w:id="1247615510">
      <w:marLeft w:val="0"/>
      <w:marRight w:val="0"/>
      <w:marTop w:val="0"/>
      <w:marBottom w:val="0"/>
      <w:divBdr>
        <w:top w:val="none" w:sz="0" w:space="0" w:color="auto"/>
        <w:left w:val="none" w:sz="0" w:space="0" w:color="auto"/>
        <w:bottom w:val="none" w:sz="0" w:space="0" w:color="auto"/>
        <w:right w:val="none" w:sz="0" w:space="0" w:color="auto"/>
      </w:divBdr>
      <w:divsChild>
        <w:div w:id="1396465416">
          <w:marLeft w:val="0"/>
          <w:marRight w:val="0"/>
          <w:marTop w:val="0"/>
          <w:marBottom w:val="0"/>
          <w:divBdr>
            <w:top w:val="none" w:sz="0" w:space="0" w:color="auto"/>
            <w:left w:val="none" w:sz="0" w:space="0" w:color="auto"/>
            <w:bottom w:val="none" w:sz="0" w:space="0" w:color="auto"/>
            <w:right w:val="none" w:sz="0" w:space="0" w:color="auto"/>
          </w:divBdr>
        </w:div>
        <w:div w:id="1525828645">
          <w:marLeft w:val="0"/>
          <w:marRight w:val="0"/>
          <w:marTop w:val="0"/>
          <w:marBottom w:val="0"/>
          <w:divBdr>
            <w:top w:val="none" w:sz="0" w:space="0" w:color="auto"/>
            <w:left w:val="none" w:sz="0" w:space="0" w:color="auto"/>
            <w:bottom w:val="none" w:sz="0" w:space="0" w:color="auto"/>
            <w:right w:val="none" w:sz="0" w:space="0" w:color="auto"/>
          </w:divBdr>
        </w:div>
      </w:divsChild>
    </w:div>
    <w:div w:id="1258365599">
      <w:marLeft w:val="0"/>
      <w:marRight w:val="0"/>
      <w:marTop w:val="0"/>
      <w:marBottom w:val="0"/>
      <w:divBdr>
        <w:top w:val="none" w:sz="0" w:space="0" w:color="auto"/>
        <w:left w:val="none" w:sz="0" w:space="0" w:color="auto"/>
        <w:bottom w:val="none" w:sz="0" w:space="0" w:color="auto"/>
        <w:right w:val="none" w:sz="0" w:space="0" w:color="auto"/>
      </w:divBdr>
      <w:divsChild>
        <w:div w:id="867258862">
          <w:marLeft w:val="0"/>
          <w:marRight w:val="0"/>
          <w:marTop w:val="0"/>
          <w:marBottom w:val="0"/>
          <w:divBdr>
            <w:top w:val="none" w:sz="0" w:space="0" w:color="auto"/>
            <w:left w:val="none" w:sz="0" w:space="0" w:color="auto"/>
            <w:bottom w:val="single" w:sz="8" w:space="1" w:color="auto"/>
            <w:right w:val="none" w:sz="0" w:space="0" w:color="auto"/>
          </w:divBdr>
        </w:div>
      </w:divsChild>
    </w:div>
    <w:div w:id="1261985482">
      <w:marLeft w:val="0"/>
      <w:marRight w:val="0"/>
      <w:marTop w:val="0"/>
      <w:marBottom w:val="0"/>
      <w:divBdr>
        <w:top w:val="none" w:sz="0" w:space="0" w:color="auto"/>
        <w:left w:val="none" w:sz="0" w:space="0" w:color="auto"/>
        <w:bottom w:val="none" w:sz="0" w:space="0" w:color="auto"/>
        <w:right w:val="none" w:sz="0" w:space="0" w:color="auto"/>
      </w:divBdr>
    </w:div>
    <w:div w:id="1284263470">
      <w:marLeft w:val="0"/>
      <w:marRight w:val="0"/>
      <w:marTop w:val="0"/>
      <w:marBottom w:val="0"/>
      <w:divBdr>
        <w:top w:val="none" w:sz="0" w:space="0" w:color="auto"/>
        <w:left w:val="none" w:sz="0" w:space="0" w:color="auto"/>
        <w:bottom w:val="none" w:sz="0" w:space="0" w:color="auto"/>
        <w:right w:val="none" w:sz="0" w:space="0" w:color="auto"/>
      </w:divBdr>
      <w:divsChild>
        <w:div w:id="335956996">
          <w:marLeft w:val="0"/>
          <w:marRight w:val="0"/>
          <w:marTop w:val="0"/>
          <w:marBottom w:val="0"/>
          <w:divBdr>
            <w:top w:val="none" w:sz="0" w:space="0" w:color="auto"/>
            <w:left w:val="none" w:sz="0" w:space="0" w:color="auto"/>
            <w:bottom w:val="none" w:sz="0" w:space="0" w:color="auto"/>
            <w:right w:val="none" w:sz="0" w:space="0" w:color="auto"/>
          </w:divBdr>
        </w:div>
      </w:divsChild>
    </w:div>
    <w:div w:id="1285503281">
      <w:marLeft w:val="0"/>
      <w:marRight w:val="0"/>
      <w:marTop w:val="0"/>
      <w:marBottom w:val="0"/>
      <w:divBdr>
        <w:top w:val="none" w:sz="0" w:space="0" w:color="auto"/>
        <w:left w:val="none" w:sz="0" w:space="0" w:color="auto"/>
        <w:bottom w:val="none" w:sz="0" w:space="0" w:color="auto"/>
        <w:right w:val="none" w:sz="0" w:space="0" w:color="auto"/>
      </w:divBdr>
    </w:div>
    <w:div w:id="1291059641">
      <w:marLeft w:val="0"/>
      <w:marRight w:val="0"/>
      <w:marTop w:val="0"/>
      <w:marBottom w:val="0"/>
      <w:divBdr>
        <w:top w:val="none" w:sz="0" w:space="0" w:color="auto"/>
        <w:left w:val="none" w:sz="0" w:space="0" w:color="auto"/>
        <w:bottom w:val="none" w:sz="0" w:space="0" w:color="auto"/>
        <w:right w:val="none" w:sz="0" w:space="0" w:color="auto"/>
      </w:divBdr>
    </w:div>
    <w:div w:id="1315599941">
      <w:marLeft w:val="0"/>
      <w:marRight w:val="0"/>
      <w:marTop w:val="0"/>
      <w:marBottom w:val="0"/>
      <w:divBdr>
        <w:top w:val="none" w:sz="0" w:space="0" w:color="auto"/>
        <w:left w:val="none" w:sz="0" w:space="0" w:color="auto"/>
        <w:bottom w:val="none" w:sz="0" w:space="0" w:color="auto"/>
        <w:right w:val="none" w:sz="0" w:space="0" w:color="auto"/>
      </w:divBdr>
    </w:div>
    <w:div w:id="1319186006">
      <w:marLeft w:val="0"/>
      <w:marRight w:val="0"/>
      <w:marTop w:val="0"/>
      <w:marBottom w:val="0"/>
      <w:divBdr>
        <w:top w:val="none" w:sz="0" w:space="0" w:color="auto"/>
        <w:left w:val="none" w:sz="0" w:space="0" w:color="auto"/>
        <w:bottom w:val="none" w:sz="0" w:space="0" w:color="auto"/>
        <w:right w:val="none" w:sz="0" w:space="0" w:color="auto"/>
      </w:divBdr>
    </w:div>
    <w:div w:id="1319380451">
      <w:marLeft w:val="0"/>
      <w:marRight w:val="0"/>
      <w:marTop w:val="0"/>
      <w:marBottom w:val="0"/>
      <w:divBdr>
        <w:top w:val="none" w:sz="0" w:space="0" w:color="auto"/>
        <w:left w:val="none" w:sz="0" w:space="0" w:color="auto"/>
        <w:bottom w:val="none" w:sz="0" w:space="0" w:color="auto"/>
        <w:right w:val="none" w:sz="0" w:space="0" w:color="auto"/>
      </w:divBdr>
    </w:div>
    <w:div w:id="1334265568">
      <w:marLeft w:val="0"/>
      <w:marRight w:val="0"/>
      <w:marTop w:val="0"/>
      <w:marBottom w:val="0"/>
      <w:divBdr>
        <w:top w:val="none" w:sz="0" w:space="0" w:color="auto"/>
        <w:left w:val="none" w:sz="0" w:space="0" w:color="auto"/>
        <w:bottom w:val="none" w:sz="0" w:space="0" w:color="auto"/>
        <w:right w:val="none" w:sz="0" w:space="0" w:color="auto"/>
      </w:divBdr>
    </w:div>
    <w:div w:id="1337269929">
      <w:marLeft w:val="0"/>
      <w:marRight w:val="0"/>
      <w:marTop w:val="0"/>
      <w:marBottom w:val="0"/>
      <w:divBdr>
        <w:top w:val="none" w:sz="0" w:space="0" w:color="auto"/>
        <w:left w:val="none" w:sz="0" w:space="0" w:color="auto"/>
        <w:bottom w:val="none" w:sz="0" w:space="0" w:color="auto"/>
        <w:right w:val="none" w:sz="0" w:space="0" w:color="auto"/>
      </w:divBdr>
    </w:div>
    <w:div w:id="1338001574">
      <w:marLeft w:val="0"/>
      <w:marRight w:val="0"/>
      <w:marTop w:val="0"/>
      <w:marBottom w:val="0"/>
      <w:divBdr>
        <w:top w:val="none" w:sz="0" w:space="0" w:color="auto"/>
        <w:left w:val="none" w:sz="0" w:space="0" w:color="auto"/>
        <w:bottom w:val="none" w:sz="0" w:space="0" w:color="auto"/>
        <w:right w:val="none" w:sz="0" w:space="0" w:color="auto"/>
      </w:divBdr>
      <w:divsChild>
        <w:div w:id="1029187218">
          <w:marLeft w:val="0"/>
          <w:marRight w:val="0"/>
          <w:marTop w:val="0"/>
          <w:marBottom w:val="0"/>
          <w:divBdr>
            <w:top w:val="none" w:sz="0" w:space="0" w:color="auto"/>
            <w:left w:val="none" w:sz="0" w:space="0" w:color="auto"/>
            <w:bottom w:val="none" w:sz="0" w:space="0" w:color="auto"/>
            <w:right w:val="none" w:sz="0" w:space="0" w:color="auto"/>
          </w:divBdr>
        </w:div>
      </w:divsChild>
    </w:div>
    <w:div w:id="1350374169">
      <w:marLeft w:val="0"/>
      <w:marRight w:val="0"/>
      <w:marTop w:val="0"/>
      <w:marBottom w:val="0"/>
      <w:divBdr>
        <w:top w:val="none" w:sz="0" w:space="0" w:color="auto"/>
        <w:left w:val="none" w:sz="0" w:space="0" w:color="auto"/>
        <w:bottom w:val="none" w:sz="0" w:space="0" w:color="auto"/>
        <w:right w:val="none" w:sz="0" w:space="0" w:color="auto"/>
      </w:divBdr>
    </w:div>
    <w:div w:id="1354114708">
      <w:marLeft w:val="0"/>
      <w:marRight w:val="0"/>
      <w:marTop w:val="0"/>
      <w:marBottom w:val="0"/>
      <w:divBdr>
        <w:top w:val="none" w:sz="0" w:space="0" w:color="auto"/>
        <w:left w:val="none" w:sz="0" w:space="0" w:color="auto"/>
        <w:bottom w:val="none" w:sz="0" w:space="0" w:color="auto"/>
        <w:right w:val="none" w:sz="0" w:space="0" w:color="auto"/>
      </w:divBdr>
      <w:divsChild>
        <w:div w:id="2065368227">
          <w:marLeft w:val="0"/>
          <w:marRight w:val="0"/>
          <w:marTop w:val="0"/>
          <w:marBottom w:val="0"/>
          <w:divBdr>
            <w:top w:val="none" w:sz="0" w:space="0" w:color="auto"/>
            <w:left w:val="none" w:sz="0" w:space="0" w:color="auto"/>
            <w:bottom w:val="none" w:sz="0" w:space="0" w:color="auto"/>
            <w:right w:val="none" w:sz="0" w:space="0" w:color="auto"/>
          </w:divBdr>
        </w:div>
        <w:div w:id="1893075747">
          <w:marLeft w:val="0"/>
          <w:marRight w:val="0"/>
          <w:marTop w:val="0"/>
          <w:marBottom w:val="0"/>
          <w:divBdr>
            <w:top w:val="none" w:sz="0" w:space="0" w:color="auto"/>
            <w:left w:val="none" w:sz="0" w:space="0" w:color="auto"/>
            <w:bottom w:val="none" w:sz="0" w:space="0" w:color="auto"/>
            <w:right w:val="none" w:sz="0" w:space="0" w:color="auto"/>
          </w:divBdr>
        </w:div>
      </w:divsChild>
    </w:div>
    <w:div w:id="1389763253">
      <w:marLeft w:val="0"/>
      <w:marRight w:val="0"/>
      <w:marTop w:val="0"/>
      <w:marBottom w:val="0"/>
      <w:divBdr>
        <w:top w:val="none" w:sz="0" w:space="0" w:color="auto"/>
        <w:left w:val="none" w:sz="0" w:space="0" w:color="auto"/>
        <w:bottom w:val="none" w:sz="0" w:space="0" w:color="auto"/>
        <w:right w:val="none" w:sz="0" w:space="0" w:color="auto"/>
      </w:divBdr>
    </w:div>
    <w:div w:id="1410497790">
      <w:marLeft w:val="0"/>
      <w:marRight w:val="0"/>
      <w:marTop w:val="0"/>
      <w:marBottom w:val="0"/>
      <w:divBdr>
        <w:top w:val="none" w:sz="0" w:space="0" w:color="auto"/>
        <w:left w:val="none" w:sz="0" w:space="0" w:color="auto"/>
        <w:bottom w:val="none" w:sz="0" w:space="0" w:color="auto"/>
        <w:right w:val="none" w:sz="0" w:space="0" w:color="auto"/>
      </w:divBdr>
    </w:div>
    <w:div w:id="1423529131">
      <w:marLeft w:val="0"/>
      <w:marRight w:val="0"/>
      <w:marTop w:val="0"/>
      <w:marBottom w:val="0"/>
      <w:divBdr>
        <w:top w:val="none" w:sz="0" w:space="0" w:color="auto"/>
        <w:left w:val="none" w:sz="0" w:space="0" w:color="auto"/>
        <w:bottom w:val="none" w:sz="0" w:space="0" w:color="auto"/>
        <w:right w:val="none" w:sz="0" w:space="0" w:color="auto"/>
      </w:divBdr>
    </w:div>
    <w:div w:id="1450976131">
      <w:marLeft w:val="0"/>
      <w:marRight w:val="0"/>
      <w:marTop w:val="0"/>
      <w:marBottom w:val="0"/>
      <w:divBdr>
        <w:top w:val="none" w:sz="0" w:space="0" w:color="auto"/>
        <w:left w:val="none" w:sz="0" w:space="0" w:color="auto"/>
        <w:bottom w:val="none" w:sz="0" w:space="0" w:color="auto"/>
        <w:right w:val="none" w:sz="0" w:space="0" w:color="auto"/>
      </w:divBdr>
      <w:divsChild>
        <w:div w:id="1428766016">
          <w:marLeft w:val="0"/>
          <w:marRight w:val="0"/>
          <w:marTop w:val="0"/>
          <w:marBottom w:val="0"/>
          <w:divBdr>
            <w:top w:val="none" w:sz="0" w:space="0" w:color="auto"/>
            <w:left w:val="none" w:sz="0" w:space="0" w:color="auto"/>
            <w:bottom w:val="none" w:sz="0" w:space="0" w:color="auto"/>
            <w:right w:val="none" w:sz="0" w:space="0" w:color="auto"/>
          </w:divBdr>
        </w:div>
      </w:divsChild>
    </w:div>
    <w:div w:id="1453287992">
      <w:marLeft w:val="0"/>
      <w:marRight w:val="0"/>
      <w:marTop w:val="0"/>
      <w:marBottom w:val="0"/>
      <w:divBdr>
        <w:top w:val="none" w:sz="0" w:space="0" w:color="auto"/>
        <w:left w:val="none" w:sz="0" w:space="0" w:color="auto"/>
        <w:bottom w:val="none" w:sz="0" w:space="0" w:color="auto"/>
        <w:right w:val="none" w:sz="0" w:space="0" w:color="auto"/>
      </w:divBdr>
      <w:divsChild>
        <w:div w:id="1445230971">
          <w:marLeft w:val="0"/>
          <w:marRight w:val="0"/>
          <w:marTop w:val="0"/>
          <w:marBottom w:val="0"/>
          <w:divBdr>
            <w:top w:val="none" w:sz="0" w:space="0" w:color="auto"/>
            <w:left w:val="none" w:sz="0" w:space="0" w:color="auto"/>
            <w:bottom w:val="none" w:sz="0" w:space="0" w:color="auto"/>
            <w:right w:val="none" w:sz="0" w:space="0" w:color="auto"/>
          </w:divBdr>
        </w:div>
        <w:div w:id="118884518">
          <w:marLeft w:val="0"/>
          <w:marRight w:val="0"/>
          <w:marTop w:val="0"/>
          <w:marBottom w:val="0"/>
          <w:divBdr>
            <w:top w:val="none" w:sz="0" w:space="0" w:color="auto"/>
            <w:left w:val="none" w:sz="0" w:space="0" w:color="auto"/>
            <w:bottom w:val="none" w:sz="0" w:space="0" w:color="auto"/>
            <w:right w:val="none" w:sz="0" w:space="0" w:color="auto"/>
          </w:divBdr>
        </w:div>
      </w:divsChild>
    </w:div>
    <w:div w:id="1458908795">
      <w:marLeft w:val="0"/>
      <w:marRight w:val="0"/>
      <w:marTop w:val="0"/>
      <w:marBottom w:val="0"/>
      <w:divBdr>
        <w:top w:val="none" w:sz="0" w:space="0" w:color="auto"/>
        <w:left w:val="none" w:sz="0" w:space="0" w:color="auto"/>
        <w:bottom w:val="none" w:sz="0" w:space="0" w:color="auto"/>
        <w:right w:val="none" w:sz="0" w:space="0" w:color="auto"/>
      </w:divBdr>
    </w:div>
    <w:div w:id="1467308895">
      <w:marLeft w:val="0"/>
      <w:marRight w:val="0"/>
      <w:marTop w:val="0"/>
      <w:marBottom w:val="0"/>
      <w:divBdr>
        <w:top w:val="none" w:sz="0" w:space="0" w:color="auto"/>
        <w:left w:val="none" w:sz="0" w:space="0" w:color="auto"/>
        <w:bottom w:val="none" w:sz="0" w:space="0" w:color="auto"/>
        <w:right w:val="none" w:sz="0" w:space="0" w:color="auto"/>
      </w:divBdr>
    </w:div>
    <w:div w:id="1472332951">
      <w:marLeft w:val="0"/>
      <w:marRight w:val="0"/>
      <w:marTop w:val="0"/>
      <w:marBottom w:val="0"/>
      <w:divBdr>
        <w:top w:val="none" w:sz="0" w:space="0" w:color="auto"/>
        <w:left w:val="none" w:sz="0" w:space="0" w:color="auto"/>
        <w:bottom w:val="none" w:sz="0" w:space="0" w:color="auto"/>
        <w:right w:val="none" w:sz="0" w:space="0" w:color="auto"/>
      </w:divBdr>
      <w:divsChild>
        <w:div w:id="50470719">
          <w:marLeft w:val="0"/>
          <w:marRight w:val="0"/>
          <w:marTop w:val="0"/>
          <w:marBottom w:val="0"/>
          <w:divBdr>
            <w:top w:val="none" w:sz="0" w:space="0" w:color="auto"/>
            <w:left w:val="none" w:sz="0" w:space="0" w:color="auto"/>
            <w:bottom w:val="none" w:sz="0" w:space="0" w:color="auto"/>
            <w:right w:val="none" w:sz="0" w:space="0" w:color="auto"/>
          </w:divBdr>
        </w:div>
        <w:div w:id="1336424638">
          <w:marLeft w:val="0"/>
          <w:marRight w:val="0"/>
          <w:marTop w:val="0"/>
          <w:marBottom w:val="0"/>
          <w:divBdr>
            <w:top w:val="none" w:sz="0" w:space="0" w:color="auto"/>
            <w:left w:val="none" w:sz="0" w:space="0" w:color="auto"/>
            <w:bottom w:val="none" w:sz="0" w:space="0" w:color="auto"/>
            <w:right w:val="none" w:sz="0" w:space="0" w:color="auto"/>
          </w:divBdr>
        </w:div>
      </w:divsChild>
    </w:div>
    <w:div w:id="1480149675">
      <w:marLeft w:val="0"/>
      <w:marRight w:val="0"/>
      <w:marTop w:val="0"/>
      <w:marBottom w:val="0"/>
      <w:divBdr>
        <w:top w:val="none" w:sz="0" w:space="0" w:color="auto"/>
        <w:left w:val="none" w:sz="0" w:space="0" w:color="auto"/>
        <w:bottom w:val="none" w:sz="0" w:space="0" w:color="auto"/>
        <w:right w:val="none" w:sz="0" w:space="0" w:color="auto"/>
      </w:divBdr>
      <w:divsChild>
        <w:div w:id="1671954870">
          <w:marLeft w:val="0"/>
          <w:marRight w:val="0"/>
          <w:marTop w:val="0"/>
          <w:marBottom w:val="0"/>
          <w:divBdr>
            <w:top w:val="none" w:sz="0" w:space="0" w:color="auto"/>
            <w:left w:val="none" w:sz="0" w:space="0" w:color="auto"/>
            <w:bottom w:val="none" w:sz="0" w:space="0" w:color="auto"/>
            <w:right w:val="none" w:sz="0" w:space="0" w:color="auto"/>
          </w:divBdr>
        </w:div>
        <w:div w:id="842084111">
          <w:marLeft w:val="0"/>
          <w:marRight w:val="0"/>
          <w:marTop w:val="0"/>
          <w:marBottom w:val="0"/>
          <w:divBdr>
            <w:top w:val="none" w:sz="0" w:space="0" w:color="auto"/>
            <w:left w:val="none" w:sz="0" w:space="0" w:color="auto"/>
            <w:bottom w:val="none" w:sz="0" w:space="0" w:color="auto"/>
            <w:right w:val="none" w:sz="0" w:space="0" w:color="auto"/>
          </w:divBdr>
        </w:div>
      </w:divsChild>
    </w:div>
    <w:div w:id="1483079798">
      <w:marLeft w:val="0"/>
      <w:marRight w:val="0"/>
      <w:marTop w:val="0"/>
      <w:marBottom w:val="0"/>
      <w:divBdr>
        <w:top w:val="none" w:sz="0" w:space="0" w:color="auto"/>
        <w:left w:val="none" w:sz="0" w:space="0" w:color="auto"/>
        <w:bottom w:val="none" w:sz="0" w:space="0" w:color="auto"/>
        <w:right w:val="none" w:sz="0" w:space="0" w:color="auto"/>
      </w:divBdr>
    </w:div>
    <w:div w:id="1493716676">
      <w:marLeft w:val="0"/>
      <w:marRight w:val="0"/>
      <w:marTop w:val="0"/>
      <w:marBottom w:val="0"/>
      <w:divBdr>
        <w:top w:val="none" w:sz="0" w:space="0" w:color="auto"/>
        <w:left w:val="none" w:sz="0" w:space="0" w:color="auto"/>
        <w:bottom w:val="none" w:sz="0" w:space="0" w:color="auto"/>
        <w:right w:val="none" w:sz="0" w:space="0" w:color="auto"/>
      </w:divBdr>
      <w:divsChild>
        <w:div w:id="192809569">
          <w:marLeft w:val="0"/>
          <w:marRight w:val="0"/>
          <w:marTop w:val="0"/>
          <w:marBottom w:val="0"/>
          <w:divBdr>
            <w:top w:val="none" w:sz="0" w:space="0" w:color="auto"/>
            <w:left w:val="none" w:sz="0" w:space="0" w:color="auto"/>
            <w:bottom w:val="none" w:sz="0" w:space="0" w:color="auto"/>
            <w:right w:val="none" w:sz="0" w:space="0" w:color="auto"/>
          </w:divBdr>
        </w:div>
        <w:div w:id="752314875">
          <w:marLeft w:val="0"/>
          <w:marRight w:val="0"/>
          <w:marTop w:val="0"/>
          <w:marBottom w:val="0"/>
          <w:divBdr>
            <w:top w:val="none" w:sz="0" w:space="0" w:color="auto"/>
            <w:left w:val="none" w:sz="0" w:space="0" w:color="auto"/>
            <w:bottom w:val="none" w:sz="0" w:space="0" w:color="auto"/>
            <w:right w:val="none" w:sz="0" w:space="0" w:color="auto"/>
          </w:divBdr>
        </w:div>
      </w:divsChild>
    </w:div>
    <w:div w:id="1509252813">
      <w:marLeft w:val="0"/>
      <w:marRight w:val="0"/>
      <w:marTop w:val="0"/>
      <w:marBottom w:val="0"/>
      <w:divBdr>
        <w:top w:val="none" w:sz="0" w:space="0" w:color="auto"/>
        <w:left w:val="none" w:sz="0" w:space="0" w:color="auto"/>
        <w:bottom w:val="none" w:sz="0" w:space="0" w:color="auto"/>
        <w:right w:val="none" w:sz="0" w:space="0" w:color="auto"/>
      </w:divBdr>
    </w:div>
    <w:div w:id="1512643370">
      <w:marLeft w:val="0"/>
      <w:marRight w:val="0"/>
      <w:marTop w:val="0"/>
      <w:marBottom w:val="0"/>
      <w:divBdr>
        <w:top w:val="none" w:sz="0" w:space="0" w:color="auto"/>
        <w:left w:val="none" w:sz="0" w:space="0" w:color="auto"/>
        <w:bottom w:val="none" w:sz="0" w:space="0" w:color="auto"/>
        <w:right w:val="none" w:sz="0" w:space="0" w:color="auto"/>
      </w:divBdr>
    </w:div>
    <w:div w:id="1529176548">
      <w:marLeft w:val="0"/>
      <w:marRight w:val="0"/>
      <w:marTop w:val="0"/>
      <w:marBottom w:val="0"/>
      <w:divBdr>
        <w:top w:val="none" w:sz="0" w:space="0" w:color="auto"/>
        <w:left w:val="none" w:sz="0" w:space="0" w:color="auto"/>
        <w:bottom w:val="none" w:sz="0" w:space="0" w:color="auto"/>
        <w:right w:val="none" w:sz="0" w:space="0" w:color="auto"/>
      </w:divBdr>
      <w:divsChild>
        <w:div w:id="518129954">
          <w:marLeft w:val="0"/>
          <w:marRight w:val="0"/>
          <w:marTop w:val="0"/>
          <w:marBottom w:val="0"/>
          <w:divBdr>
            <w:top w:val="none" w:sz="0" w:space="0" w:color="auto"/>
            <w:left w:val="none" w:sz="0" w:space="0" w:color="auto"/>
            <w:bottom w:val="none" w:sz="0" w:space="0" w:color="auto"/>
            <w:right w:val="none" w:sz="0" w:space="0" w:color="auto"/>
          </w:divBdr>
        </w:div>
      </w:divsChild>
    </w:div>
    <w:div w:id="1533378006">
      <w:marLeft w:val="0"/>
      <w:marRight w:val="0"/>
      <w:marTop w:val="0"/>
      <w:marBottom w:val="0"/>
      <w:divBdr>
        <w:top w:val="none" w:sz="0" w:space="0" w:color="auto"/>
        <w:left w:val="none" w:sz="0" w:space="0" w:color="auto"/>
        <w:bottom w:val="none" w:sz="0" w:space="0" w:color="auto"/>
        <w:right w:val="none" w:sz="0" w:space="0" w:color="auto"/>
      </w:divBdr>
      <w:divsChild>
        <w:div w:id="240721255">
          <w:marLeft w:val="0"/>
          <w:marRight w:val="0"/>
          <w:marTop w:val="0"/>
          <w:marBottom w:val="0"/>
          <w:divBdr>
            <w:top w:val="none" w:sz="0" w:space="0" w:color="auto"/>
            <w:left w:val="none" w:sz="0" w:space="0" w:color="auto"/>
            <w:bottom w:val="none" w:sz="0" w:space="0" w:color="auto"/>
            <w:right w:val="none" w:sz="0" w:space="0" w:color="auto"/>
          </w:divBdr>
        </w:div>
        <w:div w:id="171266937">
          <w:marLeft w:val="0"/>
          <w:marRight w:val="0"/>
          <w:marTop w:val="0"/>
          <w:marBottom w:val="0"/>
          <w:divBdr>
            <w:top w:val="none" w:sz="0" w:space="0" w:color="auto"/>
            <w:left w:val="none" w:sz="0" w:space="0" w:color="auto"/>
            <w:bottom w:val="none" w:sz="0" w:space="0" w:color="auto"/>
            <w:right w:val="none" w:sz="0" w:space="0" w:color="auto"/>
          </w:divBdr>
        </w:div>
      </w:divsChild>
    </w:div>
    <w:div w:id="1542356001">
      <w:marLeft w:val="0"/>
      <w:marRight w:val="0"/>
      <w:marTop w:val="0"/>
      <w:marBottom w:val="0"/>
      <w:divBdr>
        <w:top w:val="none" w:sz="0" w:space="0" w:color="auto"/>
        <w:left w:val="none" w:sz="0" w:space="0" w:color="auto"/>
        <w:bottom w:val="none" w:sz="0" w:space="0" w:color="auto"/>
        <w:right w:val="none" w:sz="0" w:space="0" w:color="auto"/>
      </w:divBdr>
      <w:divsChild>
        <w:div w:id="1098016398">
          <w:marLeft w:val="0"/>
          <w:marRight w:val="0"/>
          <w:marTop w:val="0"/>
          <w:marBottom w:val="0"/>
          <w:divBdr>
            <w:top w:val="none" w:sz="0" w:space="0" w:color="auto"/>
            <w:left w:val="none" w:sz="0" w:space="0" w:color="auto"/>
            <w:bottom w:val="none" w:sz="0" w:space="0" w:color="auto"/>
            <w:right w:val="none" w:sz="0" w:space="0" w:color="auto"/>
          </w:divBdr>
        </w:div>
        <w:div w:id="2130125845">
          <w:marLeft w:val="0"/>
          <w:marRight w:val="0"/>
          <w:marTop w:val="0"/>
          <w:marBottom w:val="0"/>
          <w:divBdr>
            <w:top w:val="none" w:sz="0" w:space="0" w:color="auto"/>
            <w:left w:val="none" w:sz="0" w:space="0" w:color="auto"/>
            <w:bottom w:val="none" w:sz="0" w:space="0" w:color="auto"/>
            <w:right w:val="none" w:sz="0" w:space="0" w:color="auto"/>
          </w:divBdr>
        </w:div>
      </w:divsChild>
    </w:div>
    <w:div w:id="1550188796">
      <w:marLeft w:val="0"/>
      <w:marRight w:val="0"/>
      <w:marTop w:val="0"/>
      <w:marBottom w:val="0"/>
      <w:divBdr>
        <w:top w:val="none" w:sz="0" w:space="0" w:color="auto"/>
        <w:left w:val="none" w:sz="0" w:space="0" w:color="auto"/>
        <w:bottom w:val="none" w:sz="0" w:space="0" w:color="auto"/>
        <w:right w:val="none" w:sz="0" w:space="0" w:color="auto"/>
      </w:divBdr>
      <w:divsChild>
        <w:div w:id="390424042">
          <w:marLeft w:val="0"/>
          <w:marRight w:val="0"/>
          <w:marTop w:val="0"/>
          <w:marBottom w:val="0"/>
          <w:divBdr>
            <w:top w:val="none" w:sz="0" w:space="0" w:color="auto"/>
            <w:left w:val="none" w:sz="0" w:space="0" w:color="auto"/>
            <w:bottom w:val="none" w:sz="0" w:space="0" w:color="auto"/>
            <w:right w:val="none" w:sz="0" w:space="0" w:color="auto"/>
          </w:divBdr>
        </w:div>
      </w:divsChild>
    </w:div>
    <w:div w:id="1553224102">
      <w:marLeft w:val="0"/>
      <w:marRight w:val="0"/>
      <w:marTop w:val="0"/>
      <w:marBottom w:val="0"/>
      <w:divBdr>
        <w:top w:val="none" w:sz="0" w:space="0" w:color="auto"/>
        <w:left w:val="none" w:sz="0" w:space="0" w:color="auto"/>
        <w:bottom w:val="none" w:sz="0" w:space="0" w:color="auto"/>
        <w:right w:val="none" w:sz="0" w:space="0" w:color="auto"/>
      </w:divBdr>
    </w:div>
    <w:div w:id="1556088573">
      <w:marLeft w:val="0"/>
      <w:marRight w:val="0"/>
      <w:marTop w:val="0"/>
      <w:marBottom w:val="0"/>
      <w:divBdr>
        <w:top w:val="none" w:sz="0" w:space="0" w:color="auto"/>
        <w:left w:val="none" w:sz="0" w:space="0" w:color="auto"/>
        <w:bottom w:val="none" w:sz="0" w:space="0" w:color="auto"/>
        <w:right w:val="none" w:sz="0" w:space="0" w:color="auto"/>
      </w:divBdr>
    </w:div>
    <w:div w:id="1558935153">
      <w:marLeft w:val="0"/>
      <w:marRight w:val="0"/>
      <w:marTop w:val="0"/>
      <w:marBottom w:val="0"/>
      <w:divBdr>
        <w:top w:val="none" w:sz="0" w:space="0" w:color="auto"/>
        <w:left w:val="none" w:sz="0" w:space="0" w:color="auto"/>
        <w:bottom w:val="none" w:sz="0" w:space="0" w:color="auto"/>
        <w:right w:val="none" w:sz="0" w:space="0" w:color="auto"/>
      </w:divBdr>
      <w:divsChild>
        <w:div w:id="493884287">
          <w:marLeft w:val="0"/>
          <w:marRight w:val="0"/>
          <w:marTop w:val="0"/>
          <w:marBottom w:val="0"/>
          <w:divBdr>
            <w:top w:val="none" w:sz="0" w:space="0" w:color="auto"/>
            <w:left w:val="none" w:sz="0" w:space="0" w:color="auto"/>
            <w:bottom w:val="none" w:sz="0" w:space="0" w:color="auto"/>
            <w:right w:val="none" w:sz="0" w:space="0" w:color="auto"/>
          </w:divBdr>
        </w:div>
        <w:div w:id="252474629">
          <w:marLeft w:val="0"/>
          <w:marRight w:val="0"/>
          <w:marTop w:val="0"/>
          <w:marBottom w:val="0"/>
          <w:divBdr>
            <w:top w:val="none" w:sz="0" w:space="0" w:color="auto"/>
            <w:left w:val="none" w:sz="0" w:space="0" w:color="auto"/>
            <w:bottom w:val="none" w:sz="0" w:space="0" w:color="auto"/>
            <w:right w:val="none" w:sz="0" w:space="0" w:color="auto"/>
          </w:divBdr>
        </w:div>
      </w:divsChild>
    </w:div>
    <w:div w:id="1569727011">
      <w:marLeft w:val="0"/>
      <w:marRight w:val="0"/>
      <w:marTop w:val="0"/>
      <w:marBottom w:val="0"/>
      <w:divBdr>
        <w:top w:val="none" w:sz="0" w:space="0" w:color="auto"/>
        <w:left w:val="none" w:sz="0" w:space="0" w:color="auto"/>
        <w:bottom w:val="none" w:sz="0" w:space="0" w:color="auto"/>
        <w:right w:val="none" w:sz="0" w:space="0" w:color="auto"/>
      </w:divBdr>
      <w:divsChild>
        <w:div w:id="1911698271">
          <w:marLeft w:val="0"/>
          <w:marRight w:val="0"/>
          <w:marTop w:val="0"/>
          <w:marBottom w:val="0"/>
          <w:divBdr>
            <w:top w:val="none" w:sz="0" w:space="0" w:color="auto"/>
            <w:left w:val="none" w:sz="0" w:space="0" w:color="auto"/>
            <w:bottom w:val="none" w:sz="0" w:space="0" w:color="auto"/>
            <w:right w:val="none" w:sz="0" w:space="0" w:color="auto"/>
          </w:divBdr>
        </w:div>
      </w:divsChild>
    </w:div>
    <w:div w:id="1575432827">
      <w:marLeft w:val="0"/>
      <w:marRight w:val="0"/>
      <w:marTop w:val="0"/>
      <w:marBottom w:val="0"/>
      <w:divBdr>
        <w:top w:val="none" w:sz="0" w:space="0" w:color="auto"/>
        <w:left w:val="none" w:sz="0" w:space="0" w:color="auto"/>
        <w:bottom w:val="none" w:sz="0" w:space="0" w:color="auto"/>
        <w:right w:val="none" w:sz="0" w:space="0" w:color="auto"/>
      </w:divBdr>
    </w:div>
    <w:div w:id="1578977087">
      <w:marLeft w:val="0"/>
      <w:marRight w:val="0"/>
      <w:marTop w:val="0"/>
      <w:marBottom w:val="0"/>
      <w:divBdr>
        <w:top w:val="none" w:sz="0" w:space="0" w:color="auto"/>
        <w:left w:val="none" w:sz="0" w:space="0" w:color="auto"/>
        <w:bottom w:val="none" w:sz="0" w:space="0" w:color="auto"/>
        <w:right w:val="none" w:sz="0" w:space="0" w:color="auto"/>
      </w:divBdr>
    </w:div>
    <w:div w:id="1608997296">
      <w:marLeft w:val="0"/>
      <w:marRight w:val="0"/>
      <w:marTop w:val="0"/>
      <w:marBottom w:val="0"/>
      <w:divBdr>
        <w:top w:val="none" w:sz="0" w:space="0" w:color="auto"/>
        <w:left w:val="none" w:sz="0" w:space="0" w:color="auto"/>
        <w:bottom w:val="none" w:sz="0" w:space="0" w:color="auto"/>
        <w:right w:val="none" w:sz="0" w:space="0" w:color="auto"/>
      </w:divBdr>
      <w:divsChild>
        <w:div w:id="774985307">
          <w:marLeft w:val="0"/>
          <w:marRight w:val="0"/>
          <w:marTop w:val="0"/>
          <w:marBottom w:val="0"/>
          <w:divBdr>
            <w:top w:val="none" w:sz="0" w:space="0" w:color="auto"/>
            <w:left w:val="none" w:sz="0" w:space="0" w:color="auto"/>
            <w:bottom w:val="none" w:sz="0" w:space="0" w:color="auto"/>
            <w:right w:val="none" w:sz="0" w:space="0" w:color="auto"/>
          </w:divBdr>
        </w:div>
        <w:div w:id="283461649">
          <w:marLeft w:val="0"/>
          <w:marRight w:val="0"/>
          <w:marTop w:val="0"/>
          <w:marBottom w:val="0"/>
          <w:divBdr>
            <w:top w:val="none" w:sz="0" w:space="0" w:color="auto"/>
            <w:left w:val="none" w:sz="0" w:space="0" w:color="auto"/>
            <w:bottom w:val="none" w:sz="0" w:space="0" w:color="auto"/>
            <w:right w:val="none" w:sz="0" w:space="0" w:color="auto"/>
          </w:divBdr>
        </w:div>
      </w:divsChild>
    </w:div>
    <w:div w:id="1615676376">
      <w:marLeft w:val="0"/>
      <w:marRight w:val="0"/>
      <w:marTop w:val="0"/>
      <w:marBottom w:val="0"/>
      <w:divBdr>
        <w:top w:val="none" w:sz="0" w:space="0" w:color="auto"/>
        <w:left w:val="none" w:sz="0" w:space="0" w:color="auto"/>
        <w:bottom w:val="none" w:sz="0" w:space="0" w:color="auto"/>
        <w:right w:val="none" w:sz="0" w:space="0" w:color="auto"/>
      </w:divBdr>
      <w:divsChild>
        <w:div w:id="1659772539">
          <w:marLeft w:val="0"/>
          <w:marRight w:val="0"/>
          <w:marTop w:val="0"/>
          <w:marBottom w:val="0"/>
          <w:divBdr>
            <w:top w:val="none" w:sz="0" w:space="0" w:color="auto"/>
            <w:left w:val="none" w:sz="0" w:space="0" w:color="auto"/>
            <w:bottom w:val="none" w:sz="0" w:space="0" w:color="auto"/>
            <w:right w:val="none" w:sz="0" w:space="0" w:color="auto"/>
          </w:divBdr>
        </w:div>
      </w:divsChild>
    </w:div>
    <w:div w:id="1615820387">
      <w:marLeft w:val="0"/>
      <w:marRight w:val="0"/>
      <w:marTop w:val="0"/>
      <w:marBottom w:val="0"/>
      <w:divBdr>
        <w:top w:val="none" w:sz="0" w:space="0" w:color="auto"/>
        <w:left w:val="none" w:sz="0" w:space="0" w:color="auto"/>
        <w:bottom w:val="none" w:sz="0" w:space="0" w:color="auto"/>
        <w:right w:val="none" w:sz="0" w:space="0" w:color="auto"/>
      </w:divBdr>
    </w:div>
    <w:div w:id="1625310113">
      <w:marLeft w:val="0"/>
      <w:marRight w:val="0"/>
      <w:marTop w:val="0"/>
      <w:marBottom w:val="0"/>
      <w:divBdr>
        <w:top w:val="none" w:sz="0" w:space="0" w:color="auto"/>
        <w:left w:val="none" w:sz="0" w:space="0" w:color="auto"/>
        <w:bottom w:val="none" w:sz="0" w:space="0" w:color="auto"/>
        <w:right w:val="none" w:sz="0" w:space="0" w:color="auto"/>
      </w:divBdr>
      <w:divsChild>
        <w:div w:id="815878169">
          <w:marLeft w:val="0"/>
          <w:marRight w:val="0"/>
          <w:marTop w:val="0"/>
          <w:marBottom w:val="0"/>
          <w:divBdr>
            <w:top w:val="none" w:sz="0" w:space="0" w:color="auto"/>
            <w:left w:val="none" w:sz="0" w:space="0" w:color="auto"/>
            <w:bottom w:val="none" w:sz="0" w:space="0" w:color="auto"/>
            <w:right w:val="none" w:sz="0" w:space="0" w:color="auto"/>
          </w:divBdr>
        </w:div>
      </w:divsChild>
    </w:div>
    <w:div w:id="1634479765">
      <w:marLeft w:val="0"/>
      <w:marRight w:val="0"/>
      <w:marTop w:val="0"/>
      <w:marBottom w:val="0"/>
      <w:divBdr>
        <w:top w:val="none" w:sz="0" w:space="0" w:color="auto"/>
        <w:left w:val="none" w:sz="0" w:space="0" w:color="auto"/>
        <w:bottom w:val="none" w:sz="0" w:space="0" w:color="auto"/>
        <w:right w:val="none" w:sz="0" w:space="0" w:color="auto"/>
      </w:divBdr>
    </w:div>
    <w:div w:id="1642226525">
      <w:marLeft w:val="0"/>
      <w:marRight w:val="0"/>
      <w:marTop w:val="0"/>
      <w:marBottom w:val="0"/>
      <w:divBdr>
        <w:top w:val="none" w:sz="0" w:space="0" w:color="auto"/>
        <w:left w:val="none" w:sz="0" w:space="0" w:color="auto"/>
        <w:bottom w:val="none" w:sz="0" w:space="0" w:color="auto"/>
        <w:right w:val="none" w:sz="0" w:space="0" w:color="auto"/>
      </w:divBdr>
      <w:divsChild>
        <w:div w:id="45566964">
          <w:marLeft w:val="0"/>
          <w:marRight w:val="0"/>
          <w:marTop w:val="0"/>
          <w:marBottom w:val="0"/>
          <w:divBdr>
            <w:top w:val="none" w:sz="0" w:space="0" w:color="auto"/>
            <w:left w:val="none" w:sz="0" w:space="0" w:color="auto"/>
            <w:bottom w:val="none" w:sz="0" w:space="0" w:color="auto"/>
            <w:right w:val="none" w:sz="0" w:space="0" w:color="auto"/>
          </w:divBdr>
        </w:div>
      </w:divsChild>
    </w:div>
    <w:div w:id="1643582954">
      <w:marLeft w:val="0"/>
      <w:marRight w:val="0"/>
      <w:marTop w:val="0"/>
      <w:marBottom w:val="0"/>
      <w:divBdr>
        <w:top w:val="none" w:sz="0" w:space="0" w:color="auto"/>
        <w:left w:val="none" w:sz="0" w:space="0" w:color="auto"/>
        <w:bottom w:val="none" w:sz="0" w:space="0" w:color="auto"/>
        <w:right w:val="none" w:sz="0" w:space="0" w:color="auto"/>
      </w:divBdr>
    </w:div>
    <w:div w:id="1648126944">
      <w:marLeft w:val="0"/>
      <w:marRight w:val="0"/>
      <w:marTop w:val="0"/>
      <w:marBottom w:val="0"/>
      <w:divBdr>
        <w:top w:val="none" w:sz="0" w:space="0" w:color="auto"/>
        <w:left w:val="none" w:sz="0" w:space="0" w:color="auto"/>
        <w:bottom w:val="none" w:sz="0" w:space="0" w:color="auto"/>
        <w:right w:val="none" w:sz="0" w:space="0" w:color="auto"/>
      </w:divBdr>
      <w:divsChild>
        <w:div w:id="1467891312">
          <w:marLeft w:val="0"/>
          <w:marRight w:val="0"/>
          <w:marTop w:val="0"/>
          <w:marBottom w:val="0"/>
          <w:divBdr>
            <w:top w:val="none" w:sz="0" w:space="0" w:color="auto"/>
            <w:left w:val="none" w:sz="0" w:space="0" w:color="auto"/>
            <w:bottom w:val="none" w:sz="0" w:space="0" w:color="auto"/>
            <w:right w:val="none" w:sz="0" w:space="0" w:color="auto"/>
          </w:divBdr>
        </w:div>
      </w:divsChild>
    </w:div>
    <w:div w:id="1660112850">
      <w:marLeft w:val="0"/>
      <w:marRight w:val="0"/>
      <w:marTop w:val="0"/>
      <w:marBottom w:val="0"/>
      <w:divBdr>
        <w:top w:val="none" w:sz="0" w:space="0" w:color="auto"/>
        <w:left w:val="none" w:sz="0" w:space="0" w:color="auto"/>
        <w:bottom w:val="none" w:sz="0" w:space="0" w:color="auto"/>
        <w:right w:val="none" w:sz="0" w:space="0" w:color="auto"/>
      </w:divBdr>
    </w:div>
    <w:div w:id="1663463924">
      <w:marLeft w:val="0"/>
      <w:marRight w:val="0"/>
      <w:marTop w:val="0"/>
      <w:marBottom w:val="0"/>
      <w:divBdr>
        <w:top w:val="none" w:sz="0" w:space="0" w:color="auto"/>
        <w:left w:val="none" w:sz="0" w:space="0" w:color="auto"/>
        <w:bottom w:val="none" w:sz="0" w:space="0" w:color="auto"/>
        <w:right w:val="none" w:sz="0" w:space="0" w:color="auto"/>
      </w:divBdr>
      <w:divsChild>
        <w:div w:id="1330250438">
          <w:marLeft w:val="0"/>
          <w:marRight w:val="0"/>
          <w:marTop w:val="0"/>
          <w:marBottom w:val="0"/>
          <w:divBdr>
            <w:top w:val="none" w:sz="0" w:space="0" w:color="auto"/>
            <w:left w:val="none" w:sz="0" w:space="0" w:color="auto"/>
            <w:bottom w:val="none" w:sz="0" w:space="0" w:color="auto"/>
            <w:right w:val="none" w:sz="0" w:space="0" w:color="auto"/>
          </w:divBdr>
        </w:div>
      </w:divsChild>
    </w:div>
    <w:div w:id="1671980729">
      <w:marLeft w:val="0"/>
      <w:marRight w:val="0"/>
      <w:marTop w:val="0"/>
      <w:marBottom w:val="0"/>
      <w:divBdr>
        <w:top w:val="none" w:sz="0" w:space="0" w:color="auto"/>
        <w:left w:val="none" w:sz="0" w:space="0" w:color="auto"/>
        <w:bottom w:val="none" w:sz="0" w:space="0" w:color="auto"/>
        <w:right w:val="none" w:sz="0" w:space="0" w:color="auto"/>
      </w:divBdr>
    </w:div>
    <w:div w:id="1678992993">
      <w:marLeft w:val="0"/>
      <w:marRight w:val="0"/>
      <w:marTop w:val="0"/>
      <w:marBottom w:val="0"/>
      <w:divBdr>
        <w:top w:val="none" w:sz="0" w:space="0" w:color="auto"/>
        <w:left w:val="none" w:sz="0" w:space="0" w:color="auto"/>
        <w:bottom w:val="none" w:sz="0" w:space="0" w:color="auto"/>
        <w:right w:val="none" w:sz="0" w:space="0" w:color="auto"/>
      </w:divBdr>
      <w:divsChild>
        <w:div w:id="228345496">
          <w:marLeft w:val="0"/>
          <w:marRight w:val="0"/>
          <w:marTop w:val="0"/>
          <w:marBottom w:val="0"/>
          <w:divBdr>
            <w:top w:val="none" w:sz="0" w:space="0" w:color="auto"/>
            <w:left w:val="none" w:sz="0" w:space="0" w:color="auto"/>
            <w:bottom w:val="none" w:sz="0" w:space="0" w:color="auto"/>
            <w:right w:val="none" w:sz="0" w:space="0" w:color="auto"/>
          </w:divBdr>
        </w:div>
      </w:divsChild>
    </w:div>
    <w:div w:id="1687364036">
      <w:marLeft w:val="0"/>
      <w:marRight w:val="0"/>
      <w:marTop w:val="0"/>
      <w:marBottom w:val="0"/>
      <w:divBdr>
        <w:top w:val="none" w:sz="0" w:space="0" w:color="auto"/>
        <w:left w:val="none" w:sz="0" w:space="0" w:color="auto"/>
        <w:bottom w:val="none" w:sz="0" w:space="0" w:color="auto"/>
        <w:right w:val="none" w:sz="0" w:space="0" w:color="auto"/>
      </w:divBdr>
      <w:divsChild>
        <w:div w:id="1164590273">
          <w:marLeft w:val="0"/>
          <w:marRight w:val="0"/>
          <w:marTop w:val="0"/>
          <w:marBottom w:val="0"/>
          <w:divBdr>
            <w:top w:val="none" w:sz="0" w:space="0" w:color="auto"/>
            <w:left w:val="none" w:sz="0" w:space="0" w:color="auto"/>
            <w:bottom w:val="none" w:sz="0" w:space="0" w:color="auto"/>
            <w:right w:val="none" w:sz="0" w:space="0" w:color="auto"/>
          </w:divBdr>
        </w:div>
        <w:div w:id="1548880042">
          <w:marLeft w:val="0"/>
          <w:marRight w:val="0"/>
          <w:marTop w:val="0"/>
          <w:marBottom w:val="0"/>
          <w:divBdr>
            <w:top w:val="none" w:sz="0" w:space="0" w:color="auto"/>
            <w:left w:val="none" w:sz="0" w:space="0" w:color="auto"/>
            <w:bottom w:val="none" w:sz="0" w:space="0" w:color="auto"/>
            <w:right w:val="none" w:sz="0" w:space="0" w:color="auto"/>
          </w:divBdr>
        </w:div>
      </w:divsChild>
    </w:div>
    <w:div w:id="1690402200">
      <w:marLeft w:val="0"/>
      <w:marRight w:val="0"/>
      <w:marTop w:val="0"/>
      <w:marBottom w:val="0"/>
      <w:divBdr>
        <w:top w:val="none" w:sz="0" w:space="0" w:color="auto"/>
        <w:left w:val="none" w:sz="0" w:space="0" w:color="auto"/>
        <w:bottom w:val="none" w:sz="0" w:space="0" w:color="auto"/>
        <w:right w:val="none" w:sz="0" w:space="0" w:color="auto"/>
      </w:divBdr>
    </w:div>
    <w:div w:id="1695694266">
      <w:marLeft w:val="0"/>
      <w:marRight w:val="0"/>
      <w:marTop w:val="0"/>
      <w:marBottom w:val="0"/>
      <w:divBdr>
        <w:top w:val="none" w:sz="0" w:space="0" w:color="auto"/>
        <w:left w:val="none" w:sz="0" w:space="0" w:color="auto"/>
        <w:bottom w:val="none" w:sz="0" w:space="0" w:color="auto"/>
        <w:right w:val="none" w:sz="0" w:space="0" w:color="auto"/>
      </w:divBdr>
    </w:div>
    <w:div w:id="1701204655">
      <w:marLeft w:val="0"/>
      <w:marRight w:val="0"/>
      <w:marTop w:val="0"/>
      <w:marBottom w:val="0"/>
      <w:divBdr>
        <w:top w:val="none" w:sz="0" w:space="0" w:color="auto"/>
        <w:left w:val="none" w:sz="0" w:space="0" w:color="auto"/>
        <w:bottom w:val="none" w:sz="0" w:space="0" w:color="auto"/>
        <w:right w:val="none" w:sz="0" w:space="0" w:color="auto"/>
      </w:divBdr>
      <w:divsChild>
        <w:div w:id="952975500">
          <w:marLeft w:val="0"/>
          <w:marRight w:val="0"/>
          <w:marTop w:val="0"/>
          <w:marBottom w:val="0"/>
          <w:divBdr>
            <w:top w:val="none" w:sz="0" w:space="0" w:color="auto"/>
            <w:left w:val="none" w:sz="0" w:space="0" w:color="auto"/>
            <w:bottom w:val="none" w:sz="0" w:space="0" w:color="auto"/>
            <w:right w:val="none" w:sz="0" w:space="0" w:color="auto"/>
          </w:divBdr>
        </w:div>
        <w:div w:id="1483037174">
          <w:marLeft w:val="0"/>
          <w:marRight w:val="0"/>
          <w:marTop w:val="0"/>
          <w:marBottom w:val="0"/>
          <w:divBdr>
            <w:top w:val="none" w:sz="0" w:space="0" w:color="auto"/>
            <w:left w:val="none" w:sz="0" w:space="0" w:color="auto"/>
            <w:bottom w:val="none" w:sz="0" w:space="0" w:color="auto"/>
            <w:right w:val="none" w:sz="0" w:space="0" w:color="auto"/>
          </w:divBdr>
        </w:div>
      </w:divsChild>
    </w:div>
    <w:div w:id="1703245640">
      <w:marLeft w:val="0"/>
      <w:marRight w:val="0"/>
      <w:marTop w:val="0"/>
      <w:marBottom w:val="0"/>
      <w:divBdr>
        <w:top w:val="none" w:sz="0" w:space="0" w:color="auto"/>
        <w:left w:val="none" w:sz="0" w:space="0" w:color="auto"/>
        <w:bottom w:val="none" w:sz="0" w:space="0" w:color="auto"/>
        <w:right w:val="none" w:sz="0" w:space="0" w:color="auto"/>
      </w:divBdr>
    </w:div>
    <w:div w:id="1709791174">
      <w:marLeft w:val="0"/>
      <w:marRight w:val="0"/>
      <w:marTop w:val="0"/>
      <w:marBottom w:val="0"/>
      <w:divBdr>
        <w:top w:val="none" w:sz="0" w:space="0" w:color="auto"/>
        <w:left w:val="none" w:sz="0" w:space="0" w:color="auto"/>
        <w:bottom w:val="none" w:sz="0" w:space="0" w:color="auto"/>
        <w:right w:val="none" w:sz="0" w:space="0" w:color="auto"/>
      </w:divBdr>
      <w:divsChild>
        <w:div w:id="2051762573">
          <w:marLeft w:val="0"/>
          <w:marRight w:val="0"/>
          <w:marTop w:val="0"/>
          <w:marBottom w:val="0"/>
          <w:divBdr>
            <w:top w:val="none" w:sz="0" w:space="0" w:color="auto"/>
            <w:left w:val="none" w:sz="0" w:space="0" w:color="auto"/>
            <w:bottom w:val="none" w:sz="0" w:space="0" w:color="auto"/>
            <w:right w:val="none" w:sz="0" w:space="0" w:color="auto"/>
          </w:divBdr>
        </w:div>
      </w:divsChild>
    </w:div>
    <w:div w:id="1743870524">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 w:id="1756048785">
      <w:marLeft w:val="0"/>
      <w:marRight w:val="0"/>
      <w:marTop w:val="0"/>
      <w:marBottom w:val="0"/>
      <w:divBdr>
        <w:top w:val="none" w:sz="0" w:space="0" w:color="auto"/>
        <w:left w:val="none" w:sz="0" w:space="0" w:color="auto"/>
        <w:bottom w:val="none" w:sz="0" w:space="0" w:color="auto"/>
        <w:right w:val="none" w:sz="0" w:space="0" w:color="auto"/>
      </w:divBdr>
    </w:div>
    <w:div w:id="1767730459">
      <w:marLeft w:val="0"/>
      <w:marRight w:val="0"/>
      <w:marTop w:val="0"/>
      <w:marBottom w:val="0"/>
      <w:divBdr>
        <w:top w:val="none" w:sz="0" w:space="0" w:color="auto"/>
        <w:left w:val="none" w:sz="0" w:space="0" w:color="auto"/>
        <w:bottom w:val="none" w:sz="0" w:space="0" w:color="auto"/>
        <w:right w:val="none" w:sz="0" w:space="0" w:color="auto"/>
      </w:divBdr>
      <w:divsChild>
        <w:div w:id="493761797">
          <w:marLeft w:val="0"/>
          <w:marRight w:val="0"/>
          <w:marTop w:val="0"/>
          <w:marBottom w:val="0"/>
          <w:divBdr>
            <w:top w:val="none" w:sz="0" w:space="0" w:color="auto"/>
            <w:left w:val="none" w:sz="0" w:space="0" w:color="auto"/>
            <w:bottom w:val="none" w:sz="0" w:space="0" w:color="auto"/>
            <w:right w:val="none" w:sz="0" w:space="0" w:color="auto"/>
          </w:divBdr>
        </w:div>
        <w:div w:id="138612973">
          <w:marLeft w:val="0"/>
          <w:marRight w:val="0"/>
          <w:marTop w:val="0"/>
          <w:marBottom w:val="0"/>
          <w:divBdr>
            <w:top w:val="none" w:sz="0" w:space="0" w:color="auto"/>
            <w:left w:val="none" w:sz="0" w:space="0" w:color="auto"/>
            <w:bottom w:val="none" w:sz="0" w:space="0" w:color="auto"/>
            <w:right w:val="none" w:sz="0" w:space="0" w:color="auto"/>
          </w:divBdr>
        </w:div>
      </w:divsChild>
    </w:div>
    <w:div w:id="1777289939">
      <w:marLeft w:val="0"/>
      <w:marRight w:val="0"/>
      <w:marTop w:val="0"/>
      <w:marBottom w:val="0"/>
      <w:divBdr>
        <w:top w:val="none" w:sz="0" w:space="0" w:color="auto"/>
        <w:left w:val="none" w:sz="0" w:space="0" w:color="auto"/>
        <w:bottom w:val="none" w:sz="0" w:space="0" w:color="auto"/>
        <w:right w:val="none" w:sz="0" w:space="0" w:color="auto"/>
      </w:divBdr>
    </w:div>
    <w:div w:id="1781024782">
      <w:marLeft w:val="0"/>
      <w:marRight w:val="0"/>
      <w:marTop w:val="0"/>
      <w:marBottom w:val="0"/>
      <w:divBdr>
        <w:top w:val="none" w:sz="0" w:space="0" w:color="auto"/>
        <w:left w:val="none" w:sz="0" w:space="0" w:color="auto"/>
        <w:bottom w:val="none" w:sz="0" w:space="0" w:color="auto"/>
        <w:right w:val="none" w:sz="0" w:space="0" w:color="auto"/>
      </w:divBdr>
      <w:divsChild>
        <w:div w:id="120001004">
          <w:marLeft w:val="0"/>
          <w:marRight w:val="0"/>
          <w:marTop w:val="0"/>
          <w:marBottom w:val="0"/>
          <w:divBdr>
            <w:top w:val="none" w:sz="0" w:space="0" w:color="auto"/>
            <w:left w:val="none" w:sz="0" w:space="0" w:color="auto"/>
            <w:bottom w:val="none" w:sz="0" w:space="0" w:color="auto"/>
            <w:right w:val="none" w:sz="0" w:space="0" w:color="auto"/>
          </w:divBdr>
        </w:div>
        <w:div w:id="522060549">
          <w:marLeft w:val="0"/>
          <w:marRight w:val="0"/>
          <w:marTop w:val="0"/>
          <w:marBottom w:val="0"/>
          <w:divBdr>
            <w:top w:val="none" w:sz="0" w:space="0" w:color="auto"/>
            <w:left w:val="none" w:sz="0" w:space="0" w:color="auto"/>
            <w:bottom w:val="none" w:sz="0" w:space="0" w:color="auto"/>
            <w:right w:val="none" w:sz="0" w:space="0" w:color="auto"/>
          </w:divBdr>
        </w:div>
      </w:divsChild>
    </w:div>
    <w:div w:id="1783914985">
      <w:marLeft w:val="0"/>
      <w:marRight w:val="0"/>
      <w:marTop w:val="0"/>
      <w:marBottom w:val="0"/>
      <w:divBdr>
        <w:top w:val="none" w:sz="0" w:space="0" w:color="auto"/>
        <w:left w:val="none" w:sz="0" w:space="0" w:color="auto"/>
        <w:bottom w:val="none" w:sz="0" w:space="0" w:color="auto"/>
        <w:right w:val="none" w:sz="0" w:space="0" w:color="auto"/>
      </w:divBdr>
      <w:divsChild>
        <w:div w:id="1556890186">
          <w:marLeft w:val="0"/>
          <w:marRight w:val="0"/>
          <w:marTop w:val="0"/>
          <w:marBottom w:val="0"/>
          <w:divBdr>
            <w:top w:val="none" w:sz="0" w:space="0" w:color="auto"/>
            <w:left w:val="none" w:sz="0" w:space="0" w:color="auto"/>
            <w:bottom w:val="none" w:sz="0" w:space="0" w:color="auto"/>
            <w:right w:val="none" w:sz="0" w:space="0" w:color="auto"/>
          </w:divBdr>
        </w:div>
        <w:div w:id="1010840322">
          <w:marLeft w:val="0"/>
          <w:marRight w:val="0"/>
          <w:marTop w:val="0"/>
          <w:marBottom w:val="0"/>
          <w:divBdr>
            <w:top w:val="none" w:sz="0" w:space="0" w:color="auto"/>
            <w:left w:val="none" w:sz="0" w:space="0" w:color="auto"/>
            <w:bottom w:val="none" w:sz="0" w:space="0" w:color="auto"/>
            <w:right w:val="none" w:sz="0" w:space="0" w:color="auto"/>
          </w:divBdr>
        </w:div>
      </w:divsChild>
    </w:div>
    <w:div w:id="1790390793">
      <w:marLeft w:val="0"/>
      <w:marRight w:val="0"/>
      <w:marTop w:val="0"/>
      <w:marBottom w:val="0"/>
      <w:divBdr>
        <w:top w:val="none" w:sz="0" w:space="0" w:color="auto"/>
        <w:left w:val="none" w:sz="0" w:space="0" w:color="auto"/>
        <w:bottom w:val="none" w:sz="0" w:space="0" w:color="auto"/>
        <w:right w:val="none" w:sz="0" w:space="0" w:color="auto"/>
      </w:divBdr>
    </w:div>
    <w:div w:id="1792279077">
      <w:marLeft w:val="0"/>
      <w:marRight w:val="0"/>
      <w:marTop w:val="0"/>
      <w:marBottom w:val="0"/>
      <w:divBdr>
        <w:top w:val="none" w:sz="0" w:space="0" w:color="auto"/>
        <w:left w:val="none" w:sz="0" w:space="0" w:color="auto"/>
        <w:bottom w:val="none" w:sz="0" w:space="0" w:color="auto"/>
        <w:right w:val="none" w:sz="0" w:space="0" w:color="auto"/>
      </w:divBdr>
    </w:div>
    <w:div w:id="1803965461">
      <w:marLeft w:val="0"/>
      <w:marRight w:val="0"/>
      <w:marTop w:val="0"/>
      <w:marBottom w:val="0"/>
      <w:divBdr>
        <w:top w:val="none" w:sz="0" w:space="0" w:color="auto"/>
        <w:left w:val="none" w:sz="0" w:space="0" w:color="auto"/>
        <w:bottom w:val="none" w:sz="0" w:space="0" w:color="auto"/>
        <w:right w:val="none" w:sz="0" w:space="0" w:color="auto"/>
      </w:divBdr>
    </w:div>
    <w:div w:id="1819225365">
      <w:marLeft w:val="0"/>
      <w:marRight w:val="0"/>
      <w:marTop w:val="0"/>
      <w:marBottom w:val="0"/>
      <w:divBdr>
        <w:top w:val="none" w:sz="0" w:space="0" w:color="auto"/>
        <w:left w:val="none" w:sz="0" w:space="0" w:color="auto"/>
        <w:bottom w:val="none" w:sz="0" w:space="0" w:color="auto"/>
        <w:right w:val="none" w:sz="0" w:space="0" w:color="auto"/>
      </w:divBdr>
    </w:div>
    <w:div w:id="1822576855">
      <w:marLeft w:val="0"/>
      <w:marRight w:val="0"/>
      <w:marTop w:val="0"/>
      <w:marBottom w:val="0"/>
      <w:divBdr>
        <w:top w:val="none" w:sz="0" w:space="0" w:color="auto"/>
        <w:left w:val="none" w:sz="0" w:space="0" w:color="auto"/>
        <w:bottom w:val="none" w:sz="0" w:space="0" w:color="auto"/>
        <w:right w:val="none" w:sz="0" w:space="0" w:color="auto"/>
      </w:divBdr>
    </w:div>
    <w:div w:id="1830098783">
      <w:marLeft w:val="0"/>
      <w:marRight w:val="0"/>
      <w:marTop w:val="0"/>
      <w:marBottom w:val="0"/>
      <w:divBdr>
        <w:top w:val="none" w:sz="0" w:space="0" w:color="auto"/>
        <w:left w:val="none" w:sz="0" w:space="0" w:color="auto"/>
        <w:bottom w:val="none" w:sz="0" w:space="0" w:color="auto"/>
        <w:right w:val="none" w:sz="0" w:space="0" w:color="auto"/>
      </w:divBdr>
      <w:divsChild>
        <w:div w:id="1472019329">
          <w:marLeft w:val="0"/>
          <w:marRight w:val="0"/>
          <w:marTop w:val="0"/>
          <w:marBottom w:val="0"/>
          <w:divBdr>
            <w:top w:val="none" w:sz="0" w:space="0" w:color="auto"/>
            <w:left w:val="none" w:sz="0" w:space="0" w:color="auto"/>
            <w:bottom w:val="none" w:sz="0" w:space="0" w:color="auto"/>
            <w:right w:val="none" w:sz="0" w:space="0" w:color="auto"/>
          </w:divBdr>
        </w:div>
      </w:divsChild>
    </w:div>
    <w:div w:id="1840734433">
      <w:marLeft w:val="0"/>
      <w:marRight w:val="0"/>
      <w:marTop w:val="0"/>
      <w:marBottom w:val="0"/>
      <w:divBdr>
        <w:top w:val="none" w:sz="0" w:space="0" w:color="auto"/>
        <w:left w:val="none" w:sz="0" w:space="0" w:color="auto"/>
        <w:bottom w:val="none" w:sz="0" w:space="0" w:color="auto"/>
        <w:right w:val="none" w:sz="0" w:space="0" w:color="auto"/>
      </w:divBdr>
    </w:div>
    <w:div w:id="1852259671">
      <w:marLeft w:val="0"/>
      <w:marRight w:val="0"/>
      <w:marTop w:val="0"/>
      <w:marBottom w:val="0"/>
      <w:divBdr>
        <w:top w:val="none" w:sz="0" w:space="0" w:color="auto"/>
        <w:left w:val="none" w:sz="0" w:space="0" w:color="auto"/>
        <w:bottom w:val="none" w:sz="0" w:space="0" w:color="auto"/>
        <w:right w:val="none" w:sz="0" w:space="0" w:color="auto"/>
      </w:divBdr>
      <w:divsChild>
        <w:div w:id="1049721297">
          <w:marLeft w:val="0"/>
          <w:marRight w:val="0"/>
          <w:marTop w:val="0"/>
          <w:marBottom w:val="0"/>
          <w:divBdr>
            <w:top w:val="none" w:sz="0" w:space="0" w:color="auto"/>
            <w:left w:val="none" w:sz="0" w:space="0" w:color="auto"/>
            <w:bottom w:val="none" w:sz="0" w:space="0" w:color="auto"/>
            <w:right w:val="none" w:sz="0" w:space="0" w:color="auto"/>
          </w:divBdr>
        </w:div>
      </w:divsChild>
    </w:div>
    <w:div w:id="1858304314">
      <w:marLeft w:val="0"/>
      <w:marRight w:val="0"/>
      <w:marTop w:val="0"/>
      <w:marBottom w:val="0"/>
      <w:divBdr>
        <w:top w:val="none" w:sz="0" w:space="0" w:color="auto"/>
        <w:left w:val="none" w:sz="0" w:space="0" w:color="auto"/>
        <w:bottom w:val="none" w:sz="0" w:space="0" w:color="auto"/>
        <w:right w:val="none" w:sz="0" w:space="0" w:color="auto"/>
      </w:divBdr>
    </w:div>
    <w:div w:id="1860699586">
      <w:marLeft w:val="0"/>
      <w:marRight w:val="0"/>
      <w:marTop w:val="0"/>
      <w:marBottom w:val="0"/>
      <w:divBdr>
        <w:top w:val="none" w:sz="0" w:space="0" w:color="auto"/>
        <w:left w:val="none" w:sz="0" w:space="0" w:color="auto"/>
        <w:bottom w:val="none" w:sz="0" w:space="0" w:color="auto"/>
        <w:right w:val="none" w:sz="0" w:space="0" w:color="auto"/>
      </w:divBdr>
    </w:div>
    <w:div w:id="1872065207">
      <w:marLeft w:val="0"/>
      <w:marRight w:val="0"/>
      <w:marTop w:val="0"/>
      <w:marBottom w:val="0"/>
      <w:divBdr>
        <w:top w:val="none" w:sz="0" w:space="0" w:color="auto"/>
        <w:left w:val="none" w:sz="0" w:space="0" w:color="auto"/>
        <w:bottom w:val="none" w:sz="0" w:space="0" w:color="auto"/>
        <w:right w:val="none" w:sz="0" w:space="0" w:color="auto"/>
      </w:divBdr>
      <w:divsChild>
        <w:div w:id="55321635">
          <w:marLeft w:val="0"/>
          <w:marRight w:val="0"/>
          <w:marTop w:val="0"/>
          <w:marBottom w:val="0"/>
          <w:divBdr>
            <w:top w:val="none" w:sz="0" w:space="0" w:color="auto"/>
            <w:left w:val="none" w:sz="0" w:space="0" w:color="auto"/>
            <w:bottom w:val="single" w:sz="8" w:space="1" w:color="auto"/>
            <w:right w:val="none" w:sz="0" w:space="0" w:color="auto"/>
          </w:divBdr>
        </w:div>
      </w:divsChild>
    </w:div>
    <w:div w:id="1877542559">
      <w:marLeft w:val="0"/>
      <w:marRight w:val="0"/>
      <w:marTop w:val="0"/>
      <w:marBottom w:val="0"/>
      <w:divBdr>
        <w:top w:val="none" w:sz="0" w:space="0" w:color="auto"/>
        <w:left w:val="none" w:sz="0" w:space="0" w:color="auto"/>
        <w:bottom w:val="none" w:sz="0" w:space="0" w:color="auto"/>
        <w:right w:val="none" w:sz="0" w:space="0" w:color="auto"/>
      </w:divBdr>
      <w:divsChild>
        <w:div w:id="300115247">
          <w:marLeft w:val="0"/>
          <w:marRight w:val="0"/>
          <w:marTop w:val="0"/>
          <w:marBottom w:val="0"/>
          <w:divBdr>
            <w:top w:val="none" w:sz="0" w:space="0" w:color="auto"/>
            <w:left w:val="none" w:sz="0" w:space="0" w:color="auto"/>
            <w:bottom w:val="none" w:sz="0" w:space="0" w:color="auto"/>
            <w:right w:val="none" w:sz="0" w:space="0" w:color="auto"/>
          </w:divBdr>
        </w:div>
        <w:div w:id="1692025109">
          <w:marLeft w:val="0"/>
          <w:marRight w:val="0"/>
          <w:marTop w:val="0"/>
          <w:marBottom w:val="0"/>
          <w:divBdr>
            <w:top w:val="none" w:sz="0" w:space="0" w:color="auto"/>
            <w:left w:val="none" w:sz="0" w:space="0" w:color="auto"/>
            <w:bottom w:val="none" w:sz="0" w:space="0" w:color="auto"/>
            <w:right w:val="none" w:sz="0" w:space="0" w:color="auto"/>
          </w:divBdr>
        </w:div>
      </w:divsChild>
    </w:div>
    <w:div w:id="1880707591">
      <w:marLeft w:val="0"/>
      <w:marRight w:val="0"/>
      <w:marTop w:val="0"/>
      <w:marBottom w:val="0"/>
      <w:divBdr>
        <w:top w:val="none" w:sz="0" w:space="0" w:color="auto"/>
        <w:left w:val="none" w:sz="0" w:space="0" w:color="auto"/>
        <w:bottom w:val="none" w:sz="0" w:space="0" w:color="auto"/>
        <w:right w:val="none" w:sz="0" w:space="0" w:color="auto"/>
      </w:divBdr>
    </w:div>
    <w:div w:id="1885484611">
      <w:marLeft w:val="0"/>
      <w:marRight w:val="0"/>
      <w:marTop w:val="0"/>
      <w:marBottom w:val="0"/>
      <w:divBdr>
        <w:top w:val="none" w:sz="0" w:space="0" w:color="auto"/>
        <w:left w:val="none" w:sz="0" w:space="0" w:color="auto"/>
        <w:bottom w:val="none" w:sz="0" w:space="0" w:color="auto"/>
        <w:right w:val="none" w:sz="0" w:space="0" w:color="auto"/>
      </w:divBdr>
      <w:divsChild>
        <w:div w:id="27537692">
          <w:marLeft w:val="0"/>
          <w:marRight w:val="0"/>
          <w:marTop w:val="0"/>
          <w:marBottom w:val="0"/>
          <w:divBdr>
            <w:top w:val="none" w:sz="0" w:space="0" w:color="auto"/>
            <w:left w:val="none" w:sz="0" w:space="0" w:color="auto"/>
            <w:bottom w:val="none" w:sz="0" w:space="0" w:color="auto"/>
            <w:right w:val="none" w:sz="0" w:space="0" w:color="auto"/>
          </w:divBdr>
        </w:div>
        <w:div w:id="569996676">
          <w:marLeft w:val="0"/>
          <w:marRight w:val="0"/>
          <w:marTop w:val="0"/>
          <w:marBottom w:val="0"/>
          <w:divBdr>
            <w:top w:val="none" w:sz="0" w:space="0" w:color="auto"/>
            <w:left w:val="none" w:sz="0" w:space="0" w:color="auto"/>
            <w:bottom w:val="none" w:sz="0" w:space="0" w:color="auto"/>
            <w:right w:val="none" w:sz="0" w:space="0" w:color="auto"/>
          </w:divBdr>
        </w:div>
      </w:divsChild>
    </w:div>
    <w:div w:id="1936277991">
      <w:marLeft w:val="0"/>
      <w:marRight w:val="0"/>
      <w:marTop w:val="0"/>
      <w:marBottom w:val="0"/>
      <w:divBdr>
        <w:top w:val="none" w:sz="0" w:space="0" w:color="auto"/>
        <w:left w:val="none" w:sz="0" w:space="0" w:color="auto"/>
        <w:bottom w:val="none" w:sz="0" w:space="0" w:color="auto"/>
        <w:right w:val="none" w:sz="0" w:space="0" w:color="auto"/>
      </w:divBdr>
    </w:div>
    <w:div w:id="1936278066">
      <w:marLeft w:val="0"/>
      <w:marRight w:val="0"/>
      <w:marTop w:val="0"/>
      <w:marBottom w:val="0"/>
      <w:divBdr>
        <w:top w:val="none" w:sz="0" w:space="0" w:color="auto"/>
        <w:left w:val="none" w:sz="0" w:space="0" w:color="auto"/>
        <w:bottom w:val="none" w:sz="0" w:space="0" w:color="auto"/>
        <w:right w:val="none" w:sz="0" w:space="0" w:color="auto"/>
      </w:divBdr>
    </w:div>
    <w:div w:id="1940983904">
      <w:marLeft w:val="0"/>
      <w:marRight w:val="0"/>
      <w:marTop w:val="0"/>
      <w:marBottom w:val="0"/>
      <w:divBdr>
        <w:top w:val="none" w:sz="0" w:space="0" w:color="auto"/>
        <w:left w:val="none" w:sz="0" w:space="0" w:color="auto"/>
        <w:bottom w:val="none" w:sz="0" w:space="0" w:color="auto"/>
        <w:right w:val="none" w:sz="0" w:space="0" w:color="auto"/>
      </w:divBdr>
      <w:divsChild>
        <w:div w:id="2088838266">
          <w:marLeft w:val="0"/>
          <w:marRight w:val="0"/>
          <w:marTop w:val="0"/>
          <w:marBottom w:val="0"/>
          <w:divBdr>
            <w:top w:val="none" w:sz="0" w:space="0" w:color="auto"/>
            <w:left w:val="none" w:sz="0" w:space="0" w:color="auto"/>
            <w:bottom w:val="none" w:sz="0" w:space="0" w:color="auto"/>
            <w:right w:val="none" w:sz="0" w:space="0" w:color="auto"/>
          </w:divBdr>
        </w:div>
      </w:divsChild>
    </w:div>
    <w:div w:id="1942491743">
      <w:marLeft w:val="0"/>
      <w:marRight w:val="0"/>
      <w:marTop w:val="0"/>
      <w:marBottom w:val="0"/>
      <w:divBdr>
        <w:top w:val="none" w:sz="0" w:space="0" w:color="auto"/>
        <w:left w:val="none" w:sz="0" w:space="0" w:color="auto"/>
        <w:bottom w:val="none" w:sz="0" w:space="0" w:color="auto"/>
        <w:right w:val="none" w:sz="0" w:space="0" w:color="auto"/>
      </w:divBdr>
    </w:div>
    <w:div w:id="1945652592">
      <w:marLeft w:val="0"/>
      <w:marRight w:val="0"/>
      <w:marTop w:val="0"/>
      <w:marBottom w:val="0"/>
      <w:divBdr>
        <w:top w:val="none" w:sz="0" w:space="0" w:color="auto"/>
        <w:left w:val="none" w:sz="0" w:space="0" w:color="auto"/>
        <w:bottom w:val="none" w:sz="0" w:space="0" w:color="auto"/>
        <w:right w:val="none" w:sz="0" w:space="0" w:color="auto"/>
      </w:divBdr>
      <w:divsChild>
        <w:div w:id="1997220529">
          <w:marLeft w:val="0"/>
          <w:marRight w:val="0"/>
          <w:marTop w:val="0"/>
          <w:marBottom w:val="0"/>
          <w:divBdr>
            <w:top w:val="none" w:sz="0" w:space="0" w:color="auto"/>
            <w:left w:val="none" w:sz="0" w:space="0" w:color="auto"/>
            <w:bottom w:val="none" w:sz="0" w:space="0" w:color="auto"/>
            <w:right w:val="none" w:sz="0" w:space="0" w:color="auto"/>
          </w:divBdr>
        </w:div>
        <w:div w:id="1681272952">
          <w:marLeft w:val="0"/>
          <w:marRight w:val="0"/>
          <w:marTop w:val="0"/>
          <w:marBottom w:val="0"/>
          <w:divBdr>
            <w:top w:val="none" w:sz="0" w:space="0" w:color="auto"/>
            <w:left w:val="none" w:sz="0" w:space="0" w:color="auto"/>
            <w:bottom w:val="none" w:sz="0" w:space="0" w:color="auto"/>
            <w:right w:val="none" w:sz="0" w:space="0" w:color="auto"/>
          </w:divBdr>
        </w:div>
      </w:divsChild>
    </w:div>
    <w:div w:id="1992831499">
      <w:marLeft w:val="0"/>
      <w:marRight w:val="0"/>
      <w:marTop w:val="0"/>
      <w:marBottom w:val="0"/>
      <w:divBdr>
        <w:top w:val="none" w:sz="0" w:space="0" w:color="auto"/>
        <w:left w:val="none" w:sz="0" w:space="0" w:color="auto"/>
        <w:bottom w:val="none" w:sz="0" w:space="0" w:color="auto"/>
        <w:right w:val="none" w:sz="0" w:space="0" w:color="auto"/>
      </w:divBdr>
    </w:div>
    <w:div w:id="1993945149">
      <w:marLeft w:val="0"/>
      <w:marRight w:val="0"/>
      <w:marTop w:val="0"/>
      <w:marBottom w:val="0"/>
      <w:divBdr>
        <w:top w:val="none" w:sz="0" w:space="0" w:color="auto"/>
        <w:left w:val="none" w:sz="0" w:space="0" w:color="auto"/>
        <w:bottom w:val="none" w:sz="0" w:space="0" w:color="auto"/>
        <w:right w:val="none" w:sz="0" w:space="0" w:color="auto"/>
      </w:divBdr>
    </w:div>
    <w:div w:id="1997606683">
      <w:marLeft w:val="0"/>
      <w:marRight w:val="0"/>
      <w:marTop w:val="0"/>
      <w:marBottom w:val="0"/>
      <w:divBdr>
        <w:top w:val="none" w:sz="0" w:space="0" w:color="auto"/>
        <w:left w:val="none" w:sz="0" w:space="0" w:color="auto"/>
        <w:bottom w:val="none" w:sz="0" w:space="0" w:color="auto"/>
        <w:right w:val="none" w:sz="0" w:space="0" w:color="auto"/>
      </w:divBdr>
    </w:div>
    <w:div w:id="2004384392">
      <w:marLeft w:val="0"/>
      <w:marRight w:val="0"/>
      <w:marTop w:val="0"/>
      <w:marBottom w:val="0"/>
      <w:divBdr>
        <w:top w:val="none" w:sz="0" w:space="0" w:color="auto"/>
        <w:left w:val="none" w:sz="0" w:space="0" w:color="auto"/>
        <w:bottom w:val="none" w:sz="0" w:space="0" w:color="auto"/>
        <w:right w:val="none" w:sz="0" w:space="0" w:color="auto"/>
      </w:divBdr>
      <w:divsChild>
        <w:div w:id="1793595764">
          <w:marLeft w:val="0"/>
          <w:marRight w:val="0"/>
          <w:marTop w:val="0"/>
          <w:marBottom w:val="0"/>
          <w:divBdr>
            <w:top w:val="none" w:sz="0" w:space="0" w:color="auto"/>
            <w:left w:val="none" w:sz="0" w:space="0" w:color="auto"/>
            <w:bottom w:val="single" w:sz="8" w:space="1" w:color="auto"/>
            <w:right w:val="none" w:sz="0" w:space="0" w:color="auto"/>
          </w:divBdr>
        </w:div>
      </w:divsChild>
    </w:div>
    <w:div w:id="2009483566">
      <w:marLeft w:val="0"/>
      <w:marRight w:val="0"/>
      <w:marTop w:val="0"/>
      <w:marBottom w:val="0"/>
      <w:divBdr>
        <w:top w:val="none" w:sz="0" w:space="0" w:color="auto"/>
        <w:left w:val="none" w:sz="0" w:space="0" w:color="auto"/>
        <w:bottom w:val="none" w:sz="0" w:space="0" w:color="auto"/>
        <w:right w:val="none" w:sz="0" w:space="0" w:color="auto"/>
      </w:divBdr>
      <w:divsChild>
        <w:div w:id="2122650272">
          <w:marLeft w:val="0"/>
          <w:marRight w:val="0"/>
          <w:marTop w:val="0"/>
          <w:marBottom w:val="0"/>
          <w:divBdr>
            <w:top w:val="none" w:sz="0" w:space="0" w:color="auto"/>
            <w:left w:val="none" w:sz="0" w:space="0" w:color="auto"/>
            <w:bottom w:val="none" w:sz="0" w:space="0" w:color="auto"/>
            <w:right w:val="none" w:sz="0" w:space="0" w:color="auto"/>
          </w:divBdr>
        </w:div>
        <w:div w:id="383793846">
          <w:marLeft w:val="0"/>
          <w:marRight w:val="0"/>
          <w:marTop w:val="0"/>
          <w:marBottom w:val="0"/>
          <w:divBdr>
            <w:top w:val="none" w:sz="0" w:space="0" w:color="auto"/>
            <w:left w:val="none" w:sz="0" w:space="0" w:color="auto"/>
            <w:bottom w:val="none" w:sz="0" w:space="0" w:color="auto"/>
            <w:right w:val="none" w:sz="0" w:space="0" w:color="auto"/>
          </w:divBdr>
        </w:div>
      </w:divsChild>
    </w:div>
    <w:div w:id="2027050290">
      <w:marLeft w:val="0"/>
      <w:marRight w:val="0"/>
      <w:marTop w:val="0"/>
      <w:marBottom w:val="0"/>
      <w:divBdr>
        <w:top w:val="none" w:sz="0" w:space="0" w:color="auto"/>
        <w:left w:val="none" w:sz="0" w:space="0" w:color="auto"/>
        <w:bottom w:val="none" w:sz="0" w:space="0" w:color="auto"/>
        <w:right w:val="none" w:sz="0" w:space="0" w:color="auto"/>
      </w:divBdr>
    </w:div>
    <w:div w:id="2036230582">
      <w:marLeft w:val="0"/>
      <w:marRight w:val="0"/>
      <w:marTop w:val="0"/>
      <w:marBottom w:val="0"/>
      <w:divBdr>
        <w:top w:val="none" w:sz="0" w:space="0" w:color="auto"/>
        <w:left w:val="none" w:sz="0" w:space="0" w:color="auto"/>
        <w:bottom w:val="none" w:sz="0" w:space="0" w:color="auto"/>
        <w:right w:val="none" w:sz="0" w:space="0" w:color="auto"/>
      </w:divBdr>
      <w:divsChild>
        <w:div w:id="251592794">
          <w:marLeft w:val="0"/>
          <w:marRight w:val="0"/>
          <w:marTop w:val="0"/>
          <w:marBottom w:val="0"/>
          <w:divBdr>
            <w:top w:val="none" w:sz="0" w:space="0" w:color="auto"/>
            <w:left w:val="none" w:sz="0" w:space="0" w:color="auto"/>
            <w:bottom w:val="none" w:sz="0" w:space="0" w:color="auto"/>
            <w:right w:val="none" w:sz="0" w:space="0" w:color="auto"/>
          </w:divBdr>
        </w:div>
      </w:divsChild>
    </w:div>
    <w:div w:id="2064938962">
      <w:marLeft w:val="0"/>
      <w:marRight w:val="0"/>
      <w:marTop w:val="0"/>
      <w:marBottom w:val="0"/>
      <w:divBdr>
        <w:top w:val="none" w:sz="0" w:space="0" w:color="auto"/>
        <w:left w:val="none" w:sz="0" w:space="0" w:color="auto"/>
        <w:bottom w:val="none" w:sz="0" w:space="0" w:color="auto"/>
        <w:right w:val="none" w:sz="0" w:space="0" w:color="auto"/>
      </w:divBdr>
    </w:div>
    <w:div w:id="2068262018">
      <w:marLeft w:val="0"/>
      <w:marRight w:val="0"/>
      <w:marTop w:val="0"/>
      <w:marBottom w:val="0"/>
      <w:divBdr>
        <w:top w:val="none" w:sz="0" w:space="0" w:color="auto"/>
        <w:left w:val="none" w:sz="0" w:space="0" w:color="auto"/>
        <w:bottom w:val="none" w:sz="0" w:space="0" w:color="auto"/>
        <w:right w:val="none" w:sz="0" w:space="0" w:color="auto"/>
      </w:divBdr>
      <w:divsChild>
        <w:div w:id="1276018039">
          <w:marLeft w:val="0"/>
          <w:marRight w:val="0"/>
          <w:marTop w:val="0"/>
          <w:marBottom w:val="0"/>
          <w:divBdr>
            <w:top w:val="none" w:sz="0" w:space="0" w:color="auto"/>
            <w:left w:val="none" w:sz="0" w:space="0" w:color="auto"/>
            <w:bottom w:val="none" w:sz="0" w:space="0" w:color="auto"/>
            <w:right w:val="none" w:sz="0" w:space="0" w:color="auto"/>
          </w:divBdr>
        </w:div>
      </w:divsChild>
    </w:div>
    <w:div w:id="2090687417">
      <w:marLeft w:val="0"/>
      <w:marRight w:val="0"/>
      <w:marTop w:val="0"/>
      <w:marBottom w:val="0"/>
      <w:divBdr>
        <w:top w:val="none" w:sz="0" w:space="0" w:color="auto"/>
        <w:left w:val="none" w:sz="0" w:space="0" w:color="auto"/>
        <w:bottom w:val="none" w:sz="0" w:space="0" w:color="auto"/>
        <w:right w:val="none" w:sz="0" w:space="0" w:color="auto"/>
      </w:divBdr>
      <w:divsChild>
        <w:div w:id="1275097763">
          <w:marLeft w:val="0"/>
          <w:marRight w:val="0"/>
          <w:marTop w:val="0"/>
          <w:marBottom w:val="0"/>
          <w:divBdr>
            <w:top w:val="none" w:sz="0" w:space="0" w:color="auto"/>
            <w:left w:val="none" w:sz="0" w:space="0" w:color="auto"/>
            <w:bottom w:val="none" w:sz="0" w:space="0" w:color="auto"/>
            <w:right w:val="none" w:sz="0" w:space="0" w:color="auto"/>
          </w:divBdr>
        </w:div>
      </w:divsChild>
    </w:div>
    <w:div w:id="2096632184">
      <w:marLeft w:val="0"/>
      <w:marRight w:val="0"/>
      <w:marTop w:val="0"/>
      <w:marBottom w:val="0"/>
      <w:divBdr>
        <w:top w:val="none" w:sz="0" w:space="0" w:color="auto"/>
        <w:left w:val="none" w:sz="0" w:space="0" w:color="auto"/>
        <w:bottom w:val="none" w:sz="0" w:space="0" w:color="auto"/>
        <w:right w:val="none" w:sz="0" w:space="0" w:color="auto"/>
      </w:divBdr>
    </w:div>
    <w:div w:id="2101483196">
      <w:marLeft w:val="0"/>
      <w:marRight w:val="0"/>
      <w:marTop w:val="0"/>
      <w:marBottom w:val="0"/>
      <w:divBdr>
        <w:top w:val="none" w:sz="0" w:space="0" w:color="auto"/>
        <w:left w:val="none" w:sz="0" w:space="0" w:color="auto"/>
        <w:bottom w:val="none" w:sz="0" w:space="0" w:color="auto"/>
        <w:right w:val="none" w:sz="0" w:space="0" w:color="auto"/>
      </w:divBdr>
      <w:divsChild>
        <w:div w:id="1791852122">
          <w:marLeft w:val="0"/>
          <w:marRight w:val="0"/>
          <w:marTop w:val="0"/>
          <w:marBottom w:val="0"/>
          <w:divBdr>
            <w:top w:val="none" w:sz="0" w:space="0" w:color="auto"/>
            <w:left w:val="none" w:sz="0" w:space="0" w:color="auto"/>
            <w:bottom w:val="none" w:sz="0" w:space="0" w:color="auto"/>
            <w:right w:val="none" w:sz="0" w:space="0" w:color="auto"/>
          </w:divBdr>
        </w:div>
      </w:divsChild>
    </w:div>
    <w:div w:id="2121949138">
      <w:marLeft w:val="0"/>
      <w:marRight w:val="0"/>
      <w:marTop w:val="0"/>
      <w:marBottom w:val="0"/>
      <w:divBdr>
        <w:top w:val="none" w:sz="0" w:space="0" w:color="auto"/>
        <w:left w:val="none" w:sz="0" w:space="0" w:color="auto"/>
        <w:bottom w:val="none" w:sz="0" w:space="0" w:color="auto"/>
        <w:right w:val="none" w:sz="0" w:space="0" w:color="auto"/>
      </w:divBdr>
    </w:div>
    <w:div w:id="213752717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393311/000119312517181653/d403845dex31.htm" TargetMode="External"/><Relationship Id="rId18" Type="http://schemas.openxmlformats.org/officeDocument/2006/relationships/hyperlink" Target="http://www.sec.gov/Archives/edgar/data/1393311/000119312519312789/d847836dex31.htm" TargetMode="External"/><Relationship Id="rId26" Type="http://schemas.openxmlformats.org/officeDocument/2006/relationships/hyperlink" Target="http://www.sec.gov/Archives/edgar/data/1393311/000139331116000036/psa-20151231ex101308fcd.htm" TargetMode="External"/><Relationship Id="rId39" Type="http://schemas.openxmlformats.org/officeDocument/2006/relationships/hyperlink" Target="http://www.sec.gov/Archives/edgar/data/1393311/000119312517287377/d443739dex42.htm" TargetMode="External"/><Relationship Id="rId21" Type="http://schemas.openxmlformats.org/officeDocument/2006/relationships/hyperlink" Target="http://www.sec.gov/Archives/edgar/data/866368/0000866368-98-000024.txt" TargetMode="External"/><Relationship Id="rId34" Type="http://schemas.openxmlformats.org/officeDocument/2006/relationships/hyperlink" Target="http://www.sec.gov/Archives/edgar/data/1393311/000139331114000011/psa-20140501ex101aec3ff.htm" TargetMode="External"/><Relationship Id="rId42" Type="http://schemas.openxmlformats.org/officeDocument/2006/relationships/hyperlink" Target="http://www.sec.gov/Archives/edgar/data/1393311/000139331118000009/psa-20180331xex10_1.htm" TargetMode="External"/><Relationship Id="rId47" Type="http://schemas.openxmlformats.org/officeDocument/2006/relationships/hyperlink" Target="http://www.sec.gov/Archives/edgar/data/1393311/000139331119000004/psa-20181231xex10_29.htm" TargetMode="External"/><Relationship Id="rId50" Type="http://schemas.openxmlformats.org/officeDocument/2006/relationships/hyperlink" Target="psa-20191231xex23_1.htm" TargetMode="External"/><Relationship Id="rId55" Type="http://schemas.openxmlformats.org/officeDocument/2006/relationships/theme" Target="theme/theme1.xml"/><Relationship Id="rId7" Type="http://schemas.openxmlformats.org/officeDocument/2006/relationships/hyperlink" Target="http://www.sec.gov/Archives/edgar/data/1393311/000119312513007041/d464078dex31.htm" TargetMode="External"/><Relationship Id="rId2" Type="http://schemas.openxmlformats.org/officeDocument/2006/relationships/settings" Target="settings.xml"/><Relationship Id="rId16" Type="http://schemas.openxmlformats.org/officeDocument/2006/relationships/hyperlink" Target="http://www.sec.gov/Archives/edgar/data/1393311/000119312519240029/d95914dex31.htm" TargetMode="External"/><Relationship Id="rId29" Type="http://schemas.openxmlformats.org/officeDocument/2006/relationships/hyperlink" Target="http://www.sec.gov/Archives/edgar/data/1393311/000139331117000008/psa-20161231xex10_16.htm" TargetMode="External"/><Relationship Id="rId11" Type="http://schemas.openxmlformats.org/officeDocument/2006/relationships/hyperlink" Target="http://www.sec.gov/Archives/edgar/data/1393311/000119312516648284/d220245dex31.htm" TargetMode="External"/><Relationship Id="rId24" Type="http://schemas.openxmlformats.org/officeDocument/2006/relationships/hyperlink" Target="http://www.sec.gov/Archives/edgar/data/1393311/000139331116000036/psa-20151231ex10116996e.htm" TargetMode="External"/><Relationship Id="rId32" Type="http://schemas.openxmlformats.org/officeDocument/2006/relationships/hyperlink" Target="http://www.sec.gov/Archives/edgar/data/1393311/000139331117000008/psa-20161231xex10_19.htm" TargetMode="External"/><Relationship Id="rId37" Type="http://schemas.openxmlformats.org/officeDocument/2006/relationships/hyperlink" Target="http://www.sec.gov/Archives/edgar/data/1393311/000139331116000038/psa-20160413xex10_1.htm" TargetMode="External"/><Relationship Id="rId40" Type="http://schemas.openxmlformats.org/officeDocument/2006/relationships/hyperlink" Target="http://www.sec.gov/Archives/edgar/data/1393311/000119312519105162/d735473dex42.htm" TargetMode="External"/><Relationship Id="rId45" Type="http://schemas.openxmlformats.org/officeDocument/2006/relationships/hyperlink" Target="http://www.sec.gov/Archives/edgar/data/1393311/000139331119000004/psa-20181231xex10_27.htm" TargetMode="External"/><Relationship Id="rId53" Type="http://schemas.openxmlformats.org/officeDocument/2006/relationships/hyperlink" Target="psa-20191231xex32.htm" TargetMode="External"/><Relationship Id="rId5" Type="http://schemas.openxmlformats.org/officeDocument/2006/relationships/hyperlink" Target="http://www.sec.gov/Archives/edgar/data/1393311/000139331118000012/psa-20180508xex3_2.htm" TargetMode="External"/><Relationship Id="rId10" Type="http://schemas.openxmlformats.org/officeDocument/2006/relationships/hyperlink" Target="http://www.sec.gov/Archives/edgar/data/1393311/000119312516587149/d153660dex31.htm" TargetMode="External"/><Relationship Id="rId19" Type="http://schemas.openxmlformats.org/officeDocument/2006/relationships/hyperlink" Target="http://www.sec.gov/Archives/edgar/data/1393311/000119312507130364/dex101.htm" TargetMode="External"/><Relationship Id="rId31" Type="http://schemas.openxmlformats.org/officeDocument/2006/relationships/hyperlink" Target="http://www.sec.gov/Archives/edgar/data/1393311/000139331117000008/psa-20161231xex10_18.htm" TargetMode="External"/><Relationship Id="rId44" Type="http://schemas.openxmlformats.org/officeDocument/2006/relationships/hyperlink" Target="http://www.sec.gov/Archives/edgar/data/1393311/000139331119000004/psa-20181231xex10_26.htm" TargetMode="External"/><Relationship Id="rId52" Type="http://schemas.openxmlformats.org/officeDocument/2006/relationships/hyperlink" Target="psa-20191231xex31_2.htm" TargetMode="External"/><Relationship Id="rId4" Type="http://schemas.openxmlformats.org/officeDocument/2006/relationships/hyperlink" Target="http://www.sec.gov/Archives/edgar/data/1393311/000139331118000012/psa-20180508xex3_1.htm" TargetMode="External"/><Relationship Id="rId9" Type="http://schemas.openxmlformats.org/officeDocument/2006/relationships/hyperlink" Target="http://www.sec.gov/Archives/edgar/data/1393311/000119312516428828/d224807dex31.htm" TargetMode="External"/><Relationship Id="rId14" Type="http://schemas.openxmlformats.org/officeDocument/2006/relationships/hyperlink" Target="http://www.sec.gov/Archives/edgar/data/1393311/000119312517244616/d431375dex31.htm" TargetMode="External"/><Relationship Id="rId22" Type="http://schemas.openxmlformats.org/officeDocument/2006/relationships/hyperlink" Target="http://www.sec.gov/Archives/edgar/data/318380/000031838099000018/0000318380-99-000018.txt" TargetMode="External"/><Relationship Id="rId27" Type="http://schemas.openxmlformats.org/officeDocument/2006/relationships/hyperlink" Target="http://www.sec.gov/Archives/edgar/data/1393311/000139331116000036/psa-20151231ex10145e220.htm" TargetMode="External"/><Relationship Id="rId30" Type="http://schemas.openxmlformats.org/officeDocument/2006/relationships/hyperlink" Target="http://www.sec.gov/Archives/edgar/data/1393311/000139331117000008/psa-20161231xex10_17.htm" TargetMode="External"/><Relationship Id="rId35" Type="http://schemas.openxmlformats.org/officeDocument/2006/relationships/hyperlink" Target="http://www.sec.gov/Archives/edgar/data/1393311/000119312516506122/d126315ddef14a.htm" TargetMode="External"/><Relationship Id="rId43" Type="http://schemas.openxmlformats.org/officeDocument/2006/relationships/hyperlink" Target="http://www.sec.gov/Archives/edgar/data/1393311/000139331119000004/psa-20181231xex10_25.htm" TargetMode="External"/><Relationship Id="rId48" Type="http://schemas.openxmlformats.org/officeDocument/2006/relationships/hyperlink" Target="http://www.sec.gov/Archives/edgar/data/1393311/000139331119000004/psa-20181231xex10_30.htm" TargetMode="External"/><Relationship Id="rId8" Type="http://schemas.openxmlformats.org/officeDocument/2006/relationships/hyperlink" Target="http://www.sec.gov/Archives/edgar/data/1393311/000119312513091511/d496477dex31.htm" TargetMode="External"/><Relationship Id="rId51" Type="http://schemas.openxmlformats.org/officeDocument/2006/relationships/hyperlink" Target="psa-20191231xex31_1.htm" TargetMode="External"/><Relationship Id="rId3" Type="http://schemas.openxmlformats.org/officeDocument/2006/relationships/webSettings" Target="webSettings.xml"/><Relationship Id="rId12" Type="http://schemas.openxmlformats.org/officeDocument/2006/relationships/hyperlink" Target="http://www.sec.gov/Archives/edgar/data/1393311/000119312516733812/d146398dex31.htm" TargetMode="External"/><Relationship Id="rId17" Type="http://schemas.openxmlformats.org/officeDocument/2006/relationships/hyperlink" Target="http://www.sec.gov/Archives/edgar/data/1393311/000119312519286081/d820234dex31.htm" TargetMode="External"/><Relationship Id="rId25" Type="http://schemas.openxmlformats.org/officeDocument/2006/relationships/hyperlink" Target="http://www.sec.gov/Archives/edgar/data/1393311/000139331116000036/psa-20151231ex101227ce4.htm" TargetMode="External"/><Relationship Id="rId33" Type="http://schemas.openxmlformats.org/officeDocument/2006/relationships/hyperlink" Target="http://www.sec.gov/Archives/edgar/data/1393311/000139331113000043/ps_ex101.htm" TargetMode="External"/><Relationship Id="rId38" Type="http://schemas.openxmlformats.org/officeDocument/2006/relationships/hyperlink" Target="http://www.sec.gov/Archives/edgar/data/1393311/000119312517287377/d443739dex41.htm" TargetMode="External"/><Relationship Id="rId46" Type="http://schemas.openxmlformats.org/officeDocument/2006/relationships/hyperlink" Target="http://www.sec.gov/Archives/edgar/data/1393311/000139331119000004/psa-20181231xex10_28.htm" TargetMode="External"/><Relationship Id="rId20" Type="http://schemas.openxmlformats.org/officeDocument/2006/relationships/hyperlink" Target="psa-20191231xex4_2.htm" TargetMode="External"/><Relationship Id="rId41" Type="http://schemas.openxmlformats.org/officeDocument/2006/relationships/hyperlink" Target="http://www.sec.gov/Archives/edgar/data/1393311/000119312520014211/d877682dex42.htm"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c.gov/Archives/edgar/data/1393311/000119312512389775/d411237dex31.htm" TargetMode="External"/><Relationship Id="rId15" Type="http://schemas.openxmlformats.org/officeDocument/2006/relationships/hyperlink" Target="http://www.sec.gov/Archives/edgar/data/1393311/000119312519060872/d707503dex31.htm" TargetMode="External"/><Relationship Id="rId23" Type="http://schemas.openxmlformats.org/officeDocument/2006/relationships/hyperlink" Target="http://www.sec.gov/Archives/edgar/data/1393311/000119312519112437/d738199dex101.htm" TargetMode="External"/><Relationship Id="rId28" Type="http://schemas.openxmlformats.org/officeDocument/2006/relationships/hyperlink" Target="http://www.sec.gov/Archives/edgar/data/1393311/000139331117000008/psa-20161231xex10_15.htm" TargetMode="External"/><Relationship Id="rId36" Type="http://schemas.openxmlformats.org/officeDocument/2006/relationships/hyperlink" Target="http://www.sec.gov/Archives/edgar/data/1393311/000139331115000031/psa-20151104ex101c7717b.htm" TargetMode="External"/><Relationship Id="rId49" Type="http://schemas.openxmlformats.org/officeDocument/2006/relationships/hyperlink" Target="psa-20191231xex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53067</Words>
  <Characters>302486</Characters>
  <Application>Microsoft Office Word</Application>
  <DocSecurity>0</DocSecurity>
  <Lines>2520</Lines>
  <Paragraphs>709</Paragraphs>
  <ScaleCrop>false</ScaleCrop>
  <Company/>
  <LinksUpToDate>false</LinksUpToDate>
  <CharactersWithSpaces>354844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psa-20191231x10k</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