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C69C0">
      <w:pPr>
        <w:divId w:val="14772374"/>
        <w:rPr>
          <w:rFonts w:eastAsia="Times New Roman"/>
          <w:vanish/>
        </w:rPr>
      </w:pPr>
      <w:r>
        <w:rPr>
          <w:rFonts w:eastAsia="Times New Roman"/>
          <w:vanish/>
        </w:rPr>
        <w:t>FALSE2021Q312/31000139331100013933112021-01-012021-09-300001393311us-gaap:CommonStockMember2021-01-012021-09-300001393311us-gaap:SeriesEPreferredStockMember2021-01-012021-09-300001393311</w:t>
      </w:r>
      <w:r>
        <w:rPr>
          <w:rFonts w:eastAsia="Times New Roman"/>
          <w:vanish/>
        </w:rPr>
        <w:t>us-gaap:SeriesFPreferredStockMember2021-01-012021-09-300001393311us-gaap:SeriesGPreferredStockMember2021-01-012021-09-300001393311us-gaap:SeriesHPreferredStockMember2021-01-012021-09-300001393311psa:SeriesIPreferredStockMember2021-01-012021-09-300001393311</w:t>
      </w:r>
      <w:r>
        <w:rPr>
          <w:rFonts w:eastAsia="Times New Roman"/>
          <w:vanish/>
        </w:rPr>
        <w:t>psa:SeriesJPreferredStockMember2021-01-012021-09-300001393311psa:SeriesKPreferredStockMember2021-01-012021-09-300001393311psa:SeriesLPreferredStockMember2021-01-012021-09-300001393311psa:SeriesMPreferredStockMember2021-01-012021-09-300001393311psa:SeriesNP</w:t>
      </w:r>
      <w:r>
        <w:rPr>
          <w:rFonts w:eastAsia="Times New Roman"/>
          <w:vanish/>
        </w:rPr>
        <w:t>referredStockMember2021-01-012021-09-300001393311psa:SeriesOPreferredStockMember2021-01-012021-09-300001393311psa:SeriesPPreferredStockMember2021-01-012021-09-300001393311psa:SeriesQPreferredStockMember2021-01-012021-09-300001393311psa:NotesDue2032Member20</w:t>
      </w:r>
      <w:r>
        <w:rPr>
          <w:rFonts w:eastAsia="Times New Roman"/>
          <w:vanish/>
        </w:rPr>
        <w:t>21-01-012021-09-300001393311psa:NotesDue2030Member2021-01-012021-09-30xbrli:shares00013933112021-10-28iso4217:USD00013933112021-09-3000013933112020-12-31iso4217:USDxbrli:shares0001393311psa:SelfStorageOperationsMember2021-07-012021-09-300001393311psa:SelfS</w:t>
      </w:r>
      <w:r>
        <w:rPr>
          <w:rFonts w:eastAsia="Times New Roman"/>
          <w:vanish/>
        </w:rPr>
        <w:t>torageOperationsMember2020-07-012020-09-300001393311psa:SelfStorageOperationsMember2021-01-012021-09-300001393311psa:SelfStorageOperationsMember2020-01-012020-09-300001393311psa:AncillaryOperationsMember2021-07-012021-09-300001393311psa:AncillaryOperations</w:t>
      </w:r>
      <w:r>
        <w:rPr>
          <w:rFonts w:eastAsia="Times New Roman"/>
          <w:vanish/>
        </w:rPr>
        <w:t>Member2020-07-012020-09-300001393311psa:AncillaryOperationsMember2021-01-012021-09-300001393311psa:AncillaryOperationsMember2020-01-012020-09-3000013933112021-07-012021-09-3000013933112020-07-012020-09-3000013933112020-01-012020-09-300001393311us-gaap:Pref</w:t>
      </w:r>
      <w:r>
        <w:rPr>
          <w:rFonts w:eastAsia="Times New Roman"/>
          <w:vanish/>
        </w:rPr>
        <w:t>erredStockMember2021-06-300001393311us-gaap:CommonStockMember2021-06-300001393311us-gaap:AdditionalPaidInCapitalMember2021-06-300001393311us-gaap:RetainedEarningsMember2021-06-300001393311us-gaap:AccumulatedOtherComprehensiveIncomeMember2021-06-30000139331</w:t>
      </w:r>
      <w:r>
        <w:rPr>
          <w:rFonts w:eastAsia="Times New Roman"/>
          <w:vanish/>
        </w:rPr>
        <w:t>1us-gaap:ParentMember2021-06-300001393311us-gaap:NoncontrollingInterestMember2021-06-3000013933112021-06-300001393311us-gaap:PreferredStockMember2021-07-012021-09-300001393311us-gaap:AdditionalPaidInCapitalMember2021-07-012021-09-300001393311us-gaap:Parent</w:t>
      </w:r>
      <w:r>
        <w:rPr>
          <w:rFonts w:eastAsia="Times New Roman"/>
          <w:vanish/>
        </w:rPr>
        <w:t>Member2021-07-012021-09-300001393311us-gaap:CommonStockMember2021-07-012021-09-300001393311us-gaap:NoncontrollingInterestMember2021-07-012021-09-300001393311us-gaap:RetainedEarningsMember2021-07-012021-09-300001393311us-gaap:AccumulatedOtherComprehensiveIn</w:t>
      </w:r>
      <w:r>
        <w:rPr>
          <w:rFonts w:eastAsia="Times New Roman"/>
          <w:vanish/>
        </w:rPr>
        <w:t>comeMember2021-07-012021-09-300001393311us-gaap:PreferredStockMember2021-09-300001393311us-gaap:CommonStockMember2021-09-300001393311us-gaap:AdditionalPaidInCapitalMember2021-09-300001393311us-gaap:RetainedEarningsMember2021-09-300001393311us-gaap:Accumula</w:t>
      </w:r>
      <w:r>
        <w:rPr>
          <w:rFonts w:eastAsia="Times New Roman"/>
          <w:vanish/>
        </w:rPr>
        <w:t>tedOtherComprehensiveIncomeMember2021-09-300001393311us-gaap:ParentMember2021-09-300001393311us-gaap:NoncontrollingInterestMember2021-09-300001393311us-gaap:PreferredStockMember2020-06-300001393311us-gaap:CommonStockMember2020-06-300001393311us-gaap:Additi</w:t>
      </w:r>
      <w:r>
        <w:rPr>
          <w:rFonts w:eastAsia="Times New Roman"/>
          <w:vanish/>
        </w:rPr>
        <w:t>onalPaidInCapitalMember2020-06-300001393311us-gaap:RetainedEarningsMember2020-06-300001393311us-gaap:AccumulatedOtherComprehensiveIncomeMember2020-06-300001393311us-gaap:ParentMember2020-06-300001393311us-gaap:NoncontrollingInterestMember2020-06-3000013933</w:t>
      </w:r>
      <w:r>
        <w:rPr>
          <w:rFonts w:eastAsia="Times New Roman"/>
          <w:vanish/>
        </w:rPr>
        <w:t>112020-06-300001393311us-gaap:PreferredStockMember2020-07-012020-09-300001393311us-gaap:AdditionalPaidInCapitalMember2020-07-012020-09-300001393311us-gaap:ParentMember2020-07-012020-09-300001393311us-gaap:CommonStockMember2020-07-012020-09-300001393311us-g</w:t>
      </w:r>
      <w:r>
        <w:rPr>
          <w:rFonts w:eastAsia="Times New Roman"/>
          <w:vanish/>
        </w:rPr>
        <w:t>aap:NoncontrollingInterestMember2020-07-012020-09-300001393311us-gaap:RetainedEarningsMember2020-07-012020-09-300001393311us-gaap:AccumulatedOtherComprehensiveIncomeMember2020-07-012020-09-300001393311us-gaap:PreferredStockMember2020-09-300001393311us-gaap</w:t>
      </w:r>
      <w:r>
        <w:rPr>
          <w:rFonts w:eastAsia="Times New Roman"/>
          <w:vanish/>
        </w:rPr>
        <w:t>:CommonStockMember2020-09-300001393311us-gaap:AdditionalPaidInCapitalMember2020-09-300001393311us-gaap:RetainedEarningsMember2020-09-300001393311us-gaap:AccumulatedOtherComprehensiveIncomeMember2020-09-300001393311us-gaap:ParentMember2020-09-300001393311us</w:t>
      </w:r>
      <w:r>
        <w:rPr>
          <w:rFonts w:eastAsia="Times New Roman"/>
          <w:vanish/>
        </w:rPr>
        <w:t>-gaap:NoncontrollingInterestMember2020-09-3000013933112020-09-300001393311us-gaap:PreferredStockMember2020-12-310001393311us-gaap:CommonStockMember2020-12-310001393311us-gaap:AdditionalPaidInCapitalMember2020-12-310001393311us-gaap:RetainedEarningsMember20</w:t>
      </w:r>
      <w:r>
        <w:rPr>
          <w:rFonts w:eastAsia="Times New Roman"/>
          <w:vanish/>
        </w:rPr>
        <w:t>20-12-310001393311us-gaap:AccumulatedOtherComprehensiveIncomeMember2020-12-310001393311us-gaap:ParentMember2020-12-310001393311us-gaap:NoncontrollingInterestMember2020-12-310001393311us-gaap:PreferredStockMember2021-01-012021-09-300001393311us-gaap:Additio</w:t>
      </w:r>
      <w:r>
        <w:rPr>
          <w:rFonts w:eastAsia="Times New Roman"/>
          <w:vanish/>
        </w:rPr>
        <w:t>nalPaidInCapitalMember2021-01-012021-09-300001393311us-gaap:ParentMember2021-01-012021-09-300001393311us-gaap:CommonStockMember2021-01-012021-09-300001393311us-gaap:NoncontrollingInterestMember2021-01-012021-09-300001393311us-gaap:RetainedEarningsMember202</w:t>
      </w:r>
      <w:r>
        <w:rPr>
          <w:rFonts w:eastAsia="Times New Roman"/>
          <w:vanish/>
        </w:rPr>
        <w:t>1-01-012021-09-300001393311us-gaap:AccumulatedOtherComprehensiveIncomeMember2021-01-012021-09-300001393311us-gaap:PreferredStockMember2019-12-310001393311us-gaap:CommonStockMember2019-12-310001393311us-gaap:AdditionalPaidInCapitalMember2019-12-310001393311</w:t>
      </w:r>
      <w:r>
        <w:rPr>
          <w:rFonts w:eastAsia="Times New Roman"/>
          <w:vanish/>
        </w:rPr>
        <w:t>us-gaap:RetainedEarningsMember2019-12-310001393311us-gaap:AccumulatedOtherComprehensiveIncomeMember2019-12-310001393311us-gaap:ParentMember2019-12-310001393311us-gaap:NoncontrollingInterestMember2019-12-3100013933112019-12-310001393311us-gaap:PreferredStoc</w:t>
      </w:r>
      <w:r>
        <w:rPr>
          <w:rFonts w:eastAsia="Times New Roman"/>
          <w:vanish/>
        </w:rPr>
        <w:t>kMember2020-01-012020-09-300001393311us-gaap:AdditionalPaidInCapitalMember2020-01-012020-09-300001393311us-gaap:ParentMember2020-01-012020-09-300001393311us-gaap:CommonStockMember2020-01-012020-09-300001393311us-gaap:NoncontrollingInterestMember2020-01-012</w:t>
      </w:r>
      <w:r>
        <w:rPr>
          <w:rFonts w:eastAsia="Times New Roman"/>
          <w:vanish/>
        </w:rPr>
        <w:t>020-09-300001393311us-gaap:RetainedEarningsMember2020-01-012020-09-300001393311us-gaap:AccumulatedOtherComprehensiveIncomeMember2020-01-012020-09-30psa:storageFacility0001393311psa:PublicStorageMember2021-01-012021-09-30utr:sqft0001393311psa:PublicStorageM</w:t>
      </w:r>
      <w:r>
        <w:rPr>
          <w:rFonts w:eastAsia="Times New Roman"/>
          <w:vanish/>
        </w:rPr>
        <w:t>ember2021-09-30psa:state0001393311psa:CommercialAndRetailSpaceMemberpsa:PublicStorageMember2021-09-30xbrli:pure0001393311psa:ShurgardSelfStorageSaMember2021-09-300001393311psa:ShurgardSelfStorageSaMember2020-12-31psa:country0001393311psa:PSBusinessParksMem</w:t>
      </w:r>
      <w:r>
        <w:rPr>
          <w:rFonts w:eastAsia="Times New Roman"/>
          <w:vanish/>
        </w:rPr>
        <w:t>ber2020-12-310001393311psa:PSBusinessParksMember2021-09-300001393311psa:ReclassificationAdjustmentMember2020-07-012020-09-300001393311psa:ReclassificationAdjustmentMember2020-01-012020-09-30psa:company0001393311us-gaap:VariableInterestEntityPrimaryBenefici</w:t>
      </w:r>
      <w:r>
        <w:rPr>
          <w:rFonts w:eastAsia="Times New Roman"/>
          <w:vanish/>
        </w:rPr>
        <w:t>aryMember2021-06-300001393311us-gaap:VariableInterestEntityPrimaryBeneficiaryMemberpsa:EzstorageMember2021-09-300001393311us-gaap:VariableInterestEntityPrimaryBeneficiaryMember2021-09-300001393311srt:MinimumMember2021-01-012021-09-300001393311srt:MaximumMe</w:t>
      </w:r>
      <w:r>
        <w:rPr>
          <w:rFonts w:eastAsia="Times New Roman"/>
          <w:vanish/>
        </w:rPr>
        <w:t>mber2021-01-012021-09-300001393311srt:WeightedAverageMember2021-07-012021-09-300001393311srt:WeightedAverageMember2020-07-012020-09-300001393311srt:WeightedAverageMember2021-01-012021-09-300001393311srt:WeightedAverageMember2020-01-012020-09-300001393311ps</w:t>
      </w:r>
      <w:r>
        <w:rPr>
          <w:rFonts w:eastAsia="Times New Roman"/>
          <w:vanish/>
        </w:rPr>
        <w:t>a:AcquisitionOfSelfStorageFacilitiesMember2021-01-012021-09-300001393311psa:CompletedDevelopmentAndExpansionProjectMemberpsa:ExpansionProjectsMember2021-01-012021-09-300001393311psa:DisposalOfRealEstateFacilitiesMember2021-01-012021-09-300001393311psa:PSBu</w:t>
      </w:r>
      <w:r>
        <w:rPr>
          <w:rFonts w:eastAsia="Times New Roman"/>
          <w:vanish/>
        </w:rPr>
        <w:t>sinessParksMember2021-07-012021-09-300001393311psa:PSBusinessParksMember2020-07-012020-09-300001393311psa:PSBusinessParksMember2021-01-012021-09-300001393311psa:PSBusinessParksMember2020-01-012020-09-300001393311psa:ShurgardSelfStorageSaMember2021-07-01202</w:t>
      </w:r>
      <w:r>
        <w:rPr>
          <w:rFonts w:eastAsia="Times New Roman"/>
          <w:vanish/>
        </w:rPr>
        <w:t>1-09-300001393311psa:ShurgardSelfStorageSaMember2020-07-012020-09-300001393311psa:ShurgardSelfStorageSaMember2021-01-012021-09-300001393311psa:ShurgardSelfStorageSaMember2020-01-012020-09-30iso4217:EURxbrli:shares0001393311psa:ShurgardSelfStorageSaMemberus</w:t>
      </w:r>
      <w:r>
        <w:rPr>
          <w:rFonts w:eastAsia="Times New Roman"/>
          <w:vanish/>
        </w:rPr>
        <w:t>-gaap:LicenseMember2021-01-012021-09-300001393311psa:ShurgardSelfStorageSaMemberus-gaap:LicenseMember2020-01-012020-09-300001393311us-gaap:RevolvingCreditFacilityMember2021-09-300001393311srt:MinimumMemberus-gaap:RevolvingCreditFacilityMember2021-01-012021</w:t>
      </w:r>
      <w:r>
        <w:rPr>
          <w:rFonts w:eastAsia="Times New Roman"/>
          <w:vanish/>
        </w:rPr>
        <w:t>-09-300001393311srt:MaximumMemberus-gaap:RevolvingCreditFacilityMember2021-01-012021-09-300001393311us-gaap:RevolvingCreditFacilityMember2021-01-012021-09-300001393311us-gaap:SubsequentEventMemberus-gaap:RevolvingCreditFacilityMember2021-11-010001393311us-</w:t>
      </w:r>
      <w:r>
        <w:rPr>
          <w:rFonts w:eastAsia="Times New Roman"/>
          <w:vanish/>
        </w:rPr>
        <w:t>gaap:RevolvingCreditFacilityMember2020-01-012020-12-310001393311psa:U.s.DollarDenominatedUnsecuredDebtMemberpsa:NotesDueSeptember2022Member2021-09-300001393311psa:NotesDueApril232024Memberpsa:U.s.DollarDenominatedUnsecuredDebtMemberus-gaap:SecuredOvernight</w:t>
      </w:r>
      <w:r>
        <w:rPr>
          <w:rFonts w:eastAsia="Times New Roman"/>
          <w:vanish/>
        </w:rPr>
        <w:t>FinancingRateSofrOvernightIndexSwapRateMember2021-09-302021-09-300001393311psa:NotesDueApril232024Memberpsa:U.s.DollarDenominatedUnsecuredDebtMember2021-09-300001393311psa:U.s.DollarDenominatedUnsecuredDebtMemberpsa:NotesDueFebruary152026Member2021-09-3000</w:t>
      </w:r>
      <w:r>
        <w:rPr>
          <w:rFonts w:eastAsia="Times New Roman"/>
          <w:vanish/>
        </w:rPr>
        <w:t>01393311psa:U.s.DollarDenominatedUnsecuredDebtMemberpsa:NotesDueSeptember2027Member2021-09-300001393311psa:NotesDueMay12028Memberpsa:U.s.DollarDenominatedUnsecuredDebtMember2021-09-300001393311psa:NotesDueMay2029Memberpsa:U.s.DollarDenominatedUnsecuredDebt</w:t>
      </w:r>
      <w:r>
        <w:rPr>
          <w:rFonts w:eastAsia="Times New Roman"/>
          <w:vanish/>
        </w:rPr>
        <w:t>Member2021-09-300001393311psa:NotesDueMay12031Memberpsa:U.s.DollarDenominatedUnsecuredDebtMember2021-09-300001393311psa:U.s.DollarDenominatedUnsecuredDebtMember2021-09-300001393311psa:NotesDueApril2024Memberpsa:EuroDenominatedUnsecuredDebtMember2021-09-300</w:t>
      </w:r>
      <w:r>
        <w:rPr>
          <w:rFonts w:eastAsia="Times New Roman"/>
          <w:vanish/>
        </w:rPr>
        <w:t>001393311psa:NotesDueNovember2025Memberpsa:EuroDenominatedUnsecuredDebtMember2021-09-300001393311psa:NotesDueSeptember2030Memberpsa:EuroDenominatedUnsecuredDebtMember2021-09-300001393311psa:NotesDueJanuary242032Memberpsa:EuroDenominatedUnsecuredDebtMember2</w:t>
      </w:r>
      <w:r>
        <w:rPr>
          <w:rFonts w:eastAsia="Times New Roman"/>
          <w:vanish/>
        </w:rPr>
        <w:t>021-09-300001393311psa:EuroDenominatedUnsecuredDebtMember2021-09-300001393311us-gaap:MortgagesMember2021-01-012021-09-300001393311us-gaap:MortgagesMember2021-09-300001393311psa:U.s.DollarDenominatedUnsecuredDebtMemberpsa:NotesDueSeptember2022Member2020-12-</w:t>
      </w:r>
      <w:r>
        <w:rPr>
          <w:rFonts w:eastAsia="Times New Roman"/>
          <w:vanish/>
        </w:rPr>
        <w:t>310001393311psa:U.s.DollarDenominatedUnsecuredDebtMemberpsa:NotesDueSeptember2027Member2020-12-310001393311psa:NotesDueMay2029Memberpsa:U.s.DollarDenominatedUnsecuredDebtMember2020-12-310001393311psa:U.s.DollarDenominatedUnsecuredDebtMember2020-12-31000139</w:t>
      </w:r>
      <w:r>
        <w:rPr>
          <w:rFonts w:eastAsia="Times New Roman"/>
          <w:vanish/>
        </w:rPr>
        <w:t>3311psa:NotesDueApril2024Memberpsa:EuroDenominatedUnsecuredDebtMember2020-12-310001393311psa:NotesDueNovember2025Memberpsa:EuroDenominatedUnsecuredDebtMember2020-12-310001393311psa:NotesDueJanuary242032Memberpsa:EuroDenominatedUnsecuredDebtMember2020-12-31</w:t>
      </w:r>
      <w:r>
        <w:rPr>
          <w:rFonts w:eastAsia="Times New Roman"/>
          <w:vanish/>
        </w:rPr>
        <w:t>0001393311psa:EuroDenominatedUnsecuredDebtMember2020-12-310001393311us-gaap:MortgagesMember2020-12-310001393311psa:U.s.DollarDenominatedUnsecuredDebtMemberpsa:NotesDueFebruary152026Member2021-01-190001393311psa:NotesDueApril232024Memberpsa:U.s.DollarDenomi</w:t>
      </w:r>
      <w:r>
        <w:rPr>
          <w:rFonts w:eastAsia="Times New Roman"/>
          <w:vanish/>
        </w:rPr>
        <w:t>natedUnsecuredDebtMember2021-04-230001393311psa:NotesDueMay12028Memberpsa:U.s.DollarDenominatedUnsecuredDebtMember2021-04-230001393311psa:NotesDueMay12031Memberpsa:U.s.DollarDenominatedUnsecuredDebtMember2021-04-230001393311psa:NotesDueApril232024Memberpsa</w:t>
      </w:r>
      <w:r>
        <w:rPr>
          <w:rFonts w:eastAsia="Times New Roman"/>
          <w:vanish/>
        </w:rPr>
        <w:t>:U.s.DollarDenominatedUnsecuredDebtMemberus-gaap:SecuredOvernightFinancingRateSofrOvernightIndexSwapRateMember2021-04-232021-04-230001393311psa:NotesDueApril232024Memberpsa:U.s.DollarDenominatedUnsecuredDebtMember2021-01-012021-09-300001393311psa:U.s.Dolla</w:t>
      </w:r>
      <w:r>
        <w:rPr>
          <w:rFonts w:eastAsia="Times New Roman"/>
          <w:vanish/>
        </w:rPr>
        <w:t>rDenominatedUnsecuredDebtMemberpsa:NotesDueApril232024May12028AndMay12031Member2021-04-230001393311psa:U.s.DollarDenominatedUnsecuredDebtMemberpsa:MaximumCovenantMember2021-01-012021-09-300001393311psa:U.s.DollarDenominatedUnsecuredDebtMember2021-01-012021</w:t>
      </w:r>
      <w:r>
        <w:rPr>
          <w:rFonts w:eastAsia="Times New Roman"/>
          <w:vanish/>
        </w:rPr>
        <w:t>-09-300001393311psa:U.s.DollarDenominatedUnsecuredDebtMembersrt:MinimumMember2021-01-012021-09-300001393311psa:U.s.DollarDenominatedUnsecuredDebtMember2020-10-012021-09-30psa:tranche0001393311psa:EuroDenominatedUnsecuredDebtMember2021-01-012021-09-30iso421</w:t>
      </w:r>
      <w:r>
        <w:rPr>
          <w:rFonts w:eastAsia="Times New Roman"/>
          <w:vanish/>
        </w:rPr>
        <w:t>7:EUR0001393311psa:NotesDueNovember2025Memberpsa:EuroDenominatedUnsecuredDebtMember2015-11-030001393311psa:NotesDueNovember2025Memberpsa:EuroDenominatedUnsecuredDebtMember2015-11-032015-11-030001393311psa:NotesDueApril2024Memberpsa:EuroDenominatedUnsecured</w:t>
      </w:r>
      <w:r>
        <w:rPr>
          <w:rFonts w:eastAsia="Times New Roman"/>
          <w:vanish/>
        </w:rPr>
        <w:t>DebtMember2016-04-120001393311psa:NotesDueApril2024Memberpsa:EuroDenominatedUnsecuredDebtMember2016-04-122016-04-120001393311psa:NotesDueJanuary242032Memberpsa:EuroDenominatedUnsecuredDebtMember2020-01-240001393311psa:NotesDueJanuary242032Memberpsa:EuroDen</w:t>
      </w:r>
      <w:r>
        <w:rPr>
          <w:rFonts w:eastAsia="Times New Roman"/>
          <w:vanish/>
        </w:rPr>
        <w:t>ominatedUnsecuredDebtMember2020-01-242020-01-240001393311psa:NotesDueSeptember2030Memberpsa:EuroDenominatedUnsecuredDebtMember2021-09-090001393311psa:NotesDueSeptember2030Memberpsa:EuroDenominatedUnsecuredDebtMember2021-09-092021-09-090001393311psa:NotePay</w:t>
      </w:r>
      <w:r>
        <w:rPr>
          <w:rFonts w:eastAsia="Times New Roman"/>
          <w:vanish/>
        </w:rPr>
        <w:t>ableMembersrt:MinimumMember2021-09-300001393311psa:NotePayableMembersrt:MaximumMember2021-09-300001393311us-gaap:UnsecuredDebtMember2021-09-300001393311us-gaap:NotesPayableToBanksMember2021-09-300001393311us-gaap:SeriesCPreferredStockMember2021-01-012021-0</w:t>
      </w:r>
      <w:r>
        <w:rPr>
          <w:rFonts w:eastAsia="Times New Roman"/>
          <w:vanish/>
        </w:rPr>
        <w:t>9-300001393311us-gaap:SeriesCPreferredStockMember2020-12-310001393311us-gaap:SeriesDPreferredStockMember2021-01-012021-09-300001393311us-gaap:SeriesDPreferredStockMember2020-12-310001393311us-gaap:SeriesEPreferredStockMember2021-09-300001393311us-gaap:Seri</w:t>
      </w:r>
      <w:r>
        <w:rPr>
          <w:rFonts w:eastAsia="Times New Roman"/>
          <w:vanish/>
        </w:rPr>
        <w:t>esEPreferredStockMember2020-12-310001393311us-gaap:SeriesFPreferredStockMember2021-09-300001393311us-gaap:SeriesFPreferredStockMember2020-12-310001393311us-gaap:SeriesGPreferredStockMember2021-09-300001393311us-gaap:SeriesGPreferredStockMember2020-12-31000</w:t>
      </w:r>
      <w:r>
        <w:rPr>
          <w:rFonts w:eastAsia="Times New Roman"/>
          <w:vanish/>
        </w:rPr>
        <w:t>1393311us-gaap:SeriesHPreferredStockMember2021-09-300001393311us-gaap:SeriesHPreferredStockMember2020-12-310001393311psa:SeriesIPreferredStockMember2021-09-300001393311psa:SeriesIPreferredStockMember2020-12-310001393311psa:SeriesJPreferredStockMember2021-0</w:t>
      </w:r>
      <w:r>
        <w:rPr>
          <w:rFonts w:eastAsia="Times New Roman"/>
          <w:vanish/>
        </w:rPr>
        <w:t>9-300001393311psa:SeriesJPreferredStockMember2020-12-310001393311psa:SeriesKPreferredStockMember2021-09-300001393311psa:SeriesKPreferredStockMember2020-12-310001393311psa:SeriesLPreferredStockMember2021-09-300001393311psa:SeriesLPreferredStockMember2020-12</w:t>
      </w:r>
      <w:r>
        <w:rPr>
          <w:rFonts w:eastAsia="Times New Roman"/>
          <w:vanish/>
        </w:rPr>
        <w:t>-310001393311psa:SeriesMPreferredStockMember2021-09-300001393311psa:SeriesMPreferredStockMember2020-12-310001393311psa:SeriesNPreferredStockMember2021-09-300001393311psa:SeriesNPreferredStockMember2020-12-310001393311psa:SeriesOPreferredStockMember2021-09-</w:t>
      </w:r>
      <w:r>
        <w:rPr>
          <w:rFonts w:eastAsia="Times New Roman"/>
          <w:vanish/>
        </w:rPr>
        <w:t>300001393311psa:SeriesOPreferredStockMember2020-12-310001393311psa:SeriesPPreferredStockMember2021-09-300001393311psa:SeriesQPreferredStockMember2021-09-30psa:dividendpsa:boardMember0001393311us-gaap:SeriesBPreferredStockMember2021-01-202021-01-20000139331</w:t>
      </w:r>
      <w:r>
        <w:rPr>
          <w:rFonts w:eastAsia="Times New Roman"/>
          <w:vanish/>
        </w:rPr>
        <w:t>1us-gaap:SeriesBPreferredStockMember2020-12-310001393311us-gaap:SeriesBPreferredStockMember2020-01-012020-12-310001393311psa:SeriesPPreferredStockMember2021-06-160001393311psa:SeriesPPreferredStockMember2021-06-162021-06-160001393311us-gaap:SeriesCPreferre</w:t>
      </w:r>
      <w:r>
        <w:rPr>
          <w:rFonts w:eastAsia="Times New Roman"/>
          <w:vanish/>
        </w:rPr>
        <w:t>dStockMember2021-06-302021-06-300001393311us-gaap:SeriesDPreferredStockMember2021-07-202021-07-200001393311psa:SeriesQPreferredStockMember2021-08-170001393311psa:SeriesQPreferredStockMember2021-08-172021-08-170001393311psa:SeriesLPreferredStockMember2020-0</w:t>
      </w:r>
      <w:r>
        <w:rPr>
          <w:rFonts w:eastAsia="Times New Roman"/>
          <w:vanish/>
        </w:rPr>
        <w:t>6-170001393311psa:SeriesLPreferredStockMember2020-06-172020-06-170001393311psa:SeriesVPreferredStockMember2020-07-102020-07-100001393311psa:SeriesVPreferredStockMember2020-01-012020-09-300001393311psa:SeriesMPreferredStockMember2020-08-140001393311psa:Seri</w:t>
      </w:r>
      <w:r>
        <w:rPr>
          <w:rFonts w:eastAsia="Times New Roman"/>
          <w:vanish/>
        </w:rPr>
        <w:t>esMPreferredStockMember2020-08-142020-08-140001393311psa:SeriesWAndXPreferredStockMember2020-09-302020-09-300001393311psa:SeriesWAndXPreferredStockMember2020-01-012020-09-300001393311psa:SeriesWAndXPreferredStockMember2020-07-012020-09-300001393311psa:Hugh</w:t>
      </w:r>
      <w:r>
        <w:rPr>
          <w:rFonts w:eastAsia="Times New Roman"/>
          <w:vanish/>
        </w:rPr>
        <w:t>esOwnedCanadianFacilitiesMembercountry:CA2021-09-300001393311srt:MaximumMemberpsa:HughesOwnedCanadianFacilitiesMembercountry:CA2021-09-300001393311psa:DirectCostsOfLeasedAndRentedPropertyOrEquipmentMember2021-07-012021-09-300001393311psa:DirectCostsOfLease</w:t>
      </w:r>
      <w:r>
        <w:rPr>
          <w:rFonts w:eastAsia="Times New Roman"/>
          <w:vanish/>
        </w:rPr>
        <w:t>dAndRentedPropertyOrEquipmentMember2020-07-012020-09-300001393311psa:DirectCostsOfLeasedAndRentedPropertyOrEquipmentMember2021-01-012021-09-300001393311psa:DirectCostsOfLeasedAndRentedPropertyOrEquipmentMember2020-01-012020-09-300001393311psa:OtherCostOfOp</w:t>
      </w:r>
      <w:r>
        <w:rPr>
          <w:rFonts w:eastAsia="Times New Roman"/>
          <w:vanish/>
        </w:rPr>
        <w:t>eratingRevenueMember2021-07-012021-09-300001393311psa:OtherCostOfOperatingRevenueMember2020-07-012020-09-300001393311psa:OtherCostOfOperatingRevenueMember2021-01-012021-09-300001393311psa:OtherCostOfOperatingRevenueMember2020-01-012020-09-300001393311us-ga</w:t>
      </w:r>
      <w:r>
        <w:rPr>
          <w:rFonts w:eastAsia="Times New Roman"/>
          <w:vanish/>
        </w:rPr>
        <w:t>ap:GeneralAndAdministrativeExpenseMember2021-07-012021-09-300001393311us-gaap:GeneralAndAdministrativeExpenseMember2020-07-012020-09-300001393311us-gaap:GeneralAndAdministrativeExpenseMember2021-01-012021-09-300001393311us-gaap:GeneralAndAdministrativeExpe</w:t>
      </w:r>
      <w:r>
        <w:rPr>
          <w:rFonts w:eastAsia="Times New Roman"/>
          <w:vanish/>
        </w:rPr>
        <w:t>nseMember2020-01-012020-09-3000013933112021-03-310001393311psa:EquityAndPerformanceBasedIncentiveCompensationPlan2021Member2021-04-260001393311us-gaap:EmployeeStockOptionMembersrt:MinimumMember2021-01-012021-09-300001393311us-gaap:EmployeeStockOptionMember</w:t>
      </w:r>
      <w:r>
        <w:rPr>
          <w:rFonts w:eastAsia="Times New Roman"/>
          <w:vanish/>
        </w:rPr>
        <w:t>srt:MaximumMember2021-01-012021-09-300001393311us-gaap:EmployeeStockOptionMember2021-01-012021-09-300001393311us-gaap:EmployeeStockOptionMember2021-07-012021-09-300001393311us-gaap:EmployeeStockOptionMember2020-07-012020-09-300001393311us-gaap:EmployeeStoc</w:t>
      </w:r>
      <w:r>
        <w:rPr>
          <w:rFonts w:eastAsia="Times New Roman"/>
          <w:vanish/>
        </w:rPr>
        <w:t>kOptionMember2020-01-012020-09-300001393311us-gaap:EmployeeStockOptionMember2021-09-300001393311us-gaap:EmployeeStockOptionMember2020-12-310001393311us-gaap:EmployeeStockOptionMemberpsa:BoardMembersMember2021-01-012021-09-300001393311psa:BoardMember5Member</w:t>
      </w:r>
      <w:r>
        <w:rPr>
          <w:rFonts w:eastAsia="Times New Roman"/>
          <w:vanish/>
        </w:rPr>
        <w:t>us-gaap:EmployeeStockOptionMember2021-01-012021-09-300001393311us-gaap:EmployeeStockOptionMemberpsa:BoardMember1Member2021-01-012021-09-300001393311psa:BoardMember4Memberus-gaap:EmployeeStockOptionMember2021-01-012021-09-300001393311us-gaap:EmployeeStockOp</w:t>
      </w:r>
      <w:r>
        <w:rPr>
          <w:rFonts w:eastAsia="Times New Roman"/>
          <w:vanish/>
        </w:rPr>
        <w:t>tionMemberpsa:BoardMember2Member2021-01-012021-09-300001393311us-gaap:EmployeeStockOptionMemberpsa:BoardMember3Member2021-01-012021-09-300001393311us-gaap:ShareBasedCompensationAwardTrancheOneMemberpsa:PerformanceTargetStockOptionsMember2021-01-012021-09-3</w:t>
      </w:r>
      <w:r>
        <w:rPr>
          <w:rFonts w:eastAsia="Times New Roman"/>
          <w:vanish/>
        </w:rPr>
        <w:t>00001393311us-gaap:ShareBasedCompensationAwardTrancheTwoMemberpsa:PerformanceTargetStockOptionsMember2020-01-012020-09-300001393311us-gaap:ShareBasedCompensationAwardTrancheTwoMemberpsa:PerformanceTargetStockOptionsMember2021-01-012021-09-300001393311us-ga</w:t>
      </w:r>
      <w:r>
        <w:rPr>
          <w:rFonts w:eastAsia="Times New Roman"/>
          <w:vanish/>
        </w:rPr>
        <w:t>ap:ShareBasedCompensationAwardTrancheTwoMemberpsa:PerformanceTargetStockOptionsMember2020-01-012020-12-310001393311srt:MinimumMemberus-gaap:RestrictedStockUnitsRSUMember2021-01-012021-09-300001393311srt:MaximumMemberus-gaap:RestrictedStockUnitsRSUMember202</w:t>
      </w:r>
      <w:r>
        <w:rPr>
          <w:rFonts w:eastAsia="Times New Roman"/>
          <w:vanish/>
        </w:rPr>
        <w:t>1-01-012021-09-300001393311us-gaap:RestrictedStockUnitsRSUMember2021-01-012021-09-300001393311us-gaap:RestrictedStockUnitsRSUMember2021-09-300001393311us-gaap:RestrictedStockUnitsRSUMember2020-01-012020-09-300001393311us-gaap:RestrictedStockUnitsRSUMember2</w:t>
      </w:r>
      <w:r>
        <w:rPr>
          <w:rFonts w:eastAsia="Times New Roman"/>
          <w:vanish/>
        </w:rPr>
        <w:t>020-12-310001393311psa:PerformanceTargetRestrictedShareUnitsMember2021-01-012021-09-300001393311us-gaap:RestrictedStockUnitsRSUMember2021-07-012021-09-300001393311us-gaap:RestrictedStockUnitsRSUMember2020-07-012020-09-300001393311us-gaap:OperatingSegmentsM</w:t>
      </w:r>
      <w:r>
        <w:rPr>
          <w:rFonts w:eastAsia="Times New Roman"/>
          <w:vanish/>
        </w:rPr>
        <w:t>emberpsa:SelfStorageOperationsMember2021-07-012021-09-300001393311us-gaap:OperatingSegmentsMemberpsa:SelfStorageOperationsMember2020-07-012020-09-300001393311us-gaap:OperatingSegmentsMemberpsa:SelfStorageOperationsMember2021-01-012021-09-300001393311us-gaa</w:t>
      </w:r>
      <w:r>
        <w:rPr>
          <w:rFonts w:eastAsia="Times New Roman"/>
          <w:vanish/>
        </w:rPr>
        <w:t>p:OperatingSegmentsMemberpsa:SelfStorageOperationsMember2020-01-012020-09-300001393311us-gaap:OperatingSegmentsMemberpsa:AncillaryOperationsMember2021-07-012021-09-300001393311us-gaap:OperatingSegmentsMemberpsa:AncillaryOperationsMember2020-07-012020-09-30</w:t>
      </w:r>
      <w:r>
        <w:rPr>
          <w:rFonts w:eastAsia="Times New Roman"/>
          <w:vanish/>
        </w:rPr>
        <w:t>0001393311us-gaap:OperatingSegmentsMemberpsa:AncillaryOperationsMember2021-01-012021-09-300001393311us-gaap:OperatingSegmentsMemberpsa:AncillaryOperationsMember2020-01-012020-09-300001393311us-gaap:OperatingSegmentsMemberpsa:InvesmentInPsbMember2021-07-012</w:t>
      </w:r>
      <w:r>
        <w:rPr>
          <w:rFonts w:eastAsia="Times New Roman"/>
          <w:vanish/>
        </w:rPr>
        <w:t>021-09-300001393311us-gaap:OperatingSegmentsMemberpsa:InvesmentInPsbMember2020-07-012020-09-300001393311us-gaap:OperatingSegmentsMemberpsa:InvesmentInPsbMember2021-01-012021-09-300001393311us-gaap:OperatingSegmentsMemberpsa:InvesmentInPsbMember2020-01-0120</w:t>
      </w:r>
      <w:r>
        <w:rPr>
          <w:rFonts w:eastAsia="Times New Roman"/>
          <w:vanish/>
        </w:rPr>
        <w:t>20-09-300001393311us-gaap:OperatingSegmentsMemberpsa:EquityInvestmentInShurgardMember2021-07-012021-09-300001393311us-gaap:OperatingSegmentsMemberpsa:EquityInvestmentInShurgardMember2020-07-012020-09-300001393311us-gaap:OperatingSegmentsMemberpsa:EquityInv</w:t>
      </w:r>
      <w:r>
        <w:rPr>
          <w:rFonts w:eastAsia="Times New Roman"/>
          <w:vanish/>
        </w:rPr>
        <w:t>estmentInShurgardMember2021-01-012021-09-300001393311us-gaap:OperatingSegmentsMemberpsa:EquityInvestmentInShurgardMember2020-01-012020-09-300001393311us-gaap:OperatingSegmentsMember2021-07-012021-09-300001393311us-gaap:OperatingSegmentsMember2020-07-012020</w:t>
      </w:r>
      <w:r>
        <w:rPr>
          <w:rFonts w:eastAsia="Times New Roman"/>
          <w:vanish/>
        </w:rPr>
        <w:t>-09-300001393311us-gaap:OperatingSegmentsMember2021-01-012021-09-300001393311us-gaap:OperatingSegmentsMember2020-01-012020-09-300001393311us-gaap:MaterialReconcilingItemsMember2021-07-012021-09-300001393311us-gaap:MaterialReconcilingItemsMember2020-07-0120</w:t>
      </w:r>
      <w:r>
        <w:rPr>
          <w:rFonts w:eastAsia="Times New Roman"/>
          <w:vanish/>
        </w:rPr>
        <w:t>20-09-300001393311us-gaap:MaterialReconcilingItemsMember2021-01-012021-09-300001393311us-gaap:MaterialReconcilingItemsMember2020-01-012020-09-30psa:certificate0001393311us-gaap:SubsequentEventMemberpsa:AcquisitionOfSelfStorageFacilitiesMember2021-11-010001</w:t>
      </w:r>
      <w:r>
        <w:rPr>
          <w:rFonts w:eastAsia="Times New Roman"/>
          <w:vanish/>
        </w:rPr>
        <w:t>393311us-gaap:SubsequentEventMemberpsa:AcquisitionOfSelfStorageFacilitiesMember2021-10-012021-11-010001393311us-gaap:SubsequentEventMemberpsa:AcquisitionOfSelfStorageFacilitiesMemberpsa:AllStorageMember2021-11-010001393311us-gaap:SubsequentEventMemberpsa:A</w:t>
      </w:r>
      <w:r>
        <w:rPr>
          <w:rFonts w:eastAsia="Times New Roman"/>
          <w:vanish/>
        </w:rPr>
        <w:t>cquisitionOfSelfStorageFacilitiesMemberpsa:AllStorageMember2021-10-012021-11-010001393311us-gaap:SubsequentEventMemberpsa:AcquisitionOfSelfStorageFacilitiesMembersrt:ScenarioForecastMember2021-11-300001393311us-gaap:SubsequentEventMemberpsa:AcquisitionOfSe</w:t>
      </w:r>
      <w:r>
        <w:rPr>
          <w:rFonts w:eastAsia="Times New Roman"/>
          <w:vanish/>
        </w:rPr>
        <w:t>lfStorageFacilitiesMembersrt:ScenarioForecastMember2021-12-31</w:t>
      </w:r>
    </w:p>
    <w:p w:rsidR="00000000" w:rsidRDefault="008C69C0">
      <w:pPr>
        <w:divId w:val="1572882554"/>
        <w:rPr>
          <w:rFonts w:eastAsia="Times New Roman"/>
        </w:rPr>
      </w:pPr>
    </w:p>
    <w:p w:rsidR="00000000" w:rsidRDefault="008C69C0">
      <w:pPr>
        <w:jc w:val="center"/>
        <w:divId w:val="128741565"/>
        <w:rPr>
          <w:rFonts w:eastAsia="Times New Roman"/>
        </w:rPr>
      </w:pPr>
      <w:r>
        <w:rPr>
          <w:rFonts w:eastAsia="Times New Roman"/>
          <w:b/>
          <w:bCs/>
          <w:color w:val="000000"/>
          <w:sz w:val="20"/>
          <w:szCs w:val="20"/>
        </w:rPr>
        <w:t>UNITED STATES</w:t>
      </w:r>
    </w:p>
    <w:p w:rsidR="00000000" w:rsidRDefault="008C69C0">
      <w:pPr>
        <w:jc w:val="center"/>
        <w:divId w:val="423768437"/>
        <w:rPr>
          <w:rFonts w:eastAsia="Times New Roman"/>
        </w:rPr>
      </w:pPr>
      <w:r>
        <w:rPr>
          <w:rFonts w:eastAsia="Times New Roman"/>
          <w:b/>
          <w:bCs/>
          <w:color w:val="000000"/>
          <w:sz w:val="20"/>
          <w:szCs w:val="20"/>
        </w:rPr>
        <w:t>SECURITIES AND EXCHANGE COMMISSION</w:t>
      </w:r>
    </w:p>
    <w:p w:rsidR="00000000" w:rsidRDefault="008C69C0">
      <w:pPr>
        <w:jc w:val="center"/>
        <w:divId w:val="2000112202"/>
        <w:rPr>
          <w:rFonts w:eastAsia="Times New Roman"/>
        </w:rPr>
      </w:pPr>
      <w:r>
        <w:rPr>
          <w:rFonts w:eastAsia="Times New Roman"/>
          <w:b/>
          <w:bCs/>
          <w:color w:val="000000"/>
          <w:sz w:val="20"/>
          <w:szCs w:val="20"/>
        </w:rPr>
        <w:t>WASHINGTON, D.C. 20549</w:t>
      </w:r>
    </w:p>
    <w:p w:rsidR="00000000" w:rsidRDefault="008C69C0">
      <w:pPr>
        <w:jc w:val="center"/>
        <w:divId w:val="157308573"/>
        <w:rPr>
          <w:rFonts w:eastAsia="Times New Roman"/>
        </w:rPr>
      </w:pPr>
      <w:r>
        <w:rPr>
          <w:rFonts w:eastAsia="Times New Roman"/>
          <w:b/>
          <w:bCs/>
          <w:color w:val="000000"/>
          <w:sz w:val="20"/>
          <w:szCs w:val="20"/>
        </w:rPr>
        <w:t>FORM 10-Q</w:t>
      </w:r>
    </w:p>
    <w:p w:rsidR="00000000" w:rsidRDefault="008C69C0">
      <w:pPr>
        <w:jc w:val="both"/>
        <w:divId w:val="1671519047"/>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rsidR="00000000" w:rsidRDefault="008C69C0">
      <w:pPr>
        <w:jc w:val="both"/>
        <w:divId w:val="1339581895"/>
        <w:rPr>
          <w:rFonts w:eastAsia="Times New Roman"/>
        </w:rPr>
      </w:pPr>
      <w:r>
        <w:rPr>
          <w:rFonts w:eastAsia="Times New Roman"/>
          <w:b/>
          <w:bCs/>
          <w:color w:val="000000"/>
          <w:sz w:val="20"/>
          <w:szCs w:val="20"/>
        </w:rPr>
        <w:t>For the quarterly pe</w:t>
      </w:r>
      <w:r>
        <w:rPr>
          <w:rFonts w:eastAsia="Times New Roman"/>
          <w:b/>
          <w:bCs/>
          <w:color w:val="000000"/>
          <w:sz w:val="20"/>
          <w:szCs w:val="20"/>
        </w:rPr>
        <w:t>riod ended September 30, 2021</w:t>
      </w:r>
    </w:p>
    <w:p w:rsidR="00000000" w:rsidRDefault="008C69C0">
      <w:pPr>
        <w:jc w:val="center"/>
        <w:divId w:val="397898176"/>
        <w:rPr>
          <w:rFonts w:eastAsia="Times New Roman"/>
        </w:rPr>
      </w:pPr>
      <w:r>
        <w:rPr>
          <w:rFonts w:eastAsia="Times New Roman"/>
          <w:b/>
          <w:bCs/>
          <w:color w:val="000000"/>
          <w:sz w:val="20"/>
          <w:szCs w:val="20"/>
        </w:rPr>
        <w:t>or</w:t>
      </w:r>
    </w:p>
    <w:p w:rsidR="00000000" w:rsidRDefault="008C69C0">
      <w:pPr>
        <w:jc w:val="both"/>
        <w:divId w:val="1965772303"/>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Pursuant to Section 13 or 15(d) of the Securities Exchange Act of 1934</w:t>
      </w:r>
    </w:p>
    <w:p w:rsidR="00000000" w:rsidRDefault="008C69C0">
      <w:pPr>
        <w:jc w:val="both"/>
        <w:divId w:val="1128470219"/>
        <w:rPr>
          <w:rFonts w:eastAsia="Times New Roman"/>
        </w:rPr>
      </w:pPr>
      <w:r>
        <w:rPr>
          <w:rFonts w:eastAsia="Times New Roman"/>
          <w:b/>
          <w:bCs/>
          <w:color w:val="000000"/>
          <w:sz w:val="20"/>
          <w:szCs w:val="20"/>
        </w:rPr>
        <w:t xml:space="preserve">For the transition period from </w:t>
      </w:r>
      <w:r>
        <w:rPr>
          <w:rFonts w:eastAsia="Times New Roman"/>
          <w:color w:val="000000"/>
          <w:sz w:val="20"/>
          <w:szCs w:val="20"/>
        </w:rPr>
        <w:t xml:space="preserve">____________ </w:t>
      </w:r>
      <w:r>
        <w:rPr>
          <w:rFonts w:eastAsia="Times New Roman"/>
          <w:b/>
          <w:bCs/>
          <w:color w:val="000000"/>
          <w:sz w:val="20"/>
          <w:szCs w:val="20"/>
        </w:rPr>
        <w:t xml:space="preserve">to </w:t>
      </w:r>
      <w:r>
        <w:rPr>
          <w:rFonts w:eastAsia="Times New Roman"/>
          <w:color w:val="000000"/>
          <w:sz w:val="20"/>
          <w:szCs w:val="20"/>
        </w:rPr>
        <w:t>____________.</w:t>
      </w:r>
    </w:p>
    <w:p w:rsidR="00000000" w:rsidRDefault="008C69C0">
      <w:pPr>
        <w:jc w:val="both"/>
        <w:divId w:val="1886522527"/>
        <w:rPr>
          <w:rFonts w:eastAsia="Times New Roman"/>
        </w:rPr>
      </w:pPr>
      <w:r>
        <w:rPr>
          <w:rFonts w:eastAsia="Times New Roman"/>
          <w:b/>
          <w:bCs/>
          <w:color w:val="000000"/>
          <w:sz w:val="20"/>
          <w:szCs w:val="20"/>
        </w:rPr>
        <w:t xml:space="preserve">Commission File Number: </w:t>
      </w:r>
      <w:r>
        <w:rPr>
          <w:rFonts w:eastAsia="Times New Roman"/>
          <w:b/>
          <w:bCs/>
          <w:color w:val="000000"/>
          <w:sz w:val="20"/>
          <w:szCs w:val="20"/>
          <w:u w:val="single"/>
        </w:rPr>
        <w:t>001-33519</w:t>
      </w:r>
    </w:p>
    <w:p w:rsidR="00000000" w:rsidRDefault="008C69C0">
      <w:pPr>
        <w:jc w:val="center"/>
        <w:divId w:val="1134056101"/>
        <w:rPr>
          <w:rFonts w:eastAsia="Times New Roman"/>
        </w:rPr>
      </w:pPr>
      <w:r>
        <w:rPr>
          <w:rFonts w:eastAsia="Times New Roman"/>
          <w:b/>
          <w:bCs/>
          <w:color w:val="000000"/>
          <w:sz w:val="20"/>
          <w:szCs w:val="20"/>
          <w:u w:val="single"/>
        </w:rPr>
        <w:t>Public Storage</w:t>
      </w:r>
    </w:p>
    <w:p w:rsidR="00000000" w:rsidRDefault="008C69C0">
      <w:pPr>
        <w:jc w:val="center"/>
        <w:divId w:val="912854254"/>
        <w:rPr>
          <w:rFonts w:eastAsia="Times New Roman"/>
        </w:rPr>
      </w:pPr>
      <w:r>
        <w:rPr>
          <w:rFonts w:eastAsia="Times New Roman"/>
          <w:color w:val="000000"/>
          <w:sz w:val="20"/>
          <w:szCs w:val="20"/>
        </w:rPr>
        <w:t>(Exact name of registr</w:t>
      </w:r>
      <w:r>
        <w:rPr>
          <w:rFonts w:eastAsia="Times New Roman"/>
          <w:color w:val="000000"/>
          <w:sz w:val="20"/>
          <w:szCs w:val="20"/>
        </w:rPr>
        <w:t>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08"/>
        <w:gridCol w:w="36"/>
        <w:gridCol w:w="36"/>
        <w:gridCol w:w="36"/>
        <w:gridCol w:w="36"/>
        <w:gridCol w:w="55"/>
        <w:gridCol w:w="4009"/>
        <w:gridCol w:w="36"/>
      </w:tblGrid>
      <w:tr w:rsidR="00000000">
        <w:trPr>
          <w:divId w:val="6107354"/>
          <w:jc w:val="center"/>
        </w:trPr>
        <w:tc>
          <w:tcPr>
            <w:tcW w:w="50" w:type="pct"/>
            <w:vAlign w:val="center"/>
            <w:hideMark/>
          </w:tcPr>
          <w:p w:rsidR="00000000" w:rsidRDefault="008C69C0">
            <w:pPr>
              <w:jc w:val="center"/>
              <w:rPr>
                <w:rFonts w:eastAsia="Times New Roman"/>
              </w:rPr>
            </w:pPr>
          </w:p>
        </w:tc>
        <w:tc>
          <w:tcPr>
            <w:tcW w:w="24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24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6107354"/>
          <w:jc w:val="center"/>
        </w:trPr>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Maryland</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95-3551121</w:t>
            </w:r>
          </w:p>
        </w:tc>
      </w:tr>
      <w:tr w:rsidR="00000000">
        <w:trPr>
          <w:divId w:val="6107354"/>
          <w:jc w:val="center"/>
        </w:trPr>
        <w:tc>
          <w:tcPr>
            <w:tcW w:w="0" w:type="auto"/>
            <w:gridSpan w:val="3"/>
            <w:tcBorders>
              <w:top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(State or other jurisdiction of</w:t>
            </w:r>
          </w:p>
          <w:p w:rsidR="00000000" w:rsidRDefault="008C69C0">
            <w:pPr>
              <w:spacing w:after="100"/>
              <w:jc w:val="center"/>
              <w:rPr>
                <w:rFonts w:eastAsia="Times New Roman"/>
              </w:rPr>
            </w:pPr>
            <w:r>
              <w:rPr>
                <w:rFonts w:eastAsia="Times New Roman"/>
                <w:color w:val="000000"/>
                <w:sz w:val="20"/>
                <w:szCs w:val="20"/>
              </w:rPr>
              <w:t>incorporation or organization)</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(I.R.S. Employer Identification Number)</w:t>
            </w:r>
          </w:p>
        </w:tc>
      </w:tr>
      <w:tr w:rsidR="00000000">
        <w:trPr>
          <w:divId w:val="6107354"/>
          <w:jc w:val="center"/>
        </w:trPr>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 </w:t>
            </w:r>
          </w:p>
        </w:tc>
      </w:tr>
      <w:tr w:rsidR="00000000">
        <w:trPr>
          <w:divId w:val="6107354"/>
          <w:jc w:val="center"/>
        </w:trPr>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701 Western Avenue, Glendale, California</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91201-2349</w:t>
            </w:r>
          </w:p>
        </w:tc>
      </w:tr>
      <w:tr w:rsidR="00000000">
        <w:trPr>
          <w:divId w:val="6107354"/>
          <w:jc w:val="center"/>
        </w:trPr>
        <w:tc>
          <w:tcPr>
            <w:tcW w:w="0" w:type="auto"/>
            <w:gridSpan w:val="3"/>
            <w:tcBorders>
              <w:top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(Zip Code)</w:t>
            </w:r>
          </w:p>
        </w:tc>
      </w:tr>
    </w:tbl>
    <w:p w:rsidR="00000000" w:rsidRDefault="008C69C0">
      <w:pPr>
        <w:divId w:val="515265053"/>
        <w:rPr>
          <w:rFonts w:eastAsia="Times New Roman"/>
        </w:rPr>
      </w:pPr>
      <w:r>
        <w:rPr>
          <w:rFonts w:eastAsia="Times New Roman"/>
          <w:color w:val="000000"/>
          <w:sz w:val="20"/>
          <w:szCs w:val="20"/>
        </w:rPr>
        <w:t xml:space="preserve">Registrant’s telephone number, including area code: </w:t>
      </w:r>
      <w:r>
        <w:rPr>
          <w:rFonts w:eastAsia="Times New Roman"/>
          <w:color w:val="000000"/>
          <w:sz w:val="20"/>
          <w:szCs w:val="20"/>
          <w:u w:val="single"/>
        </w:rPr>
        <w:t>(818) 244-8080</w:t>
      </w:r>
      <w:r>
        <w:rPr>
          <w:rFonts w:eastAsia="Times New Roman"/>
          <w:color w:val="000000"/>
          <w:sz w:val="20"/>
          <w:szCs w:val="20"/>
        </w:rPr>
        <w:t>.</w:t>
      </w:r>
    </w:p>
    <w:p w:rsidR="00000000" w:rsidRDefault="008C69C0">
      <w:pPr>
        <w:divId w:val="983897903"/>
        <w:rPr>
          <w:rFonts w:eastAsia="Times New Roman"/>
        </w:rPr>
      </w:pPr>
      <w:r>
        <w:rPr>
          <w:rFonts w:eastAsia="Times New Roman"/>
          <w:color w:val="000000"/>
          <w:sz w:val="20"/>
          <w:szCs w:val="20"/>
        </w:rPr>
        <w:t>Former name, former address and former fiscal, if changed since last report: N/A</w:t>
      </w:r>
    </w:p>
    <w:p w:rsidR="00000000" w:rsidRDefault="008C69C0">
      <w:pPr>
        <w:divId w:val="1840806885"/>
        <w:rPr>
          <w:rFonts w:eastAsia="Times New Roman"/>
        </w:rPr>
      </w:pPr>
      <w:r>
        <w:rPr>
          <w:rFonts w:eastAsia="Times New Roman"/>
          <w:color w:val="000000"/>
          <w:sz w:val="20"/>
          <w:szCs w:val="20"/>
        </w:rPr>
        <w:t>Securities registered pursuant to Section 12b of the Act:</w:t>
      </w:r>
    </w:p>
    <w:tbl>
      <w:tblPr>
        <w:tblW w:w="4984" w:type="pct"/>
        <w:jc w:val="center"/>
        <w:tblCellMar>
          <w:top w:w="15" w:type="dxa"/>
          <w:left w:w="15" w:type="dxa"/>
          <w:bottom w:w="15" w:type="dxa"/>
          <w:right w:w="15" w:type="dxa"/>
        </w:tblCellMar>
        <w:tblLook w:val="04A0" w:firstRow="1" w:lastRow="0" w:firstColumn="1" w:lastColumn="0" w:noHBand="0" w:noVBand="1"/>
      </w:tblPr>
      <w:tblGrid>
        <w:gridCol w:w="58"/>
        <w:gridCol w:w="4870"/>
        <w:gridCol w:w="38"/>
        <w:gridCol w:w="36"/>
        <w:gridCol w:w="36"/>
        <w:gridCol w:w="36"/>
        <w:gridCol w:w="44"/>
        <w:gridCol w:w="1152"/>
        <w:gridCol w:w="36"/>
        <w:gridCol w:w="36"/>
        <w:gridCol w:w="36"/>
        <w:gridCol w:w="36"/>
        <w:gridCol w:w="43"/>
        <w:gridCol w:w="1786"/>
        <w:gridCol w:w="36"/>
      </w:tblGrid>
      <w:tr w:rsidR="00000000">
        <w:trPr>
          <w:divId w:val="714433036"/>
          <w:jc w:val="center"/>
        </w:trPr>
        <w:tc>
          <w:tcPr>
            <w:tcW w:w="50" w:type="pct"/>
            <w:vAlign w:val="center"/>
            <w:hideMark/>
          </w:tcPr>
          <w:p w:rsidR="00000000" w:rsidRDefault="008C69C0">
            <w:pPr>
              <w:rPr>
                <w:rFonts w:eastAsia="Times New Roman"/>
              </w:rPr>
            </w:pPr>
          </w:p>
        </w:tc>
        <w:tc>
          <w:tcPr>
            <w:tcW w:w="295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09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714433036"/>
          <w:jc w:val="center"/>
        </w:trPr>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b/>
                <w:bCs/>
                <w:color w:val="000000"/>
                <w:sz w:val="18"/>
                <w:szCs w:val="18"/>
              </w:rPr>
              <w:t>Title of Class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b/>
                <w:bCs/>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714433036"/>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18"/>
                <w:szCs w:val="18"/>
              </w:rPr>
              <w:t>Common Shares, $0.10 par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4.900% Cum Pref Share, Series E,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5.150% Cum Pref Share, Series F,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PSAPrF</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5.050% Cum Pref Share, Series G,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PSAPrG</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5.600% Cum Pref Share, Series H,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PSAPrH</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4.875% Cum Pref Share, Series I,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PSAPrI</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4.700% Cum Pref Share, Series J,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PSAPrJ</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4.750% Cum Pref Share, Series K,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PSAPrK</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4.625% Cum Pref Share, Series L,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PSAPrL</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lastRenderedPageBreak/>
              <w:t>Depositary Shares Each Representing 1/1,000 of a 4.125% Cum Pref Share, Series M,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PSAPrM</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shd w:val="clear" w:color="auto" w:fill="FFFFFF"/>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3.875% Cum Pref Share, Series N,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PSAPrN</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3.900% Cum Pref Share, Series O,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PSAPrO</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4.000% Cum Pref Share, Series P,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PSAPrP</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shd w:val="clear" w:color="auto" w:fill="FFFFFF"/>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Depositary Shares Each Representing 1/1,000 of a 3.950% Cum Pref Share, Series Q, $0.01 par value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PSAPrQ</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0.875% Senior Notes due 2032</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PSA32</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r w:rsidR="00000000">
        <w:trPr>
          <w:divId w:val="714433036"/>
          <w:jc w:val="center"/>
        </w:trPr>
        <w:tc>
          <w:tcPr>
            <w:tcW w:w="0" w:type="auto"/>
            <w:gridSpan w:val="3"/>
            <w:shd w:val="clear" w:color="auto" w:fill="FFFFFF"/>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8"/>
                <w:szCs w:val="18"/>
              </w:rPr>
              <w:t>0.500% Senior Notes due 2030</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PSA30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New York Stock Exchange</w:t>
            </w:r>
          </w:p>
        </w:tc>
      </w:tr>
    </w:tbl>
    <w:p w:rsidR="00000000" w:rsidRDefault="008C69C0">
      <w:pPr>
        <w:jc w:val="both"/>
        <w:divId w:val="75132991"/>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at least the past 90 days.</w:t>
      </w:r>
    </w:p>
    <w:p w:rsidR="00000000" w:rsidRDefault="008C69C0">
      <w:pPr>
        <w:jc w:val="center"/>
        <w:divId w:val="1061758503"/>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8C69C0">
      <w:pPr>
        <w:jc w:val="both"/>
        <w:divId w:val="1212883246"/>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8C69C0">
      <w:pPr>
        <w:jc w:val="center"/>
        <w:divId w:val="1919973837"/>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8C69C0">
      <w:pPr>
        <w:jc w:val="both"/>
        <w:divId w:val="1577713834"/>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w:t>
      </w:r>
      <w:r>
        <w:rPr>
          <w:rFonts w:eastAsia="Times New Roman"/>
          <w:color w:val="000000"/>
          <w:sz w:val="20"/>
          <w:szCs w:val="20"/>
        </w:rPr>
        <w:t>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66"/>
        <w:gridCol w:w="36"/>
        <w:gridCol w:w="69"/>
        <w:gridCol w:w="1466"/>
        <w:gridCol w:w="36"/>
        <w:gridCol w:w="69"/>
        <w:gridCol w:w="1557"/>
        <w:gridCol w:w="36"/>
        <w:gridCol w:w="70"/>
        <w:gridCol w:w="1733"/>
        <w:gridCol w:w="36"/>
        <w:gridCol w:w="70"/>
        <w:gridCol w:w="1557"/>
        <w:gridCol w:w="36"/>
      </w:tblGrid>
      <w:tr w:rsidR="00000000">
        <w:trPr>
          <w:divId w:val="1245801061"/>
          <w:jc w:val="center"/>
        </w:trPr>
        <w:tc>
          <w:tcPr>
            <w:tcW w:w="50" w:type="pct"/>
            <w:vAlign w:val="center"/>
            <w:hideMark/>
          </w:tcPr>
          <w:p w:rsidR="00000000" w:rsidRDefault="008C69C0">
            <w:pPr>
              <w:jc w:val="both"/>
              <w:rPr>
                <w:rFonts w:eastAsia="Times New Roman"/>
              </w:rPr>
            </w:pPr>
          </w:p>
        </w:tc>
        <w:tc>
          <w:tcPr>
            <w:tcW w:w="89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89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05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245801061"/>
          <w:jc w:val="center"/>
        </w:trPr>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 xml:space="preserve">Accelerated </w:t>
            </w:r>
            <w:r>
              <w:rPr>
                <w:rFonts w:eastAsia="Times New Roman"/>
                <w:color w:val="000000"/>
                <w:sz w:val="20"/>
                <w:szCs w:val="20"/>
              </w:rPr>
              <w:br/>
              <w:t>filer</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Emerging growth company</w:t>
            </w:r>
          </w:p>
        </w:tc>
      </w:tr>
      <w:tr w:rsidR="00000000">
        <w:trPr>
          <w:divId w:val="1245801061"/>
          <w:jc w:val="center"/>
        </w:trPr>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C69C0">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8C69C0">
      <w:pPr>
        <w:jc w:val="both"/>
        <w:divId w:val="1080100535"/>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8C69C0">
      <w:pPr>
        <w:jc w:val="both"/>
        <w:divId w:val="641814782"/>
        <w:rPr>
          <w:rFonts w:eastAsia="Times New Roman"/>
        </w:rPr>
      </w:pPr>
      <w:r>
        <w:rPr>
          <w:rFonts w:eastAsia="Times New Roman"/>
          <w:color w:val="000000"/>
          <w:sz w:val="20"/>
          <w:szCs w:val="20"/>
        </w:rPr>
        <w:t>Ind</w:t>
      </w:r>
      <w:r>
        <w:rPr>
          <w:rFonts w:eastAsia="Times New Roman"/>
          <w:color w:val="000000"/>
          <w:sz w:val="20"/>
          <w:szCs w:val="20"/>
        </w:rPr>
        <w:t>icate by check mark whether the registrant is a shell company (as defined in Rule 12b-2 of the Exchange Act).</w:t>
      </w:r>
    </w:p>
    <w:p w:rsidR="00000000" w:rsidRDefault="008C69C0">
      <w:pPr>
        <w:jc w:val="center"/>
        <w:divId w:val="802966548"/>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8C69C0">
      <w:pPr>
        <w:jc w:val="both"/>
        <w:divId w:val="956137421"/>
        <w:rPr>
          <w:rFonts w:eastAsia="Times New Roman"/>
        </w:rPr>
      </w:pPr>
      <w:r>
        <w:rPr>
          <w:rFonts w:eastAsia="Times New Roman"/>
          <w:color w:val="000000"/>
          <w:sz w:val="20"/>
          <w:szCs w:val="20"/>
        </w:rPr>
        <w:t>Indicate the number of the registrant’s outstanding common shares of beneficial interest, as of October 28, 2021:</w:t>
      </w:r>
    </w:p>
    <w:p w:rsidR="00000000" w:rsidRDefault="008C69C0">
      <w:pPr>
        <w:divId w:val="220409180"/>
        <w:rPr>
          <w:rFonts w:eastAsia="Times New Roman"/>
        </w:rPr>
      </w:pPr>
      <w:r>
        <w:rPr>
          <w:rFonts w:eastAsia="Times New Roman"/>
          <w:color w:val="000000"/>
          <w:sz w:val="20"/>
          <w:szCs w:val="20"/>
        </w:rPr>
        <w:t>Common Shares of bene</w:t>
      </w:r>
      <w:r>
        <w:rPr>
          <w:rFonts w:eastAsia="Times New Roman"/>
          <w:color w:val="000000"/>
          <w:sz w:val="20"/>
          <w:szCs w:val="20"/>
        </w:rPr>
        <w:t>ficial interest, $0.10 par value per share – 175,354,560 shares</w:t>
      </w:r>
    </w:p>
    <w:p w:rsidR="00000000" w:rsidRDefault="008C69C0">
      <w:pPr>
        <w:jc w:val="center"/>
        <w:divId w:val="712463486"/>
        <w:rPr>
          <w:rFonts w:eastAsia="Times New Roman"/>
        </w:rPr>
      </w:pPr>
    </w:p>
    <w:p w:rsidR="00000000" w:rsidRDefault="008C69C0">
      <w:pPr>
        <w:rPr>
          <w:rFonts w:eastAsia="Times New Roman"/>
        </w:rPr>
      </w:pPr>
      <w:r>
        <w:rPr>
          <w:rFonts w:eastAsia="Times New Roman"/>
        </w:rPr>
        <w:pict>
          <v:rect id="_x0000_i1025" style="width:0;height:1.5pt" o:hralign="center" o:hrstd="t" o:hr="t" fillcolor="#a0a0a0" stroked="f"/>
        </w:pict>
      </w:r>
    </w:p>
    <w:p w:rsidR="00000000" w:rsidRDefault="008C69C0">
      <w:pPr>
        <w:divId w:val="2143233800"/>
        <w:rPr>
          <w:rFonts w:eastAsia="Times New Roman"/>
        </w:rPr>
      </w:pPr>
    </w:p>
    <w:p w:rsidR="00000000" w:rsidRDefault="008C69C0">
      <w:pPr>
        <w:jc w:val="center"/>
        <w:divId w:val="314720239"/>
        <w:rPr>
          <w:rFonts w:eastAsia="Times New Roman"/>
        </w:rPr>
      </w:pPr>
      <w:r>
        <w:rPr>
          <w:rFonts w:eastAsia="Times New Roman"/>
          <w:b/>
          <w:bCs/>
          <w:color w:val="000000"/>
          <w:sz w:val="20"/>
          <w:szCs w:val="20"/>
          <w:u w:val="single"/>
        </w:rPr>
        <w:t>PUBLIC STORAGE</w:t>
      </w:r>
    </w:p>
    <w:p w:rsidR="00000000" w:rsidRDefault="008C69C0">
      <w:pPr>
        <w:jc w:val="center"/>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7"/>
        <w:gridCol w:w="36"/>
        <w:gridCol w:w="69"/>
        <w:gridCol w:w="6692"/>
        <w:gridCol w:w="36"/>
        <w:gridCol w:w="69"/>
        <w:gridCol w:w="562"/>
        <w:gridCol w:w="36"/>
      </w:tblGrid>
      <w:tr w:rsidR="00000000">
        <w:trPr>
          <w:jc w:val="center"/>
        </w:trPr>
        <w:tc>
          <w:tcPr>
            <w:tcW w:w="50" w:type="pct"/>
            <w:vAlign w:val="center"/>
            <w:hideMark/>
          </w:tcPr>
          <w:p w:rsidR="00000000" w:rsidRDefault="008C69C0">
            <w:pPr>
              <w:jc w:val="center"/>
              <w:rPr>
                <w:rFonts w:eastAsia="Times New Roman"/>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03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4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PART I</w:t>
            </w:r>
          </w:p>
        </w:tc>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u w:val="single"/>
              </w:rPr>
              <w:t>FINANCIAL INFORMATION</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u w:val="single"/>
              </w:rPr>
              <w:t>Pages</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Financial Statements (Unaudited)</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divId w:val="1044404887"/>
              <w:rPr>
                <w:rFonts w:eastAsia="Times New Roman"/>
              </w:rPr>
            </w:pPr>
            <w:r>
              <w:rPr>
                <w:rFonts w:eastAsia="Times New Roman"/>
                <w:color w:val="000000"/>
                <w:sz w:val="20"/>
                <w:szCs w:val="20"/>
              </w:rPr>
              <w:t>Balance Sheets at September 30, 2021 and December 31, 2020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6" w:history="1">
              <w:r>
                <w:rPr>
                  <w:rStyle w:val="a3"/>
                  <w:rFonts w:eastAsia="Times New Roman"/>
                  <w:color w:val="000000"/>
                  <w:sz w:val="20"/>
                  <w:szCs w:val="20"/>
                  <w:u w:val="none"/>
                </w:rPr>
                <w:t>1</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divId w:val="1783499586"/>
              <w:rPr>
                <w:rFonts w:eastAsia="Times New Roman"/>
              </w:rPr>
            </w:pPr>
            <w:r>
              <w:rPr>
                <w:rFonts w:eastAsia="Times New Roman"/>
                <w:color w:val="000000"/>
                <w:sz w:val="20"/>
                <w:szCs w:val="20"/>
              </w:rPr>
              <w:t>Statements of Income for the Three and Nine Months Ended September 30, 2021 and 2020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9" w:history="1">
              <w:r>
                <w:rPr>
                  <w:rStyle w:val="a3"/>
                  <w:rFonts w:eastAsia="Times New Roman"/>
                  <w:color w:val="000000"/>
                  <w:sz w:val="20"/>
                  <w:szCs w:val="20"/>
                  <w:u w:val="none"/>
                </w:rPr>
                <w:t>2</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divId w:val="2080201688"/>
              <w:rPr>
                <w:rFonts w:eastAsia="Times New Roman"/>
              </w:rPr>
            </w:pPr>
            <w:r>
              <w:rPr>
                <w:rFonts w:eastAsia="Times New Roman"/>
                <w:color w:val="000000"/>
                <w:sz w:val="20"/>
                <w:szCs w:val="20"/>
              </w:rPr>
              <w:t>Statements of Comprehensive Income for the Three and Nine Months Ended September 30, 2021 and 2020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22" w:history="1">
              <w:r>
                <w:rPr>
                  <w:rStyle w:val="a3"/>
                  <w:rFonts w:eastAsia="Times New Roman"/>
                  <w:color w:val="000000"/>
                  <w:sz w:val="20"/>
                  <w:szCs w:val="20"/>
                  <w:u w:val="none"/>
                </w:rPr>
                <w:t>3</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divId w:val="328293513"/>
              <w:rPr>
                <w:rFonts w:eastAsia="Times New Roman"/>
              </w:rPr>
            </w:pPr>
            <w:r>
              <w:rPr>
                <w:rFonts w:eastAsia="Times New Roman"/>
                <w:color w:val="000000"/>
                <w:sz w:val="20"/>
                <w:szCs w:val="20"/>
              </w:rPr>
              <w:t>Statements of Equity for the Three and Nine Months Ended September 30, 2021</w:t>
            </w:r>
            <w:r>
              <w:rPr>
                <w:rFonts w:eastAsia="Times New Roman"/>
                <w:color w:val="000000"/>
                <w:sz w:val="20"/>
                <w:szCs w:val="20"/>
              </w:rPr>
              <w:t xml:space="preserve"> and 2020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25" w:history="1">
              <w:r>
                <w:rPr>
                  <w:rStyle w:val="a3"/>
                  <w:rFonts w:eastAsia="Times New Roman"/>
                  <w:color w:val="000000"/>
                  <w:sz w:val="20"/>
                  <w:szCs w:val="20"/>
                  <w:u w:val="none"/>
                </w:rPr>
                <w:t>4</w:t>
              </w:r>
            </w:hyperlink>
            <w:r>
              <w:rPr>
                <w:rFonts w:eastAsia="Times New Roman"/>
                <w:color w:val="000000"/>
                <w:sz w:val="20"/>
                <w:szCs w:val="20"/>
              </w:rPr>
              <w:t>-7</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divId w:val="291787139"/>
              <w:rPr>
                <w:rFonts w:eastAsia="Times New Roman"/>
              </w:rPr>
            </w:pPr>
            <w:r>
              <w:rPr>
                <w:rFonts w:eastAsia="Times New Roman"/>
                <w:color w:val="000000"/>
                <w:sz w:val="20"/>
                <w:szCs w:val="20"/>
              </w:rPr>
              <w:t>Statements of Cash Flows for the Nine Months Ended September 30, 2021 and 2020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28" w:history="1">
              <w:r>
                <w:rPr>
                  <w:rStyle w:val="a3"/>
                  <w:rFonts w:eastAsia="Times New Roman"/>
                  <w:color w:val="000000"/>
                  <w:sz w:val="20"/>
                  <w:szCs w:val="20"/>
                  <w:u w:val="none"/>
                </w:rPr>
                <w:t>8</w:t>
              </w:r>
            </w:hyperlink>
            <w:r>
              <w:rPr>
                <w:rFonts w:eastAsia="Times New Roman"/>
                <w:color w:val="000000"/>
                <w:sz w:val="20"/>
                <w:szCs w:val="20"/>
              </w:rPr>
              <w:t>-9</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Condensed Notes to Financial Statements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31" w:history="1">
              <w:r>
                <w:rPr>
                  <w:rStyle w:val="a3"/>
                  <w:rFonts w:eastAsia="Times New Roman"/>
                  <w:color w:val="000000"/>
                  <w:sz w:val="20"/>
                  <w:szCs w:val="20"/>
                  <w:u w:val="none"/>
                </w:rPr>
                <w:t>10</w:t>
              </w:r>
            </w:hyperlink>
            <w:r>
              <w:rPr>
                <w:rFonts w:eastAsia="Times New Roman"/>
                <w:color w:val="000000"/>
                <w:sz w:val="20"/>
                <w:szCs w:val="20"/>
              </w:rPr>
              <w:t>-27</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Management’</w:t>
            </w:r>
            <w:r>
              <w:rPr>
                <w:rFonts w:eastAsia="Times New Roman"/>
                <w:color w:val="000000"/>
                <w:sz w:val="20"/>
                <w:szCs w:val="20"/>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73" w:history="1">
              <w:r>
                <w:rPr>
                  <w:rStyle w:val="a3"/>
                  <w:rFonts w:eastAsia="Times New Roman"/>
                  <w:color w:val="000000"/>
                  <w:sz w:val="20"/>
                  <w:szCs w:val="20"/>
                  <w:u w:val="none"/>
                </w:rPr>
                <w:t>28</w:t>
              </w:r>
            </w:hyperlink>
            <w:r>
              <w:rPr>
                <w:rFonts w:eastAsia="Times New Roman"/>
                <w:color w:val="000000"/>
                <w:sz w:val="20"/>
                <w:szCs w:val="20"/>
              </w:rPr>
              <w:t>-58</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12" w:history="1">
              <w:r>
                <w:rPr>
                  <w:rStyle w:val="a3"/>
                  <w:rFonts w:eastAsia="Times New Roman"/>
                  <w:color w:val="000000"/>
                  <w:sz w:val="20"/>
                  <w:szCs w:val="20"/>
                  <w:u w:val="none"/>
                </w:rPr>
                <w:t>59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Controls and Procedures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15" w:history="1">
              <w:r>
                <w:rPr>
                  <w:rStyle w:val="a3"/>
                  <w:rFonts w:eastAsia="Times New Roman"/>
                  <w:color w:val="000000"/>
                  <w:sz w:val="20"/>
                  <w:szCs w:val="20"/>
                  <w:u w:val="none"/>
                </w:rPr>
                <w:t>59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PART II</w:t>
            </w:r>
          </w:p>
        </w:tc>
        <w:tc>
          <w:tcPr>
            <w:tcW w:w="0" w:type="auto"/>
            <w:gridSpan w:val="3"/>
            <w:tcMar>
              <w:top w:w="30" w:type="dxa"/>
              <w:left w:w="20" w:type="dxa"/>
              <w:bottom w:w="30" w:type="dxa"/>
              <w:right w:w="20" w:type="dxa"/>
            </w:tcMar>
            <w:vAlign w:val="bottom"/>
            <w:hideMark/>
          </w:tcPr>
          <w:p w:rsidR="00000000" w:rsidRDefault="008C69C0">
            <w:pPr>
              <w:spacing w:after="100"/>
              <w:divId w:val="741758960"/>
              <w:rPr>
                <w:rFonts w:eastAsia="Times New Roman"/>
              </w:rPr>
            </w:pPr>
            <w:r>
              <w:rPr>
                <w:rFonts w:eastAsia="Times New Roman"/>
                <w:color w:val="000000"/>
                <w:sz w:val="20"/>
                <w:szCs w:val="20"/>
                <w:u w:val="single"/>
              </w:rPr>
              <w:t>OTHER INFORMATION</w:t>
            </w:r>
            <w:r>
              <w:rPr>
                <w:rFonts w:eastAsia="Times New Roman"/>
                <w:color w:val="000000"/>
                <w:sz w:val="20"/>
                <w:szCs w:val="20"/>
              </w:rPr>
              <w:t xml:space="preserve"> (Items 3, 4 and 5 are not applicable)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Legal Proceedings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21" w:history="1">
              <w:r>
                <w:rPr>
                  <w:rStyle w:val="a3"/>
                  <w:rFonts w:eastAsia="Times New Roman"/>
                  <w:color w:val="000000"/>
                  <w:sz w:val="20"/>
                  <w:szCs w:val="20"/>
                  <w:u w:val="none"/>
                </w:rPr>
                <w:t>60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Risk Factors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24" w:history="1">
              <w:r>
                <w:rPr>
                  <w:rStyle w:val="a3"/>
                  <w:rFonts w:eastAsia="Times New Roman"/>
                  <w:color w:val="000000"/>
                  <w:sz w:val="20"/>
                  <w:szCs w:val="20"/>
                  <w:u w:val="none"/>
                </w:rPr>
                <w:t>60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27" w:history="1">
              <w:r>
                <w:rPr>
                  <w:rStyle w:val="a3"/>
                  <w:rFonts w:eastAsia="Times New Roman"/>
                  <w:color w:val="000000"/>
                  <w:sz w:val="20"/>
                  <w:szCs w:val="20"/>
                  <w:u w:val="none"/>
                </w:rPr>
                <w:t>60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Exhibits</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hyperlink w:anchor="ib8dc5b5ec2104f8a8a3bd527b2d23a77_130" w:history="1">
              <w:r>
                <w:rPr>
                  <w:rStyle w:val="a3"/>
                  <w:rFonts w:eastAsia="Times New Roman"/>
                  <w:color w:val="000000"/>
                  <w:sz w:val="20"/>
                  <w:szCs w:val="20"/>
                  <w:u w:val="none"/>
                </w:rPr>
                <w:t>60</w:t>
              </w:r>
            </w:hyperlink>
          </w:p>
        </w:tc>
      </w:tr>
    </w:tbl>
    <w:p w:rsidR="00000000" w:rsidRDefault="008C69C0">
      <w:pPr>
        <w:jc w:val="center"/>
        <w:divId w:val="2074043918"/>
        <w:rPr>
          <w:rFonts w:eastAsia="Times New Roman"/>
        </w:rPr>
      </w:pPr>
    </w:p>
    <w:p w:rsidR="00000000" w:rsidRDefault="008C69C0">
      <w:pPr>
        <w:rPr>
          <w:rFonts w:eastAsia="Times New Roman"/>
        </w:rPr>
      </w:pPr>
      <w:r>
        <w:rPr>
          <w:rFonts w:eastAsia="Times New Roman"/>
        </w:rPr>
        <w:pict>
          <v:rect id="_x0000_i1026" style="width:0;height:1.5pt" o:hralign="center" o:hrstd="t" o:hr="t" fillcolor="#a0a0a0" stroked="f"/>
        </w:pict>
      </w:r>
    </w:p>
    <w:p w:rsidR="00000000" w:rsidRDefault="008C69C0">
      <w:pPr>
        <w:divId w:val="65803632"/>
        <w:rPr>
          <w:rFonts w:eastAsia="Times New Roman"/>
        </w:rPr>
      </w:pPr>
    </w:p>
    <w:p w:rsidR="00000000" w:rsidRDefault="008C69C0">
      <w:pPr>
        <w:divId w:val="1436558413"/>
        <w:rPr>
          <w:rFonts w:eastAsia="Times New Roman"/>
        </w:rPr>
      </w:pPr>
    </w:p>
    <w:p w:rsidR="00000000" w:rsidRDefault="008C69C0">
      <w:pPr>
        <w:divId w:val="958219547"/>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BALANCE SHEETS</w:t>
      </w:r>
    </w:p>
    <w:p w:rsidR="00000000" w:rsidRDefault="008C69C0">
      <w:pPr>
        <w:jc w:val="center"/>
        <w:rPr>
          <w:rFonts w:eastAsia="Times New Roman"/>
        </w:rPr>
      </w:pPr>
      <w:r>
        <w:rPr>
          <w:rFonts w:eastAsia="Times New Roman"/>
          <w:b/>
          <w:bCs/>
          <w:color w:val="000000"/>
          <w:sz w:val="20"/>
          <w:szCs w:val="20"/>
        </w:rPr>
        <w:t>(Amounts in thousands, except share data)</w:t>
      </w:r>
    </w:p>
    <w:p w:rsidR="00000000" w:rsidRDefault="008C69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5596"/>
        <w:gridCol w:w="41"/>
        <w:gridCol w:w="111"/>
        <w:gridCol w:w="1127"/>
        <w:gridCol w:w="37"/>
        <w:gridCol w:w="36"/>
        <w:gridCol w:w="36"/>
        <w:gridCol w:w="36"/>
        <w:gridCol w:w="110"/>
        <w:gridCol w:w="1097"/>
        <w:gridCol w:w="36"/>
      </w:tblGrid>
      <w:tr w:rsidR="00000000">
        <w:trPr>
          <w:divId w:val="746221009"/>
        </w:trPr>
        <w:tc>
          <w:tcPr>
            <w:tcW w:w="50" w:type="pct"/>
            <w:vAlign w:val="center"/>
            <w:hideMark/>
          </w:tcPr>
          <w:p w:rsidR="00000000" w:rsidRDefault="008C69C0">
            <w:pPr>
              <w:jc w:val="center"/>
              <w:rPr>
                <w:rFonts w:eastAsia="Times New Roman"/>
              </w:rPr>
            </w:pPr>
          </w:p>
        </w:tc>
        <w:tc>
          <w:tcPr>
            <w:tcW w:w="339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0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0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2020</w:t>
            </w: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b/>
                <w:b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b/>
                <w:bCs/>
                <w:color w:val="000000"/>
                <w:sz w:val="18"/>
                <w:szCs w:val="18"/>
                <w:u w:val="single"/>
              </w:rPr>
              <w:t>ASSETS</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r>
              <w:rPr>
                <w:rFonts w:eastAsia="Times New Roman"/>
                <w:b/>
                <w:bCs/>
                <w:color w:val="FFFFFF"/>
                <w:sz w:val="18"/>
                <w:szCs w:val="18"/>
              </w:rPr>
              <w:t>(Unaudited)</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Cash and equivalents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958,247 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Real estate facilities, at cost: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4622100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Land</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4,864,520 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4,375,588 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Buildings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15,592,003 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12,997,039 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20,456,523 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17,372,627 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Accumulated depreciation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(7,598,496)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(7,152,135)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12,858,027 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10,220,492 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Construction in process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228,379 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188,079 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13,086,406 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10,408,571 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Height w:val="1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Investments in unconsolidated real estate entities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779,272 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773,046 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Goodwill and other intangible assets, net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258,949 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204,654 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assets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201,812 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172,715 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93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15,284,686 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11,816,546 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b/>
                <w:bCs/>
                <w:color w:val="000000"/>
                <w:sz w:val="18"/>
                <w:szCs w:val="18"/>
                <w:u w:val="single"/>
              </w:rPr>
              <w:t>LIABILITIES AND EQUITY</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Notes payable</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5,773,190 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2,544,992 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Preferred shares called for redemption (Note 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474,198 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394,655 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7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6,247,388 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3,239,647 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Commitments and contingencies (Note 12)</w:t>
            </w:r>
          </w:p>
        </w:tc>
        <w:tc>
          <w:tcPr>
            <w:tcW w:w="0" w:type="auto"/>
            <w:gridSpan w:val="3"/>
            <w:tcMar>
              <w:top w:w="30" w:type="dxa"/>
              <w:left w:w="20" w:type="dxa"/>
              <w:bottom w:w="30" w:type="dxa"/>
              <w:right w:w="20" w:type="dxa"/>
            </w:tcMar>
            <w:vAlign w:val="bottom"/>
            <w:hideMark/>
          </w:tcPr>
          <w:p w:rsidR="00000000" w:rsidRDefault="008C69C0">
            <w:pPr>
              <w:spacing w:after="100"/>
              <w:divId w:val="780685514"/>
              <w:rPr>
                <w:rFonts w:eastAsia="Times New Roman"/>
              </w:rPr>
            </w:pPr>
            <w:r>
              <w:rPr>
                <w:rFonts w:eastAsia="Times New Roman"/>
                <w:color w:val="000000"/>
                <w:sz w:val="18"/>
                <w:szCs w:val="18"/>
              </w:rPr>
              <w:t> </w:t>
            </w: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divId w:val="1757557523"/>
              <w:rPr>
                <w:rFonts w:eastAsia="Times New Roman"/>
              </w:rPr>
            </w:pPr>
            <w:r>
              <w:rPr>
                <w:rFonts w:eastAsia="Times New Roman"/>
                <w:color w:val="000000"/>
                <w:sz w:val="18"/>
                <w:szCs w:val="18"/>
              </w:rPr>
              <w:t> </w:t>
            </w:r>
            <w:r>
              <w:rPr>
                <w:rFonts w:eastAsia="Times New Roman"/>
                <w:color w:val="000000"/>
                <w:sz w:val="20"/>
                <w:szCs w:val="20"/>
              </w:rPr>
              <w:t> </w:t>
            </w: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Equity:</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Public Storage shareholders’ equity:</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ind w:hanging="307"/>
              <w:divId w:val="2094664602"/>
              <w:rPr>
                <w:rFonts w:eastAsia="Times New Roman"/>
              </w:rPr>
            </w:pPr>
            <w:r>
              <w:rPr>
                <w:rFonts w:eastAsia="Times New Roman"/>
                <w:color w:val="000000"/>
                <w:sz w:val="18"/>
                <w:szCs w:val="18"/>
              </w:rPr>
              <w:t xml:space="preserve">Preferred Shares, $0.01 </w:t>
            </w:r>
            <w:r>
              <w:rPr>
                <w:rFonts w:eastAsia="Times New Roman"/>
                <w:color w:val="000000"/>
                <w:sz w:val="18"/>
                <w:szCs w:val="18"/>
              </w:rPr>
              <w:t>par value, 100,000,000 shares authorized, 160,600 shares issued (in series) and outstanding, (151,700 at December 31, 2020) at liquidation preference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4,015,000 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3,792,500 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20" w:type="dxa"/>
              <w:bottom w:w="30" w:type="dxa"/>
              <w:right w:w="20" w:type="dxa"/>
            </w:tcMar>
            <w:vAlign w:val="bottom"/>
            <w:hideMark/>
          </w:tcPr>
          <w:p w:rsidR="00000000" w:rsidRDefault="008C69C0">
            <w:pPr>
              <w:spacing w:after="100"/>
              <w:ind w:hanging="307"/>
              <w:divId w:val="497311815"/>
              <w:rPr>
                <w:rFonts w:eastAsia="Times New Roman"/>
              </w:rPr>
            </w:pPr>
            <w:r>
              <w:rPr>
                <w:rFonts w:eastAsia="Times New Roman"/>
                <w:color w:val="000000"/>
                <w:sz w:val="18"/>
                <w:szCs w:val="18"/>
              </w:rPr>
              <w:t>Common Shares, $0.10 par value, 650,000,000 shares authorized, 175,048,260</w:t>
            </w:r>
            <w:r>
              <w:rPr>
                <w:rFonts w:eastAsia="Times New Roman"/>
                <w:color w:val="000000"/>
                <w:sz w:val="18"/>
                <w:szCs w:val="18"/>
              </w:rPr>
              <w:t xml:space="preserve"> shares issued and outstanding (174,581,742 shares at December 31, 2020)</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17,505 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lastRenderedPageBreak/>
              <w:t xml:space="preserve">Paid-in capital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5,808,943 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5,707,101 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Accumulated deficit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(771,114)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(914,791)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Accumulated other comprehensive loss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(52,980)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(43,401)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57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Total Public Storage shareholders’ equity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9,017,354 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8,558,867 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19,944 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7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9,037,298 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8,576,899 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46221009"/>
        </w:trPr>
        <w:tc>
          <w:tcPr>
            <w:tcW w:w="0" w:type="auto"/>
            <w:gridSpan w:val="3"/>
            <w:tcMar>
              <w:top w:w="30" w:type="dxa"/>
              <w:left w:w="93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Total liabilities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15,284,686 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11,816,546 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divId w:val="359554035"/>
        <w:rPr>
          <w:rFonts w:eastAsia="Times New Roman"/>
        </w:rPr>
      </w:pPr>
    </w:p>
    <w:p w:rsidR="00000000" w:rsidRDefault="008C69C0">
      <w:pPr>
        <w:jc w:val="center"/>
        <w:divId w:val="555699175"/>
        <w:rPr>
          <w:rFonts w:eastAsia="Times New Roman"/>
        </w:rPr>
      </w:pPr>
      <w:r>
        <w:rPr>
          <w:rFonts w:eastAsia="Times New Roman"/>
          <w:color w:val="000000"/>
          <w:sz w:val="20"/>
          <w:szCs w:val="20"/>
        </w:rPr>
        <w:t>See accompanying notes.</w:t>
      </w:r>
    </w:p>
    <w:p w:rsidR="00000000" w:rsidRDefault="008C69C0">
      <w:pPr>
        <w:jc w:val="center"/>
        <w:divId w:val="555699175"/>
        <w:rPr>
          <w:rFonts w:eastAsia="Times New Roman"/>
        </w:rPr>
      </w:pPr>
      <w:r>
        <w:rPr>
          <w:rFonts w:eastAsia="Times New Roman"/>
          <w:color w:val="000000"/>
          <w:sz w:val="20"/>
          <w:szCs w:val="20"/>
        </w:rPr>
        <w:t>1</w:t>
      </w:r>
    </w:p>
    <w:p w:rsidR="00000000" w:rsidRDefault="008C69C0">
      <w:pPr>
        <w:rPr>
          <w:rFonts w:eastAsia="Times New Roman"/>
        </w:rPr>
      </w:pPr>
      <w:r>
        <w:rPr>
          <w:rFonts w:eastAsia="Times New Roman"/>
        </w:rPr>
        <w:pict>
          <v:rect id="_x0000_i1027" style="width:0;height:1.5pt" o:hralign="center" o:hrstd="t" o:hr="t" fillcolor="#a0a0a0" stroked="f"/>
        </w:pict>
      </w:r>
    </w:p>
    <w:p w:rsidR="00000000" w:rsidRDefault="008C69C0">
      <w:pPr>
        <w:divId w:val="1265068821"/>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STATEMENTS OF INCOME</w:t>
      </w:r>
    </w:p>
    <w:p w:rsidR="00000000" w:rsidRDefault="008C69C0">
      <w:pPr>
        <w:jc w:val="center"/>
        <w:divId w:val="2006518063"/>
        <w:rPr>
          <w:rFonts w:eastAsia="Times New Roman"/>
        </w:rPr>
      </w:pPr>
      <w:r>
        <w:rPr>
          <w:rFonts w:eastAsia="Times New Roman"/>
          <w:b/>
          <w:bCs/>
          <w:color w:val="000000"/>
          <w:sz w:val="20"/>
          <w:szCs w:val="20"/>
        </w:rPr>
        <w:t>(Amounts in thousands, except per share amounts)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549"/>
        <w:gridCol w:w="39"/>
        <w:gridCol w:w="110"/>
        <w:gridCol w:w="970"/>
        <w:gridCol w:w="36"/>
        <w:gridCol w:w="36"/>
        <w:gridCol w:w="36"/>
        <w:gridCol w:w="36"/>
        <w:gridCol w:w="110"/>
        <w:gridCol w:w="932"/>
        <w:gridCol w:w="36"/>
        <w:gridCol w:w="36"/>
        <w:gridCol w:w="36"/>
        <w:gridCol w:w="36"/>
        <w:gridCol w:w="110"/>
        <w:gridCol w:w="934"/>
        <w:gridCol w:w="36"/>
        <w:gridCol w:w="36"/>
        <w:gridCol w:w="36"/>
        <w:gridCol w:w="36"/>
        <w:gridCol w:w="110"/>
        <w:gridCol w:w="934"/>
        <w:gridCol w:w="36"/>
      </w:tblGrid>
      <w:tr w:rsidR="00000000">
        <w:trPr>
          <w:divId w:val="1313485676"/>
        </w:trPr>
        <w:tc>
          <w:tcPr>
            <w:tcW w:w="50" w:type="pct"/>
            <w:vAlign w:val="center"/>
            <w:hideMark/>
          </w:tcPr>
          <w:p w:rsidR="00000000" w:rsidRDefault="008C69C0">
            <w:pPr>
              <w:jc w:val="center"/>
              <w:rPr>
                <w:rFonts w:eastAsia="Times New Roman"/>
              </w:rPr>
            </w:pPr>
          </w:p>
        </w:tc>
        <w:tc>
          <w:tcPr>
            <w:tcW w:w="216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Nine Months Ended September 30,</w:t>
            </w: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2020</w:t>
            </w:r>
          </w:p>
        </w:tc>
      </w:tr>
      <w:tr w:rsidR="00000000">
        <w:trPr>
          <w:divId w:val="1313485676"/>
          <w:trHeight w:val="18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Self-storage facilities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840,510 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683,949 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2,333,850 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2,022,692 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Ancillary operations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54,421 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50,596 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157,658 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143,840 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894,931 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734,545 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2,491,508 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2,166,532 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Height w:val="1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Expenses: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Self-storage cost of operations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216,999 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209,179 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631,699 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637,229 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Ancillary cost of operations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19,735 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15,174 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52,044 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44,081 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Depreciation and amortization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188,552 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138,333 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508,139 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411,851 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General and administrative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31,682 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18,262 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78,996 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53,234 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Interest expense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23,736 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14,282 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60,980 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42,048 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480,704 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395,230 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1,331,858 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1,188,443 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Height w:val="1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Other increases (decreases) to net income: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Interest and other income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18,976 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Equity in earnings of unconsolidated real estate entities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32,860 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21,240 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81,382 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62,863 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40,906 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(41,900)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73,584 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(52,250)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Gain on sale of real estate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491,628 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325,847 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lastRenderedPageBreak/>
              <w:t xml:space="preserve">Net income allocable to Public Storage shareholders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490,091 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324,867 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1,333,553 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1,005,946 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Allocation of net income to:</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(53,892)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(158,849)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Preferred shareholders - redemptions (Note 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(23,313)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(16,989)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(38,382)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Restricted share units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(746)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(3,678)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442,327 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246,916 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1,174,386 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806,169 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Net income per common share:</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Basic</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Diluted</w:t>
            </w:r>
          </w:p>
        </w:tc>
        <w:tc>
          <w:tcPr>
            <w:tcW w:w="0" w:type="auto"/>
            <w:tcBorders>
              <w:top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2.52 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6.70 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4.62 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313485676"/>
          <w:trHeight w:val="1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Basic weighted average common shares outstanding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174,926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174,503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174,787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174,481</w:t>
            </w:r>
          </w:p>
        </w:tc>
      </w:tr>
      <w:tr w:rsidR="00000000">
        <w:trPr>
          <w:divId w:val="13134856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Diluted weighted average common shares outstanding</w:t>
            </w: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175,806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174,626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175,398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174,606</w:t>
            </w:r>
          </w:p>
        </w:tc>
      </w:tr>
    </w:tbl>
    <w:p w:rsidR="00000000" w:rsidRDefault="008C69C0">
      <w:pPr>
        <w:divId w:val="1411347320"/>
        <w:rPr>
          <w:rFonts w:eastAsia="Times New Roman"/>
        </w:rPr>
      </w:pPr>
    </w:p>
    <w:p w:rsidR="00000000" w:rsidRDefault="008C69C0">
      <w:pPr>
        <w:jc w:val="center"/>
        <w:divId w:val="1760053632"/>
        <w:rPr>
          <w:rFonts w:eastAsia="Times New Roman"/>
        </w:rPr>
      </w:pPr>
      <w:r>
        <w:rPr>
          <w:rFonts w:eastAsia="Times New Roman"/>
          <w:color w:val="000000"/>
          <w:sz w:val="20"/>
          <w:szCs w:val="20"/>
        </w:rPr>
        <w:t>See accompanying notes.</w:t>
      </w:r>
    </w:p>
    <w:p w:rsidR="00000000" w:rsidRDefault="008C69C0">
      <w:pPr>
        <w:jc w:val="center"/>
        <w:divId w:val="1760053632"/>
        <w:rPr>
          <w:rFonts w:eastAsia="Times New Roman"/>
        </w:rPr>
      </w:pPr>
      <w:r>
        <w:rPr>
          <w:rFonts w:eastAsia="Times New Roman"/>
          <w:color w:val="000000"/>
          <w:sz w:val="20"/>
          <w:szCs w:val="20"/>
        </w:rPr>
        <w:t>2</w:t>
      </w:r>
    </w:p>
    <w:p w:rsidR="00000000" w:rsidRDefault="008C69C0">
      <w:pPr>
        <w:rPr>
          <w:rFonts w:eastAsia="Times New Roman"/>
        </w:rPr>
      </w:pPr>
      <w:r>
        <w:rPr>
          <w:rFonts w:eastAsia="Times New Roman"/>
        </w:rPr>
        <w:pict>
          <v:rect id="_x0000_i1028" style="width:0;height:1.5pt" o:hralign="center" o:hrstd="t" o:hr="t" fillcolor="#a0a0a0" stroked="f"/>
        </w:pict>
      </w:r>
    </w:p>
    <w:p w:rsidR="00000000" w:rsidRDefault="008C69C0">
      <w:pPr>
        <w:divId w:val="1728534307"/>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STATEMENTS OF COMPREHENSIVE INCOME</w:t>
      </w:r>
    </w:p>
    <w:p w:rsidR="00000000" w:rsidRDefault="008C69C0">
      <w:pPr>
        <w:jc w:val="center"/>
        <w:divId w:val="1508253490"/>
        <w:rPr>
          <w:rFonts w:eastAsia="Times New Roman"/>
        </w:rPr>
      </w:pPr>
      <w:r>
        <w:rPr>
          <w:rFonts w:eastAsia="Times New Roman"/>
          <w:b/>
          <w:bCs/>
          <w:color w:val="000000"/>
          <w:sz w:val="20"/>
          <w:szCs w:val="20"/>
        </w:rPr>
        <w:t>(Amounts in thousands)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50"/>
        <w:gridCol w:w="37"/>
        <w:gridCol w:w="110"/>
        <w:gridCol w:w="970"/>
        <w:gridCol w:w="36"/>
        <w:gridCol w:w="36"/>
        <w:gridCol w:w="36"/>
        <w:gridCol w:w="36"/>
        <w:gridCol w:w="110"/>
        <w:gridCol w:w="934"/>
        <w:gridCol w:w="36"/>
        <w:gridCol w:w="36"/>
        <w:gridCol w:w="36"/>
        <w:gridCol w:w="36"/>
        <w:gridCol w:w="110"/>
        <w:gridCol w:w="934"/>
        <w:gridCol w:w="36"/>
        <w:gridCol w:w="36"/>
        <w:gridCol w:w="36"/>
        <w:gridCol w:w="36"/>
        <w:gridCol w:w="110"/>
        <w:gridCol w:w="934"/>
        <w:gridCol w:w="36"/>
      </w:tblGrid>
      <w:tr w:rsidR="00000000">
        <w:trPr>
          <w:jc w:val="center"/>
        </w:trPr>
        <w:tc>
          <w:tcPr>
            <w:tcW w:w="50" w:type="pct"/>
            <w:vAlign w:val="center"/>
            <w:hideMark/>
          </w:tcPr>
          <w:p w:rsidR="00000000" w:rsidRDefault="008C69C0">
            <w:pPr>
              <w:jc w:val="center"/>
              <w:rPr>
                <w:rFonts w:eastAsia="Times New Roman"/>
              </w:rPr>
            </w:pPr>
          </w:p>
        </w:tc>
        <w:tc>
          <w:tcPr>
            <w:tcW w:w="216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2020</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Foreign currency exchange (loss) gain on investment in Shurgard</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10,792 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Total comprehensive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484,730 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336,639 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1,328,041 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1,011,341 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8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Comprehensive income allocable to Public Storage shareholders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483,193 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335,659 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1,323,974 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1,008,492 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divId w:val="1616862244"/>
        <w:rPr>
          <w:rFonts w:eastAsia="Times New Roman"/>
        </w:rPr>
      </w:pPr>
    </w:p>
    <w:p w:rsidR="00000000" w:rsidRDefault="008C69C0">
      <w:pPr>
        <w:jc w:val="center"/>
        <w:divId w:val="1880512720"/>
        <w:rPr>
          <w:rFonts w:eastAsia="Times New Roman"/>
        </w:rPr>
      </w:pPr>
      <w:r>
        <w:rPr>
          <w:rFonts w:eastAsia="Times New Roman"/>
          <w:color w:val="000000"/>
          <w:sz w:val="20"/>
          <w:szCs w:val="20"/>
        </w:rPr>
        <w:t>See accompanying notes.</w:t>
      </w:r>
    </w:p>
    <w:p w:rsidR="00000000" w:rsidRDefault="008C69C0">
      <w:pPr>
        <w:jc w:val="center"/>
        <w:divId w:val="1880512720"/>
        <w:rPr>
          <w:rFonts w:eastAsia="Times New Roman"/>
        </w:rPr>
      </w:pPr>
      <w:r>
        <w:rPr>
          <w:rFonts w:eastAsia="Times New Roman"/>
          <w:color w:val="000000"/>
          <w:sz w:val="20"/>
          <w:szCs w:val="20"/>
        </w:rPr>
        <w:t>3</w:t>
      </w:r>
    </w:p>
    <w:p w:rsidR="00000000" w:rsidRDefault="008C69C0">
      <w:pPr>
        <w:rPr>
          <w:rFonts w:eastAsia="Times New Roman"/>
        </w:rPr>
      </w:pPr>
      <w:r>
        <w:rPr>
          <w:rFonts w:eastAsia="Times New Roman"/>
        </w:rPr>
        <w:pict>
          <v:rect id="_x0000_i1029" style="width:0;height:1.5pt" o:hralign="center" o:hrstd="t" o:hr="t" fillcolor="#a0a0a0" stroked="f"/>
        </w:pict>
      </w:r>
    </w:p>
    <w:p w:rsidR="00000000" w:rsidRDefault="008C69C0">
      <w:pPr>
        <w:divId w:val="1922182524"/>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 OF EQUITY</w:t>
      </w:r>
    </w:p>
    <w:p w:rsidR="00000000" w:rsidRDefault="008C69C0">
      <w:pPr>
        <w:jc w:val="center"/>
        <w:rPr>
          <w:rFonts w:eastAsia="Times New Roman"/>
        </w:rPr>
      </w:pPr>
      <w:r>
        <w:rPr>
          <w:rFonts w:eastAsia="Times New Roman"/>
          <w:b/>
          <w:bCs/>
          <w:color w:val="000000"/>
          <w:sz w:val="20"/>
          <w:szCs w:val="20"/>
        </w:rPr>
        <w:t>Three Months Ended September 30, 20</w:t>
      </w:r>
      <w:r>
        <w:rPr>
          <w:rFonts w:eastAsia="Times New Roman"/>
          <w:b/>
          <w:bCs/>
          <w:color w:val="000000"/>
          <w:sz w:val="20"/>
          <w:szCs w:val="20"/>
        </w:rPr>
        <w:t>21</w:t>
      </w:r>
    </w:p>
    <w:p w:rsidR="00000000" w:rsidRDefault="008C69C0">
      <w:pPr>
        <w:jc w:val="center"/>
        <w:rPr>
          <w:rFonts w:eastAsia="Times New Roman"/>
        </w:rPr>
      </w:pPr>
      <w:r>
        <w:rPr>
          <w:rFonts w:eastAsia="Times New Roman"/>
          <w:b/>
          <w:bCs/>
          <w:color w:val="000000"/>
          <w:sz w:val="20"/>
          <w:szCs w:val="20"/>
        </w:rPr>
        <w:t>(Amounts in thousands, except share and per share amounts)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180"/>
        <w:gridCol w:w="39"/>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81"/>
        <w:gridCol w:w="36"/>
        <w:gridCol w:w="36"/>
        <w:gridCol w:w="36"/>
        <w:gridCol w:w="36"/>
        <w:gridCol w:w="120"/>
        <w:gridCol w:w="914"/>
        <w:gridCol w:w="36"/>
        <w:gridCol w:w="36"/>
        <w:gridCol w:w="36"/>
        <w:gridCol w:w="36"/>
        <w:gridCol w:w="110"/>
        <w:gridCol w:w="765"/>
        <w:gridCol w:w="36"/>
        <w:gridCol w:w="36"/>
        <w:gridCol w:w="36"/>
        <w:gridCol w:w="36"/>
        <w:gridCol w:w="117"/>
        <w:gridCol w:w="890"/>
        <w:gridCol w:w="36"/>
        <w:gridCol w:w="36"/>
        <w:gridCol w:w="36"/>
        <w:gridCol w:w="36"/>
        <w:gridCol w:w="110"/>
        <w:gridCol w:w="765"/>
        <w:gridCol w:w="36"/>
      </w:tblGrid>
      <w:tr w:rsidR="00000000">
        <w:trPr>
          <w:jc w:val="center"/>
        </w:trPr>
        <w:tc>
          <w:tcPr>
            <w:tcW w:w="50" w:type="pct"/>
            <w:vAlign w:val="center"/>
            <w:hideMark/>
          </w:tcPr>
          <w:p w:rsidR="00000000" w:rsidRDefault="008C69C0">
            <w:pPr>
              <w:jc w:val="center"/>
              <w:rPr>
                <w:rFonts w:eastAsia="Times New Roman"/>
              </w:rPr>
            </w:pPr>
          </w:p>
        </w:tc>
        <w:tc>
          <w:tcPr>
            <w:tcW w:w="127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r>
            <w:r>
              <w:rPr>
                <w:rFonts w:eastAsia="Times New Roman"/>
                <w:color w:val="000000"/>
                <w:sz w:val="16"/>
                <w:szCs w:val="16"/>
              </w:rPr>
              <w:t>Other Comprehensive Loss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 Equity</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1942834905"/>
              <w:rPr>
                <w:rFonts w:eastAsia="Times New Roman"/>
              </w:rPr>
            </w:pPr>
            <w:r>
              <w:rPr>
                <w:rFonts w:eastAsia="Times New Roman"/>
                <w:b/>
                <w:bCs/>
                <w:color w:val="000000"/>
                <w:sz w:val="18"/>
                <w:szCs w:val="18"/>
              </w:rPr>
              <w:t>Balances at June 30, 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3,871,250 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5,764,672 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863,742)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(46,082)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8,743,584 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19,519 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8,763,103 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divId w:val="1797916910"/>
              <w:rPr>
                <w:rFonts w:eastAsia="Times New Roman"/>
              </w:rPr>
            </w:pPr>
            <w:r>
              <w:rPr>
                <w:rFonts w:eastAsia="Times New Roman"/>
                <w:color w:val="000000"/>
                <w:sz w:val="18"/>
                <w:szCs w:val="18"/>
              </w:rPr>
              <w:t xml:space="preserve">Issuance of 5,750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143,750 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(4,777)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138,973 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138,973 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vAlign w:val="center"/>
            <w:hideMark/>
          </w:tcPr>
          <w:p w:rsidR="00000000" w:rsidRDefault="008C69C0">
            <w:pPr>
              <w:spacing w:after="100"/>
              <w:jc w:val="right"/>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249850791"/>
              <w:rPr>
                <w:rFonts w:eastAsia="Times New Roman"/>
              </w:rPr>
            </w:pPr>
            <w:r>
              <w:rPr>
                <w:rFonts w:eastAsia="Times New Roman"/>
                <w:color w:val="000000"/>
                <w:sz w:val="18"/>
                <w:szCs w:val="18"/>
              </w:rPr>
              <w:t>Issuance of common shares in connection with share-based compensation (183,823 shares)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33,795 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33,814 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33,814 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vAlign w:val="center"/>
            <w:hideMark/>
          </w:tcPr>
          <w:p w:rsidR="00000000" w:rsidRDefault="008C69C0">
            <w:pPr>
              <w:spacing w:after="100"/>
              <w:jc w:val="right"/>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Preferred shareholders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2146894616"/>
              <w:rPr>
                <w:rFonts w:eastAsia="Times New Roman"/>
              </w:rPr>
            </w:pPr>
            <w:r>
              <w:rPr>
                <w:rFonts w:eastAsia="Times New Roman"/>
                <w:color w:val="000000"/>
                <w:sz w:val="18"/>
                <w:szCs w:val="18"/>
              </w:rPr>
              <w:t>Common shareholders and restricted share unitholders ($2.00 per share) (Note 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(351,226)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(351,226)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(351,226)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Other comprehensive loss (Note 2)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959532718"/>
              <w:rPr>
                <w:rFonts w:eastAsia="Times New Roman"/>
              </w:rPr>
            </w:pPr>
            <w:r>
              <w:rPr>
                <w:rFonts w:eastAsia="Times New Roman"/>
                <w:b/>
                <w:bCs/>
                <w:color w:val="000000"/>
                <w:sz w:val="18"/>
                <w:szCs w:val="18"/>
              </w:rPr>
              <w:t>Balances at September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4,015,000 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5,808,943 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(771,114)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(52,980)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9,017,354 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19,944 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9,037,298 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jc w:val="center"/>
        <w:divId w:val="1391734305"/>
        <w:rPr>
          <w:rFonts w:eastAsia="Times New Roman"/>
        </w:rPr>
      </w:pPr>
      <w:r>
        <w:rPr>
          <w:rFonts w:eastAsia="Times New Roman"/>
          <w:color w:val="000000"/>
          <w:sz w:val="20"/>
          <w:szCs w:val="20"/>
        </w:rPr>
        <w:t>See accompanying notes.</w:t>
      </w:r>
    </w:p>
    <w:p w:rsidR="00000000" w:rsidRDefault="008C69C0">
      <w:pPr>
        <w:jc w:val="center"/>
        <w:divId w:val="1391734305"/>
        <w:rPr>
          <w:rFonts w:eastAsia="Times New Roman"/>
        </w:rPr>
      </w:pPr>
      <w:r>
        <w:rPr>
          <w:rFonts w:eastAsia="Times New Roman"/>
          <w:color w:val="000000"/>
          <w:sz w:val="20"/>
          <w:szCs w:val="20"/>
        </w:rPr>
        <w:t>4</w:t>
      </w:r>
    </w:p>
    <w:p w:rsidR="00000000" w:rsidRDefault="008C69C0">
      <w:pPr>
        <w:rPr>
          <w:rFonts w:eastAsia="Times New Roman"/>
        </w:rPr>
      </w:pPr>
      <w:r>
        <w:rPr>
          <w:rFonts w:eastAsia="Times New Roman"/>
        </w:rPr>
        <w:pict>
          <v:rect id="_x0000_i1030" style="width:0;height:1.5pt" o:hralign="center" o:hrstd="t" o:hr="t" fillcolor="#a0a0a0" stroked="f"/>
        </w:pict>
      </w:r>
    </w:p>
    <w:p w:rsidR="00000000" w:rsidRDefault="008C69C0">
      <w:pPr>
        <w:divId w:val="2139715715"/>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 OF EQUITY</w:t>
      </w:r>
    </w:p>
    <w:p w:rsidR="00000000" w:rsidRDefault="008C69C0">
      <w:pPr>
        <w:jc w:val="center"/>
        <w:rPr>
          <w:rFonts w:eastAsia="Times New Roman"/>
        </w:rPr>
      </w:pPr>
      <w:r>
        <w:rPr>
          <w:rFonts w:eastAsia="Times New Roman"/>
          <w:b/>
          <w:bCs/>
          <w:color w:val="000000"/>
          <w:sz w:val="20"/>
          <w:szCs w:val="20"/>
        </w:rPr>
        <w:t>Three Months Ended September 30, 2020</w:t>
      </w:r>
    </w:p>
    <w:p w:rsidR="00000000" w:rsidRDefault="008C69C0">
      <w:pPr>
        <w:jc w:val="center"/>
        <w:rPr>
          <w:rFonts w:eastAsia="Times New Roman"/>
        </w:rPr>
      </w:pPr>
      <w:r>
        <w:rPr>
          <w:rFonts w:eastAsia="Times New Roman"/>
          <w:b/>
          <w:bCs/>
          <w:color w:val="000000"/>
          <w:sz w:val="20"/>
          <w:szCs w:val="20"/>
        </w:rPr>
        <w:t>(Amounts in thousands, except share and per share amounts)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141"/>
        <w:gridCol w:w="40"/>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81"/>
        <w:gridCol w:w="36"/>
        <w:gridCol w:w="36"/>
        <w:gridCol w:w="36"/>
        <w:gridCol w:w="36"/>
        <w:gridCol w:w="120"/>
        <w:gridCol w:w="914"/>
        <w:gridCol w:w="36"/>
        <w:gridCol w:w="36"/>
        <w:gridCol w:w="36"/>
        <w:gridCol w:w="36"/>
        <w:gridCol w:w="110"/>
        <w:gridCol w:w="765"/>
        <w:gridCol w:w="36"/>
        <w:gridCol w:w="36"/>
        <w:gridCol w:w="36"/>
        <w:gridCol w:w="36"/>
        <w:gridCol w:w="117"/>
        <w:gridCol w:w="890"/>
        <w:gridCol w:w="36"/>
        <w:gridCol w:w="36"/>
        <w:gridCol w:w="36"/>
        <w:gridCol w:w="36"/>
        <w:gridCol w:w="110"/>
        <w:gridCol w:w="765"/>
        <w:gridCol w:w="36"/>
      </w:tblGrid>
      <w:tr w:rsidR="00000000">
        <w:trPr>
          <w:jc w:val="center"/>
        </w:trPr>
        <w:tc>
          <w:tcPr>
            <w:tcW w:w="50" w:type="pct"/>
            <w:vAlign w:val="center"/>
            <w:hideMark/>
          </w:tcPr>
          <w:p w:rsidR="00000000" w:rsidRDefault="008C69C0">
            <w:pPr>
              <w:jc w:val="center"/>
              <w:rPr>
                <w:rFonts w:eastAsia="Times New Roman"/>
              </w:rPr>
            </w:pPr>
          </w:p>
        </w:tc>
        <w:tc>
          <w:tcPr>
            <w:tcW w:w="127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 Equity</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780994468"/>
              <w:rPr>
                <w:rFonts w:eastAsia="Times New Roman"/>
              </w:rPr>
            </w:pPr>
            <w:r>
              <w:rPr>
                <w:rFonts w:eastAsia="Times New Roman"/>
                <w:b/>
                <w:bCs/>
                <w:color w:val="000000"/>
                <w:sz w:val="18"/>
                <w:szCs w:val="18"/>
              </w:rPr>
              <w:t>Balances at June 30, 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4,135,000 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5,702,466 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(789,089)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(73,136)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8,992,691 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17,507 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9,010,198 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679889033"/>
              <w:rPr>
                <w:rFonts w:eastAsia="Times New Roman"/>
              </w:rPr>
            </w:pPr>
            <w:r>
              <w:rPr>
                <w:rFonts w:eastAsia="Times New Roman"/>
                <w:color w:val="000000"/>
                <w:sz w:val="18"/>
                <w:szCs w:val="18"/>
              </w:rPr>
              <w:t xml:space="preserve">Issuance of 9,200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(5,429)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224,571 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224,571 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1168591425"/>
              <w:rPr>
                <w:rFonts w:eastAsia="Times New Roman"/>
              </w:rPr>
            </w:pPr>
            <w:r>
              <w:rPr>
                <w:rFonts w:eastAsia="Times New Roman"/>
                <w:color w:val="000000"/>
                <w:sz w:val="18"/>
                <w:szCs w:val="18"/>
              </w:rPr>
              <w:t xml:space="preserve">Redemption of 29,000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772360541"/>
              <w:rPr>
                <w:rFonts w:eastAsia="Times New Roman"/>
              </w:rPr>
            </w:pPr>
            <w:r>
              <w:rPr>
                <w:rFonts w:eastAsia="Times New Roman"/>
                <w:color w:val="000000"/>
                <w:sz w:val="18"/>
                <w:szCs w:val="18"/>
              </w:rPr>
              <w:t>Issuance of common shares in connection with share-based compensation (13,152 shares)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vAlign w:val="center"/>
            <w:hideMark/>
          </w:tcPr>
          <w:p w:rsidR="00000000" w:rsidRDefault="008C69C0">
            <w:pPr>
              <w:spacing w:after="100"/>
              <w:jc w:val="right"/>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8C69C0">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Preferred shareholders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53,892)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(53,892)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(53,892)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94592154"/>
              <w:rPr>
                <w:rFonts w:eastAsia="Times New Roman"/>
              </w:rPr>
            </w:pPr>
            <w:r>
              <w:rPr>
                <w:rFonts w:eastAsia="Times New Roman"/>
                <w:color w:val="000000"/>
                <w:sz w:val="18"/>
                <w:szCs w:val="18"/>
              </w:rPr>
              <w:t>Common shareholders and restricted share unitholders ($2.00 per share) (Note 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(349,836)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(349,836)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(349,836)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Other comprehensive income (Note 2)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10,792 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10,792 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10,792 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556860995"/>
              <w:rPr>
                <w:rFonts w:eastAsia="Times New Roman"/>
              </w:rPr>
            </w:pPr>
            <w:r>
              <w:rPr>
                <w:rFonts w:eastAsia="Times New Roman"/>
                <w:b/>
                <w:bCs/>
                <w:color w:val="000000"/>
                <w:sz w:val="18"/>
                <w:szCs w:val="18"/>
              </w:rPr>
              <w:t>Balances at September 30, 2020</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3,640,000 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5,706,970 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(867,950)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(62,344)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8,434,127 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17,927 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8,452,054 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divId w:val="741873627"/>
        <w:rPr>
          <w:rFonts w:eastAsia="Times New Roman"/>
        </w:rPr>
      </w:pPr>
    </w:p>
    <w:p w:rsidR="00000000" w:rsidRDefault="008C69C0">
      <w:pPr>
        <w:jc w:val="center"/>
        <w:divId w:val="691147152"/>
        <w:rPr>
          <w:rFonts w:eastAsia="Times New Roman"/>
        </w:rPr>
      </w:pPr>
      <w:r>
        <w:rPr>
          <w:rFonts w:eastAsia="Times New Roman"/>
          <w:color w:val="000000"/>
          <w:sz w:val="20"/>
          <w:szCs w:val="20"/>
        </w:rPr>
        <w:t>See accompanying notes.</w:t>
      </w:r>
    </w:p>
    <w:p w:rsidR="00000000" w:rsidRDefault="008C69C0">
      <w:pPr>
        <w:jc w:val="center"/>
        <w:divId w:val="691147152"/>
        <w:rPr>
          <w:rFonts w:eastAsia="Times New Roman"/>
        </w:rPr>
      </w:pPr>
      <w:r>
        <w:rPr>
          <w:rFonts w:eastAsia="Times New Roman"/>
          <w:color w:val="000000"/>
          <w:sz w:val="20"/>
          <w:szCs w:val="20"/>
        </w:rPr>
        <w:t>5</w:t>
      </w:r>
    </w:p>
    <w:p w:rsidR="00000000" w:rsidRDefault="008C69C0">
      <w:pPr>
        <w:rPr>
          <w:rFonts w:eastAsia="Times New Roman"/>
        </w:rPr>
      </w:pPr>
      <w:r>
        <w:rPr>
          <w:rFonts w:eastAsia="Times New Roman"/>
        </w:rPr>
        <w:pict>
          <v:rect id="_x0000_i1031" style="width:0;height:1.5pt" o:hralign="center" o:hrstd="t" o:hr="t" fillcolor="#a0a0a0" stroked="f"/>
        </w:pict>
      </w:r>
    </w:p>
    <w:p w:rsidR="00000000" w:rsidRDefault="008C69C0">
      <w:pPr>
        <w:divId w:val="1282810496"/>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 OF EQUITY</w:t>
      </w:r>
    </w:p>
    <w:p w:rsidR="00000000" w:rsidRDefault="008C69C0">
      <w:pPr>
        <w:jc w:val="center"/>
        <w:rPr>
          <w:rFonts w:eastAsia="Times New Roman"/>
        </w:rPr>
      </w:pPr>
      <w:r>
        <w:rPr>
          <w:rFonts w:eastAsia="Times New Roman"/>
          <w:b/>
          <w:bCs/>
          <w:color w:val="000000"/>
          <w:sz w:val="20"/>
          <w:szCs w:val="20"/>
        </w:rPr>
        <w:t>Nine Months Ended September 30, 2021</w:t>
      </w:r>
    </w:p>
    <w:p w:rsidR="00000000" w:rsidRDefault="008C69C0">
      <w:pPr>
        <w:jc w:val="center"/>
        <w:rPr>
          <w:rFonts w:eastAsia="Times New Roman"/>
        </w:rPr>
      </w:pPr>
      <w:r>
        <w:rPr>
          <w:rFonts w:eastAsia="Times New Roman"/>
          <w:b/>
          <w:bCs/>
          <w:color w:val="000000"/>
          <w:sz w:val="20"/>
          <w:szCs w:val="20"/>
        </w:rPr>
        <w:t>(Amounts in thousands, except share and per share amounts)</w:t>
      </w:r>
    </w:p>
    <w:p w:rsidR="00000000" w:rsidRDefault="008C69C0">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141"/>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81"/>
        <w:gridCol w:w="36"/>
        <w:gridCol w:w="36"/>
        <w:gridCol w:w="36"/>
        <w:gridCol w:w="36"/>
        <w:gridCol w:w="120"/>
        <w:gridCol w:w="914"/>
        <w:gridCol w:w="36"/>
        <w:gridCol w:w="36"/>
        <w:gridCol w:w="36"/>
        <w:gridCol w:w="36"/>
        <w:gridCol w:w="110"/>
        <w:gridCol w:w="765"/>
        <w:gridCol w:w="36"/>
        <w:gridCol w:w="36"/>
        <w:gridCol w:w="36"/>
        <w:gridCol w:w="36"/>
        <w:gridCol w:w="117"/>
        <w:gridCol w:w="890"/>
        <w:gridCol w:w="36"/>
        <w:gridCol w:w="36"/>
        <w:gridCol w:w="36"/>
        <w:gridCol w:w="36"/>
        <w:gridCol w:w="110"/>
        <w:gridCol w:w="765"/>
        <w:gridCol w:w="36"/>
      </w:tblGrid>
      <w:tr w:rsidR="00000000">
        <w:trPr>
          <w:jc w:val="center"/>
        </w:trPr>
        <w:tc>
          <w:tcPr>
            <w:tcW w:w="50" w:type="pct"/>
            <w:vAlign w:val="center"/>
            <w:hideMark/>
          </w:tcPr>
          <w:p w:rsidR="00000000" w:rsidRDefault="008C69C0">
            <w:pPr>
              <w:jc w:val="center"/>
              <w:rPr>
                <w:rFonts w:eastAsia="Times New Roman"/>
              </w:rPr>
            </w:pPr>
          </w:p>
        </w:tc>
        <w:tc>
          <w:tcPr>
            <w:tcW w:w="127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 Equity</w:t>
            </w: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2023117502"/>
              <w:rPr>
                <w:rFonts w:eastAsia="Times New Roman"/>
              </w:rPr>
            </w:pPr>
            <w:r>
              <w:rPr>
                <w:rFonts w:eastAsia="Times New Roman"/>
                <w:b/>
                <w:bCs/>
                <w:color w:val="000000"/>
                <w:sz w:val="18"/>
                <w:szCs w:val="18"/>
              </w:rPr>
              <w:t>Balances at December 31, 2020</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3,792,500 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17,458 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5,707,101 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(914,791)</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(43,401)</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8,558,867 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18,032 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8,576,899 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divId w:val="1641232025"/>
              <w:rPr>
                <w:rFonts w:eastAsia="Times New Roman"/>
              </w:rPr>
            </w:pPr>
            <w:r>
              <w:rPr>
                <w:rFonts w:eastAsia="Times New Roman"/>
                <w:color w:val="000000"/>
                <w:sz w:val="18"/>
                <w:szCs w:val="18"/>
              </w:rPr>
              <w:t xml:space="preserve">Issuance of 29,900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747,500 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(22,189)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725,311 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725,311 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508327968"/>
              <w:rPr>
                <w:rFonts w:eastAsia="Times New Roman"/>
              </w:rPr>
            </w:pPr>
            <w:r>
              <w:rPr>
                <w:rFonts w:eastAsia="Times New Roman"/>
                <w:color w:val="000000"/>
                <w:sz w:val="18"/>
                <w:szCs w:val="18"/>
              </w:rPr>
              <w:t xml:space="preserve">Redemption and shares called for redemption of 21,000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467555990"/>
              <w:rPr>
                <w:rFonts w:eastAsia="Times New Roman"/>
              </w:rPr>
            </w:pPr>
            <w:r>
              <w:rPr>
                <w:rFonts w:eastAsia="Times New Roman"/>
                <w:color w:val="000000"/>
                <w:sz w:val="18"/>
                <w:szCs w:val="18"/>
              </w:rPr>
              <w:t>Issuance of common shares in connection with share-based compensation (466,518 shares) (Note 10)</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81,365 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81,412 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81,412 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Share-based compensation expense, net of cash paid in lieu of common shares (Note 10)</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42,698 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42,698 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42,698 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8C69C0">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Preferred shareholders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(4,513)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(4,513)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1373001038"/>
              <w:rPr>
                <w:rFonts w:eastAsia="Times New Roman"/>
              </w:rPr>
            </w:pPr>
            <w:r>
              <w:rPr>
                <w:rFonts w:eastAsia="Times New Roman"/>
                <w:color w:val="000000"/>
                <w:sz w:val="18"/>
                <w:szCs w:val="18"/>
              </w:rPr>
              <w:t>Common shareholders and restricted share unitholders ($6.00 per share) (Note 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(1,051,376)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(1,051,376)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(1,051,376)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Other comprehensive loss (Note 2)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629021015"/>
              <w:rPr>
                <w:rFonts w:eastAsia="Times New Roman"/>
              </w:rPr>
            </w:pPr>
            <w:r>
              <w:rPr>
                <w:rFonts w:eastAsia="Times New Roman"/>
                <w:b/>
                <w:bCs/>
                <w:color w:val="000000"/>
                <w:sz w:val="18"/>
                <w:szCs w:val="18"/>
              </w:rPr>
              <w:t>Balances at September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4,015,000 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5,808,943 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(771,114)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(52,980)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9,017,354 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19,944 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9,037,298 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jc w:val="center"/>
        <w:divId w:val="1896160840"/>
        <w:rPr>
          <w:rFonts w:eastAsia="Times New Roman"/>
        </w:rPr>
      </w:pPr>
      <w:r>
        <w:rPr>
          <w:rFonts w:eastAsia="Times New Roman"/>
          <w:color w:val="000000"/>
          <w:sz w:val="20"/>
          <w:szCs w:val="20"/>
        </w:rPr>
        <w:t>See accompanying notes.</w:t>
      </w:r>
    </w:p>
    <w:p w:rsidR="00000000" w:rsidRDefault="008C69C0">
      <w:pPr>
        <w:jc w:val="center"/>
        <w:divId w:val="1896160840"/>
        <w:rPr>
          <w:rFonts w:eastAsia="Times New Roman"/>
        </w:rPr>
      </w:pPr>
      <w:r>
        <w:rPr>
          <w:rFonts w:eastAsia="Times New Roman"/>
          <w:color w:val="000000"/>
          <w:sz w:val="20"/>
          <w:szCs w:val="20"/>
        </w:rPr>
        <w:t>6</w:t>
      </w:r>
    </w:p>
    <w:p w:rsidR="00000000" w:rsidRDefault="008C69C0">
      <w:pPr>
        <w:rPr>
          <w:rFonts w:eastAsia="Times New Roman"/>
        </w:rPr>
      </w:pPr>
      <w:r>
        <w:rPr>
          <w:rFonts w:eastAsia="Times New Roman"/>
        </w:rPr>
        <w:pict>
          <v:rect id="_x0000_i1032" style="width:0;height:1.5pt" o:hralign="center" o:hrstd="t" o:hr="t" fillcolor="#a0a0a0" stroked="f"/>
        </w:pict>
      </w:r>
    </w:p>
    <w:p w:rsidR="00000000" w:rsidRDefault="008C69C0">
      <w:pPr>
        <w:divId w:val="128938117"/>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 OF EQUITY</w:t>
      </w:r>
    </w:p>
    <w:p w:rsidR="00000000" w:rsidRDefault="008C69C0">
      <w:pPr>
        <w:jc w:val="center"/>
        <w:rPr>
          <w:rFonts w:eastAsia="Times New Roman"/>
        </w:rPr>
      </w:pPr>
      <w:r>
        <w:rPr>
          <w:rFonts w:eastAsia="Times New Roman"/>
          <w:b/>
          <w:bCs/>
          <w:color w:val="000000"/>
          <w:sz w:val="20"/>
          <w:szCs w:val="20"/>
        </w:rPr>
        <w:t>Nine Months End</w:t>
      </w:r>
      <w:r>
        <w:rPr>
          <w:rFonts w:eastAsia="Times New Roman"/>
          <w:b/>
          <w:bCs/>
          <w:color w:val="000000"/>
          <w:sz w:val="20"/>
          <w:szCs w:val="20"/>
        </w:rPr>
        <w:t>ed September 30, 2020</w:t>
      </w:r>
    </w:p>
    <w:p w:rsidR="00000000" w:rsidRDefault="008C69C0">
      <w:pPr>
        <w:jc w:val="center"/>
        <w:rPr>
          <w:rFonts w:eastAsia="Times New Roman"/>
        </w:rPr>
      </w:pPr>
      <w:r>
        <w:rPr>
          <w:rFonts w:eastAsia="Times New Roman"/>
          <w:b/>
          <w:bCs/>
          <w:color w:val="000000"/>
          <w:sz w:val="20"/>
          <w:szCs w:val="20"/>
        </w:rPr>
        <w:t>(Amounts in thousands, except share and per share amounts)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140"/>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82"/>
        <w:gridCol w:w="36"/>
        <w:gridCol w:w="36"/>
        <w:gridCol w:w="36"/>
        <w:gridCol w:w="36"/>
        <w:gridCol w:w="118"/>
        <w:gridCol w:w="916"/>
        <w:gridCol w:w="36"/>
        <w:gridCol w:w="36"/>
        <w:gridCol w:w="36"/>
        <w:gridCol w:w="36"/>
        <w:gridCol w:w="110"/>
        <w:gridCol w:w="765"/>
        <w:gridCol w:w="36"/>
        <w:gridCol w:w="36"/>
        <w:gridCol w:w="36"/>
        <w:gridCol w:w="36"/>
        <w:gridCol w:w="115"/>
        <w:gridCol w:w="892"/>
        <w:gridCol w:w="36"/>
        <w:gridCol w:w="36"/>
        <w:gridCol w:w="36"/>
        <w:gridCol w:w="36"/>
        <w:gridCol w:w="110"/>
        <w:gridCol w:w="765"/>
        <w:gridCol w:w="36"/>
      </w:tblGrid>
      <w:tr w:rsidR="00000000">
        <w:trPr>
          <w:jc w:val="center"/>
        </w:trPr>
        <w:tc>
          <w:tcPr>
            <w:tcW w:w="50" w:type="pct"/>
            <w:vAlign w:val="center"/>
            <w:hideMark/>
          </w:tcPr>
          <w:p w:rsidR="00000000" w:rsidRDefault="008C69C0">
            <w:pPr>
              <w:jc w:val="center"/>
              <w:rPr>
                <w:rFonts w:eastAsia="Times New Roman"/>
              </w:rPr>
            </w:pPr>
          </w:p>
        </w:tc>
        <w:tc>
          <w:tcPr>
            <w:tcW w:w="123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1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8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6"/>
                <w:szCs w:val="16"/>
              </w:rPr>
              <w:t>Total Equity</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1582789636"/>
              <w:rPr>
                <w:rFonts w:eastAsia="Times New Roman"/>
              </w:rPr>
            </w:pPr>
            <w:r>
              <w:rPr>
                <w:rFonts w:eastAsia="Times New Roman"/>
                <w:b/>
                <w:bCs/>
                <w:color w:val="000000"/>
                <w:sz w:val="18"/>
                <w:szCs w:val="18"/>
              </w:rPr>
              <w:t>Balances at December 31, 2019</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4,065,000 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5,710,934 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(665,575)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(64,890)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9,062,911 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16,756 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9,079,667 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2013794402"/>
              <w:rPr>
                <w:rFonts w:eastAsia="Times New Roman"/>
              </w:rPr>
            </w:pPr>
            <w:r>
              <w:rPr>
                <w:rFonts w:eastAsia="Times New Roman"/>
                <w:color w:val="000000"/>
                <w:sz w:val="18"/>
                <w:szCs w:val="18"/>
              </w:rPr>
              <w:t xml:space="preserve">Issuance of 31,800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(21,259)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773,741 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773,741 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170996801"/>
              <w:rPr>
                <w:rFonts w:eastAsia="Times New Roman"/>
              </w:rPr>
            </w:pPr>
            <w:r>
              <w:rPr>
                <w:rFonts w:eastAsia="Times New Roman"/>
                <w:color w:val="000000"/>
                <w:sz w:val="18"/>
                <w:szCs w:val="18"/>
              </w:rPr>
              <w:t xml:space="preserve">Redemption of 48,800 preferred shares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(1,220,000)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(1,220,000)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(1,220,000)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724525521"/>
              <w:rPr>
                <w:rFonts w:eastAsia="Times New Roman"/>
              </w:rPr>
            </w:pPr>
            <w:r>
              <w:rPr>
                <w:rFonts w:eastAsia="Times New Roman"/>
                <w:color w:val="000000"/>
                <w:sz w:val="18"/>
                <w:szCs w:val="18"/>
              </w:rPr>
              <w:t>Issuance of common shares in connection with share-based compensation (93,455 shares)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8C69C0">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Preferred shareholders (Note 8)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158,849)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(158,849)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(158,849)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(3,968)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(3,968)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ind w:hanging="90"/>
              <w:divId w:val="640575871"/>
              <w:rPr>
                <w:rFonts w:eastAsia="Times New Roman"/>
              </w:rPr>
            </w:pPr>
            <w:r>
              <w:rPr>
                <w:rFonts w:eastAsia="Times New Roman"/>
                <w:color w:val="000000"/>
                <w:sz w:val="18"/>
                <w:szCs w:val="18"/>
              </w:rPr>
              <w:t>Common shareholders and restricted share unitholders ($6.00 per share) (Note 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(1,049,472)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(1,049,472)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(1,049,472)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Other comprehensive income (Note 2)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C69C0">
            <w:pPr>
              <w:spacing w:after="100"/>
              <w:divId w:val="1553733571"/>
              <w:rPr>
                <w:rFonts w:eastAsia="Times New Roman"/>
              </w:rPr>
            </w:pPr>
            <w:r>
              <w:rPr>
                <w:rFonts w:eastAsia="Times New Roman"/>
                <w:b/>
                <w:bCs/>
                <w:color w:val="000000"/>
                <w:sz w:val="18"/>
                <w:szCs w:val="18"/>
              </w:rPr>
              <w:t>Balances at September 30, 2020</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3,640,000 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17,451 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5,706,970 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(867,950)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(62,344)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8,434,127 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17,927 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8,452,054 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divId w:val="1818178958"/>
        <w:rPr>
          <w:rFonts w:eastAsia="Times New Roman"/>
        </w:rPr>
      </w:pPr>
    </w:p>
    <w:p w:rsidR="00000000" w:rsidRDefault="008C69C0">
      <w:pPr>
        <w:jc w:val="center"/>
        <w:divId w:val="400907156"/>
        <w:rPr>
          <w:rFonts w:eastAsia="Times New Roman"/>
        </w:rPr>
      </w:pPr>
      <w:r>
        <w:rPr>
          <w:rFonts w:eastAsia="Times New Roman"/>
          <w:color w:val="000000"/>
          <w:sz w:val="20"/>
          <w:szCs w:val="20"/>
        </w:rPr>
        <w:t>See accompanying notes.</w:t>
      </w:r>
    </w:p>
    <w:p w:rsidR="00000000" w:rsidRDefault="008C69C0">
      <w:pPr>
        <w:jc w:val="center"/>
        <w:divId w:val="400907156"/>
        <w:rPr>
          <w:rFonts w:eastAsia="Times New Roman"/>
        </w:rPr>
      </w:pPr>
      <w:r>
        <w:rPr>
          <w:rFonts w:eastAsia="Times New Roman"/>
          <w:color w:val="000000"/>
          <w:sz w:val="20"/>
          <w:szCs w:val="20"/>
        </w:rPr>
        <w:t>7</w:t>
      </w:r>
    </w:p>
    <w:p w:rsidR="00000000" w:rsidRDefault="008C69C0">
      <w:pPr>
        <w:rPr>
          <w:rFonts w:eastAsia="Times New Roman"/>
        </w:rPr>
      </w:pPr>
      <w:r>
        <w:rPr>
          <w:rFonts w:eastAsia="Times New Roman"/>
        </w:rPr>
        <w:pict>
          <v:rect id="_x0000_i1033" style="width:0;height:1.5pt" o:hralign="center" o:hrstd="t" o:hr="t" fillcolor="#a0a0a0" stroked="f"/>
        </w:pict>
      </w:r>
    </w:p>
    <w:p w:rsidR="00000000" w:rsidRDefault="008C69C0">
      <w:pPr>
        <w:divId w:val="628243265"/>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STATEMENTS OF CASH FLOWS</w:t>
      </w:r>
    </w:p>
    <w:p w:rsidR="00000000" w:rsidRDefault="008C69C0">
      <w:pPr>
        <w:jc w:val="center"/>
        <w:rPr>
          <w:rFonts w:eastAsia="Times New Roman"/>
        </w:rPr>
      </w:pPr>
      <w:r>
        <w:rPr>
          <w:rFonts w:eastAsia="Times New Roman"/>
          <w:b/>
          <w:bCs/>
          <w:color w:val="000000"/>
          <w:sz w:val="20"/>
          <w:szCs w:val="20"/>
        </w:rPr>
        <w:t>(Amounts in thousands)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471"/>
        <w:gridCol w:w="40"/>
        <w:gridCol w:w="110"/>
        <w:gridCol w:w="1190"/>
        <w:gridCol w:w="36"/>
        <w:gridCol w:w="36"/>
        <w:gridCol w:w="36"/>
        <w:gridCol w:w="36"/>
        <w:gridCol w:w="110"/>
        <w:gridCol w:w="1161"/>
        <w:gridCol w:w="36"/>
      </w:tblGrid>
      <w:tr w:rsidR="00000000">
        <w:trPr>
          <w:divId w:val="1081829071"/>
        </w:trPr>
        <w:tc>
          <w:tcPr>
            <w:tcW w:w="50" w:type="pct"/>
            <w:vAlign w:val="center"/>
            <w:hideMark/>
          </w:tcPr>
          <w:p w:rsidR="00000000" w:rsidRDefault="008C69C0">
            <w:pPr>
              <w:jc w:val="center"/>
              <w:rPr>
                <w:rFonts w:eastAsia="Times New Roman"/>
              </w:rPr>
            </w:pPr>
          </w:p>
        </w:tc>
        <w:tc>
          <w:tcPr>
            <w:tcW w:w="331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4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4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For the Nine Months Ended September 30,</w:t>
            </w: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2020</w:t>
            </w: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r>
      <w:tr w:rsidR="00000000">
        <w:trPr>
          <w:divId w:val="108182907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Adjustments to reconcile net income to net cash flows from operating activities: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(13,683)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(1,117)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508,139 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411,851 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(81,382)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(62,863)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Distributions from cumulative equity in earnings of unconsolidated real estate entities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59,251 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52,499 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(73,584)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52,250 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47,647 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21,535 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Other </w:t>
            </w:r>
          </w:p>
        </w:tc>
        <w:tc>
          <w:tcPr>
            <w:tcW w:w="0" w:type="auto"/>
            <w:gridSpan w:val="2"/>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30,712 </w:t>
            </w:r>
          </w:p>
        </w:tc>
        <w:tc>
          <w:tcPr>
            <w:tcW w:w="0" w:type="auto"/>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47,390 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56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Total adjustments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477,100 </w:t>
            </w:r>
          </w:p>
        </w:tc>
        <w:tc>
          <w:tcPr>
            <w:tcW w:w="0" w:type="auto"/>
            <w:tcBorders>
              <w:top w:val="single" w:sz="8" w:space="0" w:color="000000"/>
            </w:tcBorders>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521,545 </w:t>
            </w:r>
          </w:p>
        </w:tc>
        <w:tc>
          <w:tcPr>
            <w:tcW w:w="0" w:type="auto"/>
            <w:tcBorders>
              <w:top w:val="single" w:sz="8" w:space="0" w:color="000000"/>
            </w:tcBorders>
            <w:tcMar>
              <w:top w:w="30" w:type="dxa"/>
              <w:left w:w="0" w:type="dxa"/>
              <w:bottom w:w="30" w:type="dxa"/>
              <w:right w:w="20" w:type="dxa"/>
            </w:tcMar>
            <w:vAlign w:val="center"/>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44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cash flows from operating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1,814,720 </w:t>
            </w:r>
          </w:p>
        </w:tc>
        <w:tc>
          <w:tcPr>
            <w:tcW w:w="0" w:type="auto"/>
            <w:tcBorders>
              <w:top w:val="single" w:sz="8" w:space="0" w:color="000000"/>
            </w:tcBorders>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1,530,340 </w:t>
            </w:r>
          </w:p>
        </w:tc>
        <w:tc>
          <w:tcPr>
            <w:tcW w:w="0" w:type="auto"/>
            <w:tcBorders>
              <w:top w:val="single" w:sz="8" w:space="0" w:color="000000"/>
            </w:tcBorders>
            <w:tcMar>
              <w:top w:w="30" w:type="dxa"/>
              <w:left w:w="0" w:type="dxa"/>
              <w:bottom w:w="30" w:type="dxa"/>
              <w:right w:w="20" w:type="dxa"/>
            </w:tcMar>
            <w:vAlign w:val="center"/>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Cash flows from investing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(169,103)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(132,969)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Development and expansion of real estate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(201,527)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(132,476)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Acquisition of real estate facilities and intangible assets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(2,845,284)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(282,417)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443"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Distributions in excess of cumulative equity in earnings from unconsolidated real estate entities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10,803 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Repayment of note receivable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7,509 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Proceeds from sale of real estate investments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16,070 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44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cash flows used in investing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(3,191,079)</w:t>
            </w:r>
          </w:p>
        </w:tc>
        <w:tc>
          <w:tcPr>
            <w:tcW w:w="0" w:type="auto"/>
            <w:tcBorders>
              <w:top w:val="single" w:sz="8" w:space="0" w:color="000000"/>
            </w:tcBorders>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(528,151)</w:t>
            </w:r>
          </w:p>
        </w:tc>
        <w:tc>
          <w:tcPr>
            <w:tcW w:w="0" w:type="auto"/>
            <w:tcBorders>
              <w:top w:val="single" w:sz="8" w:space="0" w:color="000000"/>
            </w:tcBorders>
            <w:tcMar>
              <w:top w:w="30" w:type="dxa"/>
              <w:left w:w="0" w:type="dxa"/>
              <w:bottom w:w="30" w:type="dxa"/>
              <w:right w:w="20" w:type="dxa"/>
            </w:tcMar>
            <w:vAlign w:val="center"/>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Cash flows from financing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Repayments on notes payable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(1,585)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(1,505)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Issuance of notes payable, net of issuance costs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3,300,160 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545,151 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Issuance of preferred shares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725,311 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773,741 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Issuance of common shares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81,412 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Redemption of preferred shares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(825,000)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w:t>
            </w:r>
            <w:r>
              <w:rPr>
                <w:rFonts w:eastAsia="Times New Roman"/>
                <w:color w:val="000000"/>
                <w:sz w:val="18"/>
                <w:szCs w:val="18"/>
              </w:rPr>
              <w:t>1,220,000)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Cash paid upon vesting of restricted share units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(10,438)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(9,704)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Acquisition of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Contributions by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Distributions paid to preferred shareholders, common shareholders and restricted share unitholders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(1,189,876)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(1,208,321)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Distributions paid to noncontrolling interests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(4,513)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(3,968)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44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cash flows provided by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2,077,797 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(1,116,843)</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Net cash flows from operating, investing, and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701,438 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(114,654)</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Net effect of foreign exchange impact on cash and equivalents, including restricted cash</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08182907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Increase (decrease) in cash and equivalents, including restricted cash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701,751 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(114,846)</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jc w:val="center"/>
        <w:divId w:val="1039476994"/>
        <w:rPr>
          <w:rFonts w:eastAsia="Times New Roman"/>
        </w:rPr>
      </w:pPr>
      <w:r>
        <w:rPr>
          <w:rFonts w:eastAsia="Times New Roman"/>
          <w:color w:val="000000"/>
          <w:sz w:val="20"/>
          <w:szCs w:val="20"/>
        </w:rPr>
        <w:t>See accompanying notes.</w:t>
      </w:r>
    </w:p>
    <w:p w:rsidR="00000000" w:rsidRDefault="008C69C0">
      <w:pPr>
        <w:jc w:val="center"/>
        <w:divId w:val="1039476994"/>
        <w:rPr>
          <w:rFonts w:eastAsia="Times New Roman"/>
        </w:rPr>
      </w:pPr>
      <w:r>
        <w:rPr>
          <w:rFonts w:eastAsia="Times New Roman"/>
          <w:color w:val="000000"/>
          <w:sz w:val="20"/>
          <w:szCs w:val="20"/>
        </w:rPr>
        <w:t>8</w:t>
      </w:r>
    </w:p>
    <w:p w:rsidR="00000000" w:rsidRDefault="008C69C0">
      <w:pPr>
        <w:rPr>
          <w:rFonts w:eastAsia="Times New Roman"/>
        </w:rPr>
      </w:pPr>
      <w:r>
        <w:rPr>
          <w:rFonts w:eastAsia="Times New Roman"/>
        </w:rPr>
        <w:pict>
          <v:rect id="_x0000_i1034" style="width:0;height:1.5pt" o:hralign="center" o:hrstd="t" o:hr="t" fillcolor="#a0a0a0" stroked="f"/>
        </w:pict>
      </w:r>
    </w:p>
    <w:p w:rsidR="00000000" w:rsidRDefault="008C69C0">
      <w:pPr>
        <w:divId w:val="803156854"/>
        <w:rPr>
          <w:rFonts w:eastAsia="Times New Roman"/>
        </w:rPr>
      </w:pPr>
    </w:p>
    <w:p w:rsidR="00000000" w:rsidRDefault="008C69C0">
      <w:pPr>
        <w:jc w:val="center"/>
        <w:rPr>
          <w:rFonts w:eastAsia="Times New Roman"/>
        </w:rPr>
      </w:pPr>
      <w:r>
        <w:rPr>
          <w:rFonts w:eastAsia="Times New Roman"/>
          <w:b/>
          <w:bCs/>
          <w:color w:val="000000"/>
          <w:sz w:val="20"/>
          <w:szCs w:val="20"/>
        </w:rPr>
        <w:t>PUBLIC STORAGE</w:t>
      </w:r>
    </w:p>
    <w:p w:rsidR="00000000" w:rsidRDefault="008C69C0">
      <w:pPr>
        <w:jc w:val="center"/>
        <w:rPr>
          <w:rFonts w:eastAsia="Times New Roman"/>
        </w:rPr>
      </w:pPr>
      <w:r>
        <w:rPr>
          <w:rFonts w:eastAsia="Times New Roman"/>
          <w:b/>
          <w:bCs/>
          <w:color w:val="000000"/>
          <w:sz w:val="20"/>
          <w:szCs w:val="20"/>
        </w:rPr>
        <w:t>STATEMENTS OF CASH FLOWS</w:t>
      </w:r>
    </w:p>
    <w:p w:rsidR="00000000" w:rsidRDefault="008C69C0">
      <w:pPr>
        <w:jc w:val="center"/>
        <w:rPr>
          <w:rFonts w:eastAsia="Times New Roman"/>
        </w:rPr>
      </w:pPr>
      <w:r>
        <w:rPr>
          <w:rFonts w:eastAsia="Times New Roman"/>
          <w:b/>
          <w:bCs/>
          <w:color w:val="000000"/>
          <w:sz w:val="20"/>
          <w:szCs w:val="20"/>
        </w:rPr>
        <w:t>(Amounts in thousands)</w:t>
      </w:r>
    </w:p>
    <w:p w:rsidR="00000000" w:rsidRDefault="008C69C0">
      <w:pPr>
        <w:jc w:val="center"/>
        <w:rPr>
          <w:rFonts w:eastAsia="Times New Roman"/>
        </w:rPr>
      </w:pPr>
      <w:r>
        <w:rPr>
          <w:rFonts w:eastAsia="Times New Roman"/>
          <w:b/>
          <w:bCs/>
          <w:color w:val="000000"/>
          <w:sz w:val="20"/>
          <w:szCs w:val="20"/>
        </w:rPr>
        <w:t>(Unaudited)</w:t>
      </w:r>
    </w:p>
    <w:p w:rsidR="00000000" w:rsidRDefault="008C69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471"/>
        <w:gridCol w:w="38"/>
        <w:gridCol w:w="110"/>
        <w:gridCol w:w="1191"/>
        <w:gridCol w:w="36"/>
        <w:gridCol w:w="36"/>
        <w:gridCol w:w="36"/>
        <w:gridCol w:w="36"/>
        <w:gridCol w:w="110"/>
        <w:gridCol w:w="1162"/>
        <w:gridCol w:w="36"/>
      </w:tblGrid>
      <w:tr w:rsidR="00000000">
        <w:trPr>
          <w:jc w:val="center"/>
        </w:trPr>
        <w:tc>
          <w:tcPr>
            <w:tcW w:w="50" w:type="pct"/>
            <w:vAlign w:val="center"/>
            <w:hideMark/>
          </w:tcPr>
          <w:p w:rsidR="00000000" w:rsidRDefault="008C69C0">
            <w:pPr>
              <w:jc w:val="center"/>
              <w:rPr>
                <w:rFonts w:eastAsia="Times New Roman"/>
              </w:rPr>
            </w:pPr>
          </w:p>
        </w:tc>
        <w:tc>
          <w:tcPr>
            <w:tcW w:w="331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4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4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For the 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8"/>
                <w:szCs w:val="18"/>
              </w:rPr>
              <w:t>2020</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Cash and equivalents, including restricted cash at beginning of the period: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409,743 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23,811 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433,554 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Cash and equivalents, including restricted cash at end of the period: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958,247 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293,955 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26,104 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24,753 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984,351 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318,708 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Supplemental schedule of non-cash investing and financing activities: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Costs incurred during the period remaining unpaid at period end for:</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Capital expenditures to maintain real estate facilities </w:t>
            </w:r>
          </w:p>
        </w:tc>
        <w:tc>
          <w:tcPr>
            <w:tcW w:w="0" w:type="auto"/>
            <w:tcMar>
              <w:top w:w="30" w:type="dxa"/>
              <w:left w:w="20" w:type="dxa"/>
              <w:bottom w:w="30" w:type="dxa"/>
              <w:right w:w="0" w:type="dxa"/>
            </w:tcMar>
            <w:vAlign w:val="center"/>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(18,243)</w:t>
            </w:r>
          </w:p>
        </w:tc>
        <w:tc>
          <w:tcPr>
            <w:tcW w:w="0" w:type="auto"/>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(9,434)</w:t>
            </w:r>
          </w:p>
        </w:tc>
        <w:tc>
          <w:tcPr>
            <w:tcW w:w="0" w:type="auto"/>
            <w:tcMar>
              <w:top w:w="30" w:type="dxa"/>
              <w:left w:w="0" w:type="dxa"/>
              <w:bottom w:w="30" w:type="dxa"/>
              <w:right w:w="20" w:type="dxa"/>
            </w:tcMar>
            <w:vAlign w:val="center"/>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Construction or expansion of real estate facilities</w:t>
            </w:r>
          </w:p>
        </w:tc>
        <w:tc>
          <w:tcPr>
            <w:tcW w:w="0" w:type="auto"/>
            <w:gridSpan w:val="2"/>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(39,305)</w:t>
            </w:r>
          </w:p>
        </w:tc>
        <w:tc>
          <w:tcPr>
            <w:tcW w:w="0" w:type="auto"/>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(34,715)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center"/>
            <w:hideMark/>
          </w:tcPr>
          <w:p w:rsidR="00000000" w:rsidRDefault="008C69C0">
            <w:pPr>
              <w:spacing w:after="100"/>
              <w:jc w:val="right"/>
              <w:rPr>
                <w:rFonts w:eastAsia="Times New Roman"/>
              </w:rPr>
            </w:pPr>
            <w:r>
              <w:rPr>
                <w:rFonts w:eastAsia="Times New Roman"/>
                <w:color w:val="000000"/>
                <w:sz w:val="18"/>
                <w:szCs w:val="18"/>
              </w:rPr>
              <w:t>57,548 </w:t>
            </w:r>
          </w:p>
        </w:tc>
        <w:tc>
          <w:tcPr>
            <w:tcW w:w="0" w:type="auto"/>
            <w:tcMar>
              <w:top w:w="30" w:type="dxa"/>
              <w:left w:w="0" w:type="dxa"/>
              <w:bottom w:w="3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44,149 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jc w:val="center"/>
        </w:trPr>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r>
      <w:tr w:rsidR="00000000">
        <w:trPr>
          <w:jc w:val="center"/>
        </w:trPr>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r>
    </w:tbl>
    <w:p w:rsidR="00000000" w:rsidRDefault="008C69C0">
      <w:pPr>
        <w:divId w:val="120346261"/>
        <w:rPr>
          <w:rFonts w:eastAsia="Times New Roman"/>
        </w:rPr>
      </w:pPr>
    </w:p>
    <w:p w:rsidR="00000000" w:rsidRDefault="008C69C0">
      <w:pPr>
        <w:jc w:val="center"/>
        <w:divId w:val="875315158"/>
        <w:rPr>
          <w:rFonts w:eastAsia="Times New Roman"/>
        </w:rPr>
      </w:pPr>
      <w:r>
        <w:rPr>
          <w:rFonts w:eastAsia="Times New Roman"/>
          <w:color w:val="000000"/>
          <w:sz w:val="20"/>
          <w:szCs w:val="20"/>
        </w:rPr>
        <w:t>See accompanying notes.</w:t>
      </w:r>
    </w:p>
    <w:p w:rsidR="00000000" w:rsidRDefault="008C69C0">
      <w:pPr>
        <w:jc w:val="center"/>
        <w:divId w:val="875315158"/>
        <w:rPr>
          <w:rFonts w:eastAsia="Times New Roman"/>
        </w:rPr>
      </w:pPr>
      <w:r>
        <w:rPr>
          <w:rFonts w:eastAsia="Times New Roman"/>
          <w:color w:val="000000"/>
          <w:sz w:val="20"/>
          <w:szCs w:val="20"/>
        </w:rPr>
        <w:t>9</w:t>
      </w:r>
    </w:p>
    <w:p w:rsidR="00000000" w:rsidRDefault="008C69C0">
      <w:pPr>
        <w:rPr>
          <w:rFonts w:eastAsia="Times New Roman"/>
        </w:rPr>
      </w:pPr>
      <w:r>
        <w:rPr>
          <w:rFonts w:eastAsia="Times New Roman"/>
        </w:rPr>
        <w:pict>
          <v:rect id="_x0000_i1035" style="width:0;height:1.5pt" o:hralign="center" o:hrstd="t" o:hr="t" fillcolor="#a0a0a0" stroked="f"/>
        </w:pict>
      </w:r>
    </w:p>
    <w:p w:rsidR="00000000" w:rsidRDefault="008C69C0">
      <w:pPr>
        <w:jc w:val="center"/>
        <w:divId w:val="1289701321"/>
        <w:rPr>
          <w:rFonts w:eastAsia="Times New Roman"/>
        </w:rPr>
      </w:pPr>
      <w:r>
        <w:rPr>
          <w:rFonts w:eastAsia="Times New Roman"/>
          <w:b/>
          <w:bCs/>
          <w:color w:val="000000"/>
          <w:sz w:val="20"/>
          <w:szCs w:val="20"/>
        </w:rPr>
        <w:t>PUBLIC STORAGE</w:t>
      </w:r>
    </w:p>
    <w:p w:rsidR="00000000" w:rsidRDefault="008C69C0">
      <w:pPr>
        <w:jc w:val="center"/>
        <w:divId w:val="1289701321"/>
        <w:rPr>
          <w:rFonts w:eastAsia="Times New Roman"/>
        </w:rPr>
      </w:pPr>
      <w:r>
        <w:rPr>
          <w:rFonts w:eastAsia="Times New Roman"/>
          <w:b/>
          <w:bCs/>
          <w:color w:val="000000"/>
          <w:sz w:val="20"/>
          <w:szCs w:val="20"/>
        </w:rPr>
        <w:t>NOTES TO FINANCIAL STATEMENTS</w:t>
      </w:r>
    </w:p>
    <w:p w:rsidR="00000000" w:rsidRDefault="008C69C0">
      <w:pPr>
        <w:jc w:val="center"/>
        <w:divId w:val="1289701321"/>
        <w:rPr>
          <w:rFonts w:eastAsia="Times New Roman"/>
        </w:rPr>
      </w:pPr>
      <w:r>
        <w:rPr>
          <w:rFonts w:eastAsia="Times New Roman"/>
          <w:b/>
          <w:bCs/>
          <w:color w:val="000000"/>
          <w:sz w:val="20"/>
          <w:szCs w:val="20"/>
        </w:rPr>
        <w:t>September 30, 2021</w:t>
      </w:r>
    </w:p>
    <w:p w:rsidR="00000000" w:rsidRDefault="008C69C0">
      <w:pPr>
        <w:jc w:val="center"/>
        <w:divId w:val="1289701321"/>
        <w:rPr>
          <w:rFonts w:eastAsia="Times New Roman"/>
        </w:rPr>
      </w:pPr>
      <w:r>
        <w:rPr>
          <w:rFonts w:eastAsia="Times New Roman"/>
          <w:b/>
          <w:bCs/>
          <w:color w:val="000000"/>
          <w:sz w:val="20"/>
          <w:szCs w:val="20"/>
        </w:rPr>
        <w:t>(unaudited)</w:t>
      </w:r>
    </w:p>
    <w:p w:rsidR="00000000" w:rsidRDefault="008C69C0">
      <w:pPr>
        <w:divId w:val="2101561594"/>
        <w:rPr>
          <w:rFonts w:eastAsia="Times New Roman"/>
        </w:rPr>
      </w:pPr>
    </w:p>
    <w:p w:rsidR="00000000" w:rsidRDefault="008C69C0">
      <w:pPr>
        <w:ind w:hanging="360"/>
        <w:divId w:val="1206866879"/>
        <w:rPr>
          <w:rFonts w:eastAsia="Times New Roman"/>
        </w:rPr>
      </w:pPr>
      <w:r>
        <w:rPr>
          <w:rFonts w:eastAsia="Times New Roman"/>
          <w:color w:val="000000"/>
          <w:sz w:val="20"/>
          <w:szCs w:val="20"/>
        </w:rPr>
        <w:t>1.</w:t>
      </w:r>
      <w:r>
        <w:rPr>
          <w:rFonts w:eastAsia="Times New Roman"/>
          <w:color w:val="000000"/>
          <w:sz w:val="20"/>
          <w:szCs w:val="20"/>
          <w:u w:val="single"/>
        </w:rPr>
        <w:t>Description of the Business</w:t>
      </w:r>
    </w:p>
    <w:p w:rsidR="00000000" w:rsidRDefault="008C69C0">
      <w:pPr>
        <w:ind w:firstLine="720"/>
        <w:jc w:val="both"/>
        <w:divId w:val="1944069715"/>
        <w:rPr>
          <w:rFonts w:eastAsia="Times New Roman"/>
        </w:rPr>
      </w:pPr>
      <w:r>
        <w:rPr>
          <w:rFonts w:eastAsia="Times New Roman"/>
          <w:color w:val="000000"/>
          <w:sz w:val="20"/>
          <w:szCs w:val="20"/>
        </w:rPr>
        <w:t>Public Storage (referred to herein as “the Company,” “we,” “us,” or “our”), a Maryland real estate investment tr</w:t>
      </w:r>
      <w:r>
        <w:rPr>
          <w:rFonts w:eastAsia="Times New Roman"/>
          <w:color w:val="000000"/>
          <w:sz w:val="20"/>
          <w:szCs w:val="20"/>
        </w:rPr>
        <w:t>ust (“REIT”), was organized in 1980. Our principal business activities include the ownership and operation of self-storage facilities that offer storage spaces for lease, generally on a month-to-month basis, for personal and business use, ancillary activit</w:t>
      </w:r>
      <w:r>
        <w:rPr>
          <w:rFonts w:eastAsia="Times New Roman"/>
          <w:color w:val="000000"/>
          <w:sz w:val="20"/>
          <w:szCs w:val="20"/>
        </w:rPr>
        <w:t xml:space="preserve">ies such as tenant reinsurance to the tenants at our self-storage facilities, merchandise sales, and third party management, as well as the acquisition and development of additional self-storage space. </w:t>
      </w:r>
    </w:p>
    <w:p w:rsidR="00000000" w:rsidRDefault="008C69C0">
      <w:pPr>
        <w:ind w:firstLine="720"/>
        <w:jc w:val="both"/>
        <w:divId w:val="1577007493"/>
        <w:rPr>
          <w:rFonts w:eastAsia="Times New Roman"/>
        </w:rPr>
      </w:pPr>
      <w:r>
        <w:rPr>
          <w:rFonts w:eastAsia="Times New Roman"/>
          <w:color w:val="000000"/>
          <w:sz w:val="20"/>
          <w:szCs w:val="20"/>
        </w:rPr>
        <w:t>At September 30, 2021, we have direct and indirect eq</w:t>
      </w:r>
      <w:r>
        <w:rPr>
          <w:rFonts w:eastAsia="Times New Roman"/>
          <w:color w:val="000000"/>
          <w:sz w:val="20"/>
          <w:szCs w:val="20"/>
        </w:rPr>
        <w:t xml:space="preserve">uity interests in 2,678 self-storage facilities (with approximately 186.4 million net rentable square feet) located in 39 states in the United States (“U.S.”) operating under the Public Storage® name, and 0.9 million net rentable square feet of commercial </w:t>
      </w:r>
      <w:r>
        <w:rPr>
          <w:rFonts w:eastAsia="Times New Roman"/>
          <w:color w:val="000000"/>
          <w:sz w:val="20"/>
          <w:szCs w:val="20"/>
        </w:rPr>
        <w:t xml:space="preserve">and retail space. </w:t>
      </w:r>
    </w:p>
    <w:p w:rsidR="00000000" w:rsidRDefault="008C69C0">
      <w:pPr>
        <w:ind w:firstLine="720"/>
        <w:jc w:val="both"/>
        <w:divId w:val="1322660207"/>
        <w:rPr>
          <w:rFonts w:eastAsia="Times New Roman"/>
        </w:rPr>
      </w:pPr>
      <w:r>
        <w:rPr>
          <w:rFonts w:eastAsia="Times New Roman"/>
          <w:color w:val="000000"/>
          <w:sz w:val="20"/>
          <w:szCs w:val="20"/>
        </w:rPr>
        <w:t>We own an approximate 35% common equity interest in Shurgard Self Storage SA (“Shurgard”), a public company traded on Euronext Brussels under the “SHUR” symbol, which owns 247 self-storage facilities (with approximately 13 million net re</w:t>
      </w:r>
      <w:r>
        <w:rPr>
          <w:rFonts w:eastAsia="Times New Roman"/>
          <w:color w:val="000000"/>
          <w:sz w:val="20"/>
          <w:szCs w:val="20"/>
        </w:rPr>
        <w:t xml:space="preserve">ntable square feet) located in seven Western European countries, all operating under the Shurgard® name. We also own an approximate 42% common equity interest in PS Business Parks, Inc. (“PSB”), a REIT traded on the New York Stock Exchange under the “PSB” </w:t>
      </w:r>
      <w:r>
        <w:rPr>
          <w:rFonts w:eastAsia="Times New Roman"/>
          <w:color w:val="000000"/>
          <w:sz w:val="20"/>
          <w:szCs w:val="20"/>
        </w:rPr>
        <w:t>symbol, which owns 28 million net rentable square feet of commercial properties, primarily multi-tenant industrial, flex, and office space, located in six states.</w:t>
      </w:r>
    </w:p>
    <w:p w:rsidR="00000000" w:rsidRDefault="008C69C0">
      <w:pPr>
        <w:ind w:firstLine="720"/>
        <w:jc w:val="both"/>
        <w:divId w:val="1979262689"/>
        <w:rPr>
          <w:rFonts w:eastAsia="Times New Roman"/>
        </w:rPr>
      </w:pPr>
      <w:r>
        <w:rPr>
          <w:rFonts w:eastAsia="Times New Roman"/>
          <w:color w:val="000000"/>
          <w:sz w:val="20"/>
          <w:szCs w:val="20"/>
        </w:rPr>
        <w:t>Disclosures of the number and square footage of facilities, as well as the number and coverag</w:t>
      </w:r>
      <w:r>
        <w:rPr>
          <w:rFonts w:eastAsia="Times New Roman"/>
          <w:color w:val="000000"/>
          <w:sz w:val="20"/>
          <w:szCs w:val="20"/>
        </w:rPr>
        <w:t>e of tenant reinsurance policies (Note 12) are unaudited and outside the scope of our independent registered public accounting firm’s review of our financial statements in accordance with the standards of the Public Company Accounting Oversight Board (U.S.</w:t>
      </w:r>
      <w:r>
        <w:rPr>
          <w:rFonts w:eastAsia="Times New Roman"/>
          <w:color w:val="000000"/>
          <w:sz w:val="20"/>
          <w:szCs w:val="20"/>
        </w:rPr>
        <w:t xml:space="preserve">). </w:t>
      </w:r>
    </w:p>
    <w:p w:rsidR="00000000" w:rsidRDefault="008C69C0">
      <w:pPr>
        <w:ind w:hanging="360"/>
        <w:divId w:val="138421657"/>
        <w:rPr>
          <w:rFonts w:eastAsia="Times New Roman"/>
        </w:rPr>
      </w:pPr>
      <w:r>
        <w:rPr>
          <w:rFonts w:eastAsia="Times New Roman"/>
          <w:color w:val="000000"/>
          <w:sz w:val="20"/>
          <w:szCs w:val="20"/>
        </w:rPr>
        <w:t>2.</w:t>
      </w:r>
      <w:r>
        <w:rPr>
          <w:rFonts w:eastAsia="Times New Roman"/>
          <w:color w:val="000000"/>
          <w:sz w:val="20"/>
          <w:szCs w:val="20"/>
          <w:u w:val="single"/>
        </w:rPr>
        <w:t>Basis of Presentation and Summary of Significant Accounting Policies</w:t>
      </w:r>
    </w:p>
    <w:p w:rsidR="00000000" w:rsidRDefault="008C69C0">
      <w:pPr>
        <w:jc w:val="both"/>
        <w:divId w:val="1916545257"/>
        <w:rPr>
          <w:rFonts w:eastAsia="Times New Roman"/>
        </w:rPr>
      </w:pPr>
      <w:r>
        <w:rPr>
          <w:rFonts w:eastAsia="Times New Roman"/>
          <w:color w:val="000000"/>
          <w:sz w:val="20"/>
          <w:szCs w:val="20"/>
          <w:u w:val="single"/>
        </w:rPr>
        <w:t>Basis of Presentation</w:t>
      </w:r>
    </w:p>
    <w:p w:rsidR="00000000" w:rsidRDefault="008C69C0">
      <w:pPr>
        <w:ind w:firstLine="720"/>
        <w:jc w:val="both"/>
        <w:divId w:val="27414395"/>
        <w:rPr>
          <w:rFonts w:eastAsia="Times New Roman"/>
        </w:rPr>
      </w:pPr>
      <w:r>
        <w:rPr>
          <w:rFonts w:eastAsia="Times New Roman"/>
          <w:color w:val="000000"/>
          <w:sz w:val="20"/>
          <w:szCs w:val="20"/>
        </w:rPr>
        <w:t>We have prepared the accompanying interim financial statements in accordance with U.S. generally accepted accounting principles (“GAAP”) as set forth in the Ac</w:t>
      </w:r>
      <w:r>
        <w:rPr>
          <w:rFonts w:eastAsia="Times New Roman"/>
          <w:color w:val="000000"/>
          <w:sz w:val="20"/>
          <w:szCs w:val="20"/>
        </w:rPr>
        <w:t>counting Standards Codification of the Financial Accounting Standards Board (“FASB”), and in conformity with the rules and regulations of the Securities and Exchange Commission (“SEC”). In our opinion, the interim financial statements presented herein refl</w:t>
      </w:r>
      <w:r>
        <w:rPr>
          <w:rFonts w:eastAsia="Times New Roman"/>
          <w:color w:val="000000"/>
          <w:sz w:val="20"/>
          <w:szCs w:val="20"/>
        </w:rPr>
        <w:t xml:space="preserve">ect all adjustments, primarily of a normal recurring nature, that are necessary to present fairly the interim financial statements. Because they do not include all of the disclosures required by GAAP for complete annual financial statements, these interim </w:t>
      </w:r>
      <w:r>
        <w:rPr>
          <w:rFonts w:eastAsia="Times New Roman"/>
          <w:color w:val="000000"/>
          <w:sz w:val="20"/>
          <w:szCs w:val="20"/>
        </w:rPr>
        <w:t xml:space="preserve">financial statements should be read together with the audited financial statements and related notes included in the Company’s Annual Report on Form 10-K for the year ended December 31, 2020. </w:t>
      </w:r>
    </w:p>
    <w:p w:rsidR="00000000" w:rsidRDefault="008C69C0">
      <w:pPr>
        <w:ind w:firstLine="720"/>
        <w:jc w:val="both"/>
        <w:divId w:val="1173688586"/>
        <w:rPr>
          <w:rFonts w:eastAsia="Times New Roman"/>
        </w:rPr>
      </w:pPr>
      <w:r>
        <w:rPr>
          <w:rFonts w:eastAsia="Times New Roman"/>
          <w:color w:val="000000"/>
          <w:sz w:val="20"/>
          <w:szCs w:val="20"/>
        </w:rPr>
        <w:t>Certain amounts previously reported in our September 30, 2020 f</w:t>
      </w:r>
      <w:r>
        <w:rPr>
          <w:rFonts w:eastAsia="Times New Roman"/>
          <w:color w:val="000000"/>
          <w:sz w:val="20"/>
          <w:szCs w:val="20"/>
        </w:rPr>
        <w:t>inancial statements have been reclassified to conform to the September 30, 2021 presentation, including revenues and cost operations from our third party management activities of $3.9 million and $3.8 million, respectively, for the three months ended Septe</w:t>
      </w:r>
      <w:r>
        <w:rPr>
          <w:rFonts w:eastAsia="Times New Roman"/>
          <w:color w:val="000000"/>
          <w:sz w:val="20"/>
          <w:szCs w:val="20"/>
        </w:rPr>
        <w:t>mber 30, 2020, and $10.5 million and $10.0 million, respectively, for the nine months ended September 30, 2020, previously reported within interest and other income. This reclassification had no impact on our balance sheet, statements of comprehensive inco</w:t>
      </w:r>
      <w:r>
        <w:rPr>
          <w:rFonts w:eastAsia="Times New Roman"/>
          <w:color w:val="000000"/>
          <w:sz w:val="20"/>
          <w:szCs w:val="20"/>
        </w:rPr>
        <w:t>me, statements of equity, or cash flows as of and for the three and nine months ended September 30, 2020.</w:t>
      </w:r>
    </w:p>
    <w:p w:rsidR="00000000" w:rsidRDefault="008C69C0">
      <w:pPr>
        <w:ind w:firstLine="720"/>
        <w:jc w:val="both"/>
        <w:divId w:val="1050618045"/>
        <w:rPr>
          <w:rFonts w:eastAsia="Times New Roman"/>
        </w:rPr>
      </w:pPr>
      <w:r>
        <w:rPr>
          <w:rFonts w:eastAsia="Times New Roman"/>
          <w:color w:val="000000"/>
          <w:sz w:val="20"/>
          <w:szCs w:val="20"/>
        </w:rPr>
        <w:t>Additionally, we corrected our prior period financial statement presentation of share-based compensation expense and dividends paid on restricted shar</w:t>
      </w:r>
      <w:r>
        <w:rPr>
          <w:rFonts w:eastAsia="Times New Roman"/>
          <w:color w:val="000000"/>
          <w:sz w:val="20"/>
          <w:szCs w:val="20"/>
        </w:rPr>
        <w:t xml:space="preserve">e units (“RSUs”) between general and administrative expense and self-storage cost of operations. As a result, we revised our statements of income for the three and nine months ended September 30, 2020 with an increase in self-storage cost of operations of </w:t>
      </w:r>
      <w:r>
        <w:rPr>
          <w:rFonts w:eastAsia="Times New Roman"/>
          <w:color w:val="000000"/>
          <w:sz w:val="20"/>
          <w:szCs w:val="20"/>
        </w:rPr>
        <w:t>$3.1 million and $9.4 million, respectively, and a corresponding decrease to general and administrative expenses. This immaterial correction had no impact on our total expenses or net income. The correction also had no impact on our balance sheet, statemen</w:t>
      </w:r>
      <w:r>
        <w:rPr>
          <w:rFonts w:eastAsia="Times New Roman"/>
          <w:color w:val="000000"/>
          <w:sz w:val="20"/>
          <w:szCs w:val="20"/>
        </w:rPr>
        <w:t xml:space="preserve">ts of comprehensive income, statements of equity, or cash flows as of and for the three and nine months ended September 30, 2020. </w:t>
      </w:r>
    </w:p>
    <w:p w:rsidR="00000000" w:rsidRDefault="008C69C0">
      <w:pPr>
        <w:jc w:val="both"/>
        <w:divId w:val="1949582447"/>
        <w:rPr>
          <w:rFonts w:eastAsia="Times New Roman"/>
        </w:rPr>
      </w:pPr>
      <w:r>
        <w:rPr>
          <w:rFonts w:eastAsia="Times New Roman"/>
          <w:color w:val="000000"/>
          <w:sz w:val="20"/>
          <w:szCs w:val="20"/>
          <w:u w:val="single"/>
        </w:rPr>
        <w:t>Summary of Significant Accounting Policies</w:t>
      </w:r>
    </w:p>
    <w:p w:rsidR="00000000" w:rsidRDefault="008C69C0">
      <w:pPr>
        <w:jc w:val="both"/>
        <w:divId w:val="2121141218"/>
        <w:rPr>
          <w:rFonts w:eastAsia="Times New Roman"/>
        </w:rPr>
      </w:pPr>
      <w:r>
        <w:rPr>
          <w:rFonts w:eastAsia="Times New Roman"/>
          <w:color w:val="000000"/>
          <w:sz w:val="20"/>
          <w:szCs w:val="20"/>
          <w:u w:val="single"/>
        </w:rPr>
        <w:t>Consolidation and Equity Method of Accounting</w:t>
      </w:r>
    </w:p>
    <w:p w:rsidR="00000000" w:rsidRDefault="008C69C0">
      <w:pPr>
        <w:ind w:firstLine="720"/>
        <w:jc w:val="both"/>
        <w:divId w:val="2001426605"/>
        <w:rPr>
          <w:rFonts w:eastAsia="Times New Roman"/>
        </w:rPr>
      </w:pPr>
      <w:r>
        <w:rPr>
          <w:rFonts w:eastAsia="Times New Roman"/>
          <w:color w:val="000000"/>
          <w:sz w:val="20"/>
          <w:szCs w:val="20"/>
        </w:rPr>
        <w:t xml:space="preserve">We consider entities to be Variable Interest Entities (“VIEs”) when they have insufficient equity to finance their activities without additional subordinated financial support provided by other parties, or the </w:t>
      </w:r>
      <w:r>
        <w:rPr>
          <w:rFonts w:eastAsia="Times New Roman"/>
          <w:color w:val="000000"/>
          <w:sz w:val="20"/>
          <w:szCs w:val="20"/>
        </w:rPr>
        <w:t xml:space="preserve">equity holders as a group do not have a controlling financial interest. We consolidate VIEs when we have (i) the power to direct the </w:t>
      </w:r>
    </w:p>
    <w:p w:rsidR="00000000" w:rsidRDefault="008C69C0">
      <w:pPr>
        <w:jc w:val="center"/>
        <w:divId w:val="1959339131"/>
        <w:rPr>
          <w:rFonts w:eastAsia="Times New Roman"/>
        </w:rPr>
      </w:pPr>
      <w:r>
        <w:rPr>
          <w:rFonts w:eastAsia="Times New Roman"/>
          <w:color w:val="000000"/>
          <w:sz w:val="20"/>
          <w:szCs w:val="20"/>
        </w:rPr>
        <w:t>10</w:t>
      </w:r>
    </w:p>
    <w:p w:rsidR="00000000" w:rsidRDefault="008C69C0">
      <w:pPr>
        <w:rPr>
          <w:rFonts w:eastAsia="Times New Roman"/>
        </w:rPr>
      </w:pPr>
      <w:r>
        <w:rPr>
          <w:rFonts w:eastAsia="Times New Roman"/>
        </w:rPr>
        <w:pict>
          <v:rect id="_x0000_i1036" style="width:0;height:1.5pt" o:hralign="center" o:hrstd="t" o:hr="t" fillcolor="#a0a0a0" stroked="f"/>
        </w:pict>
      </w:r>
    </w:p>
    <w:p w:rsidR="00000000" w:rsidRDefault="008C69C0">
      <w:pPr>
        <w:jc w:val="center"/>
        <w:divId w:val="378095706"/>
        <w:rPr>
          <w:rFonts w:eastAsia="Times New Roman"/>
        </w:rPr>
      </w:pPr>
      <w:r>
        <w:rPr>
          <w:rFonts w:eastAsia="Times New Roman"/>
          <w:b/>
          <w:bCs/>
          <w:color w:val="000000"/>
          <w:sz w:val="20"/>
          <w:szCs w:val="20"/>
        </w:rPr>
        <w:t>PUBLIC STORAGE</w:t>
      </w:r>
    </w:p>
    <w:p w:rsidR="00000000" w:rsidRDefault="008C69C0">
      <w:pPr>
        <w:jc w:val="center"/>
        <w:divId w:val="378095706"/>
        <w:rPr>
          <w:rFonts w:eastAsia="Times New Roman"/>
        </w:rPr>
      </w:pPr>
      <w:r>
        <w:rPr>
          <w:rFonts w:eastAsia="Times New Roman"/>
          <w:b/>
          <w:bCs/>
          <w:color w:val="000000"/>
          <w:sz w:val="20"/>
          <w:szCs w:val="20"/>
        </w:rPr>
        <w:t>NOTES TO FINANCIAL STATEMENTS</w:t>
      </w:r>
    </w:p>
    <w:p w:rsidR="00000000" w:rsidRDefault="008C69C0">
      <w:pPr>
        <w:jc w:val="center"/>
        <w:divId w:val="378095706"/>
        <w:rPr>
          <w:rFonts w:eastAsia="Times New Roman"/>
        </w:rPr>
      </w:pPr>
      <w:r>
        <w:rPr>
          <w:rFonts w:eastAsia="Times New Roman"/>
          <w:b/>
          <w:bCs/>
          <w:color w:val="000000"/>
          <w:sz w:val="20"/>
          <w:szCs w:val="20"/>
        </w:rPr>
        <w:t>September 30, 2021</w:t>
      </w:r>
    </w:p>
    <w:p w:rsidR="00000000" w:rsidRDefault="008C69C0">
      <w:pPr>
        <w:jc w:val="center"/>
        <w:divId w:val="378095706"/>
        <w:rPr>
          <w:rFonts w:eastAsia="Times New Roman"/>
        </w:rPr>
      </w:pPr>
      <w:r>
        <w:rPr>
          <w:rFonts w:eastAsia="Times New Roman"/>
          <w:b/>
          <w:bCs/>
          <w:color w:val="000000"/>
          <w:sz w:val="20"/>
          <w:szCs w:val="20"/>
        </w:rPr>
        <w:t>(unaudited)</w:t>
      </w:r>
    </w:p>
    <w:p w:rsidR="00000000" w:rsidRDefault="008C69C0">
      <w:pPr>
        <w:jc w:val="both"/>
        <w:divId w:val="819273753"/>
        <w:rPr>
          <w:rFonts w:eastAsia="Times New Roman"/>
        </w:rPr>
      </w:pPr>
      <w:r>
        <w:rPr>
          <w:rFonts w:eastAsia="Times New Roman"/>
          <w:color w:val="000000"/>
          <w:sz w:val="20"/>
          <w:szCs w:val="20"/>
        </w:rPr>
        <w:t>activities most significantly impacting economic performance, and (ii) either the obligation to absorb losses or the right to receive benefits from the VIE. At June 30, 2021, we were the primary beneficiary of, and therefore consolidated through contractua</w:t>
      </w:r>
      <w:r>
        <w:rPr>
          <w:rFonts w:eastAsia="Times New Roman"/>
          <w:color w:val="000000"/>
          <w:sz w:val="20"/>
          <w:szCs w:val="20"/>
        </w:rPr>
        <w:t>l rights, three limited liability companies that were considered VIEs, which owned 48 self-storage properties acquired on April 28, 2021 known as the ezStorage portfolio. During the third quarter of 2021, we became the sole member of these three limited li</w:t>
      </w:r>
      <w:r>
        <w:rPr>
          <w:rFonts w:eastAsia="Times New Roman"/>
          <w:color w:val="000000"/>
          <w:sz w:val="20"/>
          <w:szCs w:val="20"/>
        </w:rPr>
        <w:t>ability companies and therefore consolidated them through our voting interests. Accordingly, we have no involvement with any material VIEs as of September 30, 2021. We consolidate all other entities when we control them through voting shares or contractual</w:t>
      </w:r>
      <w:r>
        <w:rPr>
          <w:rFonts w:eastAsia="Times New Roman"/>
          <w:color w:val="000000"/>
          <w:sz w:val="20"/>
          <w:szCs w:val="20"/>
        </w:rPr>
        <w:t xml:space="preserve"> rights. We refer to the entities we consolidate, for the period in which the reference applies, collectively as the “Subsidiaries,” and we eliminate intercompany transactions and balances. </w:t>
      </w:r>
    </w:p>
    <w:p w:rsidR="00000000" w:rsidRDefault="008C69C0">
      <w:pPr>
        <w:ind w:firstLine="720"/>
        <w:jc w:val="both"/>
        <w:divId w:val="1784038315"/>
        <w:rPr>
          <w:rFonts w:eastAsia="Times New Roman"/>
        </w:rPr>
      </w:pPr>
      <w:r>
        <w:rPr>
          <w:rFonts w:eastAsia="Times New Roman"/>
          <w:color w:val="000000"/>
          <w:sz w:val="20"/>
          <w:szCs w:val="20"/>
        </w:rPr>
        <w:t>We account for our investments in entities that we do not consoli</w:t>
      </w:r>
      <w:r>
        <w:rPr>
          <w:rFonts w:eastAsia="Times New Roman"/>
          <w:color w:val="000000"/>
          <w:sz w:val="20"/>
          <w:szCs w:val="20"/>
        </w:rPr>
        <w:t>date but over which we have significant influence using the equity method of accounting. We refer to these entities, for the periods in which the reference applies, collectively as the “Unconsolidated Real Estate Entities,” and we eliminate intra-entity pr</w:t>
      </w:r>
      <w:r>
        <w:rPr>
          <w:rFonts w:eastAsia="Times New Roman"/>
          <w:color w:val="000000"/>
          <w:sz w:val="20"/>
          <w:szCs w:val="20"/>
        </w:rPr>
        <w:t xml:space="preserve">ofits and losses and amortize any differences between the cost of our investment and the underlying equity in net assets against equity in earnings as if the Unconsolidated Real Estate Entity were a consolidated subsidiary. </w:t>
      </w:r>
    </w:p>
    <w:p w:rsidR="00000000" w:rsidRDefault="008C69C0">
      <w:pPr>
        <w:ind w:firstLine="720"/>
        <w:jc w:val="both"/>
        <w:divId w:val="470054570"/>
        <w:rPr>
          <w:rFonts w:eastAsia="Times New Roman"/>
        </w:rPr>
      </w:pPr>
      <w:r>
        <w:rPr>
          <w:rFonts w:eastAsia="Times New Roman"/>
          <w:color w:val="000000"/>
          <w:sz w:val="20"/>
          <w:szCs w:val="20"/>
        </w:rPr>
        <w:t>Equity in earnings of unconsoli</w:t>
      </w:r>
      <w:r>
        <w:rPr>
          <w:rFonts w:eastAsia="Times New Roman"/>
          <w:color w:val="000000"/>
          <w:sz w:val="20"/>
          <w:szCs w:val="20"/>
        </w:rPr>
        <w:t>dated real estate entities presented on our income statements represents our pro-rata share of the earnings of the Unconsolidated Real Estate Entities. The dividends we receive from the Unconsolidated Real Estate Entities are reflected on our statements of</w:t>
      </w:r>
      <w:r>
        <w:rPr>
          <w:rFonts w:eastAsia="Times New Roman"/>
          <w:color w:val="000000"/>
          <w:sz w:val="20"/>
          <w:szCs w:val="20"/>
        </w:rPr>
        <w:t xml:space="preserve"> cash flows as “distributions from cumulative equity in earnings of unconsolidated real estate entities” to the extent of our cumulative equity in earnings, with any excess classified as “distributions in excess of cumulative equity in earnings from uncons</w:t>
      </w:r>
      <w:r>
        <w:rPr>
          <w:rFonts w:eastAsia="Times New Roman"/>
          <w:color w:val="000000"/>
          <w:sz w:val="20"/>
          <w:szCs w:val="20"/>
        </w:rPr>
        <w:t xml:space="preserve">olidated real estate entities.” </w:t>
      </w:r>
    </w:p>
    <w:p w:rsidR="00000000" w:rsidRDefault="008C69C0">
      <w:pPr>
        <w:divId w:val="169754744"/>
        <w:rPr>
          <w:rFonts w:eastAsia="Times New Roman"/>
        </w:rPr>
      </w:pPr>
      <w:r>
        <w:rPr>
          <w:rFonts w:eastAsia="Times New Roman"/>
          <w:color w:val="000000"/>
          <w:sz w:val="20"/>
          <w:szCs w:val="20"/>
          <w:u w:val="single"/>
        </w:rPr>
        <w:t>Use of Estimates</w:t>
      </w:r>
    </w:p>
    <w:p w:rsidR="00000000" w:rsidRDefault="008C69C0">
      <w:pPr>
        <w:ind w:firstLine="720"/>
        <w:jc w:val="both"/>
        <w:divId w:val="1225678696"/>
        <w:rPr>
          <w:rFonts w:eastAsia="Times New Roman"/>
        </w:rPr>
      </w:pPr>
      <w:r>
        <w:rPr>
          <w:rFonts w:eastAsia="Times New Roman"/>
          <w:color w:val="000000"/>
          <w:sz w:val="20"/>
          <w:szCs w:val="20"/>
        </w:rPr>
        <w:t>The financial statements and accompanying notes reflect our estimates and assumptions. Actual results could differ from those estimates and assumptions.</w:t>
      </w:r>
    </w:p>
    <w:p w:rsidR="00000000" w:rsidRDefault="008C69C0">
      <w:pPr>
        <w:jc w:val="both"/>
        <w:divId w:val="872033590"/>
        <w:rPr>
          <w:rFonts w:eastAsia="Times New Roman"/>
        </w:rPr>
      </w:pPr>
      <w:r>
        <w:rPr>
          <w:rFonts w:eastAsia="Times New Roman"/>
          <w:color w:val="000000"/>
          <w:sz w:val="20"/>
          <w:szCs w:val="20"/>
          <w:u w:val="single"/>
        </w:rPr>
        <w:t>Income Taxes</w:t>
      </w:r>
    </w:p>
    <w:p w:rsidR="00000000" w:rsidRDefault="008C69C0">
      <w:pPr>
        <w:ind w:firstLine="720"/>
        <w:jc w:val="both"/>
        <w:divId w:val="170608762"/>
        <w:rPr>
          <w:rFonts w:eastAsia="Times New Roman"/>
        </w:rPr>
      </w:pPr>
      <w:r>
        <w:rPr>
          <w:rFonts w:eastAsia="Times New Roman"/>
          <w:color w:val="000000"/>
          <w:sz w:val="20"/>
          <w:szCs w:val="20"/>
        </w:rPr>
        <w:t>We have elected to be treated as a REIT,</w:t>
      </w:r>
      <w:r>
        <w:rPr>
          <w:rFonts w:eastAsia="Times New Roman"/>
          <w:color w:val="000000"/>
          <w:sz w:val="20"/>
          <w:szCs w:val="20"/>
        </w:rPr>
        <w:t xml:space="preserve"> as defined in the Internal Revenue Code of 1986, as amended (the “Code”). For each taxable year in which we qualify for taxation as a REIT, we will not be subject to U.S. federal corporate income tax on our “REIT taxable income” (generally, taxable income</w:t>
      </w:r>
      <w:r>
        <w:rPr>
          <w:rFonts w:eastAsia="Times New Roman"/>
          <w:color w:val="000000"/>
          <w:sz w:val="20"/>
          <w:szCs w:val="20"/>
        </w:rPr>
        <w:t xml:space="preserve"> subject to specified adjustments, including a deduction for dividends paid and excluding our net capital gain) that is distributed to our shareholders. We believe we have met these REIT requirements for all periods presented herein. Accordingly, we have r</w:t>
      </w:r>
      <w:r>
        <w:rPr>
          <w:rFonts w:eastAsia="Times New Roman"/>
          <w:color w:val="000000"/>
          <w:sz w:val="20"/>
          <w:szCs w:val="20"/>
        </w:rPr>
        <w:t xml:space="preserve">ecorded no U.S. federal corporate income tax expense related to our REIT taxable income. </w:t>
      </w:r>
    </w:p>
    <w:p w:rsidR="00000000" w:rsidRDefault="008C69C0">
      <w:pPr>
        <w:ind w:firstLine="720"/>
        <w:jc w:val="both"/>
        <w:divId w:val="260991181"/>
        <w:rPr>
          <w:rFonts w:eastAsia="Times New Roman"/>
        </w:rPr>
      </w:pPr>
      <w:r>
        <w:rPr>
          <w:rFonts w:eastAsia="Times New Roman"/>
          <w:color w:val="000000"/>
          <w:sz w:val="20"/>
          <w:szCs w:val="20"/>
        </w:rPr>
        <w:t>Our tenant reinsurance, merchandise, and third party management operations are subject to corporate income tax and such taxes are included in ancillary cost of operat</w:t>
      </w:r>
      <w:r>
        <w:rPr>
          <w:rFonts w:eastAsia="Times New Roman"/>
          <w:color w:val="000000"/>
          <w:sz w:val="20"/>
          <w:szCs w:val="20"/>
        </w:rPr>
        <w:t xml:space="preserve">ions. We also incur income and other taxes in certain states, which are included in general and administrative expense. </w:t>
      </w:r>
    </w:p>
    <w:p w:rsidR="00000000" w:rsidRDefault="008C69C0">
      <w:pPr>
        <w:ind w:firstLine="720"/>
        <w:jc w:val="both"/>
        <w:divId w:val="355353566"/>
        <w:rPr>
          <w:rFonts w:eastAsia="Times New Roman"/>
        </w:rPr>
      </w:pPr>
      <w:r>
        <w:rPr>
          <w:rFonts w:eastAsia="Times New Roman"/>
          <w:color w:val="000000"/>
          <w:sz w:val="20"/>
          <w:szCs w:val="20"/>
        </w:rPr>
        <w:t>We recognize tax benefits of uncertain income tax positions that are subject to audit only if we believe it is more likely than not tha</w:t>
      </w:r>
      <w:r>
        <w:rPr>
          <w:rFonts w:eastAsia="Times New Roman"/>
          <w:color w:val="000000"/>
          <w:sz w:val="20"/>
          <w:szCs w:val="20"/>
        </w:rPr>
        <w:t>t the position would ultimately be sustained assuming the relevant taxing authorities had full knowledge of the relevant facts and circumstances of our positions. As of September 30, 2021, we had no tax benefits that were not recognized.</w:t>
      </w:r>
    </w:p>
    <w:p w:rsidR="00000000" w:rsidRDefault="008C69C0">
      <w:pPr>
        <w:jc w:val="both"/>
        <w:divId w:val="1191066191"/>
        <w:rPr>
          <w:rFonts w:eastAsia="Times New Roman"/>
        </w:rPr>
      </w:pPr>
      <w:r>
        <w:rPr>
          <w:rFonts w:eastAsia="Times New Roman"/>
          <w:color w:val="000000"/>
          <w:sz w:val="20"/>
          <w:szCs w:val="20"/>
          <w:u w:val="single"/>
        </w:rPr>
        <w:t>Real Estate Facili</w:t>
      </w:r>
      <w:r>
        <w:rPr>
          <w:rFonts w:eastAsia="Times New Roman"/>
          <w:color w:val="000000"/>
          <w:sz w:val="20"/>
          <w:szCs w:val="20"/>
          <w:u w:val="single"/>
        </w:rPr>
        <w:t>ties</w:t>
      </w:r>
    </w:p>
    <w:p w:rsidR="00000000" w:rsidRDefault="008C69C0">
      <w:pPr>
        <w:ind w:firstLine="720"/>
        <w:jc w:val="both"/>
        <w:divId w:val="144932160"/>
        <w:rPr>
          <w:rFonts w:eastAsia="Times New Roman"/>
        </w:rPr>
      </w:pPr>
      <w:r>
        <w:rPr>
          <w:rFonts w:eastAsia="Times New Roman"/>
          <w:color w:val="000000"/>
          <w:sz w:val="20"/>
          <w:szCs w:val="20"/>
        </w:rPr>
        <w:t>We record real estate facilities at cost. We capitalize all costs incurred to acquire, develop, construct, renovate and improve facilities, including interest and property taxes incurred during the construction period. We expense the costs of demoliti</w:t>
      </w:r>
      <w:r>
        <w:rPr>
          <w:rFonts w:eastAsia="Times New Roman"/>
          <w:color w:val="000000"/>
          <w:sz w:val="20"/>
          <w:szCs w:val="20"/>
        </w:rPr>
        <w:t>on of existing facilities associated with a renovation as incurred. We allocate the net acquisition cost of acquired real estate facilities to the underlying land, buildings, and identified intangible assets based upon their respective individual estimated</w:t>
      </w:r>
      <w:r>
        <w:rPr>
          <w:rFonts w:eastAsia="Times New Roman"/>
          <w:color w:val="000000"/>
          <w:sz w:val="20"/>
          <w:szCs w:val="20"/>
        </w:rPr>
        <w:t xml:space="preserve"> fair values. </w:t>
      </w:r>
    </w:p>
    <w:p w:rsidR="00000000" w:rsidRDefault="008C69C0">
      <w:pPr>
        <w:ind w:firstLine="720"/>
        <w:jc w:val="both"/>
        <w:divId w:val="897864446"/>
        <w:rPr>
          <w:rFonts w:eastAsia="Times New Roman"/>
        </w:rPr>
      </w:pPr>
      <w:r>
        <w:rPr>
          <w:rFonts w:eastAsia="Times New Roman"/>
          <w:color w:val="000000"/>
          <w:sz w:val="20"/>
          <w:szCs w:val="20"/>
        </w:rPr>
        <w:t>We expense costs associated with dispositions of real estate, as well as repairs and maintenance costs, as incurred. We depreciate buildings and improvements on a straight-line basis over estimated useful lives ranging generally between 5 to</w:t>
      </w:r>
      <w:r>
        <w:rPr>
          <w:rFonts w:eastAsia="Times New Roman"/>
          <w:color w:val="000000"/>
          <w:sz w:val="20"/>
          <w:szCs w:val="20"/>
        </w:rPr>
        <w:t xml:space="preserve"> 25 years.</w:t>
      </w:r>
    </w:p>
    <w:p w:rsidR="00000000" w:rsidRDefault="008C69C0">
      <w:pPr>
        <w:ind w:firstLine="720"/>
        <w:jc w:val="both"/>
        <w:divId w:val="1948923670"/>
        <w:rPr>
          <w:rFonts w:eastAsia="Times New Roman"/>
        </w:rPr>
      </w:pPr>
      <w:r>
        <w:rPr>
          <w:rFonts w:eastAsia="Times New Roman"/>
          <w:color w:val="000000"/>
          <w:sz w:val="20"/>
          <w:szCs w:val="20"/>
        </w:rPr>
        <w:t>When we sell a full or partial interest in a real estate facility without retaining a controlling interest following sale, we recognize a gain or loss on sale as if 100% of the property was sold at fair value. If we retain a controlling interest</w:t>
      </w:r>
      <w:r>
        <w:rPr>
          <w:rFonts w:eastAsia="Times New Roman"/>
          <w:color w:val="000000"/>
          <w:sz w:val="20"/>
          <w:szCs w:val="20"/>
        </w:rPr>
        <w:t xml:space="preserve"> following the sale, we record a noncontrolling interest for the book value of the partial interest sold, and </w:t>
      </w:r>
    </w:p>
    <w:p w:rsidR="00000000" w:rsidRDefault="008C69C0">
      <w:pPr>
        <w:jc w:val="center"/>
        <w:divId w:val="1866167029"/>
        <w:rPr>
          <w:rFonts w:eastAsia="Times New Roman"/>
        </w:rPr>
      </w:pPr>
      <w:r>
        <w:rPr>
          <w:rFonts w:eastAsia="Times New Roman"/>
          <w:color w:val="000000"/>
          <w:sz w:val="20"/>
          <w:szCs w:val="20"/>
        </w:rPr>
        <w:t>11</w:t>
      </w:r>
    </w:p>
    <w:p w:rsidR="00000000" w:rsidRDefault="008C69C0">
      <w:pPr>
        <w:rPr>
          <w:rFonts w:eastAsia="Times New Roman"/>
        </w:rPr>
      </w:pPr>
      <w:r>
        <w:rPr>
          <w:rFonts w:eastAsia="Times New Roman"/>
        </w:rPr>
        <w:pict>
          <v:rect id="_x0000_i1037" style="width:0;height:1.5pt" o:hralign="center" o:hrstd="t" o:hr="t" fillcolor="#a0a0a0" stroked="f"/>
        </w:pict>
      </w:r>
    </w:p>
    <w:p w:rsidR="00000000" w:rsidRDefault="008C69C0">
      <w:pPr>
        <w:jc w:val="center"/>
        <w:divId w:val="935282226"/>
        <w:rPr>
          <w:rFonts w:eastAsia="Times New Roman"/>
        </w:rPr>
      </w:pPr>
      <w:r>
        <w:rPr>
          <w:rFonts w:eastAsia="Times New Roman"/>
          <w:b/>
          <w:bCs/>
          <w:color w:val="000000"/>
          <w:sz w:val="20"/>
          <w:szCs w:val="20"/>
        </w:rPr>
        <w:t>PUBLIC STORAGE</w:t>
      </w:r>
    </w:p>
    <w:p w:rsidR="00000000" w:rsidRDefault="008C69C0">
      <w:pPr>
        <w:jc w:val="center"/>
        <w:divId w:val="935282226"/>
        <w:rPr>
          <w:rFonts w:eastAsia="Times New Roman"/>
        </w:rPr>
      </w:pPr>
      <w:r>
        <w:rPr>
          <w:rFonts w:eastAsia="Times New Roman"/>
          <w:b/>
          <w:bCs/>
          <w:color w:val="000000"/>
          <w:sz w:val="20"/>
          <w:szCs w:val="20"/>
        </w:rPr>
        <w:t>NOTES TO FINANCIAL STATEMENTS</w:t>
      </w:r>
    </w:p>
    <w:p w:rsidR="00000000" w:rsidRDefault="008C69C0">
      <w:pPr>
        <w:jc w:val="center"/>
        <w:divId w:val="935282226"/>
        <w:rPr>
          <w:rFonts w:eastAsia="Times New Roman"/>
        </w:rPr>
      </w:pPr>
      <w:r>
        <w:rPr>
          <w:rFonts w:eastAsia="Times New Roman"/>
          <w:b/>
          <w:bCs/>
          <w:color w:val="000000"/>
          <w:sz w:val="20"/>
          <w:szCs w:val="20"/>
        </w:rPr>
        <w:t>September 30, 2021</w:t>
      </w:r>
    </w:p>
    <w:p w:rsidR="00000000" w:rsidRDefault="008C69C0">
      <w:pPr>
        <w:jc w:val="center"/>
        <w:divId w:val="935282226"/>
        <w:rPr>
          <w:rFonts w:eastAsia="Times New Roman"/>
        </w:rPr>
      </w:pPr>
      <w:r>
        <w:rPr>
          <w:rFonts w:eastAsia="Times New Roman"/>
          <w:b/>
          <w:bCs/>
          <w:color w:val="000000"/>
          <w:sz w:val="20"/>
          <w:szCs w:val="20"/>
        </w:rPr>
        <w:t>(unaudited)</w:t>
      </w:r>
    </w:p>
    <w:p w:rsidR="00000000" w:rsidRDefault="008C69C0">
      <w:pPr>
        <w:jc w:val="both"/>
        <w:divId w:val="121970012"/>
        <w:rPr>
          <w:rFonts w:eastAsia="Times New Roman"/>
        </w:rPr>
      </w:pPr>
      <w:r>
        <w:rPr>
          <w:rFonts w:eastAsia="Times New Roman"/>
          <w:color w:val="000000"/>
          <w:sz w:val="20"/>
          <w:szCs w:val="20"/>
        </w:rPr>
        <w:t>recognize additional paid-in capital for the difference between the consideration received and the partial interest at book value.</w:t>
      </w:r>
    </w:p>
    <w:p w:rsidR="00000000" w:rsidRDefault="008C69C0">
      <w:pPr>
        <w:jc w:val="both"/>
        <w:divId w:val="1433353773"/>
        <w:rPr>
          <w:rFonts w:eastAsia="Times New Roman"/>
        </w:rPr>
      </w:pPr>
      <w:r>
        <w:rPr>
          <w:rFonts w:eastAsia="Times New Roman"/>
          <w:color w:val="000000"/>
          <w:sz w:val="20"/>
          <w:szCs w:val="20"/>
          <w:u w:val="single"/>
        </w:rPr>
        <w:t>Other Assets</w:t>
      </w:r>
    </w:p>
    <w:p w:rsidR="00000000" w:rsidRDefault="008C69C0">
      <w:pPr>
        <w:ind w:firstLine="720"/>
        <w:jc w:val="both"/>
        <w:divId w:val="1653410743"/>
        <w:rPr>
          <w:rFonts w:eastAsia="Times New Roman"/>
        </w:rPr>
      </w:pPr>
      <w:r>
        <w:rPr>
          <w:rFonts w:eastAsia="Times New Roman"/>
          <w:color w:val="000000"/>
          <w:sz w:val="20"/>
          <w:szCs w:val="20"/>
        </w:rPr>
        <w:t xml:space="preserve">Other assets primarily consist of right-of-use assets, prepaid costs and expenses, restricted cash, reinsurance </w:t>
      </w:r>
      <w:r>
        <w:rPr>
          <w:rFonts w:eastAsia="Times New Roman"/>
          <w:color w:val="000000"/>
          <w:sz w:val="20"/>
          <w:szCs w:val="20"/>
        </w:rPr>
        <w:t xml:space="preserve">premium receivables, and rent receivables from our tenants (net of an allowance for uncollectible amounts). </w:t>
      </w:r>
    </w:p>
    <w:p w:rsidR="00000000" w:rsidRDefault="008C69C0">
      <w:pPr>
        <w:jc w:val="both"/>
        <w:divId w:val="1745569806"/>
        <w:rPr>
          <w:rFonts w:eastAsia="Times New Roman"/>
        </w:rPr>
      </w:pPr>
      <w:r>
        <w:rPr>
          <w:rFonts w:eastAsia="Times New Roman"/>
          <w:color w:val="000000"/>
          <w:sz w:val="20"/>
          <w:szCs w:val="20"/>
          <w:u w:val="single"/>
        </w:rPr>
        <w:t>Accrued and Other Liabilities</w:t>
      </w:r>
    </w:p>
    <w:p w:rsidR="00000000" w:rsidRDefault="008C69C0">
      <w:pPr>
        <w:ind w:firstLine="720"/>
        <w:jc w:val="both"/>
        <w:divId w:val="1414818723"/>
        <w:rPr>
          <w:rFonts w:eastAsia="Times New Roman"/>
        </w:rPr>
      </w:pPr>
      <w:r>
        <w:rPr>
          <w:rFonts w:eastAsia="Times New Roman"/>
          <w:color w:val="000000"/>
          <w:sz w:val="20"/>
          <w:szCs w:val="20"/>
        </w:rPr>
        <w:t>Accrued and other liabilities consist primarily of property tax accruals, trade and construction payables, rents prep</w:t>
      </w:r>
      <w:r>
        <w:rPr>
          <w:rFonts w:eastAsia="Times New Roman"/>
          <w:color w:val="000000"/>
          <w:sz w:val="20"/>
          <w:szCs w:val="20"/>
        </w:rPr>
        <w:t>aid by our tenants, lease liabilities, accrued tenant reinsurance losses, and accrued payroll. We believe the fair value of our accrued and other liabilities approximates book value, due primarily to the short period until repayment. We disclose the nature</w:t>
      </w:r>
      <w:r>
        <w:rPr>
          <w:rFonts w:eastAsia="Times New Roman"/>
          <w:color w:val="000000"/>
          <w:sz w:val="20"/>
          <w:szCs w:val="20"/>
        </w:rPr>
        <w:t xml:space="preserve"> of significant unaccrued losses that are reasonably possible of occurring and, if estimable, a range of exposure. </w:t>
      </w:r>
    </w:p>
    <w:p w:rsidR="00000000" w:rsidRDefault="008C69C0">
      <w:pPr>
        <w:jc w:val="both"/>
        <w:divId w:val="112599356"/>
        <w:rPr>
          <w:rFonts w:eastAsia="Times New Roman"/>
        </w:rPr>
      </w:pPr>
      <w:r>
        <w:rPr>
          <w:rFonts w:eastAsia="Times New Roman"/>
          <w:color w:val="000000"/>
          <w:sz w:val="20"/>
          <w:szCs w:val="20"/>
          <w:u w:val="single"/>
        </w:rPr>
        <w:t>Cash Equivalents, Restricted Cash, Marketable Securities and Other Financial Instruments</w:t>
      </w:r>
    </w:p>
    <w:p w:rsidR="00000000" w:rsidRDefault="008C69C0">
      <w:pPr>
        <w:ind w:firstLine="720"/>
        <w:jc w:val="both"/>
        <w:divId w:val="149906875"/>
        <w:rPr>
          <w:rFonts w:eastAsia="Times New Roman"/>
        </w:rPr>
      </w:pPr>
      <w:r>
        <w:rPr>
          <w:rFonts w:eastAsia="Times New Roman"/>
          <w:color w:val="000000"/>
          <w:sz w:val="20"/>
          <w:szCs w:val="20"/>
        </w:rPr>
        <w:t xml:space="preserve">Cash equivalents represent highly liquid financial </w:t>
      </w:r>
      <w:r>
        <w:rPr>
          <w:rFonts w:eastAsia="Times New Roman"/>
          <w:color w:val="000000"/>
          <w:sz w:val="20"/>
          <w:szCs w:val="20"/>
        </w:rPr>
        <w:t>instruments such as money market funds with daily liquidity or short-term commercial paper or treasury securities maturing within three months of acquisition. Cash and equivalents which are restricted from general corporate use are included in other assets</w:t>
      </w:r>
      <w:r>
        <w:rPr>
          <w:rFonts w:eastAsia="Times New Roman"/>
          <w:color w:val="000000"/>
          <w:sz w:val="20"/>
          <w:szCs w:val="20"/>
        </w:rPr>
        <w:t>. We believe that the book value of all such financial instruments for all periods presented approximates fair value, due to the short period to maturity.</w:t>
      </w:r>
    </w:p>
    <w:p w:rsidR="00000000" w:rsidRDefault="008C69C0">
      <w:pPr>
        <w:jc w:val="both"/>
        <w:divId w:val="1745486627"/>
        <w:rPr>
          <w:rFonts w:eastAsia="Times New Roman"/>
        </w:rPr>
      </w:pPr>
      <w:r>
        <w:rPr>
          <w:rFonts w:eastAsia="Times New Roman"/>
          <w:color w:val="000000"/>
          <w:sz w:val="20"/>
          <w:szCs w:val="20"/>
          <w:u w:val="single"/>
        </w:rPr>
        <w:t>Fair Value</w:t>
      </w:r>
    </w:p>
    <w:p w:rsidR="00000000" w:rsidRDefault="008C69C0">
      <w:pPr>
        <w:ind w:firstLine="720"/>
        <w:jc w:val="both"/>
        <w:divId w:val="1607541270"/>
        <w:rPr>
          <w:rFonts w:eastAsia="Times New Roman"/>
        </w:rPr>
      </w:pPr>
      <w:r>
        <w:rPr>
          <w:rFonts w:eastAsia="Times New Roman"/>
          <w:color w:val="000000"/>
          <w:sz w:val="20"/>
          <w:szCs w:val="20"/>
        </w:rPr>
        <w:t>As used herein, the term “fair value” is the price that would be received to sell an asset</w:t>
      </w:r>
      <w:r>
        <w:rPr>
          <w:rFonts w:eastAsia="Times New Roman"/>
          <w:color w:val="000000"/>
          <w:sz w:val="20"/>
          <w:szCs w:val="20"/>
        </w:rPr>
        <w:t xml:space="preserve"> or paid to transfer a liability in an orderly transaction between market participants. Because our estimates of fair value involve considerable judgment, including determination of the factors that market participants would consider in negotiating exchang</w:t>
      </w:r>
      <w:r>
        <w:rPr>
          <w:rFonts w:eastAsia="Times New Roman"/>
          <w:color w:val="000000"/>
          <w:sz w:val="20"/>
          <w:szCs w:val="20"/>
        </w:rPr>
        <w:t>e values, such estimates may be limited in their ability to reflect what would actually be realized in an actual market exchange.</w:t>
      </w:r>
    </w:p>
    <w:p w:rsidR="00000000" w:rsidRDefault="008C69C0">
      <w:pPr>
        <w:ind w:firstLine="720"/>
        <w:jc w:val="both"/>
        <w:divId w:val="819075819"/>
        <w:rPr>
          <w:rFonts w:eastAsia="Times New Roman"/>
        </w:rPr>
      </w:pPr>
      <w:r>
        <w:rPr>
          <w:rFonts w:eastAsia="Times New Roman"/>
          <w:color w:val="000000"/>
          <w:sz w:val="20"/>
          <w:szCs w:val="20"/>
        </w:rPr>
        <w:t>We estimate the fair value of our cash and equivalents, marketable securities, other assets, debt, and other liabilities by di</w:t>
      </w:r>
      <w:r>
        <w:rPr>
          <w:rFonts w:eastAsia="Times New Roman"/>
          <w:color w:val="000000"/>
          <w:sz w:val="20"/>
          <w:szCs w:val="20"/>
        </w:rPr>
        <w:t>scounting the related future cash flows at a rate based upon quoted interest rates for securities that have similar characteristics such as credit quality and time to maturity. Such quoted interest rates are referred to generally as “Level 2” inputs.</w:t>
      </w:r>
    </w:p>
    <w:p w:rsidR="00000000" w:rsidRDefault="008C69C0">
      <w:pPr>
        <w:ind w:firstLine="720"/>
        <w:jc w:val="both"/>
        <w:divId w:val="1219055017"/>
        <w:rPr>
          <w:rFonts w:eastAsia="Times New Roman"/>
        </w:rPr>
      </w:pPr>
      <w:r>
        <w:rPr>
          <w:rFonts w:eastAsia="Times New Roman"/>
          <w:color w:val="000000"/>
          <w:sz w:val="20"/>
          <w:szCs w:val="20"/>
        </w:rPr>
        <w:t>We us</w:t>
      </w:r>
      <w:r>
        <w:rPr>
          <w:rFonts w:eastAsia="Times New Roman"/>
          <w:color w:val="000000"/>
          <w:sz w:val="20"/>
          <w:szCs w:val="20"/>
        </w:rPr>
        <w:t>e significant judgment to estimate fair values of investments in real estate, goodwill, and other intangible assets. In estimating their values, we consider significant unobservable inputs such as market prices of land, market capitalization rates, expecte</w:t>
      </w:r>
      <w:r>
        <w:rPr>
          <w:rFonts w:eastAsia="Times New Roman"/>
          <w:color w:val="000000"/>
          <w:sz w:val="20"/>
          <w:szCs w:val="20"/>
        </w:rPr>
        <w:t>d returns, earnings multiples, projected levels of earnings, costs of construction, and functional depreciation. These inputs are referred to generally as “Level 3” inputs.</w:t>
      </w:r>
    </w:p>
    <w:p w:rsidR="00000000" w:rsidRDefault="008C69C0">
      <w:pPr>
        <w:jc w:val="both"/>
        <w:divId w:val="1525555707"/>
        <w:rPr>
          <w:rFonts w:eastAsia="Times New Roman"/>
        </w:rPr>
      </w:pPr>
      <w:r>
        <w:rPr>
          <w:rFonts w:eastAsia="Times New Roman"/>
          <w:color w:val="000000"/>
          <w:sz w:val="20"/>
          <w:szCs w:val="20"/>
          <w:u w:val="single"/>
        </w:rPr>
        <w:t>Currency and Credit Risk</w:t>
      </w:r>
    </w:p>
    <w:p w:rsidR="00000000" w:rsidRDefault="008C69C0">
      <w:pPr>
        <w:ind w:firstLine="720"/>
        <w:jc w:val="both"/>
        <w:divId w:val="758715623"/>
        <w:rPr>
          <w:rFonts w:eastAsia="Times New Roman"/>
        </w:rPr>
      </w:pPr>
      <w:r>
        <w:rPr>
          <w:rFonts w:eastAsia="Times New Roman"/>
          <w:color w:val="000000"/>
          <w:sz w:val="20"/>
          <w:szCs w:val="20"/>
        </w:rPr>
        <w:t>Financial instruments that are exposed to credit risk cons</w:t>
      </w:r>
      <w:r>
        <w:rPr>
          <w:rFonts w:eastAsia="Times New Roman"/>
          <w:color w:val="000000"/>
          <w:sz w:val="20"/>
          <w:szCs w:val="20"/>
        </w:rPr>
        <w:t>ist primarily of cash and equivalents, certain portions of other assets including rents receivable from our tenants (net of an allowance for uncollectible receivables based upon expected losses in the portfolio) and restricted cash. Cash equivalents we inv</w:t>
      </w:r>
      <w:r>
        <w:rPr>
          <w:rFonts w:eastAsia="Times New Roman"/>
          <w:color w:val="000000"/>
          <w:sz w:val="20"/>
          <w:szCs w:val="20"/>
        </w:rPr>
        <w:t>est in are either money market funds with a rating of at least AAA by Standard &amp; Poor’s, commercial paper that is rated A1 by Standard &amp; Poor’s or deposits with highly rated commercial banks.</w:t>
      </w:r>
    </w:p>
    <w:p w:rsidR="00000000" w:rsidRDefault="008C69C0">
      <w:pPr>
        <w:ind w:firstLine="720"/>
        <w:jc w:val="both"/>
        <w:divId w:val="1699505357"/>
        <w:rPr>
          <w:rFonts w:eastAsia="Times New Roman"/>
        </w:rPr>
      </w:pPr>
      <w:r>
        <w:rPr>
          <w:rFonts w:eastAsia="Times New Roman"/>
          <w:color w:val="000000"/>
          <w:sz w:val="20"/>
          <w:szCs w:val="20"/>
        </w:rPr>
        <w:t>At September 30, 2021, due primarily to our investment in Shurga</w:t>
      </w:r>
      <w:r>
        <w:rPr>
          <w:rFonts w:eastAsia="Times New Roman"/>
          <w:color w:val="000000"/>
          <w:sz w:val="20"/>
          <w:szCs w:val="20"/>
        </w:rPr>
        <w:t>rd (Note 4) and our notes payable denominated in Euros (Note 6), our operating results and financial position are affected by fluctuations in currency exchange rates between the Euro, and to a lesser extent, other European currencies, against the U.S. Doll</w:t>
      </w:r>
      <w:r>
        <w:rPr>
          <w:rFonts w:eastAsia="Times New Roman"/>
          <w:color w:val="000000"/>
          <w:sz w:val="20"/>
          <w:szCs w:val="20"/>
        </w:rPr>
        <w:t xml:space="preserve">ar. </w:t>
      </w:r>
    </w:p>
    <w:p w:rsidR="00000000" w:rsidRDefault="008C69C0">
      <w:pPr>
        <w:jc w:val="both"/>
        <w:divId w:val="826286154"/>
        <w:rPr>
          <w:rFonts w:eastAsia="Times New Roman"/>
        </w:rPr>
      </w:pPr>
      <w:r>
        <w:rPr>
          <w:rFonts w:eastAsia="Times New Roman"/>
          <w:color w:val="000000"/>
          <w:sz w:val="20"/>
          <w:szCs w:val="20"/>
          <w:u w:val="single"/>
        </w:rPr>
        <w:t xml:space="preserve">Goodwill and Other Intangible Assets </w:t>
      </w:r>
    </w:p>
    <w:p w:rsidR="00000000" w:rsidRDefault="008C69C0">
      <w:pPr>
        <w:ind w:firstLine="720"/>
        <w:jc w:val="both"/>
        <w:divId w:val="1149593104"/>
        <w:rPr>
          <w:rFonts w:eastAsia="Times New Roman"/>
        </w:rPr>
      </w:pPr>
      <w:r>
        <w:rPr>
          <w:rFonts w:eastAsia="Times New Roman"/>
          <w:color w:val="000000"/>
          <w:sz w:val="20"/>
          <w:szCs w:val="20"/>
        </w:rPr>
        <w:t xml:space="preserve">Intangible assets consist of goodwill, the Shurgard® trade name, and finite-lived assets. </w:t>
      </w:r>
    </w:p>
    <w:p w:rsidR="00000000" w:rsidRDefault="008C69C0">
      <w:pPr>
        <w:ind w:firstLine="720"/>
        <w:jc w:val="both"/>
        <w:divId w:val="152792791"/>
        <w:rPr>
          <w:rFonts w:eastAsia="Times New Roman"/>
        </w:rPr>
      </w:pPr>
      <w:r>
        <w:rPr>
          <w:rFonts w:eastAsia="Times New Roman"/>
          <w:color w:val="000000"/>
          <w:sz w:val="20"/>
          <w:szCs w:val="20"/>
        </w:rPr>
        <w:t>Goodwill totaled $165.8 million at September 30, 2021 ($165.8 million at December 31, 2020). The Shurgard® trade name, whi</w:t>
      </w:r>
      <w:r>
        <w:rPr>
          <w:rFonts w:eastAsia="Times New Roman"/>
          <w:color w:val="000000"/>
          <w:sz w:val="20"/>
          <w:szCs w:val="20"/>
        </w:rPr>
        <w:t xml:space="preserve">ch Shurgard uses pursuant to a fee-based licensing agreement, has a book value of </w:t>
      </w:r>
    </w:p>
    <w:p w:rsidR="00000000" w:rsidRDefault="008C69C0">
      <w:pPr>
        <w:jc w:val="center"/>
        <w:divId w:val="1449859533"/>
        <w:rPr>
          <w:rFonts w:eastAsia="Times New Roman"/>
        </w:rPr>
      </w:pPr>
      <w:r>
        <w:rPr>
          <w:rFonts w:eastAsia="Times New Roman"/>
          <w:color w:val="000000"/>
          <w:sz w:val="20"/>
          <w:szCs w:val="20"/>
        </w:rPr>
        <w:t>12</w:t>
      </w:r>
    </w:p>
    <w:p w:rsidR="00000000" w:rsidRDefault="008C69C0">
      <w:pPr>
        <w:rPr>
          <w:rFonts w:eastAsia="Times New Roman"/>
        </w:rPr>
      </w:pPr>
      <w:r>
        <w:rPr>
          <w:rFonts w:eastAsia="Times New Roman"/>
        </w:rPr>
        <w:pict>
          <v:rect id="_x0000_i1038" style="width:0;height:1.5pt" o:hralign="center" o:hrstd="t" o:hr="t" fillcolor="#a0a0a0" stroked="f"/>
        </w:pict>
      </w:r>
    </w:p>
    <w:p w:rsidR="00000000" w:rsidRDefault="008C69C0">
      <w:pPr>
        <w:jc w:val="center"/>
        <w:divId w:val="1481993609"/>
        <w:rPr>
          <w:rFonts w:eastAsia="Times New Roman"/>
        </w:rPr>
      </w:pPr>
      <w:r>
        <w:rPr>
          <w:rFonts w:eastAsia="Times New Roman"/>
          <w:b/>
          <w:bCs/>
          <w:color w:val="000000"/>
          <w:sz w:val="20"/>
          <w:szCs w:val="20"/>
        </w:rPr>
        <w:t>PUBLIC STORAGE</w:t>
      </w:r>
    </w:p>
    <w:p w:rsidR="00000000" w:rsidRDefault="008C69C0">
      <w:pPr>
        <w:jc w:val="center"/>
        <w:divId w:val="1481993609"/>
        <w:rPr>
          <w:rFonts w:eastAsia="Times New Roman"/>
        </w:rPr>
      </w:pPr>
      <w:r>
        <w:rPr>
          <w:rFonts w:eastAsia="Times New Roman"/>
          <w:b/>
          <w:bCs/>
          <w:color w:val="000000"/>
          <w:sz w:val="20"/>
          <w:szCs w:val="20"/>
        </w:rPr>
        <w:t>NOTES TO FINANCIAL STATEMENTS</w:t>
      </w:r>
    </w:p>
    <w:p w:rsidR="00000000" w:rsidRDefault="008C69C0">
      <w:pPr>
        <w:jc w:val="center"/>
        <w:divId w:val="1481993609"/>
        <w:rPr>
          <w:rFonts w:eastAsia="Times New Roman"/>
        </w:rPr>
      </w:pPr>
      <w:r>
        <w:rPr>
          <w:rFonts w:eastAsia="Times New Roman"/>
          <w:b/>
          <w:bCs/>
          <w:color w:val="000000"/>
          <w:sz w:val="20"/>
          <w:szCs w:val="20"/>
        </w:rPr>
        <w:t>September 30, 2021</w:t>
      </w:r>
    </w:p>
    <w:p w:rsidR="00000000" w:rsidRDefault="008C69C0">
      <w:pPr>
        <w:jc w:val="center"/>
        <w:divId w:val="1481993609"/>
        <w:rPr>
          <w:rFonts w:eastAsia="Times New Roman"/>
        </w:rPr>
      </w:pPr>
      <w:r>
        <w:rPr>
          <w:rFonts w:eastAsia="Times New Roman"/>
          <w:b/>
          <w:bCs/>
          <w:color w:val="000000"/>
          <w:sz w:val="20"/>
          <w:szCs w:val="20"/>
        </w:rPr>
        <w:t>(unaudited)</w:t>
      </w:r>
    </w:p>
    <w:p w:rsidR="00000000" w:rsidRDefault="008C69C0">
      <w:pPr>
        <w:jc w:val="both"/>
        <w:divId w:val="1294557145"/>
        <w:rPr>
          <w:rFonts w:eastAsia="Times New Roman"/>
        </w:rPr>
      </w:pPr>
      <w:r>
        <w:rPr>
          <w:rFonts w:eastAsia="Times New Roman"/>
          <w:color w:val="000000"/>
          <w:sz w:val="20"/>
          <w:szCs w:val="20"/>
        </w:rPr>
        <w:t>$18.8 million at September </w:t>
      </w:r>
      <w:r>
        <w:rPr>
          <w:rFonts w:eastAsia="Times New Roman"/>
          <w:color w:val="000000"/>
          <w:sz w:val="20"/>
          <w:szCs w:val="20"/>
        </w:rPr>
        <w:t>30, 2021 and December 31, 2020. Goodwill and the Shurgard® trade name have indefinite lives and are not amortized.</w:t>
      </w:r>
    </w:p>
    <w:p w:rsidR="00000000" w:rsidRDefault="008C69C0">
      <w:pPr>
        <w:ind w:firstLine="720"/>
        <w:jc w:val="both"/>
        <w:divId w:val="775058015"/>
        <w:rPr>
          <w:rFonts w:eastAsia="Times New Roman"/>
        </w:rPr>
      </w:pPr>
      <w:r>
        <w:rPr>
          <w:rFonts w:eastAsia="Times New Roman"/>
          <w:color w:val="000000"/>
          <w:sz w:val="20"/>
          <w:szCs w:val="20"/>
        </w:rPr>
        <w:t>Our finite-lived assets consist primarily of (i) acquired customers in place amortized relative to the benefit of the customers in place, wit</w:t>
      </w:r>
      <w:r>
        <w:rPr>
          <w:rFonts w:eastAsia="Times New Roman"/>
          <w:color w:val="000000"/>
          <w:sz w:val="20"/>
          <w:szCs w:val="20"/>
        </w:rPr>
        <w:t xml:space="preserve">h such amortization reflected as depreciation and amortization expense on our income statement and (ii) property tax abatements acquired and amortized relative to the reduction in property tax paid, with such amortization reflected as self-storage cost of </w:t>
      </w:r>
      <w:r>
        <w:rPr>
          <w:rFonts w:eastAsia="Times New Roman"/>
          <w:color w:val="000000"/>
          <w:sz w:val="20"/>
          <w:szCs w:val="20"/>
        </w:rPr>
        <w:t>operations on our income statement. At September 30, 2021, these intangibles had a net book value of $74.4 million ($20.1 million at December 31, 2020). Accumulated amortization totaled $59.4 million at September 30, 2021 ($27.3 million at December 31, 202</w:t>
      </w:r>
      <w:r>
        <w:rPr>
          <w:rFonts w:eastAsia="Times New Roman"/>
          <w:color w:val="000000"/>
          <w:sz w:val="20"/>
          <w:szCs w:val="20"/>
        </w:rPr>
        <w:t xml:space="preserve">0). A total of $23.3 million and $49.0 million in amortization expense was recorded in the three and nine months ended September 30, 2021, respectively, and $3.0 million and $12.0 million in the same periods in 2020. </w:t>
      </w:r>
    </w:p>
    <w:p w:rsidR="00000000" w:rsidRDefault="008C69C0">
      <w:pPr>
        <w:ind w:firstLine="720"/>
        <w:jc w:val="both"/>
        <w:divId w:val="1211725864"/>
        <w:rPr>
          <w:rFonts w:eastAsia="Times New Roman"/>
        </w:rPr>
      </w:pPr>
      <w:r>
        <w:rPr>
          <w:rFonts w:eastAsia="Times New Roman"/>
          <w:color w:val="000000"/>
          <w:sz w:val="20"/>
          <w:szCs w:val="20"/>
        </w:rPr>
        <w:t>The estimated future amortization expe</w:t>
      </w:r>
      <w:r>
        <w:rPr>
          <w:rFonts w:eastAsia="Times New Roman"/>
          <w:color w:val="000000"/>
          <w:sz w:val="20"/>
          <w:szCs w:val="20"/>
        </w:rPr>
        <w:t>nse for our finite-lived intangible assets at September 30, 2021 is approximately $18.7 million in the remainder of 2021, $39.1 million in 2022 and $16.6 million thereafter. During the nine months ended September 30, 2021, intangibles increased $103.3 mill</w:t>
      </w:r>
      <w:r>
        <w:rPr>
          <w:rFonts w:eastAsia="Times New Roman"/>
          <w:color w:val="000000"/>
          <w:sz w:val="20"/>
          <w:szCs w:val="20"/>
        </w:rPr>
        <w:t xml:space="preserve">ion in connection with the acquisition of self-storage facilities (Note 3). </w:t>
      </w:r>
    </w:p>
    <w:p w:rsidR="00000000" w:rsidRDefault="008C69C0">
      <w:pPr>
        <w:jc w:val="both"/>
        <w:divId w:val="998072537"/>
        <w:rPr>
          <w:rFonts w:eastAsia="Times New Roman"/>
        </w:rPr>
      </w:pPr>
      <w:r>
        <w:rPr>
          <w:rFonts w:eastAsia="Times New Roman"/>
          <w:color w:val="000000"/>
          <w:sz w:val="20"/>
          <w:szCs w:val="20"/>
          <w:u w:val="single"/>
        </w:rPr>
        <w:t>Evaluation of Asset Impairment</w:t>
      </w:r>
    </w:p>
    <w:p w:rsidR="00000000" w:rsidRDefault="008C69C0">
      <w:pPr>
        <w:ind w:firstLine="720"/>
        <w:jc w:val="both"/>
        <w:divId w:val="243926414"/>
        <w:rPr>
          <w:rFonts w:eastAsia="Times New Roman"/>
        </w:rPr>
      </w:pPr>
      <w:r>
        <w:rPr>
          <w:rFonts w:eastAsia="Times New Roman"/>
          <w:color w:val="000000"/>
          <w:sz w:val="20"/>
          <w:szCs w:val="20"/>
        </w:rPr>
        <w:t>We evaluate our real estate and finite-lived intangible assets for impairment each quarter. If there are indicators of impairment and we determine that the asset is not recoverable from future undiscounted cash flows to be received through the asset’s rema</w:t>
      </w:r>
      <w:r>
        <w:rPr>
          <w:rFonts w:eastAsia="Times New Roman"/>
          <w:color w:val="000000"/>
          <w:sz w:val="20"/>
          <w:szCs w:val="20"/>
        </w:rPr>
        <w:t xml:space="preserve">ining life (or, if earlier, the expected disposal date), we record an impairment charge to the extent the carrying amount exceeds the asset’s estimated fair value or net proceeds from expected disposal. </w:t>
      </w:r>
    </w:p>
    <w:p w:rsidR="00000000" w:rsidRDefault="008C69C0">
      <w:pPr>
        <w:ind w:firstLine="720"/>
        <w:jc w:val="both"/>
        <w:divId w:val="594169123"/>
        <w:rPr>
          <w:rFonts w:eastAsia="Times New Roman"/>
        </w:rPr>
      </w:pPr>
      <w:r>
        <w:rPr>
          <w:rFonts w:eastAsia="Times New Roman"/>
          <w:color w:val="000000"/>
          <w:sz w:val="20"/>
          <w:szCs w:val="20"/>
        </w:rPr>
        <w:t>We evaluate our investments in unconsolidated real e</w:t>
      </w:r>
      <w:r>
        <w:rPr>
          <w:rFonts w:eastAsia="Times New Roman"/>
          <w:color w:val="000000"/>
          <w:sz w:val="20"/>
          <w:szCs w:val="20"/>
        </w:rPr>
        <w:t xml:space="preserve">state entities for impairment quarterly. We record an impairment charge to the extent the carrying amount exceeds estimated fair value, when we believe any such shortfall is other than temporary. </w:t>
      </w:r>
    </w:p>
    <w:p w:rsidR="00000000" w:rsidRDefault="008C69C0">
      <w:pPr>
        <w:ind w:firstLine="720"/>
        <w:jc w:val="both"/>
        <w:divId w:val="1350332456"/>
        <w:rPr>
          <w:rFonts w:eastAsia="Times New Roman"/>
        </w:rPr>
      </w:pPr>
      <w:r>
        <w:rPr>
          <w:rFonts w:eastAsia="Times New Roman"/>
          <w:color w:val="000000"/>
          <w:sz w:val="20"/>
          <w:szCs w:val="20"/>
        </w:rPr>
        <w:t>We evaluate goodwill for impairment annually and whenever r</w:t>
      </w:r>
      <w:r>
        <w:rPr>
          <w:rFonts w:eastAsia="Times New Roman"/>
          <w:color w:val="000000"/>
          <w:sz w:val="20"/>
          <w:szCs w:val="20"/>
        </w:rPr>
        <w:t>elevant events, circumstances, and other related factors indicate that fair value of the related reporting unit may be less than the carrying amount. If we determine that the fair value of the reporting unit exceeds the aggregate carrying amount, no impair</w:t>
      </w:r>
      <w:r>
        <w:rPr>
          <w:rFonts w:eastAsia="Times New Roman"/>
          <w:color w:val="000000"/>
          <w:sz w:val="20"/>
          <w:szCs w:val="20"/>
        </w:rPr>
        <w:t xml:space="preserve">ment charge is recorded. Otherwise, we record an impairment charge to the extent the carrying amount of the goodwill exceeds the amount that would be allocated to goodwill if the reporting unit were acquired for estimated fair value. </w:t>
      </w:r>
    </w:p>
    <w:p w:rsidR="00000000" w:rsidRDefault="008C69C0">
      <w:pPr>
        <w:ind w:firstLine="720"/>
        <w:jc w:val="both"/>
        <w:divId w:val="1592853569"/>
        <w:rPr>
          <w:rFonts w:eastAsia="Times New Roman"/>
        </w:rPr>
      </w:pPr>
      <w:r>
        <w:rPr>
          <w:rFonts w:eastAsia="Times New Roman"/>
          <w:color w:val="000000"/>
          <w:sz w:val="20"/>
          <w:szCs w:val="20"/>
        </w:rPr>
        <w:t>We evaluate other ind</w:t>
      </w:r>
      <w:r>
        <w:rPr>
          <w:rFonts w:eastAsia="Times New Roman"/>
          <w:color w:val="000000"/>
          <w:sz w:val="20"/>
          <w:szCs w:val="20"/>
        </w:rPr>
        <w:t>efinite-lived intangible assets, such as the Shurgard® trade name for impairment at least annually and whenever relevant events, circumstances and other related factors indicate that the fair value is less than the carrying amount. When we conclude that it</w:t>
      </w:r>
      <w:r>
        <w:rPr>
          <w:rFonts w:eastAsia="Times New Roman"/>
          <w:color w:val="000000"/>
          <w:sz w:val="20"/>
          <w:szCs w:val="20"/>
        </w:rPr>
        <w:t xml:space="preserve"> is likely that the asset is not impaired, we do not record an impairment charge and no further analysis is performed. Otherwise, we record an impairment charge to the extent the carrying amount exceeds the asset’s estimated fair value. </w:t>
      </w:r>
    </w:p>
    <w:p w:rsidR="00000000" w:rsidRDefault="008C69C0">
      <w:pPr>
        <w:ind w:firstLine="720"/>
        <w:jc w:val="both"/>
        <w:divId w:val="675838929"/>
        <w:rPr>
          <w:rFonts w:eastAsia="Times New Roman"/>
        </w:rPr>
      </w:pPr>
      <w:r>
        <w:rPr>
          <w:rFonts w:eastAsia="Times New Roman"/>
          <w:color w:val="000000"/>
          <w:sz w:val="20"/>
          <w:szCs w:val="20"/>
        </w:rPr>
        <w:t>No impairments wer</w:t>
      </w:r>
      <w:r>
        <w:rPr>
          <w:rFonts w:eastAsia="Times New Roman"/>
          <w:color w:val="000000"/>
          <w:sz w:val="20"/>
          <w:szCs w:val="20"/>
        </w:rPr>
        <w:t>e recorded in any of our evaluations for any period presented herein.</w:t>
      </w:r>
    </w:p>
    <w:p w:rsidR="00000000" w:rsidRDefault="008C69C0">
      <w:pPr>
        <w:jc w:val="both"/>
        <w:divId w:val="791679088"/>
        <w:rPr>
          <w:rFonts w:eastAsia="Times New Roman"/>
        </w:rPr>
      </w:pPr>
      <w:r>
        <w:rPr>
          <w:rFonts w:eastAsia="Times New Roman"/>
          <w:color w:val="000000"/>
          <w:sz w:val="20"/>
          <w:szCs w:val="20"/>
          <w:u w:val="single"/>
        </w:rPr>
        <w:t>Revenue and Expense Recognition</w:t>
      </w:r>
    </w:p>
    <w:p w:rsidR="00000000" w:rsidRDefault="008C69C0">
      <w:pPr>
        <w:ind w:firstLine="720"/>
        <w:jc w:val="both"/>
        <w:divId w:val="443695433"/>
        <w:rPr>
          <w:rFonts w:eastAsia="Times New Roman"/>
        </w:rPr>
      </w:pPr>
      <w:r>
        <w:rPr>
          <w:rFonts w:eastAsia="Times New Roman"/>
          <w:color w:val="000000"/>
          <w:sz w:val="20"/>
          <w:szCs w:val="20"/>
        </w:rPr>
        <w:t>We recognize revenues from self-storage facilities, which primarily comprise rental income earned pursuant to month-to-month leases, as well as associated</w:t>
      </w:r>
      <w:r>
        <w:rPr>
          <w:rFonts w:eastAsia="Times New Roman"/>
          <w:color w:val="000000"/>
          <w:sz w:val="20"/>
          <w:szCs w:val="20"/>
        </w:rPr>
        <w:t xml:space="preserve"> late charges and administrative fees, as earned. Promotional discounts reduce rental income over the promotional period, which is generally one month. We recognize ancillary revenues when earned. </w:t>
      </w:r>
    </w:p>
    <w:p w:rsidR="00000000" w:rsidRDefault="008C69C0">
      <w:pPr>
        <w:ind w:firstLine="720"/>
        <w:jc w:val="both"/>
        <w:divId w:val="790629251"/>
        <w:rPr>
          <w:rFonts w:eastAsia="Times New Roman"/>
        </w:rPr>
      </w:pPr>
      <w:r>
        <w:rPr>
          <w:rFonts w:eastAsia="Times New Roman"/>
          <w:color w:val="000000"/>
          <w:sz w:val="20"/>
          <w:szCs w:val="20"/>
        </w:rPr>
        <w:t>We accrue for property tax expense based upon actual amoun</w:t>
      </w:r>
      <w:r>
        <w:rPr>
          <w:rFonts w:eastAsia="Times New Roman"/>
          <w:color w:val="000000"/>
          <w:sz w:val="20"/>
          <w:szCs w:val="20"/>
        </w:rPr>
        <w:t>ts billed and, in some circumstances, estimates when bills or assessments have not been received from the taxing authorities. If these estimates are incorrect, the timing and amount of expense recognition could be incorrect. We expense cost of operations (</w:t>
      </w:r>
      <w:r>
        <w:rPr>
          <w:rFonts w:eastAsia="Times New Roman"/>
          <w:color w:val="000000"/>
          <w:sz w:val="20"/>
          <w:szCs w:val="20"/>
        </w:rPr>
        <w:t xml:space="preserve">including advertising expenditures), general and administrative expense, and interest expense as incurred. </w:t>
      </w:r>
    </w:p>
    <w:p w:rsidR="00000000" w:rsidRDefault="008C69C0">
      <w:pPr>
        <w:jc w:val="both"/>
        <w:divId w:val="656494753"/>
        <w:rPr>
          <w:rFonts w:eastAsia="Times New Roman"/>
        </w:rPr>
      </w:pPr>
      <w:r>
        <w:rPr>
          <w:rFonts w:eastAsia="Times New Roman"/>
          <w:color w:val="000000"/>
          <w:sz w:val="20"/>
          <w:szCs w:val="20"/>
          <w:u w:val="single"/>
        </w:rPr>
        <w:t>Foreign Currency Exchange Translation</w:t>
      </w:r>
    </w:p>
    <w:p w:rsidR="00000000" w:rsidRDefault="008C69C0">
      <w:pPr>
        <w:ind w:firstLine="720"/>
        <w:jc w:val="both"/>
        <w:divId w:val="1481507482"/>
        <w:rPr>
          <w:rFonts w:eastAsia="Times New Roman"/>
        </w:rPr>
      </w:pPr>
      <w:r>
        <w:rPr>
          <w:rFonts w:eastAsia="Times New Roman"/>
          <w:color w:val="000000"/>
          <w:sz w:val="20"/>
          <w:szCs w:val="20"/>
        </w:rPr>
        <w:t>The local currency (primarily the Euro) is the functional currency for our interests in foreign operations. Th</w:t>
      </w:r>
      <w:r>
        <w:rPr>
          <w:rFonts w:eastAsia="Times New Roman"/>
          <w:color w:val="000000"/>
          <w:sz w:val="20"/>
          <w:szCs w:val="20"/>
        </w:rPr>
        <w:t>e related balance sheet amounts are translated into U.S. Dollars at the exchange rates at the respective financial statement date, while amounts on our statements of income are translated at the average exchange rates during the respective period. Cumulati</w:t>
      </w:r>
      <w:r>
        <w:rPr>
          <w:rFonts w:eastAsia="Times New Roman"/>
          <w:color w:val="000000"/>
          <w:sz w:val="20"/>
          <w:szCs w:val="20"/>
        </w:rPr>
        <w:t>ve translation adjustments, to the extent not included in cumulative net income, are included in equity as a component of accumulated other comprehensive income (loss).</w:t>
      </w:r>
    </w:p>
    <w:p w:rsidR="00000000" w:rsidRDefault="008C69C0">
      <w:pPr>
        <w:jc w:val="center"/>
        <w:divId w:val="1498377857"/>
        <w:rPr>
          <w:rFonts w:eastAsia="Times New Roman"/>
        </w:rPr>
      </w:pPr>
      <w:r>
        <w:rPr>
          <w:rFonts w:eastAsia="Times New Roman"/>
          <w:color w:val="000000"/>
          <w:sz w:val="20"/>
          <w:szCs w:val="20"/>
        </w:rPr>
        <w:t>13</w:t>
      </w:r>
    </w:p>
    <w:p w:rsidR="00000000" w:rsidRDefault="008C69C0">
      <w:pPr>
        <w:rPr>
          <w:rFonts w:eastAsia="Times New Roman"/>
        </w:rPr>
      </w:pPr>
      <w:r>
        <w:rPr>
          <w:rFonts w:eastAsia="Times New Roman"/>
        </w:rPr>
        <w:pict>
          <v:rect id="_x0000_i1039" style="width:0;height:1.5pt" o:hralign="center" o:hrstd="t" o:hr="t" fillcolor="#a0a0a0" stroked="f"/>
        </w:pict>
      </w:r>
    </w:p>
    <w:p w:rsidR="00000000" w:rsidRDefault="008C69C0">
      <w:pPr>
        <w:jc w:val="center"/>
        <w:divId w:val="1936353635"/>
        <w:rPr>
          <w:rFonts w:eastAsia="Times New Roman"/>
        </w:rPr>
      </w:pPr>
      <w:r>
        <w:rPr>
          <w:rFonts w:eastAsia="Times New Roman"/>
          <w:b/>
          <w:bCs/>
          <w:color w:val="000000"/>
          <w:sz w:val="20"/>
          <w:szCs w:val="20"/>
        </w:rPr>
        <w:t>PUBLIC STORAGE</w:t>
      </w:r>
    </w:p>
    <w:p w:rsidR="00000000" w:rsidRDefault="008C69C0">
      <w:pPr>
        <w:jc w:val="center"/>
        <w:divId w:val="1936353635"/>
        <w:rPr>
          <w:rFonts w:eastAsia="Times New Roman"/>
        </w:rPr>
      </w:pPr>
      <w:r>
        <w:rPr>
          <w:rFonts w:eastAsia="Times New Roman"/>
          <w:b/>
          <w:bCs/>
          <w:color w:val="000000"/>
          <w:sz w:val="20"/>
          <w:szCs w:val="20"/>
        </w:rPr>
        <w:t>NOTES TO FINANCIAL STATEMENTS</w:t>
      </w:r>
    </w:p>
    <w:p w:rsidR="00000000" w:rsidRDefault="008C69C0">
      <w:pPr>
        <w:jc w:val="center"/>
        <w:divId w:val="1936353635"/>
        <w:rPr>
          <w:rFonts w:eastAsia="Times New Roman"/>
        </w:rPr>
      </w:pPr>
      <w:r>
        <w:rPr>
          <w:rFonts w:eastAsia="Times New Roman"/>
          <w:b/>
          <w:bCs/>
          <w:color w:val="000000"/>
          <w:sz w:val="20"/>
          <w:szCs w:val="20"/>
        </w:rPr>
        <w:t>Sep</w:t>
      </w:r>
      <w:r>
        <w:rPr>
          <w:rFonts w:eastAsia="Times New Roman"/>
          <w:b/>
          <w:bCs/>
          <w:color w:val="000000"/>
          <w:sz w:val="20"/>
          <w:szCs w:val="20"/>
        </w:rPr>
        <w:t>tember 30, 2021</w:t>
      </w:r>
    </w:p>
    <w:p w:rsidR="00000000" w:rsidRDefault="008C69C0">
      <w:pPr>
        <w:jc w:val="center"/>
        <w:divId w:val="1936353635"/>
        <w:rPr>
          <w:rFonts w:eastAsia="Times New Roman"/>
        </w:rPr>
      </w:pPr>
      <w:r>
        <w:rPr>
          <w:rFonts w:eastAsia="Times New Roman"/>
          <w:b/>
          <w:bCs/>
          <w:color w:val="000000"/>
          <w:sz w:val="20"/>
          <w:szCs w:val="20"/>
        </w:rPr>
        <w:t>(unaudited)</w:t>
      </w:r>
    </w:p>
    <w:p w:rsidR="00000000" w:rsidRDefault="008C69C0">
      <w:pPr>
        <w:ind w:firstLine="720"/>
        <w:jc w:val="both"/>
        <w:divId w:val="721488641"/>
        <w:rPr>
          <w:rFonts w:eastAsia="Times New Roman"/>
        </w:rPr>
      </w:pPr>
      <w:r>
        <w:rPr>
          <w:rFonts w:eastAsia="Times New Roman"/>
          <w:color w:val="000000"/>
          <w:sz w:val="20"/>
          <w:szCs w:val="20"/>
        </w:rPr>
        <w:t>When financial instruments denominated in a currency other than the U.S. Dollar are expected to be settled in cash in the foreseeable future, the impact of changes in the U.S. Dollar equivalent are reflected in current earnings.</w:t>
      </w:r>
      <w:r>
        <w:rPr>
          <w:rFonts w:eastAsia="Times New Roman"/>
          <w:color w:val="000000"/>
          <w:sz w:val="20"/>
          <w:szCs w:val="20"/>
        </w:rPr>
        <w:t xml:space="preserve"> The Euro was translated at exchange rates of approximately 1.159 U.S. Dollars per Euro at September 30, 2021 (1.226 at December 31, 2020), and average exchange rates of 1.179 and 1.168 for the three months ended September 30, 2021 and 2020, respectively, </w:t>
      </w:r>
      <w:r>
        <w:rPr>
          <w:rFonts w:eastAsia="Times New Roman"/>
          <w:color w:val="000000"/>
          <w:sz w:val="20"/>
          <w:szCs w:val="20"/>
        </w:rPr>
        <w:t xml:space="preserve">and average exchange rates of 1.196 and 1.124 for the nine months ended September 30, 2021 and 2020, respectively. </w:t>
      </w:r>
    </w:p>
    <w:p w:rsidR="00000000" w:rsidRDefault="008C69C0">
      <w:pPr>
        <w:ind w:firstLine="360"/>
        <w:jc w:val="both"/>
        <w:divId w:val="1031685667"/>
        <w:rPr>
          <w:rFonts w:eastAsia="Times New Roman"/>
        </w:rPr>
      </w:pPr>
      <w:r>
        <w:rPr>
          <w:rFonts w:eastAsia="Times New Roman"/>
          <w:color w:val="000000"/>
          <w:sz w:val="20"/>
          <w:szCs w:val="20"/>
          <w:u w:val="single"/>
        </w:rPr>
        <w:t>Comprehensive Income</w:t>
      </w:r>
    </w:p>
    <w:p w:rsidR="00000000" w:rsidRDefault="008C69C0">
      <w:pPr>
        <w:ind w:firstLine="720"/>
        <w:jc w:val="both"/>
        <w:divId w:val="1174145011"/>
        <w:rPr>
          <w:rFonts w:eastAsia="Times New Roman"/>
        </w:rPr>
      </w:pPr>
      <w:r>
        <w:rPr>
          <w:rFonts w:eastAsia="Times New Roman"/>
          <w:color w:val="000000"/>
          <w:sz w:val="20"/>
          <w:szCs w:val="20"/>
        </w:rPr>
        <w:t>Total comprehensive income represents net income, adjusted for changes in other comprehensive income (loss) for the app</w:t>
      </w:r>
      <w:r>
        <w:rPr>
          <w:rFonts w:eastAsia="Times New Roman"/>
          <w:color w:val="000000"/>
          <w:sz w:val="20"/>
          <w:szCs w:val="20"/>
        </w:rPr>
        <w:t>licable period, which primarily comprised of foreign currency translation gains and losses on our investment in Shurgard.</w:t>
      </w:r>
    </w:p>
    <w:p w:rsidR="00000000" w:rsidRDefault="008C69C0">
      <w:pPr>
        <w:ind w:firstLine="360"/>
        <w:divId w:val="1823620281"/>
        <w:rPr>
          <w:rFonts w:eastAsia="Times New Roman"/>
        </w:rPr>
      </w:pPr>
      <w:r>
        <w:rPr>
          <w:rFonts w:eastAsia="Times New Roman"/>
          <w:color w:val="000000"/>
          <w:sz w:val="20"/>
          <w:szCs w:val="20"/>
          <w:u w:val="single"/>
        </w:rPr>
        <w:t>Net Income per Common Share</w:t>
      </w:r>
    </w:p>
    <w:p w:rsidR="00000000" w:rsidRDefault="008C69C0">
      <w:pPr>
        <w:ind w:firstLine="720"/>
        <w:jc w:val="both"/>
        <w:divId w:val="430050896"/>
        <w:rPr>
          <w:rFonts w:eastAsia="Times New Roman"/>
        </w:rPr>
      </w:pPr>
      <w:r>
        <w:rPr>
          <w:rFonts w:eastAsia="Times New Roman"/>
          <w:color w:val="000000"/>
          <w:sz w:val="20"/>
          <w:szCs w:val="20"/>
        </w:rPr>
        <w:t>We allocate net income to (i) noncontrolling interests based upon their share of the net income of the Sub</w:t>
      </w:r>
      <w:r>
        <w:rPr>
          <w:rFonts w:eastAsia="Times New Roman"/>
          <w:color w:val="000000"/>
          <w:sz w:val="20"/>
          <w:szCs w:val="20"/>
        </w:rPr>
        <w:t>sidiaries and (ii) preferred shareholders, to the extent redemption cost exceeds the related original net issuance proceeds (an “preferred share redemption charge”), with the remaining net income allocated to each of our equity securities based upon the di</w:t>
      </w:r>
      <w:r>
        <w:rPr>
          <w:rFonts w:eastAsia="Times New Roman"/>
          <w:color w:val="000000"/>
          <w:sz w:val="20"/>
          <w:szCs w:val="20"/>
        </w:rPr>
        <w:t xml:space="preserve">vidends declared or accumulated during the period, combined with participation rights in undistributed earnings. </w:t>
      </w:r>
    </w:p>
    <w:p w:rsidR="00000000" w:rsidRDefault="008C69C0">
      <w:pPr>
        <w:ind w:firstLine="720"/>
        <w:jc w:val="both"/>
        <w:divId w:val="675615117"/>
        <w:rPr>
          <w:rFonts w:eastAsia="Times New Roman"/>
        </w:rPr>
      </w:pPr>
      <w:r>
        <w:rPr>
          <w:rFonts w:eastAsia="Times New Roman"/>
          <w:color w:val="000000"/>
          <w:sz w:val="20"/>
          <w:szCs w:val="20"/>
        </w:rPr>
        <w:t>We calculate basic and diluted net income per common share based upon net income allocable to common shareholders presented on the face of our</w:t>
      </w:r>
      <w:r>
        <w:rPr>
          <w:rFonts w:eastAsia="Times New Roman"/>
          <w:color w:val="000000"/>
          <w:sz w:val="20"/>
          <w:szCs w:val="20"/>
        </w:rPr>
        <w:t xml:space="preserve"> income statement, divided by (i) in the case of basic net income per common share, weighted average common shares, and (ii) in the case of diluted income per share, weighted average common shares adjusted for the impact, if dilutive, of stock options outs</w:t>
      </w:r>
      <w:r>
        <w:rPr>
          <w:rFonts w:eastAsia="Times New Roman"/>
          <w:color w:val="000000"/>
          <w:sz w:val="20"/>
          <w:szCs w:val="20"/>
        </w:rPr>
        <w:t>tanding (Note 10). The following table reconciles from basic to diluted common shares outstanding (amounts in thousands):</w:t>
      </w:r>
    </w:p>
    <w:tbl>
      <w:tblPr>
        <w:tblW w:w="4848" w:type="pct"/>
        <w:tblCellMar>
          <w:top w:w="15" w:type="dxa"/>
          <w:left w:w="15" w:type="dxa"/>
          <w:bottom w:w="15" w:type="dxa"/>
          <w:right w:w="15" w:type="dxa"/>
        </w:tblCellMar>
        <w:tblLook w:val="04A0" w:firstRow="1" w:lastRow="0" w:firstColumn="1" w:lastColumn="0" w:noHBand="0" w:noVBand="1"/>
      </w:tblPr>
      <w:tblGrid>
        <w:gridCol w:w="56"/>
        <w:gridCol w:w="3410"/>
        <w:gridCol w:w="37"/>
        <w:gridCol w:w="57"/>
        <w:gridCol w:w="981"/>
        <w:gridCol w:w="38"/>
        <w:gridCol w:w="36"/>
        <w:gridCol w:w="36"/>
        <w:gridCol w:w="36"/>
        <w:gridCol w:w="53"/>
        <w:gridCol w:w="959"/>
        <w:gridCol w:w="37"/>
        <w:gridCol w:w="36"/>
        <w:gridCol w:w="36"/>
        <w:gridCol w:w="36"/>
        <w:gridCol w:w="53"/>
        <w:gridCol w:w="959"/>
        <w:gridCol w:w="38"/>
        <w:gridCol w:w="36"/>
        <w:gridCol w:w="36"/>
        <w:gridCol w:w="36"/>
        <w:gridCol w:w="53"/>
        <w:gridCol w:w="961"/>
        <w:gridCol w:w="37"/>
      </w:tblGrid>
      <w:tr w:rsidR="00000000">
        <w:trPr>
          <w:divId w:val="1413313485"/>
        </w:trPr>
        <w:tc>
          <w:tcPr>
            <w:tcW w:w="50" w:type="pct"/>
            <w:vAlign w:val="center"/>
            <w:hideMark/>
          </w:tcPr>
          <w:p w:rsidR="00000000" w:rsidRDefault="008C69C0">
            <w:pPr>
              <w:ind w:firstLine="720"/>
              <w:jc w:val="both"/>
              <w:rPr>
                <w:rFonts w:eastAsia="Times New Roman"/>
              </w:rPr>
            </w:pPr>
          </w:p>
        </w:tc>
        <w:tc>
          <w:tcPr>
            <w:tcW w:w="213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2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413313485"/>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September 30,</w:t>
            </w:r>
          </w:p>
        </w:tc>
      </w:tr>
      <w:tr w:rsidR="00000000">
        <w:trPr>
          <w:divId w:val="1413313485"/>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2020</w:t>
            </w:r>
          </w:p>
        </w:tc>
      </w:tr>
      <w:tr w:rsidR="00000000">
        <w:trPr>
          <w:divId w:val="1413313485"/>
        </w:trPr>
        <w:tc>
          <w:tcPr>
            <w:tcW w:w="0" w:type="auto"/>
            <w:gridSpan w:val="3"/>
            <w:tcMar>
              <w:top w:w="30" w:type="dxa"/>
              <w:left w:w="32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u w:val="single"/>
              </w:rPr>
              <w:t>Weighted average common shares and equivalents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413313485"/>
        </w:trPr>
        <w:tc>
          <w:tcPr>
            <w:tcW w:w="0" w:type="auto"/>
            <w:gridSpan w:val="3"/>
            <w:tcMar>
              <w:top w:w="30" w:type="dxa"/>
              <w:left w:w="56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Basic weighted average common shares outstanding</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174,926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174,503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174,787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174,481</w:t>
            </w:r>
          </w:p>
        </w:tc>
      </w:tr>
      <w:tr w:rsidR="00000000">
        <w:trPr>
          <w:divId w:val="1413313485"/>
        </w:trPr>
        <w:tc>
          <w:tcPr>
            <w:tcW w:w="0" w:type="auto"/>
            <w:gridSpan w:val="3"/>
            <w:tcMar>
              <w:top w:w="30" w:type="dxa"/>
              <w:left w:w="56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Net effect of dilutive stock options - based on treasury stock method</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125</w:t>
            </w:r>
          </w:p>
        </w:tc>
      </w:tr>
      <w:tr w:rsidR="00000000">
        <w:trPr>
          <w:divId w:val="1413313485"/>
        </w:trPr>
        <w:tc>
          <w:tcPr>
            <w:tcW w:w="0" w:type="auto"/>
            <w:gridSpan w:val="3"/>
            <w:tcMar>
              <w:top w:w="30" w:type="dxa"/>
              <w:left w:w="56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Diluted weighted average common shares outstanding</w:t>
            </w: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175,806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174,626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175,398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174,606</w:t>
            </w:r>
          </w:p>
        </w:tc>
      </w:tr>
    </w:tbl>
    <w:p w:rsidR="00000000" w:rsidRDefault="008C69C0">
      <w:pPr>
        <w:divId w:val="879517655"/>
        <w:rPr>
          <w:rFonts w:eastAsia="Times New Roman"/>
        </w:rPr>
      </w:pPr>
    </w:p>
    <w:p w:rsidR="00000000" w:rsidRDefault="008C69C0">
      <w:pPr>
        <w:jc w:val="center"/>
        <w:divId w:val="1548374557"/>
        <w:rPr>
          <w:rFonts w:eastAsia="Times New Roman"/>
        </w:rPr>
      </w:pPr>
      <w:r>
        <w:rPr>
          <w:rFonts w:eastAsia="Times New Roman"/>
          <w:color w:val="000000"/>
          <w:sz w:val="20"/>
          <w:szCs w:val="20"/>
        </w:rPr>
        <w:t>14</w:t>
      </w:r>
    </w:p>
    <w:p w:rsidR="00000000" w:rsidRDefault="008C69C0">
      <w:pPr>
        <w:rPr>
          <w:rFonts w:eastAsia="Times New Roman"/>
        </w:rPr>
      </w:pPr>
      <w:r>
        <w:rPr>
          <w:rFonts w:eastAsia="Times New Roman"/>
        </w:rPr>
        <w:pict>
          <v:rect id="_x0000_i1040" style="width:0;height:1.5pt" o:hralign="center" o:hrstd="t" o:hr="t" fillcolor="#a0a0a0" stroked="f"/>
        </w:pict>
      </w:r>
    </w:p>
    <w:p w:rsidR="00000000" w:rsidRDefault="008C69C0">
      <w:pPr>
        <w:jc w:val="center"/>
        <w:divId w:val="1047949069"/>
        <w:rPr>
          <w:rFonts w:eastAsia="Times New Roman"/>
        </w:rPr>
      </w:pPr>
      <w:r>
        <w:rPr>
          <w:rFonts w:eastAsia="Times New Roman"/>
          <w:b/>
          <w:bCs/>
          <w:color w:val="000000"/>
          <w:sz w:val="20"/>
          <w:szCs w:val="20"/>
        </w:rPr>
        <w:t>PUBLIC STORAGE</w:t>
      </w:r>
    </w:p>
    <w:p w:rsidR="00000000" w:rsidRDefault="008C69C0">
      <w:pPr>
        <w:jc w:val="center"/>
        <w:divId w:val="1047949069"/>
        <w:rPr>
          <w:rFonts w:eastAsia="Times New Roman"/>
        </w:rPr>
      </w:pPr>
      <w:r>
        <w:rPr>
          <w:rFonts w:eastAsia="Times New Roman"/>
          <w:b/>
          <w:bCs/>
          <w:color w:val="000000"/>
          <w:sz w:val="20"/>
          <w:szCs w:val="20"/>
        </w:rPr>
        <w:t>NOTES TO FINANCIAL STATEMENTS</w:t>
      </w:r>
    </w:p>
    <w:p w:rsidR="00000000" w:rsidRDefault="008C69C0">
      <w:pPr>
        <w:jc w:val="center"/>
        <w:divId w:val="1047949069"/>
        <w:rPr>
          <w:rFonts w:eastAsia="Times New Roman"/>
        </w:rPr>
      </w:pPr>
      <w:r>
        <w:rPr>
          <w:rFonts w:eastAsia="Times New Roman"/>
          <w:b/>
          <w:bCs/>
          <w:color w:val="000000"/>
          <w:sz w:val="20"/>
          <w:szCs w:val="20"/>
        </w:rPr>
        <w:t>September 30, 2021</w:t>
      </w:r>
    </w:p>
    <w:p w:rsidR="00000000" w:rsidRDefault="008C69C0">
      <w:pPr>
        <w:jc w:val="center"/>
        <w:divId w:val="1047949069"/>
        <w:rPr>
          <w:rFonts w:eastAsia="Times New Roman"/>
        </w:rPr>
      </w:pPr>
      <w:r>
        <w:rPr>
          <w:rFonts w:eastAsia="Times New Roman"/>
          <w:b/>
          <w:bCs/>
          <w:color w:val="000000"/>
          <w:sz w:val="20"/>
          <w:szCs w:val="20"/>
        </w:rPr>
        <w:t>(unaudited)</w:t>
      </w:r>
    </w:p>
    <w:p w:rsidR="00000000" w:rsidRDefault="008C69C0">
      <w:pPr>
        <w:ind w:hanging="360"/>
        <w:divId w:val="1970475357"/>
        <w:rPr>
          <w:rFonts w:eastAsia="Times New Roman"/>
        </w:rPr>
      </w:pPr>
      <w:r>
        <w:rPr>
          <w:rFonts w:eastAsia="Times New Roman"/>
          <w:color w:val="000000"/>
          <w:sz w:val="20"/>
          <w:szCs w:val="20"/>
        </w:rPr>
        <w:t>3.</w:t>
      </w:r>
      <w:r>
        <w:rPr>
          <w:rFonts w:eastAsia="Times New Roman"/>
          <w:color w:val="000000"/>
          <w:sz w:val="20"/>
          <w:szCs w:val="20"/>
          <w:u w:val="single"/>
        </w:rPr>
        <w:t>Real Estate Facilities</w:t>
      </w:r>
    </w:p>
    <w:p w:rsidR="00000000" w:rsidRDefault="008C69C0">
      <w:pPr>
        <w:divId w:val="908883842"/>
        <w:rPr>
          <w:rFonts w:eastAsia="Times New Roman"/>
        </w:rPr>
      </w:pPr>
    </w:p>
    <w:p w:rsidR="00000000" w:rsidRDefault="008C69C0">
      <w:pPr>
        <w:ind w:firstLine="720"/>
        <w:divId w:val="1463890589"/>
        <w:rPr>
          <w:rFonts w:eastAsia="Times New Roman"/>
        </w:rPr>
      </w:pPr>
      <w:r>
        <w:rPr>
          <w:rFonts w:eastAsia="Times New Roman"/>
          <w:color w:val="000000"/>
          <w:sz w:val="20"/>
          <w:szCs w:val="20"/>
        </w:rPr>
        <w:t>Activity in real estate facilities during the nine months ended September 30, 2021 is as follows:</w:t>
      </w:r>
    </w:p>
    <w:tbl>
      <w:tblPr>
        <w:tblW w:w="4803" w:type="pct"/>
        <w:tblCellMar>
          <w:top w:w="15" w:type="dxa"/>
          <w:left w:w="15" w:type="dxa"/>
          <w:bottom w:w="15" w:type="dxa"/>
          <w:right w:w="15" w:type="dxa"/>
        </w:tblCellMar>
        <w:tblLook w:val="04A0" w:firstRow="1" w:lastRow="0" w:firstColumn="1" w:lastColumn="0" w:noHBand="0" w:noVBand="1"/>
      </w:tblPr>
      <w:tblGrid>
        <w:gridCol w:w="47"/>
        <w:gridCol w:w="5757"/>
        <w:gridCol w:w="38"/>
        <w:gridCol w:w="120"/>
        <w:gridCol w:w="1981"/>
        <w:gridCol w:w="36"/>
      </w:tblGrid>
      <w:tr w:rsidR="00000000">
        <w:trPr>
          <w:divId w:val="1681810574"/>
        </w:trPr>
        <w:tc>
          <w:tcPr>
            <w:tcW w:w="50" w:type="pct"/>
            <w:vAlign w:val="center"/>
            <w:hideMark/>
          </w:tcPr>
          <w:p w:rsidR="00000000" w:rsidRDefault="008C69C0">
            <w:pPr>
              <w:ind w:firstLine="720"/>
              <w:rPr>
                <w:rFonts w:eastAsia="Times New Roman"/>
              </w:rPr>
            </w:pPr>
          </w:p>
        </w:tc>
        <w:tc>
          <w:tcPr>
            <w:tcW w:w="36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26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681810574"/>
        </w:trPr>
        <w:tc>
          <w:tcPr>
            <w:tcW w:w="0" w:type="auto"/>
            <w:gridSpan w:val="3"/>
            <w:tcMar>
              <w:top w:w="30" w:type="dxa"/>
              <w:left w:w="20" w:type="dxa"/>
              <w:bottom w:w="30" w:type="dxa"/>
              <w:right w:w="20" w:type="dxa"/>
            </w:tcMar>
            <w:vAlign w:val="center"/>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w:t>
            </w:r>
            <w:r>
              <w:rPr>
                <w:rFonts w:eastAsia="Times New Roman"/>
                <w:color w:val="000000"/>
                <w:sz w:val="20"/>
                <w:szCs w:val="20"/>
              </w:rPr>
              <w:t>ths Ended</w:t>
            </w:r>
            <w:r>
              <w:rPr>
                <w:rFonts w:eastAsia="Times New Roman"/>
                <w:color w:val="000000"/>
                <w:sz w:val="20"/>
                <w:szCs w:val="20"/>
              </w:rPr>
              <w:br/>
              <w:t>September 30, 2021</w:t>
            </w:r>
          </w:p>
        </w:tc>
      </w:tr>
      <w:tr w:rsidR="00000000">
        <w:trPr>
          <w:divId w:val="1681810574"/>
        </w:trPr>
        <w:tc>
          <w:tcPr>
            <w:tcW w:w="0" w:type="auto"/>
            <w:gridSpan w:val="3"/>
            <w:tcMar>
              <w:top w:w="30" w:type="dxa"/>
              <w:left w:w="20" w:type="dxa"/>
              <w:bottom w:w="30" w:type="dxa"/>
              <w:right w:w="20" w:type="dxa"/>
            </w:tcMar>
            <w:vAlign w:val="center"/>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w:t>
            </w:r>
          </w:p>
        </w:tc>
      </w:tr>
      <w:tr w:rsidR="00000000">
        <w:trPr>
          <w:divId w:val="1681810574"/>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Operating facilities, at cost: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Beginning balance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17,372,627 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177,641 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Acquisitions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2,741,952 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(6,783)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171,086 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20,456,523 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Accumulated 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(7,152,135)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Depreciation expense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(450,757)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4,396 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(7,598,496)</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Construction in process: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188,079 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Costs incurred to develop and expand real estate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211,386 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(171,086)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228,379 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81810574"/>
        </w:trPr>
        <w:tc>
          <w:tcPr>
            <w:tcW w:w="0" w:type="auto"/>
            <w:gridSpan w:val="3"/>
            <w:tcMar>
              <w:top w:w="30" w:type="dxa"/>
              <w:left w:w="20" w:type="dxa"/>
              <w:bottom w:w="30" w:type="dxa"/>
              <w:right w:w="20" w:type="dxa"/>
            </w:tcMar>
            <w:vAlign w:val="bottom"/>
            <w:hideMark/>
          </w:tcPr>
          <w:p w:rsidR="00000000" w:rsidRDefault="008C69C0">
            <w:pPr>
              <w:spacing w:after="100"/>
              <w:divId w:val="1120877429"/>
              <w:rPr>
                <w:rFonts w:eastAsia="Times New Roman"/>
              </w:rPr>
            </w:pPr>
            <w:r>
              <w:rPr>
                <w:rFonts w:eastAsia="Times New Roman"/>
                <w:color w:val="000000"/>
                <w:sz w:val="20"/>
                <w:szCs w:val="20"/>
              </w:rPr>
              <w:t>Total real estate facilities at September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13,086,406 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ind w:firstLine="720"/>
        <w:jc w:val="both"/>
        <w:divId w:val="797920436"/>
        <w:rPr>
          <w:rFonts w:eastAsia="Times New Roman"/>
        </w:rPr>
      </w:pPr>
      <w:r>
        <w:rPr>
          <w:rFonts w:eastAsia="Times New Roman"/>
          <w:color w:val="000000"/>
          <w:sz w:val="20"/>
          <w:szCs w:val="20"/>
        </w:rPr>
        <w:t>During the nine months ended September 30, 2021, we acquired 126 self-storage facilities (10,295,000 net rentable square feet of storage space), for a total cost of $2.8 billion in cash. Approximately $103.3 million of the total cost was allocated to intan</w:t>
      </w:r>
      <w:r>
        <w:rPr>
          <w:rFonts w:eastAsia="Times New Roman"/>
          <w:color w:val="000000"/>
          <w:sz w:val="20"/>
          <w:szCs w:val="20"/>
        </w:rPr>
        <w:t>gible assets. We completed development and redevelopment activities costing $171.1 million during the nine months ended September 30, 2021, adding 1.2 million net rentable square feet of self-storage space. Construction in process at September 30, 2021 con</w:t>
      </w:r>
      <w:r>
        <w:rPr>
          <w:rFonts w:eastAsia="Times New Roman"/>
          <w:color w:val="000000"/>
          <w:sz w:val="20"/>
          <w:szCs w:val="20"/>
        </w:rPr>
        <w:t xml:space="preserve">sists of projects to develop new self-storage facilities and expand existing self-storage facilities. </w:t>
      </w:r>
    </w:p>
    <w:p w:rsidR="00000000" w:rsidRDefault="008C69C0">
      <w:pPr>
        <w:ind w:firstLine="720"/>
        <w:jc w:val="both"/>
        <w:divId w:val="844979649"/>
        <w:rPr>
          <w:rFonts w:eastAsia="Times New Roman"/>
        </w:rPr>
      </w:pPr>
      <w:r>
        <w:rPr>
          <w:rFonts w:eastAsia="Times New Roman"/>
          <w:color w:val="000000"/>
          <w:sz w:val="20"/>
          <w:szCs w:val="20"/>
        </w:rPr>
        <w:t>During the nine months ended September 30, 2021, our accrual for unpaid construction costs increased $7.4 million (a $2.9 million increase for the same p</w:t>
      </w:r>
      <w:r>
        <w:rPr>
          <w:rFonts w:eastAsia="Times New Roman"/>
          <w:color w:val="000000"/>
          <w:sz w:val="20"/>
          <w:szCs w:val="20"/>
        </w:rPr>
        <w:t xml:space="preserve">eriod in 2020). During the nine months ended September 30, 2021, our accrual for capital expenditures to maintain real estate facilities increased $7.9 million (a $6.9 million decrease for the same period in 2020). </w:t>
      </w:r>
    </w:p>
    <w:p w:rsidR="00000000" w:rsidRDefault="008C69C0">
      <w:pPr>
        <w:ind w:firstLine="720"/>
        <w:jc w:val="both"/>
        <w:divId w:val="1639141969"/>
        <w:rPr>
          <w:rFonts w:eastAsia="Times New Roman"/>
        </w:rPr>
      </w:pPr>
      <w:r>
        <w:rPr>
          <w:rFonts w:eastAsia="Times New Roman"/>
          <w:color w:val="000000"/>
          <w:sz w:val="20"/>
          <w:szCs w:val="20"/>
        </w:rPr>
        <w:t>During the nine months ended September 3</w:t>
      </w:r>
      <w:r>
        <w:rPr>
          <w:rFonts w:eastAsia="Times New Roman"/>
          <w:color w:val="000000"/>
          <w:sz w:val="20"/>
          <w:szCs w:val="20"/>
        </w:rPr>
        <w:t>0, 2021, we sold portions of real estate facilities in connection with eminent domain proceedings for $16.1 million in cash proceeds and recorded a related gain on sale of real estate of approximately $13.7 million.</w:t>
      </w:r>
    </w:p>
    <w:p w:rsidR="00000000" w:rsidRDefault="008C69C0">
      <w:pPr>
        <w:ind w:hanging="360"/>
        <w:jc w:val="both"/>
        <w:divId w:val="450786483"/>
        <w:rPr>
          <w:rFonts w:eastAsia="Times New Roman"/>
        </w:rPr>
      </w:pPr>
    </w:p>
    <w:p w:rsidR="00000000" w:rsidRDefault="008C69C0">
      <w:pPr>
        <w:jc w:val="center"/>
        <w:divId w:val="578247637"/>
        <w:rPr>
          <w:rFonts w:eastAsia="Times New Roman"/>
        </w:rPr>
      </w:pPr>
      <w:r>
        <w:rPr>
          <w:rFonts w:eastAsia="Times New Roman"/>
          <w:color w:val="000000"/>
          <w:sz w:val="20"/>
          <w:szCs w:val="20"/>
        </w:rPr>
        <w:t>15</w:t>
      </w:r>
    </w:p>
    <w:p w:rsidR="00000000" w:rsidRDefault="008C69C0">
      <w:pPr>
        <w:rPr>
          <w:rFonts w:eastAsia="Times New Roman"/>
        </w:rPr>
      </w:pPr>
      <w:r>
        <w:rPr>
          <w:rFonts w:eastAsia="Times New Roman"/>
        </w:rPr>
        <w:pict>
          <v:rect id="_x0000_i1041" style="width:0;height:1.5pt" o:hralign="center" o:hrstd="t" o:hr="t" fillcolor="#a0a0a0" stroked="f"/>
        </w:pict>
      </w:r>
    </w:p>
    <w:p w:rsidR="00000000" w:rsidRDefault="008C69C0">
      <w:pPr>
        <w:jc w:val="center"/>
        <w:divId w:val="1547764476"/>
        <w:rPr>
          <w:rFonts w:eastAsia="Times New Roman"/>
        </w:rPr>
      </w:pPr>
      <w:r>
        <w:rPr>
          <w:rFonts w:eastAsia="Times New Roman"/>
          <w:b/>
          <w:bCs/>
          <w:color w:val="000000"/>
          <w:sz w:val="20"/>
          <w:szCs w:val="20"/>
        </w:rPr>
        <w:t>PUBLIC STORAGE</w:t>
      </w:r>
    </w:p>
    <w:p w:rsidR="00000000" w:rsidRDefault="008C69C0">
      <w:pPr>
        <w:jc w:val="center"/>
        <w:divId w:val="1547764476"/>
        <w:rPr>
          <w:rFonts w:eastAsia="Times New Roman"/>
        </w:rPr>
      </w:pPr>
      <w:r>
        <w:rPr>
          <w:rFonts w:eastAsia="Times New Roman"/>
          <w:b/>
          <w:bCs/>
          <w:color w:val="000000"/>
          <w:sz w:val="20"/>
          <w:szCs w:val="20"/>
        </w:rPr>
        <w:t>NOTES TO FINANCIAL STATEMENTS</w:t>
      </w:r>
    </w:p>
    <w:p w:rsidR="00000000" w:rsidRDefault="008C69C0">
      <w:pPr>
        <w:jc w:val="center"/>
        <w:divId w:val="1547764476"/>
        <w:rPr>
          <w:rFonts w:eastAsia="Times New Roman"/>
        </w:rPr>
      </w:pPr>
      <w:r>
        <w:rPr>
          <w:rFonts w:eastAsia="Times New Roman"/>
          <w:b/>
          <w:bCs/>
          <w:color w:val="000000"/>
          <w:sz w:val="20"/>
          <w:szCs w:val="20"/>
        </w:rPr>
        <w:t>September 30, 2021</w:t>
      </w:r>
    </w:p>
    <w:p w:rsidR="00000000" w:rsidRDefault="008C69C0">
      <w:pPr>
        <w:jc w:val="center"/>
        <w:divId w:val="1547764476"/>
        <w:rPr>
          <w:rFonts w:eastAsia="Times New Roman"/>
        </w:rPr>
      </w:pPr>
      <w:r>
        <w:rPr>
          <w:rFonts w:eastAsia="Times New Roman"/>
          <w:b/>
          <w:bCs/>
          <w:color w:val="000000"/>
          <w:sz w:val="20"/>
          <w:szCs w:val="20"/>
        </w:rPr>
        <w:t>(unaudited)</w:t>
      </w:r>
    </w:p>
    <w:p w:rsidR="00000000" w:rsidRDefault="008C69C0">
      <w:pPr>
        <w:ind w:hanging="360"/>
        <w:divId w:val="412047220"/>
        <w:rPr>
          <w:rFonts w:eastAsia="Times New Roman"/>
        </w:rPr>
      </w:pPr>
      <w:r>
        <w:rPr>
          <w:rFonts w:eastAsia="Times New Roman"/>
          <w:color w:val="000000"/>
          <w:sz w:val="20"/>
          <w:szCs w:val="20"/>
        </w:rPr>
        <w:t>4.</w:t>
      </w:r>
      <w:r>
        <w:rPr>
          <w:rFonts w:eastAsia="Times New Roman"/>
          <w:color w:val="000000"/>
          <w:sz w:val="20"/>
          <w:szCs w:val="20"/>
          <w:u w:val="single"/>
        </w:rPr>
        <w:t>Investments in Unconsolidated Real Estate Entities</w:t>
      </w:r>
    </w:p>
    <w:p w:rsidR="00000000" w:rsidRDefault="008C69C0">
      <w:pPr>
        <w:ind w:firstLine="720"/>
        <w:jc w:val="both"/>
        <w:divId w:val="397870871"/>
        <w:rPr>
          <w:rFonts w:eastAsia="Times New Roman"/>
        </w:rPr>
      </w:pPr>
      <w:r>
        <w:rPr>
          <w:rFonts w:eastAsia="Times New Roman"/>
          <w:color w:val="000000"/>
          <w:sz w:val="20"/>
          <w:szCs w:val="20"/>
        </w:rPr>
        <w:t>The following table sets forth our investments in, and equity in earnings of, the Unconsoli</w:t>
      </w:r>
      <w:r>
        <w:rPr>
          <w:rFonts w:eastAsia="Times New Roman"/>
          <w:color w:val="000000"/>
          <w:sz w:val="20"/>
          <w:szCs w:val="20"/>
        </w:rPr>
        <w:t>dated Real Estate Entities (amounts in thousands):</w:t>
      </w:r>
    </w:p>
    <w:tbl>
      <w:tblPr>
        <w:tblW w:w="2818" w:type="pct"/>
        <w:tblCellMar>
          <w:top w:w="15" w:type="dxa"/>
          <w:left w:w="15" w:type="dxa"/>
          <w:bottom w:w="15" w:type="dxa"/>
          <w:right w:w="15" w:type="dxa"/>
        </w:tblCellMar>
        <w:tblLook w:val="04A0" w:firstRow="1" w:lastRow="0" w:firstColumn="1" w:lastColumn="0" w:noHBand="0" w:noVBand="1"/>
      </w:tblPr>
      <w:tblGrid>
        <w:gridCol w:w="38"/>
        <w:gridCol w:w="1254"/>
        <w:gridCol w:w="36"/>
        <w:gridCol w:w="122"/>
        <w:gridCol w:w="1484"/>
        <w:gridCol w:w="38"/>
        <w:gridCol w:w="37"/>
        <w:gridCol w:w="37"/>
        <w:gridCol w:w="37"/>
        <w:gridCol w:w="121"/>
        <w:gridCol w:w="1440"/>
        <w:gridCol w:w="37"/>
      </w:tblGrid>
      <w:tr w:rsidR="00000000">
        <w:trPr>
          <w:divId w:val="600646267"/>
        </w:trPr>
        <w:tc>
          <w:tcPr>
            <w:tcW w:w="50" w:type="pct"/>
            <w:vAlign w:val="center"/>
            <w:hideMark/>
          </w:tcPr>
          <w:p w:rsidR="00000000" w:rsidRDefault="008C69C0">
            <w:pPr>
              <w:ind w:firstLine="720"/>
              <w:jc w:val="both"/>
              <w:rPr>
                <w:rFonts w:eastAsia="Times New Roman"/>
              </w:rPr>
            </w:pPr>
          </w:p>
        </w:tc>
        <w:tc>
          <w:tcPr>
            <w:tcW w:w="146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65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6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60064626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Investments in Unconsolidated Real Estate Entities at</w:t>
            </w:r>
          </w:p>
        </w:tc>
      </w:tr>
      <w:tr w:rsidR="00000000">
        <w:trPr>
          <w:divId w:val="600646267"/>
        </w:trPr>
        <w:tc>
          <w:tcPr>
            <w:tcW w:w="0" w:type="auto"/>
            <w:gridSpan w:val="3"/>
            <w:tcMar>
              <w:top w:w="30" w:type="dxa"/>
              <w:left w:w="20" w:type="dxa"/>
              <w:bottom w:w="30" w:type="dxa"/>
              <w:right w:w="20" w:type="dxa"/>
            </w:tcMar>
            <w:vAlign w:val="center"/>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December 31, 2020</w:t>
            </w:r>
          </w:p>
        </w:tc>
      </w:tr>
      <w:tr w:rsidR="00000000">
        <w:trPr>
          <w:divId w:val="600646267"/>
          <w:trHeight w:val="120"/>
        </w:trPr>
        <w:tc>
          <w:tcPr>
            <w:tcW w:w="0" w:type="auto"/>
            <w:gridSpan w:val="12"/>
            <w:tcMar>
              <w:top w:w="0" w:type="dxa"/>
              <w:left w:w="20" w:type="dxa"/>
              <w:bottom w:w="0" w:type="dxa"/>
              <w:right w:w="20" w:type="dxa"/>
            </w:tcMar>
            <w:vAlign w:val="center"/>
            <w:hideMark/>
          </w:tcPr>
          <w:p w:rsidR="00000000" w:rsidRDefault="008C69C0">
            <w:pPr>
              <w:spacing w:after="100"/>
              <w:jc w:val="center"/>
              <w:rPr>
                <w:rFonts w:eastAsia="Times New Roman"/>
              </w:rPr>
            </w:pPr>
          </w:p>
        </w:tc>
      </w:tr>
      <w:tr w:rsidR="00000000">
        <w:trPr>
          <w:divId w:val="600646267"/>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451,336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431,963</w:t>
            </w:r>
          </w:p>
        </w:tc>
      </w:tr>
      <w:tr w:rsidR="00000000">
        <w:trPr>
          <w:divId w:val="600646267"/>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327,936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341,083</w:t>
            </w:r>
          </w:p>
        </w:tc>
      </w:tr>
      <w:tr w:rsidR="00000000">
        <w:trPr>
          <w:divId w:val="600646267"/>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779,272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773,046</w:t>
            </w:r>
          </w:p>
        </w:tc>
      </w:tr>
    </w:tbl>
    <w:tbl>
      <w:tblPr>
        <w:tblW w:w="4818" w:type="pct"/>
        <w:tblCellMar>
          <w:top w:w="15" w:type="dxa"/>
          <w:left w:w="15" w:type="dxa"/>
          <w:bottom w:w="15" w:type="dxa"/>
          <w:right w:w="15" w:type="dxa"/>
        </w:tblCellMar>
        <w:tblLook w:val="04A0" w:firstRow="1" w:lastRow="0" w:firstColumn="1" w:lastColumn="0" w:noHBand="0" w:noVBand="1"/>
      </w:tblPr>
      <w:tblGrid>
        <w:gridCol w:w="144"/>
        <w:gridCol w:w="1333"/>
        <w:gridCol w:w="144"/>
        <w:gridCol w:w="144"/>
        <w:gridCol w:w="1509"/>
        <w:gridCol w:w="144"/>
        <w:gridCol w:w="144"/>
        <w:gridCol w:w="144"/>
        <w:gridCol w:w="144"/>
        <w:gridCol w:w="144"/>
        <w:gridCol w:w="1509"/>
        <w:gridCol w:w="144"/>
        <w:gridCol w:w="144"/>
        <w:gridCol w:w="144"/>
        <w:gridCol w:w="144"/>
        <w:gridCol w:w="144"/>
        <w:gridCol w:w="1509"/>
        <w:gridCol w:w="144"/>
        <w:gridCol w:w="144"/>
        <w:gridCol w:w="144"/>
        <w:gridCol w:w="144"/>
        <w:gridCol w:w="144"/>
        <w:gridCol w:w="1509"/>
        <w:gridCol w:w="144"/>
      </w:tblGrid>
      <w:tr w:rsidR="00000000">
        <w:tc>
          <w:tcPr>
            <w:tcW w:w="50" w:type="pct"/>
            <w:vAlign w:val="center"/>
            <w:hideMark/>
          </w:tcPr>
          <w:p w:rsidR="00000000" w:rsidRDefault="008C69C0">
            <w:pPr>
              <w:rPr>
                <w:rFonts w:eastAsia="Times New Roman"/>
              </w:rPr>
            </w:pPr>
          </w:p>
        </w:tc>
        <w:tc>
          <w:tcPr>
            <w:tcW w:w="83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4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4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4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4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21"/>
            <w:tcBorders>
              <w:bottom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Equity in Earnings of Unconsolidated Real Estate Entities for the</w:t>
            </w:r>
          </w:p>
        </w:tc>
      </w:tr>
      <w:tr w:rsidR="00000000">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c>
          <w:tcPr>
            <w:tcW w:w="0" w:type="auto"/>
            <w:gridSpan w:val="3"/>
            <w:tcMar>
              <w:top w:w="30" w:type="dxa"/>
              <w:left w:w="20" w:type="dxa"/>
              <w:bottom w:w="30" w:type="dxa"/>
              <w:right w:w="20" w:type="dxa"/>
            </w:tcMar>
            <w:vAlign w:val="center"/>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r>
      <w:tr w:rsidR="00000000">
        <w:trPr>
          <w:trHeight w:val="120"/>
        </w:trPr>
        <w:tc>
          <w:tcPr>
            <w:tcW w:w="0" w:type="auto"/>
            <w:gridSpan w:val="12"/>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27,110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16,548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62,494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51,513</w:t>
            </w:r>
          </w:p>
        </w:tc>
      </w:tr>
      <w:tr w:rsidR="00000000">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5,750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4,692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18,888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11,350</w:t>
            </w:r>
          </w:p>
        </w:tc>
      </w:tr>
      <w:tr w:rsidR="00000000">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32,860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21,240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81,382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62,863</w:t>
            </w:r>
          </w:p>
        </w:tc>
      </w:tr>
    </w:tbl>
    <w:p w:rsidR="00000000" w:rsidRDefault="008C69C0">
      <w:pPr>
        <w:ind w:firstLine="360"/>
        <w:divId w:val="583683099"/>
        <w:rPr>
          <w:rFonts w:eastAsia="Times New Roman"/>
        </w:rPr>
      </w:pPr>
      <w:r>
        <w:rPr>
          <w:rFonts w:eastAsia="Times New Roman"/>
          <w:color w:val="000000"/>
          <w:sz w:val="20"/>
          <w:szCs w:val="20"/>
          <w:u w:val="single"/>
        </w:rPr>
        <w:t>Investment in PSB</w:t>
      </w:r>
    </w:p>
    <w:p w:rsidR="00000000" w:rsidRDefault="008C69C0">
      <w:pPr>
        <w:ind w:firstLine="720"/>
        <w:jc w:val="both"/>
        <w:divId w:val="923994970"/>
        <w:rPr>
          <w:rFonts w:eastAsia="Times New Roman"/>
        </w:rPr>
      </w:pPr>
      <w:r>
        <w:rPr>
          <w:rFonts w:eastAsia="Times New Roman"/>
          <w:color w:val="000000"/>
          <w:sz w:val="20"/>
          <w:szCs w:val="20"/>
        </w:rPr>
        <w:t>Throughout all periods presented, we owned 7,158,354 shares of PSB’s common stock and 7,305,355 limited partnership units in an operating partnership controlled by PSB, representing an approximat</w:t>
      </w:r>
      <w:r>
        <w:rPr>
          <w:rFonts w:eastAsia="Times New Roman"/>
          <w:color w:val="000000"/>
          <w:sz w:val="20"/>
          <w:szCs w:val="20"/>
        </w:rPr>
        <w:t xml:space="preserve">e 42% common equity interest. The limited partnership units are convertible at our option, subject to certain conditions, on a one-for-one basis into PSB common stock. </w:t>
      </w:r>
    </w:p>
    <w:p w:rsidR="00000000" w:rsidRDefault="008C69C0">
      <w:pPr>
        <w:ind w:firstLine="720"/>
        <w:jc w:val="both"/>
        <w:divId w:val="2070882808"/>
        <w:rPr>
          <w:rFonts w:eastAsia="Times New Roman"/>
        </w:rPr>
      </w:pPr>
      <w:r>
        <w:rPr>
          <w:rFonts w:eastAsia="Times New Roman"/>
          <w:color w:val="000000"/>
          <w:sz w:val="20"/>
          <w:szCs w:val="20"/>
        </w:rPr>
        <w:t>Based upon the closing price at September 30, 2021 ($156.74 per share of PSB common sto</w:t>
      </w:r>
      <w:r>
        <w:rPr>
          <w:rFonts w:eastAsia="Times New Roman"/>
          <w:color w:val="000000"/>
          <w:sz w:val="20"/>
          <w:szCs w:val="20"/>
        </w:rPr>
        <w:t xml:space="preserve">ck), the shares and units we owned had a market value of approximately $2.3 billion. </w:t>
      </w:r>
    </w:p>
    <w:p w:rsidR="00000000" w:rsidRDefault="008C69C0">
      <w:pPr>
        <w:ind w:firstLine="720"/>
        <w:jc w:val="both"/>
        <w:divId w:val="305475840"/>
        <w:rPr>
          <w:rFonts w:eastAsia="Times New Roman"/>
        </w:rPr>
      </w:pPr>
      <w:r>
        <w:rPr>
          <w:rFonts w:eastAsia="Times New Roman"/>
          <w:color w:val="000000"/>
          <w:sz w:val="20"/>
          <w:szCs w:val="20"/>
        </w:rPr>
        <w:t>Our equity in earnings of PSB comprised our equity share of PSB’s net income, less amortization of the PSB Basis Differential (defined below).</w:t>
      </w:r>
    </w:p>
    <w:p w:rsidR="00000000" w:rsidRDefault="008C69C0">
      <w:pPr>
        <w:ind w:firstLine="720"/>
        <w:jc w:val="both"/>
        <w:divId w:val="1945841446"/>
        <w:rPr>
          <w:rFonts w:eastAsia="Times New Roman"/>
        </w:rPr>
      </w:pPr>
      <w:r>
        <w:rPr>
          <w:rFonts w:eastAsia="Times New Roman"/>
          <w:color w:val="000000"/>
          <w:sz w:val="20"/>
          <w:szCs w:val="20"/>
        </w:rPr>
        <w:t>During each of the nine mon</w:t>
      </w:r>
      <w:r>
        <w:rPr>
          <w:rFonts w:eastAsia="Times New Roman"/>
          <w:color w:val="000000"/>
          <w:sz w:val="20"/>
          <w:szCs w:val="20"/>
        </w:rPr>
        <w:t>th periods ended September 30, 2021 and 2020, we received cash distributions from PSB totaling $45.6 million.</w:t>
      </w:r>
    </w:p>
    <w:p w:rsidR="00000000" w:rsidRDefault="008C69C0">
      <w:pPr>
        <w:ind w:firstLine="720"/>
        <w:jc w:val="both"/>
        <w:divId w:val="1619407418"/>
        <w:rPr>
          <w:rFonts w:eastAsia="Times New Roman"/>
        </w:rPr>
      </w:pPr>
      <w:r>
        <w:rPr>
          <w:rFonts w:eastAsia="Times New Roman"/>
          <w:color w:val="000000"/>
          <w:sz w:val="20"/>
          <w:szCs w:val="20"/>
        </w:rPr>
        <w:t>At September 30, 2021, our pro-rata investment in PSB’</w:t>
      </w:r>
      <w:r>
        <w:rPr>
          <w:rFonts w:eastAsia="Times New Roman"/>
          <w:color w:val="000000"/>
          <w:sz w:val="20"/>
          <w:szCs w:val="20"/>
        </w:rPr>
        <w:t>s real estate assets included in investment in unconsolidated real estate entities exceeds our pro-rata share of the underlying amounts on PSB’s balance sheet by approximately $2.8 million ($3.4 million at December 31, 2020). This differential (the “PSB Ba</w:t>
      </w:r>
      <w:r>
        <w:rPr>
          <w:rFonts w:eastAsia="Times New Roman"/>
          <w:color w:val="000000"/>
          <w:sz w:val="20"/>
          <w:szCs w:val="20"/>
        </w:rPr>
        <w:t xml:space="preserve">sis Differential”) is being amortized as a reduction to equity in earnings of the Unconsolidated Real Estate Entities. Such amortization totaled approximately $0.6 million during each of the nine month periods ended September 30, 2021 and 2020. </w:t>
      </w:r>
    </w:p>
    <w:p w:rsidR="00000000" w:rsidRDefault="008C69C0">
      <w:pPr>
        <w:ind w:firstLine="720"/>
        <w:jc w:val="both"/>
        <w:divId w:val="1605652552"/>
        <w:rPr>
          <w:rFonts w:eastAsia="Times New Roman"/>
        </w:rPr>
      </w:pPr>
      <w:r>
        <w:rPr>
          <w:rFonts w:eastAsia="Times New Roman"/>
          <w:color w:val="000000"/>
          <w:sz w:val="20"/>
          <w:szCs w:val="20"/>
        </w:rPr>
        <w:t>PSB is a p</w:t>
      </w:r>
      <w:r>
        <w:rPr>
          <w:rFonts w:eastAsia="Times New Roman"/>
          <w:color w:val="000000"/>
          <w:sz w:val="20"/>
          <w:szCs w:val="20"/>
        </w:rPr>
        <w:t xml:space="preserve">ublicly held entity traded on the New York Stock Exchange under the symbol “PSB”. </w:t>
      </w:r>
    </w:p>
    <w:p w:rsidR="00000000" w:rsidRDefault="008C69C0">
      <w:pPr>
        <w:jc w:val="both"/>
        <w:divId w:val="1832981433"/>
        <w:rPr>
          <w:rFonts w:eastAsia="Times New Roman"/>
        </w:rPr>
      </w:pPr>
      <w:r>
        <w:rPr>
          <w:rFonts w:eastAsia="Times New Roman"/>
          <w:color w:val="000000"/>
          <w:sz w:val="20"/>
          <w:szCs w:val="20"/>
          <w:u w:val="single"/>
        </w:rPr>
        <w:t>Investment in Shurgard</w:t>
      </w:r>
    </w:p>
    <w:p w:rsidR="00000000" w:rsidRDefault="008C69C0">
      <w:pPr>
        <w:ind w:firstLine="720"/>
        <w:jc w:val="both"/>
        <w:divId w:val="483858493"/>
        <w:rPr>
          <w:rFonts w:eastAsia="Times New Roman"/>
        </w:rPr>
      </w:pPr>
      <w:r>
        <w:rPr>
          <w:rFonts w:eastAsia="Times New Roman"/>
          <w:color w:val="000000"/>
          <w:sz w:val="20"/>
          <w:szCs w:val="20"/>
        </w:rPr>
        <w:t>Throughout all periods presented, we effectively owned, directly and indirectly 31,268,459 Shurgard common shares, representing an approximate 35% equ</w:t>
      </w:r>
      <w:r>
        <w:rPr>
          <w:rFonts w:eastAsia="Times New Roman"/>
          <w:color w:val="000000"/>
          <w:sz w:val="20"/>
          <w:szCs w:val="20"/>
        </w:rPr>
        <w:t xml:space="preserve">ity interest in Shurgard. </w:t>
      </w:r>
    </w:p>
    <w:p w:rsidR="00000000" w:rsidRDefault="008C69C0">
      <w:pPr>
        <w:ind w:firstLine="720"/>
        <w:jc w:val="both"/>
        <w:divId w:val="1555893267"/>
        <w:rPr>
          <w:rFonts w:eastAsia="Times New Roman"/>
        </w:rPr>
      </w:pPr>
      <w:r>
        <w:rPr>
          <w:rFonts w:eastAsia="Times New Roman"/>
          <w:color w:val="000000"/>
          <w:sz w:val="20"/>
          <w:szCs w:val="20"/>
        </w:rPr>
        <w:t xml:space="preserve">Based upon the closing price at September 30, 2021 (€47.35 per share of Shurgard common stock, at 1.159 exchange rate of US Dollars to the Euro), the shares we owned had a market value of approximately $1.7 billion. </w:t>
      </w:r>
    </w:p>
    <w:p w:rsidR="00000000" w:rsidRDefault="008C69C0">
      <w:pPr>
        <w:ind w:firstLine="720"/>
        <w:jc w:val="both"/>
        <w:divId w:val="1127236186"/>
        <w:rPr>
          <w:rFonts w:eastAsia="Times New Roman"/>
        </w:rPr>
      </w:pPr>
      <w:r>
        <w:rPr>
          <w:rFonts w:eastAsia="Times New Roman"/>
          <w:color w:val="000000"/>
          <w:sz w:val="20"/>
          <w:szCs w:val="20"/>
        </w:rPr>
        <w:t>Our equity i</w:t>
      </w:r>
      <w:r>
        <w:rPr>
          <w:rFonts w:eastAsia="Times New Roman"/>
          <w:color w:val="000000"/>
          <w:sz w:val="20"/>
          <w:szCs w:val="20"/>
        </w:rPr>
        <w:t>n earnings of Shurgard comprised our equity share of Shurgard’s net income, less amortization of the Shurgard Basis Differential (defined below). We eliminated $0.9 million and $0.8 million intra-entity profits and losses for the nine month periods ended S</w:t>
      </w:r>
      <w:r>
        <w:rPr>
          <w:rFonts w:eastAsia="Times New Roman"/>
          <w:color w:val="000000"/>
          <w:sz w:val="20"/>
          <w:szCs w:val="20"/>
        </w:rPr>
        <w:t xml:space="preserve">eptember 30, 2021 and 2020, respectively, representing our equity share of </w:t>
      </w:r>
    </w:p>
    <w:p w:rsidR="00000000" w:rsidRDefault="008C69C0">
      <w:pPr>
        <w:jc w:val="center"/>
        <w:divId w:val="154225747"/>
        <w:rPr>
          <w:rFonts w:eastAsia="Times New Roman"/>
        </w:rPr>
      </w:pPr>
      <w:r>
        <w:rPr>
          <w:rFonts w:eastAsia="Times New Roman"/>
          <w:color w:val="000000"/>
          <w:sz w:val="20"/>
          <w:szCs w:val="20"/>
        </w:rPr>
        <w:t>16</w:t>
      </w:r>
    </w:p>
    <w:p w:rsidR="00000000" w:rsidRDefault="008C69C0">
      <w:pPr>
        <w:rPr>
          <w:rFonts w:eastAsia="Times New Roman"/>
        </w:rPr>
      </w:pPr>
      <w:r>
        <w:rPr>
          <w:rFonts w:eastAsia="Times New Roman"/>
        </w:rPr>
        <w:pict>
          <v:rect id="_x0000_i1042" style="width:0;height:1.5pt" o:hralign="center" o:hrstd="t" o:hr="t" fillcolor="#a0a0a0" stroked="f"/>
        </w:pict>
      </w:r>
    </w:p>
    <w:p w:rsidR="00000000" w:rsidRDefault="008C69C0">
      <w:pPr>
        <w:jc w:val="center"/>
        <w:divId w:val="1711879283"/>
        <w:rPr>
          <w:rFonts w:eastAsia="Times New Roman"/>
        </w:rPr>
      </w:pPr>
      <w:r>
        <w:rPr>
          <w:rFonts w:eastAsia="Times New Roman"/>
          <w:b/>
          <w:bCs/>
          <w:color w:val="000000"/>
          <w:sz w:val="20"/>
          <w:szCs w:val="20"/>
        </w:rPr>
        <w:t>PUBLIC STORAGE</w:t>
      </w:r>
    </w:p>
    <w:p w:rsidR="00000000" w:rsidRDefault="008C69C0">
      <w:pPr>
        <w:jc w:val="center"/>
        <w:divId w:val="1711879283"/>
        <w:rPr>
          <w:rFonts w:eastAsia="Times New Roman"/>
        </w:rPr>
      </w:pPr>
      <w:r>
        <w:rPr>
          <w:rFonts w:eastAsia="Times New Roman"/>
          <w:b/>
          <w:bCs/>
          <w:color w:val="000000"/>
          <w:sz w:val="20"/>
          <w:szCs w:val="20"/>
        </w:rPr>
        <w:t>NOTES TO FINANCIAL STATEMENTS</w:t>
      </w:r>
    </w:p>
    <w:p w:rsidR="00000000" w:rsidRDefault="008C69C0">
      <w:pPr>
        <w:jc w:val="center"/>
        <w:divId w:val="1711879283"/>
        <w:rPr>
          <w:rFonts w:eastAsia="Times New Roman"/>
        </w:rPr>
      </w:pPr>
      <w:r>
        <w:rPr>
          <w:rFonts w:eastAsia="Times New Roman"/>
          <w:b/>
          <w:bCs/>
          <w:color w:val="000000"/>
          <w:sz w:val="20"/>
          <w:szCs w:val="20"/>
        </w:rPr>
        <w:t>September 30, 2021</w:t>
      </w:r>
    </w:p>
    <w:p w:rsidR="00000000" w:rsidRDefault="008C69C0">
      <w:pPr>
        <w:jc w:val="center"/>
        <w:divId w:val="1711879283"/>
        <w:rPr>
          <w:rFonts w:eastAsia="Times New Roman"/>
        </w:rPr>
      </w:pPr>
      <w:r>
        <w:rPr>
          <w:rFonts w:eastAsia="Times New Roman"/>
          <w:b/>
          <w:bCs/>
          <w:color w:val="000000"/>
          <w:sz w:val="20"/>
          <w:szCs w:val="20"/>
        </w:rPr>
        <w:t>(unaudited)</w:t>
      </w:r>
    </w:p>
    <w:p w:rsidR="00000000" w:rsidRDefault="008C69C0">
      <w:pPr>
        <w:jc w:val="both"/>
        <w:divId w:val="1118648580"/>
        <w:rPr>
          <w:rFonts w:eastAsia="Times New Roman"/>
        </w:rPr>
      </w:pPr>
      <w:r>
        <w:rPr>
          <w:rFonts w:eastAsia="Times New Roman"/>
          <w:color w:val="000000"/>
          <w:sz w:val="20"/>
          <w:szCs w:val="20"/>
        </w:rPr>
        <w:t xml:space="preserve">the trademark license fees that Shurgard pays to us for the use </w:t>
      </w:r>
      <w:r>
        <w:rPr>
          <w:rFonts w:eastAsia="Times New Roman"/>
          <w:color w:val="000000"/>
          <w:sz w:val="20"/>
          <w:szCs w:val="20"/>
        </w:rPr>
        <w:t xml:space="preserve">of the Shurgard® trademark. We classify the remaining license fees we receive from Shurgard as interest and other income on our income statement. </w:t>
      </w:r>
    </w:p>
    <w:p w:rsidR="00000000" w:rsidRDefault="008C69C0">
      <w:pPr>
        <w:ind w:firstLine="720"/>
        <w:jc w:val="both"/>
        <w:divId w:val="1518079244"/>
        <w:rPr>
          <w:rFonts w:eastAsia="Times New Roman"/>
        </w:rPr>
      </w:pPr>
      <w:r>
        <w:rPr>
          <w:rFonts w:eastAsia="Times New Roman"/>
          <w:color w:val="000000"/>
          <w:sz w:val="20"/>
          <w:szCs w:val="20"/>
        </w:rPr>
        <w:t>The dividends we receive from Shurgard, combined with our equity share of trademark license fees collected fr</w:t>
      </w:r>
      <w:r>
        <w:rPr>
          <w:rFonts w:eastAsia="Times New Roman"/>
          <w:color w:val="000000"/>
          <w:sz w:val="20"/>
          <w:szCs w:val="20"/>
        </w:rPr>
        <w:t>om Shurgard, are reflected on our statements of cash flows as “distributions from cumulative equity in earnings of unconsolidated real estate entities” to the extent of our cumulative equity in earnings, with any excess classified as “distributions in exce</w:t>
      </w:r>
      <w:r>
        <w:rPr>
          <w:rFonts w:eastAsia="Times New Roman"/>
          <w:color w:val="000000"/>
          <w:sz w:val="20"/>
          <w:szCs w:val="20"/>
        </w:rPr>
        <w:t>ss of cumulative equity in earnings from unconsolidated real estate entities.” Shurgard paid €0.57 per share and €0.50 per share in dividends to its shareholders during the nine months ended September 30, 2021 and 2020, respectively, of which our share tot</w:t>
      </w:r>
      <w:r>
        <w:rPr>
          <w:rFonts w:eastAsia="Times New Roman"/>
          <w:color w:val="000000"/>
          <w:sz w:val="20"/>
          <w:szCs w:val="20"/>
        </w:rPr>
        <w:t xml:space="preserve">aled $21.5 million and $17.0 million, respectively. </w:t>
      </w:r>
    </w:p>
    <w:p w:rsidR="00000000" w:rsidRDefault="008C69C0">
      <w:pPr>
        <w:ind w:firstLine="720"/>
        <w:jc w:val="both"/>
        <w:divId w:val="468134253"/>
        <w:rPr>
          <w:rFonts w:eastAsia="Times New Roman"/>
        </w:rPr>
      </w:pPr>
      <w:r>
        <w:rPr>
          <w:rFonts w:eastAsia="Times New Roman"/>
          <w:color w:val="000000"/>
          <w:sz w:val="20"/>
          <w:szCs w:val="20"/>
        </w:rPr>
        <w:t>At September 30, 2021, our pro-rata investment in Shurgard’s real estate assets included in investment in unconsolidated real estate entities exceeds our pro-rata share of the underlying amounts on Shurg</w:t>
      </w:r>
      <w:r>
        <w:rPr>
          <w:rFonts w:eastAsia="Times New Roman"/>
          <w:color w:val="000000"/>
          <w:sz w:val="20"/>
          <w:szCs w:val="20"/>
        </w:rPr>
        <w:t>ard’s balance sheet by approximately $75.8 million ($83.1 million at December 31, 2020). This differential (the “Shurgard Basis Differential”) includes our cost basis adjustment in Shurgard’s real estate assets net of related deferred income taxes. The rea</w:t>
      </w:r>
      <w:r>
        <w:rPr>
          <w:rFonts w:eastAsia="Times New Roman"/>
          <w:color w:val="000000"/>
          <w:sz w:val="20"/>
          <w:szCs w:val="20"/>
        </w:rPr>
        <w:t>l estate assets basis differential is being amortized as a reduction to equity in earnings of the Unconsolidated Real Estate Entities. Such amortization totaled approximately $7.3 million and $9.5 million during the nine month periods ended September 30, 2</w:t>
      </w:r>
      <w:r>
        <w:rPr>
          <w:rFonts w:eastAsia="Times New Roman"/>
          <w:color w:val="000000"/>
          <w:sz w:val="20"/>
          <w:szCs w:val="20"/>
        </w:rPr>
        <w:t xml:space="preserve">021 and 2020, respectively. </w:t>
      </w:r>
    </w:p>
    <w:p w:rsidR="00000000" w:rsidRDefault="008C69C0">
      <w:pPr>
        <w:ind w:firstLine="720"/>
        <w:jc w:val="both"/>
        <w:divId w:val="1054811025"/>
        <w:rPr>
          <w:rFonts w:eastAsia="Times New Roman"/>
        </w:rPr>
      </w:pPr>
      <w:r>
        <w:rPr>
          <w:rFonts w:eastAsia="Times New Roman"/>
          <w:color w:val="000000"/>
          <w:sz w:val="20"/>
          <w:szCs w:val="20"/>
        </w:rPr>
        <w:t>As of September 30, 2021 and 2020, we translated the book value of our investment in Shurgard from Euro to U.S. Dollar and recorded $9.6 million other comprehensive loss and $2.5 million other comprehensive income during the ni</w:t>
      </w:r>
      <w:r>
        <w:rPr>
          <w:rFonts w:eastAsia="Times New Roman"/>
          <w:color w:val="000000"/>
          <w:sz w:val="20"/>
          <w:szCs w:val="20"/>
        </w:rPr>
        <w:t xml:space="preserve">ne month periods ended September 30, 2021 and 2020, respectively. </w:t>
      </w:r>
    </w:p>
    <w:p w:rsidR="00000000" w:rsidRDefault="008C69C0">
      <w:pPr>
        <w:ind w:firstLine="720"/>
        <w:jc w:val="both"/>
        <w:divId w:val="267591629"/>
        <w:rPr>
          <w:rFonts w:eastAsia="Times New Roman"/>
        </w:rPr>
      </w:pPr>
      <w:r>
        <w:rPr>
          <w:rFonts w:eastAsia="Times New Roman"/>
          <w:color w:val="000000"/>
          <w:sz w:val="20"/>
          <w:szCs w:val="20"/>
        </w:rPr>
        <w:t>Shurgard is a publicly held entity trading on Euronext Brussels under the symbol “SHUR”.</w:t>
      </w:r>
    </w:p>
    <w:p w:rsidR="00000000" w:rsidRDefault="008C69C0">
      <w:pPr>
        <w:ind w:hanging="360"/>
        <w:divId w:val="307630500"/>
        <w:rPr>
          <w:rFonts w:eastAsia="Times New Roman"/>
        </w:rPr>
      </w:pPr>
      <w:r>
        <w:rPr>
          <w:rFonts w:eastAsia="Times New Roman"/>
          <w:color w:val="000000"/>
          <w:sz w:val="20"/>
          <w:szCs w:val="20"/>
        </w:rPr>
        <w:t>5.</w:t>
      </w:r>
      <w:r>
        <w:rPr>
          <w:rFonts w:eastAsia="Times New Roman"/>
          <w:color w:val="000000"/>
          <w:sz w:val="20"/>
          <w:szCs w:val="20"/>
          <w:u w:val="single"/>
        </w:rPr>
        <w:t>Credit Facility</w:t>
      </w:r>
    </w:p>
    <w:p w:rsidR="00000000" w:rsidRDefault="008C69C0">
      <w:pPr>
        <w:ind w:firstLine="720"/>
        <w:jc w:val="both"/>
        <w:divId w:val="1028411334"/>
        <w:rPr>
          <w:rFonts w:eastAsia="Times New Roman"/>
        </w:rPr>
      </w:pPr>
      <w:r>
        <w:rPr>
          <w:rFonts w:eastAsia="Times New Roman"/>
          <w:color w:val="000000"/>
          <w:sz w:val="20"/>
          <w:szCs w:val="20"/>
        </w:rPr>
        <w:t>We have a revolving credit agreement (the “Credit Facility”) with a $500 million b</w:t>
      </w:r>
      <w:r>
        <w:rPr>
          <w:rFonts w:eastAsia="Times New Roman"/>
          <w:color w:val="000000"/>
          <w:sz w:val="20"/>
          <w:szCs w:val="20"/>
        </w:rPr>
        <w:t>orrowing limit that matures on April 19, 2024. Amounts drawn on the Credit Facility bear annual interest at rates ranging from LIBOR plus 0.7% to LIBOR plus 1.350% depending upon the ratio of our Total Indebtedness to Gross Asset Value (as defined in the C</w:t>
      </w:r>
      <w:r>
        <w:rPr>
          <w:rFonts w:eastAsia="Times New Roman"/>
          <w:color w:val="000000"/>
          <w:sz w:val="20"/>
          <w:szCs w:val="20"/>
        </w:rPr>
        <w:t>redit Facility) (LIBOR plus 0.75% at September 30, 2021). We are also required to pay a quarterly facility fee ranging from 0.07% per annum to 0.25% per annum depending upon the ratio of our Total Indebtedness to our Gross Asset Value (0.10% per annum at S</w:t>
      </w:r>
      <w:r>
        <w:rPr>
          <w:rFonts w:eastAsia="Times New Roman"/>
          <w:color w:val="000000"/>
          <w:sz w:val="20"/>
          <w:szCs w:val="20"/>
        </w:rPr>
        <w:t xml:space="preserve">eptember 30, 2021). At September 30, 2021 and November 1, 2021, we had no outstanding borrowings under this Credit Facility. We had undrawn standby letters of credit, which reduce our borrowing capacity, totaling $21.2 million at September 30, 2021 ($24.3 </w:t>
      </w:r>
      <w:r>
        <w:rPr>
          <w:rFonts w:eastAsia="Times New Roman"/>
          <w:color w:val="000000"/>
          <w:sz w:val="20"/>
          <w:szCs w:val="20"/>
        </w:rPr>
        <w:t xml:space="preserve">million at December 31, 2020). The Credit Facility has various customary restrictive covenants, with which we were in compliance at September 30, 2021. </w:t>
      </w:r>
    </w:p>
    <w:p w:rsidR="00000000" w:rsidRDefault="008C69C0">
      <w:pPr>
        <w:jc w:val="center"/>
        <w:divId w:val="1828783022"/>
        <w:rPr>
          <w:rFonts w:eastAsia="Times New Roman"/>
        </w:rPr>
      </w:pPr>
      <w:r>
        <w:rPr>
          <w:rFonts w:eastAsia="Times New Roman"/>
          <w:color w:val="000000"/>
          <w:sz w:val="20"/>
          <w:szCs w:val="20"/>
        </w:rPr>
        <w:t>17</w:t>
      </w:r>
    </w:p>
    <w:p w:rsidR="00000000" w:rsidRDefault="008C69C0">
      <w:pPr>
        <w:rPr>
          <w:rFonts w:eastAsia="Times New Roman"/>
        </w:rPr>
      </w:pPr>
      <w:r>
        <w:rPr>
          <w:rFonts w:eastAsia="Times New Roman"/>
        </w:rPr>
        <w:pict>
          <v:rect id="_x0000_i1043" style="width:0;height:1.5pt" o:hralign="center" o:hrstd="t" o:hr="t" fillcolor="#a0a0a0" stroked="f"/>
        </w:pict>
      </w:r>
    </w:p>
    <w:p w:rsidR="00000000" w:rsidRDefault="008C69C0">
      <w:pPr>
        <w:jc w:val="center"/>
        <w:divId w:val="1671911843"/>
        <w:rPr>
          <w:rFonts w:eastAsia="Times New Roman"/>
        </w:rPr>
      </w:pPr>
      <w:r>
        <w:rPr>
          <w:rFonts w:eastAsia="Times New Roman"/>
          <w:b/>
          <w:bCs/>
          <w:color w:val="000000"/>
          <w:sz w:val="20"/>
          <w:szCs w:val="20"/>
        </w:rPr>
        <w:t>PUBLIC STORAGE</w:t>
      </w:r>
    </w:p>
    <w:p w:rsidR="00000000" w:rsidRDefault="008C69C0">
      <w:pPr>
        <w:jc w:val="center"/>
        <w:divId w:val="1671911843"/>
        <w:rPr>
          <w:rFonts w:eastAsia="Times New Roman"/>
        </w:rPr>
      </w:pPr>
      <w:r>
        <w:rPr>
          <w:rFonts w:eastAsia="Times New Roman"/>
          <w:b/>
          <w:bCs/>
          <w:color w:val="000000"/>
          <w:sz w:val="20"/>
          <w:szCs w:val="20"/>
        </w:rPr>
        <w:t>NOTES TO FINANCIAL STATEMENTS</w:t>
      </w:r>
    </w:p>
    <w:p w:rsidR="00000000" w:rsidRDefault="008C69C0">
      <w:pPr>
        <w:jc w:val="center"/>
        <w:divId w:val="1671911843"/>
        <w:rPr>
          <w:rFonts w:eastAsia="Times New Roman"/>
        </w:rPr>
      </w:pPr>
      <w:r>
        <w:rPr>
          <w:rFonts w:eastAsia="Times New Roman"/>
          <w:b/>
          <w:bCs/>
          <w:color w:val="000000"/>
          <w:sz w:val="20"/>
          <w:szCs w:val="20"/>
        </w:rPr>
        <w:t>September 30, 2021</w:t>
      </w:r>
    </w:p>
    <w:p w:rsidR="00000000" w:rsidRDefault="008C69C0">
      <w:pPr>
        <w:jc w:val="center"/>
        <w:divId w:val="1671911843"/>
        <w:rPr>
          <w:rFonts w:eastAsia="Times New Roman"/>
        </w:rPr>
      </w:pPr>
      <w:r>
        <w:rPr>
          <w:rFonts w:eastAsia="Times New Roman"/>
          <w:b/>
          <w:bCs/>
          <w:color w:val="000000"/>
          <w:sz w:val="20"/>
          <w:szCs w:val="20"/>
        </w:rPr>
        <w:t>(unaudited)</w:t>
      </w:r>
    </w:p>
    <w:p w:rsidR="00000000" w:rsidRDefault="008C69C0">
      <w:pPr>
        <w:ind w:hanging="360"/>
        <w:divId w:val="1796481434"/>
        <w:rPr>
          <w:rFonts w:eastAsia="Times New Roman"/>
        </w:rPr>
      </w:pPr>
      <w:r>
        <w:rPr>
          <w:rFonts w:eastAsia="Times New Roman"/>
          <w:color w:val="000000"/>
          <w:sz w:val="20"/>
          <w:szCs w:val="20"/>
        </w:rPr>
        <w:t>6.</w:t>
      </w:r>
      <w:r>
        <w:rPr>
          <w:rFonts w:eastAsia="Times New Roman"/>
          <w:color w:val="000000"/>
          <w:sz w:val="20"/>
          <w:szCs w:val="20"/>
          <w:u w:val="single"/>
        </w:rPr>
        <w:t>Notes Payable</w:t>
      </w:r>
    </w:p>
    <w:p w:rsidR="00000000" w:rsidRDefault="008C69C0">
      <w:pPr>
        <w:ind w:firstLine="547"/>
        <w:jc w:val="both"/>
        <w:divId w:val="854541647"/>
        <w:rPr>
          <w:rFonts w:eastAsia="Times New Roman"/>
        </w:rPr>
      </w:pPr>
      <w:r>
        <w:rPr>
          <w:rFonts w:eastAsia="Times New Roman"/>
          <w:color w:val="000000"/>
          <w:sz w:val="20"/>
          <w:szCs w:val="20"/>
        </w:rPr>
        <w:t>Our notes payable are reflected net of issuance costs (including original issue discounts), which are amortized as interest expense on the effective interest method over the term of each respective note. Our notes payable at September 30, 2021 and December</w:t>
      </w:r>
      <w:r>
        <w:rPr>
          <w:rFonts w:eastAsia="Times New Roman"/>
          <w:color w:val="000000"/>
          <w:sz w:val="20"/>
          <w:szCs w:val="20"/>
        </w:rPr>
        <w:t> 31, 2020 are set forth in the tables below:</w:t>
      </w:r>
    </w:p>
    <w:tbl>
      <w:tblPr>
        <w:tblW w:w="4840" w:type="pct"/>
        <w:tblCellMar>
          <w:top w:w="15" w:type="dxa"/>
          <w:left w:w="15" w:type="dxa"/>
          <w:bottom w:w="15" w:type="dxa"/>
          <w:right w:w="15" w:type="dxa"/>
        </w:tblCellMar>
        <w:tblLook w:val="04A0" w:firstRow="1" w:lastRow="0" w:firstColumn="1" w:lastColumn="0" w:noHBand="0" w:noVBand="1"/>
      </w:tblPr>
      <w:tblGrid>
        <w:gridCol w:w="37"/>
        <w:gridCol w:w="1899"/>
        <w:gridCol w:w="36"/>
        <w:gridCol w:w="83"/>
        <w:gridCol w:w="967"/>
        <w:gridCol w:w="37"/>
        <w:gridCol w:w="36"/>
        <w:gridCol w:w="36"/>
        <w:gridCol w:w="36"/>
        <w:gridCol w:w="67"/>
        <w:gridCol w:w="627"/>
        <w:gridCol w:w="36"/>
        <w:gridCol w:w="36"/>
        <w:gridCol w:w="36"/>
        <w:gridCol w:w="36"/>
        <w:gridCol w:w="110"/>
        <w:gridCol w:w="765"/>
        <w:gridCol w:w="36"/>
        <w:gridCol w:w="36"/>
        <w:gridCol w:w="36"/>
        <w:gridCol w:w="36"/>
        <w:gridCol w:w="111"/>
        <w:gridCol w:w="829"/>
        <w:gridCol w:w="37"/>
        <w:gridCol w:w="36"/>
        <w:gridCol w:w="37"/>
        <w:gridCol w:w="36"/>
        <w:gridCol w:w="110"/>
        <w:gridCol w:w="765"/>
        <w:gridCol w:w="36"/>
        <w:gridCol w:w="36"/>
        <w:gridCol w:w="36"/>
        <w:gridCol w:w="36"/>
        <w:gridCol w:w="110"/>
        <w:gridCol w:w="765"/>
        <w:gridCol w:w="36"/>
      </w:tblGrid>
      <w:tr w:rsidR="00000000">
        <w:trPr>
          <w:divId w:val="1634291576"/>
        </w:trPr>
        <w:tc>
          <w:tcPr>
            <w:tcW w:w="50" w:type="pct"/>
            <w:vAlign w:val="center"/>
            <w:hideMark/>
          </w:tcPr>
          <w:p w:rsidR="00000000" w:rsidRDefault="008C69C0">
            <w:pPr>
              <w:ind w:firstLine="547"/>
              <w:jc w:val="both"/>
              <w:rPr>
                <w:rFonts w:eastAsia="Times New Roman"/>
              </w:rPr>
            </w:pPr>
          </w:p>
        </w:tc>
        <w:tc>
          <w:tcPr>
            <w:tcW w:w="150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8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Amounts at September 30, 2021</w:t>
            </w: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Coupon Rate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Principal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Unamortized Costs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Book</w:t>
            </w:r>
            <w:r>
              <w:rPr>
                <w:rFonts w:eastAsia="Times New Roman"/>
                <w:color w:val="000000"/>
                <w:sz w:val="18"/>
                <w:szCs w:val="18"/>
              </w:rPr>
              <w:br/>
              <w:t>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 </w:t>
            </w:r>
            <w:r>
              <w:rPr>
                <w:rFonts w:eastAsia="Times New Roman"/>
                <w:color w:val="000000"/>
                <w:sz w:val="18"/>
                <w:szCs w:val="18"/>
              </w:rPr>
              <w:t>Value</w:t>
            </w:r>
          </w:p>
        </w:tc>
      </w:tr>
      <w:tr w:rsidR="00000000">
        <w:trPr>
          <w:divId w:val="1634291576"/>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amounts in thousands)</w:t>
            </w:r>
          </w:p>
        </w:tc>
      </w:tr>
      <w:tr w:rsidR="00000000">
        <w:trPr>
          <w:divId w:val="1634291576"/>
        </w:trPr>
        <w:tc>
          <w:tcPr>
            <w:tcW w:w="0" w:type="auto"/>
            <w:gridSpan w:val="12"/>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117646355"/>
              <w:rPr>
                <w:rFonts w:eastAsia="Times New Roman"/>
              </w:rPr>
            </w:pPr>
            <w:r>
              <w:rPr>
                <w:rFonts w:eastAsia="Times New Roman"/>
                <w:color w:val="000000"/>
                <w:sz w:val="18"/>
                <w:szCs w:val="18"/>
              </w:rPr>
              <w:t xml:space="preserve">Notes due September 15, 2022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2.370%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2.483%</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499,505 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509,800 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11224306"/>
              <w:rPr>
                <w:rFonts w:eastAsia="Times New Roman"/>
              </w:rPr>
            </w:pPr>
            <w:r>
              <w:rPr>
                <w:rFonts w:eastAsia="Times New Roman"/>
                <w:color w:val="000000"/>
                <w:sz w:val="18"/>
                <w:szCs w:val="18"/>
              </w:rPr>
              <w:t>Notes due April 23, 2024</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SOFR+0.47%</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0.596%</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698,196 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704,200 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95759898"/>
              <w:rPr>
                <w:rFonts w:eastAsia="Times New Roman"/>
              </w:rPr>
            </w:pPr>
            <w:r>
              <w:rPr>
                <w:rFonts w:eastAsia="Times New Roman"/>
                <w:color w:val="000000"/>
                <w:sz w:val="18"/>
                <w:szCs w:val="18"/>
              </w:rPr>
              <w:t>Notes due February 15, 2026</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1.030%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(3,246)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496,754 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493,515 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523448202"/>
              <w:rPr>
                <w:rFonts w:eastAsia="Times New Roman"/>
              </w:rPr>
            </w:pPr>
            <w:r>
              <w:rPr>
                <w:rFonts w:eastAsia="Times New Roman"/>
                <w:color w:val="000000"/>
                <w:sz w:val="18"/>
                <w:szCs w:val="18"/>
              </w:rPr>
              <w:t>Notes due September 15, 2027</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3.094%</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3.218%</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(3,152)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496,848 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546,757 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1418555450"/>
              <w:rPr>
                <w:rFonts w:eastAsia="Times New Roman"/>
              </w:rPr>
            </w:pPr>
            <w:r>
              <w:rPr>
                <w:rFonts w:eastAsia="Times New Roman"/>
                <w:color w:val="000000"/>
                <w:sz w:val="18"/>
                <w:szCs w:val="18"/>
              </w:rPr>
              <w:t>Notes due May 1, 2028</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1.850%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1.962%</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(4,446)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645,554 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653,619 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47725773"/>
              <w:rPr>
                <w:rFonts w:eastAsia="Times New Roman"/>
              </w:rPr>
            </w:pPr>
            <w:r>
              <w:rPr>
                <w:rFonts w:eastAsia="Times New Roman"/>
                <w:color w:val="000000"/>
                <w:sz w:val="18"/>
                <w:szCs w:val="18"/>
              </w:rPr>
              <w:t>Notes due May 1, 2029</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3.385%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3.459%</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(2,334)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497,666 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549,252 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292291103"/>
              <w:rPr>
                <w:rFonts w:eastAsia="Times New Roman"/>
              </w:rPr>
            </w:pPr>
            <w:r>
              <w:rPr>
                <w:rFonts w:eastAsia="Times New Roman"/>
                <w:color w:val="000000"/>
                <w:sz w:val="18"/>
                <w:szCs w:val="18"/>
              </w:rPr>
              <w:t>Notes due May 1, 2031</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2.300%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2.419%</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(6,554)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643,446 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658,400 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4,000,000 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(22,031)</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3,977,969 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4,115,543 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4291576"/>
        </w:trPr>
        <w:tc>
          <w:tcPr>
            <w:tcW w:w="0" w:type="auto"/>
            <w:gridSpan w:val="6"/>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1848210488"/>
              <w:rPr>
                <w:rFonts w:eastAsia="Times New Roman"/>
              </w:rPr>
            </w:pPr>
            <w:r>
              <w:rPr>
                <w:rFonts w:eastAsia="Times New Roman"/>
                <w:color w:val="000000"/>
                <w:sz w:val="18"/>
                <w:szCs w:val="18"/>
              </w:rPr>
              <w:t>Notes due April 12, 2024</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115,896 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115,896 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120,868 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1161703333"/>
              <w:rPr>
                <w:rFonts w:eastAsia="Times New Roman"/>
              </w:rPr>
            </w:pPr>
            <w:r>
              <w:rPr>
                <w:rFonts w:eastAsia="Times New Roman"/>
                <w:color w:val="000000"/>
                <w:sz w:val="18"/>
                <w:szCs w:val="18"/>
              </w:rPr>
              <w:t>Notes due November 3, 2025</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280,484 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280,484 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303,644 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Notes due September 9, 2030</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0.500%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0.640%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811,272 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(10,010)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801,262 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795,777 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divId w:val="1774352530"/>
              <w:rPr>
                <w:rFonts w:eastAsia="Times New Roman"/>
              </w:rPr>
            </w:pPr>
            <w:r>
              <w:rPr>
                <w:rFonts w:eastAsia="Times New Roman"/>
                <w:color w:val="000000"/>
                <w:sz w:val="18"/>
                <w:szCs w:val="18"/>
              </w:rPr>
              <w:t>Notes due January 24, 2032</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0.978%</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579,480 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(5,528)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573,952 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581,103 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1,787,132 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(15,538)</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1,771,594 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1,801,392 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Height w:val="6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ind w:hanging="180"/>
              <w:divId w:val="740104291"/>
              <w:rPr>
                <w:rFonts w:eastAsia="Times New Roman"/>
              </w:rPr>
            </w:pPr>
            <w:r>
              <w:rPr>
                <w:rFonts w:eastAsia="Times New Roman"/>
                <w:color w:val="000000"/>
                <w:sz w:val="18"/>
                <w:szCs w:val="18"/>
              </w:rPr>
              <w:t> </w:t>
            </w:r>
            <w:r>
              <w:rPr>
                <w:rFonts w:eastAsia="Times New Roman"/>
                <w:b/>
                <w:bCs/>
                <w:i/>
                <w:iCs/>
                <w:color w:val="000000"/>
                <w:sz w:val="18"/>
                <w:szCs w:val="18"/>
              </w:rPr>
              <w:t>Mortgage Debt</w:t>
            </w:r>
            <w:r>
              <w:rPr>
                <w:rFonts w:eastAsia="Times New Roman"/>
                <w:color w:val="000000"/>
                <w:sz w:val="18"/>
                <w:szCs w:val="18"/>
              </w:rPr>
              <w:t>, secured by 27 real estate facilities with a net book value of $96.6 million</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3.905%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3.903%</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23,627 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23,627 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24,939 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34291576"/>
          <w:trHeight w:val="6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429157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5,810,759 </w:t>
            </w:r>
          </w:p>
        </w:tc>
        <w:tc>
          <w:tcPr>
            <w:tcW w:w="0" w:type="auto"/>
            <w:tcBorders>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(37,569)</w:t>
            </w:r>
          </w:p>
        </w:tc>
        <w:tc>
          <w:tcPr>
            <w:tcW w:w="0" w:type="auto"/>
            <w:tcBorders>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5,773,190 </w:t>
            </w:r>
          </w:p>
        </w:tc>
        <w:tc>
          <w:tcPr>
            <w:tcW w:w="0" w:type="auto"/>
            <w:tcBorders>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5,941,874 </w:t>
            </w:r>
          </w:p>
        </w:tc>
        <w:tc>
          <w:tcPr>
            <w:tcW w:w="0" w:type="auto"/>
            <w:tcBorders>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tbl>
      <w:tblPr>
        <w:tblW w:w="4840" w:type="pct"/>
        <w:tblCellMar>
          <w:top w:w="15" w:type="dxa"/>
          <w:left w:w="15" w:type="dxa"/>
          <w:bottom w:w="15" w:type="dxa"/>
          <w:right w:w="15" w:type="dxa"/>
        </w:tblCellMar>
        <w:tblLook w:val="04A0" w:firstRow="1" w:lastRow="0" w:firstColumn="1" w:lastColumn="0" w:noHBand="0" w:noVBand="1"/>
      </w:tblPr>
      <w:tblGrid>
        <w:gridCol w:w="144"/>
        <w:gridCol w:w="6202"/>
        <w:gridCol w:w="144"/>
        <w:gridCol w:w="144"/>
        <w:gridCol w:w="754"/>
        <w:gridCol w:w="144"/>
        <w:gridCol w:w="144"/>
        <w:gridCol w:w="144"/>
        <w:gridCol w:w="144"/>
        <w:gridCol w:w="144"/>
        <w:gridCol w:w="754"/>
        <w:gridCol w:w="144"/>
      </w:tblGrid>
      <w:tr w:rsidR="00000000">
        <w:tc>
          <w:tcPr>
            <w:tcW w:w="50" w:type="pct"/>
            <w:vAlign w:val="center"/>
            <w:hideMark/>
          </w:tcPr>
          <w:p w:rsidR="00000000" w:rsidRDefault="008C69C0">
            <w:pPr>
              <w:rPr>
                <w:rFonts w:eastAsia="Times New Roman"/>
              </w:rPr>
            </w:pPr>
          </w:p>
        </w:tc>
        <w:tc>
          <w:tcPr>
            <w:tcW w:w="385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6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xml:space="preserve">Amounts at </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December 31, 2020</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Book Value</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Fair Value</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amounts in thousands)</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divId w:val="1618290771"/>
              <w:rPr>
                <w:rFonts w:eastAsia="Times New Roman"/>
              </w:rPr>
            </w:pPr>
            <w:r>
              <w:rPr>
                <w:rFonts w:eastAsia="Times New Roman"/>
                <w:color w:val="000000"/>
                <w:sz w:val="18"/>
                <w:szCs w:val="18"/>
              </w:rPr>
              <w:t>Notes due September 15, 2022</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499,109 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517,419 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divId w:val="255210496"/>
              <w:rPr>
                <w:rFonts w:eastAsia="Times New Roman"/>
              </w:rPr>
            </w:pPr>
            <w:r>
              <w:rPr>
                <w:rFonts w:eastAsia="Times New Roman"/>
                <w:color w:val="000000"/>
                <w:sz w:val="18"/>
                <w:szCs w:val="18"/>
              </w:rPr>
              <w:t>Notes due September 15, 2027</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496,452 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560,833 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divId w:val="1768111550"/>
              <w:rPr>
                <w:rFonts w:eastAsia="Times New Roman"/>
              </w:rPr>
            </w:pPr>
            <w:r>
              <w:rPr>
                <w:rFonts w:eastAsia="Times New Roman"/>
                <w:color w:val="000000"/>
                <w:sz w:val="18"/>
                <w:szCs w:val="18"/>
              </w:rPr>
              <w:t>Notes due May 1, 2029</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497,433 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574,833 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1,492,994 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1,653,085 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divId w:val="1311328667"/>
              <w:rPr>
                <w:rFonts w:eastAsia="Times New Roman"/>
              </w:rPr>
            </w:pPr>
            <w:r>
              <w:rPr>
                <w:rFonts w:eastAsia="Times New Roman"/>
                <w:color w:val="000000"/>
                <w:sz w:val="18"/>
                <w:szCs w:val="18"/>
              </w:rPr>
              <w:t>Notes due April 12, 2024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122,646 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129,192 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divId w:val="1377660991"/>
              <w:rPr>
                <w:rFonts w:eastAsia="Times New Roman"/>
              </w:rPr>
            </w:pPr>
            <w:r>
              <w:rPr>
                <w:rFonts w:eastAsia="Times New Roman"/>
                <w:color w:val="000000"/>
                <w:sz w:val="18"/>
                <w:szCs w:val="18"/>
              </w:rPr>
              <w:t>Notes due November 3, 2025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296,821 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323,552 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divId w:val="1430083209"/>
              <w:rPr>
                <w:rFonts w:eastAsia="Times New Roman"/>
              </w:rPr>
            </w:pPr>
            <w:r>
              <w:rPr>
                <w:rFonts w:eastAsia="Times New Roman"/>
                <w:color w:val="000000"/>
                <w:sz w:val="18"/>
                <w:szCs w:val="18"/>
              </w:rPr>
              <w:t>Notes due January 24, 2032</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607,301 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634,389 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1,026,768 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1,087,133 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Mortgage Debt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25,230 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26,958 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tcBorders>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2,544,992 </w:t>
            </w:r>
          </w:p>
        </w:tc>
        <w:tc>
          <w:tcPr>
            <w:tcW w:w="0" w:type="auto"/>
            <w:tcBorders>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2,767,176 </w:t>
            </w:r>
          </w:p>
        </w:tc>
        <w:tc>
          <w:tcPr>
            <w:tcW w:w="0" w:type="auto"/>
            <w:tcBorders>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jc w:val="center"/>
        <w:divId w:val="6373091"/>
        <w:rPr>
          <w:rFonts w:eastAsia="Times New Roman"/>
        </w:rPr>
      </w:pPr>
      <w:r>
        <w:rPr>
          <w:rFonts w:eastAsia="Times New Roman"/>
          <w:color w:val="000000"/>
          <w:sz w:val="20"/>
          <w:szCs w:val="20"/>
        </w:rPr>
        <w:t>18</w:t>
      </w:r>
    </w:p>
    <w:p w:rsidR="00000000" w:rsidRDefault="008C69C0">
      <w:pPr>
        <w:rPr>
          <w:rFonts w:eastAsia="Times New Roman"/>
        </w:rPr>
      </w:pPr>
      <w:r>
        <w:rPr>
          <w:rFonts w:eastAsia="Times New Roman"/>
        </w:rPr>
        <w:pict>
          <v:rect id="_x0000_i1044" style="width:0;height:1.5pt" o:hralign="center" o:hrstd="t" o:hr="t" fillcolor="#a0a0a0" stroked="f"/>
        </w:pict>
      </w:r>
    </w:p>
    <w:p w:rsidR="00000000" w:rsidRDefault="008C69C0">
      <w:pPr>
        <w:jc w:val="center"/>
        <w:divId w:val="1863591314"/>
        <w:rPr>
          <w:rFonts w:eastAsia="Times New Roman"/>
        </w:rPr>
      </w:pPr>
      <w:r>
        <w:rPr>
          <w:rFonts w:eastAsia="Times New Roman"/>
          <w:b/>
          <w:bCs/>
          <w:color w:val="000000"/>
          <w:sz w:val="20"/>
          <w:szCs w:val="20"/>
        </w:rPr>
        <w:t>PUBLIC STORAGE</w:t>
      </w:r>
    </w:p>
    <w:p w:rsidR="00000000" w:rsidRDefault="008C69C0">
      <w:pPr>
        <w:jc w:val="center"/>
        <w:divId w:val="1863591314"/>
        <w:rPr>
          <w:rFonts w:eastAsia="Times New Roman"/>
        </w:rPr>
      </w:pPr>
      <w:r>
        <w:rPr>
          <w:rFonts w:eastAsia="Times New Roman"/>
          <w:b/>
          <w:bCs/>
          <w:color w:val="000000"/>
          <w:sz w:val="20"/>
          <w:szCs w:val="20"/>
        </w:rPr>
        <w:t>NOTES TO FINANCIAL STATEMENTS</w:t>
      </w:r>
    </w:p>
    <w:p w:rsidR="00000000" w:rsidRDefault="008C69C0">
      <w:pPr>
        <w:jc w:val="center"/>
        <w:divId w:val="1863591314"/>
        <w:rPr>
          <w:rFonts w:eastAsia="Times New Roman"/>
        </w:rPr>
      </w:pPr>
      <w:r>
        <w:rPr>
          <w:rFonts w:eastAsia="Times New Roman"/>
          <w:b/>
          <w:bCs/>
          <w:color w:val="000000"/>
          <w:sz w:val="20"/>
          <w:szCs w:val="20"/>
        </w:rPr>
        <w:t>September 30, 2021</w:t>
      </w:r>
    </w:p>
    <w:p w:rsidR="00000000" w:rsidRDefault="008C69C0">
      <w:pPr>
        <w:jc w:val="center"/>
        <w:divId w:val="1863591314"/>
        <w:rPr>
          <w:rFonts w:eastAsia="Times New Roman"/>
        </w:rPr>
      </w:pPr>
      <w:r>
        <w:rPr>
          <w:rFonts w:eastAsia="Times New Roman"/>
          <w:b/>
          <w:bCs/>
          <w:color w:val="000000"/>
          <w:sz w:val="20"/>
          <w:szCs w:val="20"/>
        </w:rPr>
        <w:t>(unaudited)</w:t>
      </w:r>
    </w:p>
    <w:p w:rsidR="00000000" w:rsidRDefault="008C69C0">
      <w:pPr>
        <w:ind w:firstLine="360"/>
        <w:jc w:val="both"/>
        <w:divId w:val="1707556925"/>
        <w:rPr>
          <w:rFonts w:eastAsia="Times New Roman"/>
        </w:rPr>
      </w:pPr>
      <w:r>
        <w:rPr>
          <w:rFonts w:eastAsia="Times New Roman"/>
          <w:color w:val="000000"/>
          <w:sz w:val="20"/>
          <w:szCs w:val="20"/>
          <w:u w:val="single"/>
        </w:rPr>
        <w:t>U.S. Dollar Denominated Unsecured Notes</w:t>
      </w:r>
    </w:p>
    <w:p w:rsidR="00000000" w:rsidRDefault="008C69C0">
      <w:pPr>
        <w:ind w:firstLine="720"/>
        <w:jc w:val="both"/>
        <w:divId w:val="1909657285"/>
        <w:rPr>
          <w:rFonts w:eastAsia="Times New Roman"/>
        </w:rPr>
      </w:pPr>
      <w:r>
        <w:rPr>
          <w:rFonts w:eastAsia="Times New Roman"/>
          <w:color w:val="000000"/>
          <w:sz w:val="20"/>
          <w:szCs w:val="20"/>
        </w:rPr>
        <w:t>On January 19, 2021, we completed a public offering of $500 million aggregate principal amount of senior</w:t>
      </w:r>
      <w:r>
        <w:rPr>
          <w:rFonts w:eastAsia="Times New Roman"/>
          <w:color w:val="000000"/>
          <w:sz w:val="20"/>
          <w:szCs w:val="20"/>
        </w:rPr>
        <w:t xml:space="preserve"> notes bearing interest at an annual rate of 0.875% and maturing on February 15, 2026. Interest on the senior notes is payable semi-annually, commencing on August 15, 2021. In connection with the offering, we incurred $3.8 million in costs. </w:t>
      </w:r>
    </w:p>
    <w:p w:rsidR="00000000" w:rsidRDefault="008C69C0">
      <w:pPr>
        <w:ind w:firstLine="720"/>
        <w:jc w:val="both"/>
        <w:divId w:val="663053682"/>
        <w:rPr>
          <w:rFonts w:eastAsia="Times New Roman"/>
        </w:rPr>
      </w:pPr>
      <w:r>
        <w:rPr>
          <w:rFonts w:eastAsia="Times New Roman"/>
          <w:color w:val="000000"/>
          <w:sz w:val="20"/>
          <w:szCs w:val="20"/>
        </w:rPr>
        <w:t>On April 23, 2021, we completed a public offering of $700 million, $650 million and $650 million aggregate principal amount of senior notes bearing interest at an annual rate of the compounded Secured Overnight Financing Rate (“SOFR”) + 0.47% (reset quarte</w:t>
      </w:r>
      <w:r>
        <w:rPr>
          <w:rFonts w:eastAsia="Times New Roman"/>
          <w:color w:val="000000"/>
          <w:sz w:val="20"/>
          <w:szCs w:val="20"/>
        </w:rPr>
        <w:t xml:space="preserve">rly and at 0.495% as of September 30, 2021), 1.85% and 2.30%, respectively, and maturing on April 23, 2024, May 1, 2028 and May 1, 2031, respectively. Interest on the 2024 notes is payable quarterly, commencing on July 23, 2021. Interest on the 2028 notes </w:t>
      </w:r>
      <w:r>
        <w:rPr>
          <w:rFonts w:eastAsia="Times New Roman"/>
          <w:color w:val="000000"/>
          <w:sz w:val="20"/>
          <w:szCs w:val="20"/>
        </w:rPr>
        <w:t>and 2031 notes is payable semi-annually, commencing on November 1, 2021. In connection with the offering, we incurred a total of $13.7 million in costs.</w:t>
      </w:r>
    </w:p>
    <w:p w:rsidR="00000000" w:rsidRDefault="008C69C0">
      <w:pPr>
        <w:ind w:firstLine="720"/>
        <w:jc w:val="both"/>
        <w:divId w:val="1877542417"/>
        <w:rPr>
          <w:rFonts w:eastAsia="Times New Roman"/>
        </w:rPr>
      </w:pPr>
      <w:r>
        <w:rPr>
          <w:rFonts w:eastAsia="Times New Roman"/>
          <w:color w:val="000000"/>
          <w:sz w:val="20"/>
          <w:szCs w:val="20"/>
        </w:rPr>
        <w:t>The U.S. Dollar Denominated Unsecured Notes have various financial covenants, with which we were in com</w:t>
      </w:r>
      <w:r>
        <w:rPr>
          <w:rFonts w:eastAsia="Times New Roman"/>
          <w:color w:val="000000"/>
          <w:sz w:val="20"/>
          <w:szCs w:val="20"/>
        </w:rPr>
        <w:t>pliance at September 30, 2021. Included in these covenants are (a) a maximum Debt to Total Assets of 65% (approximately 14% at September 30, 2021) and (b) a minimum ratio of Adjusted EBITDA to Interest Expense of 1.5x (approximately 33x for the twelve mont</w:t>
      </w:r>
      <w:r>
        <w:rPr>
          <w:rFonts w:eastAsia="Times New Roman"/>
          <w:color w:val="000000"/>
          <w:sz w:val="20"/>
          <w:szCs w:val="20"/>
        </w:rPr>
        <w:t xml:space="preserve">hs ended September 30, 2021) as well as covenants limiting the amount we can encumber our properties with mortgage debt. </w:t>
      </w:r>
    </w:p>
    <w:p w:rsidR="00000000" w:rsidRDefault="008C69C0">
      <w:pPr>
        <w:ind w:firstLine="360"/>
        <w:jc w:val="both"/>
        <w:divId w:val="1166556602"/>
        <w:rPr>
          <w:rFonts w:eastAsia="Times New Roman"/>
        </w:rPr>
      </w:pPr>
      <w:r>
        <w:rPr>
          <w:rFonts w:eastAsia="Times New Roman"/>
          <w:color w:val="000000"/>
          <w:sz w:val="20"/>
          <w:szCs w:val="20"/>
          <w:u w:val="single"/>
        </w:rPr>
        <w:t>Euro Denominated Unsecured Notes</w:t>
      </w:r>
    </w:p>
    <w:p w:rsidR="00000000" w:rsidRDefault="008C69C0">
      <w:pPr>
        <w:ind w:firstLine="720"/>
        <w:jc w:val="both"/>
        <w:divId w:val="591397244"/>
        <w:rPr>
          <w:rFonts w:eastAsia="Times New Roman"/>
        </w:rPr>
      </w:pPr>
      <w:r>
        <w:rPr>
          <w:rFonts w:eastAsia="Times New Roman"/>
          <w:color w:val="000000"/>
          <w:sz w:val="20"/>
          <w:szCs w:val="20"/>
        </w:rPr>
        <w:t xml:space="preserve">Our Euro denominated unsecured notes (the “Euro Notes”) consist of four tranches: (i) €242.0 million </w:t>
      </w:r>
      <w:r>
        <w:rPr>
          <w:rFonts w:eastAsia="Times New Roman"/>
          <w:color w:val="000000"/>
          <w:sz w:val="20"/>
          <w:szCs w:val="20"/>
        </w:rPr>
        <w:t>issued to institutional investors on November 3, 2015 for $264.3 million in net proceeds upon converting the Euros to U.S. Dollars, (ii) €100.0 million issued to institutional investors on April 12, 2016 for $113.6 million in net proceeds upon converting t</w:t>
      </w:r>
      <w:r>
        <w:rPr>
          <w:rFonts w:eastAsia="Times New Roman"/>
          <w:color w:val="000000"/>
          <w:sz w:val="20"/>
          <w:szCs w:val="20"/>
        </w:rPr>
        <w:t>he Euros to U.S. Dollars, (iii) €500.0 million issued in a public offering on January 24, 2020 for $545.2 million in net proceeds upon converting the Euros to U.S. Dollars, and (iv) €700.0 million issued in a public offering on September 9, 2021 for $817.6</w:t>
      </w:r>
      <w:r>
        <w:rPr>
          <w:rFonts w:eastAsia="Times New Roman"/>
          <w:color w:val="000000"/>
          <w:sz w:val="20"/>
          <w:szCs w:val="20"/>
        </w:rPr>
        <w:t> million in net proceeds upon converting the Euros to U.S. Dollars. Interest is payable semi-annually on the notes issued November 3, 2015 and April 12, 2016, and annually on the notes issued January 24, 2020 and September 9, 2021. The Euro Notes have fina</w:t>
      </w:r>
      <w:r>
        <w:rPr>
          <w:rFonts w:eastAsia="Times New Roman"/>
          <w:color w:val="000000"/>
          <w:sz w:val="20"/>
          <w:szCs w:val="20"/>
        </w:rPr>
        <w:t xml:space="preserve">ncial covenants similar to those of the U.S. Dollar Notes. </w:t>
      </w:r>
    </w:p>
    <w:p w:rsidR="00000000" w:rsidRDefault="008C69C0">
      <w:pPr>
        <w:ind w:firstLine="720"/>
        <w:jc w:val="both"/>
        <w:divId w:val="55278207"/>
        <w:rPr>
          <w:rFonts w:eastAsia="Times New Roman"/>
        </w:rPr>
      </w:pPr>
      <w:r>
        <w:rPr>
          <w:rFonts w:eastAsia="Times New Roman"/>
          <w:color w:val="000000"/>
          <w:sz w:val="20"/>
          <w:szCs w:val="20"/>
        </w:rPr>
        <w:t>We reflect changes in the U.S. Dollar equivalent of the amount payable, as a result of changes in foreign exchange rates as “Foreign currency exchange gain (loss)” on our income statement (gains o</w:t>
      </w:r>
      <w:r>
        <w:rPr>
          <w:rFonts w:eastAsia="Times New Roman"/>
          <w:color w:val="000000"/>
          <w:sz w:val="20"/>
          <w:szCs w:val="20"/>
        </w:rPr>
        <w:t>f $40.9 million and $73.6 million for the three and nine months ended September 30, 2021, respectively, as compared to losses of $41.9 million and $52.3 million for the three and nine months ended September 30, 2020 respectively).</w:t>
      </w:r>
    </w:p>
    <w:p w:rsidR="00000000" w:rsidRDefault="008C69C0">
      <w:pPr>
        <w:jc w:val="both"/>
        <w:rPr>
          <w:rFonts w:eastAsia="Times New Roman"/>
        </w:rPr>
      </w:pPr>
      <w:r>
        <w:rPr>
          <w:rFonts w:eastAsia="Times New Roman"/>
          <w:color w:val="000000"/>
          <w:sz w:val="20"/>
          <w:szCs w:val="20"/>
          <w:u w:val="single"/>
        </w:rPr>
        <w:t>Mortgage Notes</w:t>
      </w:r>
    </w:p>
    <w:p w:rsidR="00000000" w:rsidRDefault="008C69C0">
      <w:pPr>
        <w:ind w:firstLine="720"/>
        <w:jc w:val="both"/>
        <w:divId w:val="48498944"/>
        <w:rPr>
          <w:rFonts w:eastAsia="Times New Roman"/>
        </w:rPr>
      </w:pPr>
      <w:r>
        <w:rPr>
          <w:rFonts w:eastAsia="Times New Roman"/>
          <w:color w:val="000000"/>
          <w:sz w:val="20"/>
          <w:szCs w:val="20"/>
        </w:rPr>
        <w:t>We assumed</w:t>
      </w:r>
      <w:r>
        <w:rPr>
          <w:rFonts w:eastAsia="Times New Roman"/>
          <w:color w:val="000000"/>
          <w:sz w:val="20"/>
          <w:szCs w:val="20"/>
        </w:rPr>
        <w:t xml:space="preserve"> our non-recourse mortgage debt in connection with property acquisitions, and we recorded such debt at fair value with any premium or discount to the stated note balance amortized using the effective interest method. </w:t>
      </w:r>
    </w:p>
    <w:p w:rsidR="00000000" w:rsidRDefault="008C69C0">
      <w:pPr>
        <w:ind w:firstLine="720"/>
        <w:jc w:val="both"/>
        <w:divId w:val="1214847769"/>
        <w:rPr>
          <w:rFonts w:eastAsia="Times New Roman"/>
        </w:rPr>
      </w:pPr>
      <w:r>
        <w:rPr>
          <w:rFonts w:eastAsia="Times New Roman"/>
          <w:color w:val="000000"/>
          <w:sz w:val="20"/>
          <w:szCs w:val="20"/>
        </w:rPr>
        <w:t>At September 30, 2021, the related con</w:t>
      </w:r>
      <w:r>
        <w:rPr>
          <w:rFonts w:eastAsia="Times New Roman"/>
          <w:color w:val="000000"/>
          <w:sz w:val="20"/>
          <w:szCs w:val="20"/>
        </w:rPr>
        <w:t>tractual interest rates are fixed, ranging between 3.2% and 7.1%, and mature between January 1, 2022 and July 1, 2030.</w:t>
      </w:r>
    </w:p>
    <w:p w:rsidR="00000000" w:rsidRDefault="008C69C0">
      <w:pPr>
        <w:ind w:firstLine="720"/>
        <w:jc w:val="both"/>
        <w:divId w:val="719672617"/>
        <w:rPr>
          <w:rFonts w:eastAsia="Times New Roman"/>
        </w:rPr>
      </w:pPr>
      <w:r>
        <w:rPr>
          <w:rFonts w:eastAsia="Times New Roman"/>
          <w:color w:val="000000"/>
          <w:sz w:val="20"/>
          <w:szCs w:val="20"/>
        </w:rPr>
        <w:t>At September 30, 2021, approximate principal maturities of our Notes Payable are as follows (amounts in thousands):</w:t>
      </w:r>
    </w:p>
    <w:p w:rsidR="00000000" w:rsidRDefault="008C69C0">
      <w:pPr>
        <w:jc w:val="center"/>
        <w:divId w:val="351959484"/>
        <w:rPr>
          <w:rFonts w:eastAsia="Times New Roman"/>
        </w:rPr>
      </w:pPr>
      <w:r>
        <w:rPr>
          <w:rFonts w:eastAsia="Times New Roman"/>
          <w:color w:val="000000"/>
          <w:sz w:val="20"/>
          <w:szCs w:val="20"/>
        </w:rPr>
        <w:t>19</w:t>
      </w:r>
    </w:p>
    <w:p w:rsidR="00000000" w:rsidRDefault="008C69C0">
      <w:pPr>
        <w:rPr>
          <w:rFonts w:eastAsia="Times New Roman"/>
        </w:rPr>
      </w:pPr>
      <w:r>
        <w:rPr>
          <w:rFonts w:eastAsia="Times New Roman"/>
        </w:rPr>
        <w:pict>
          <v:rect id="_x0000_i1045" style="width:0;height:1.5pt" o:hralign="center" o:hrstd="t" o:hr="t" fillcolor="#a0a0a0" stroked="f"/>
        </w:pict>
      </w:r>
    </w:p>
    <w:p w:rsidR="00000000" w:rsidRDefault="008C69C0">
      <w:pPr>
        <w:jc w:val="center"/>
        <w:divId w:val="1103577662"/>
        <w:rPr>
          <w:rFonts w:eastAsia="Times New Roman"/>
        </w:rPr>
      </w:pPr>
      <w:r>
        <w:rPr>
          <w:rFonts w:eastAsia="Times New Roman"/>
          <w:b/>
          <w:bCs/>
          <w:color w:val="000000"/>
          <w:sz w:val="20"/>
          <w:szCs w:val="20"/>
        </w:rPr>
        <w:t>PUBLIC STORAGE</w:t>
      </w:r>
    </w:p>
    <w:p w:rsidR="00000000" w:rsidRDefault="008C69C0">
      <w:pPr>
        <w:jc w:val="center"/>
        <w:divId w:val="1103577662"/>
        <w:rPr>
          <w:rFonts w:eastAsia="Times New Roman"/>
        </w:rPr>
      </w:pPr>
      <w:r>
        <w:rPr>
          <w:rFonts w:eastAsia="Times New Roman"/>
          <w:b/>
          <w:bCs/>
          <w:color w:val="000000"/>
          <w:sz w:val="20"/>
          <w:szCs w:val="20"/>
        </w:rPr>
        <w:t>NOTES TO FINANCIAL STATEMENTS</w:t>
      </w:r>
    </w:p>
    <w:p w:rsidR="00000000" w:rsidRDefault="008C69C0">
      <w:pPr>
        <w:jc w:val="center"/>
        <w:divId w:val="1103577662"/>
        <w:rPr>
          <w:rFonts w:eastAsia="Times New Roman"/>
        </w:rPr>
      </w:pPr>
      <w:r>
        <w:rPr>
          <w:rFonts w:eastAsia="Times New Roman"/>
          <w:b/>
          <w:bCs/>
          <w:color w:val="000000"/>
          <w:sz w:val="20"/>
          <w:szCs w:val="20"/>
        </w:rPr>
        <w:t>September 30, 2021</w:t>
      </w:r>
    </w:p>
    <w:p w:rsidR="00000000" w:rsidRDefault="008C69C0">
      <w:pPr>
        <w:jc w:val="center"/>
        <w:divId w:val="1103577662"/>
        <w:rPr>
          <w:rFonts w:eastAsia="Times New Roman"/>
        </w:rPr>
      </w:pPr>
      <w:r>
        <w:rPr>
          <w:rFonts w:eastAsia="Times New Roman"/>
          <w:b/>
          <w:bCs/>
          <w:color w:val="000000"/>
          <w:sz w:val="20"/>
          <w:szCs w:val="20"/>
        </w:rPr>
        <w:t>(unaudited)</w:t>
      </w:r>
    </w:p>
    <w:tbl>
      <w:tblPr>
        <w:tblW w:w="4765" w:type="pct"/>
        <w:tblCellMar>
          <w:top w:w="15" w:type="dxa"/>
          <w:left w:w="15" w:type="dxa"/>
          <w:bottom w:w="15" w:type="dxa"/>
          <w:right w:w="15" w:type="dxa"/>
        </w:tblCellMar>
        <w:tblLook w:val="04A0" w:firstRow="1" w:lastRow="0" w:firstColumn="1" w:lastColumn="0" w:noHBand="0" w:noVBand="1"/>
      </w:tblPr>
      <w:tblGrid>
        <w:gridCol w:w="37"/>
        <w:gridCol w:w="2622"/>
        <w:gridCol w:w="36"/>
        <w:gridCol w:w="121"/>
        <w:gridCol w:w="1575"/>
        <w:gridCol w:w="36"/>
        <w:gridCol w:w="36"/>
        <w:gridCol w:w="36"/>
        <w:gridCol w:w="36"/>
        <w:gridCol w:w="121"/>
        <w:gridCol w:w="1421"/>
        <w:gridCol w:w="36"/>
        <w:gridCol w:w="36"/>
        <w:gridCol w:w="36"/>
        <w:gridCol w:w="36"/>
        <w:gridCol w:w="123"/>
        <w:gridCol w:w="1536"/>
        <w:gridCol w:w="36"/>
      </w:tblGrid>
      <w:tr w:rsidR="00000000">
        <w:trPr>
          <w:divId w:val="1490169818"/>
        </w:trPr>
        <w:tc>
          <w:tcPr>
            <w:tcW w:w="50" w:type="pct"/>
            <w:vAlign w:val="center"/>
            <w:hideMark/>
          </w:tcPr>
          <w:p w:rsidR="00000000" w:rsidRDefault="008C69C0">
            <w:pPr>
              <w:jc w:val="center"/>
              <w:rPr>
                <w:rFonts w:eastAsia="Times New Roman"/>
              </w:rPr>
            </w:pPr>
          </w:p>
        </w:tc>
        <w:tc>
          <w:tcPr>
            <w:tcW w:w="169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02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5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02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490169818"/>
        </w:trPr>
        <w:tc>
          <w:tcPr>
            <w:tcW w:w="0" w:type="auto"/>
            <w:gridSpan w:val="3"/>
            <w:tcMar>
              <w:top w:w="30" w:type="dxa"/>
              <w:left w:w="20" w:type="dxa"/>
              <w:bottom w:w="30" w:type="dxa"/>
              <w:right w:w="20" w:type="dxa"/>
            </w:tcMar>
            <w:vAlign w:val="center"/>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Unsecured Debt</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Mortgage Debt</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Total</w:t>
            </w:r>
          </w:p>
        </w:tc>
      </w:tr>
      <w:tr w:rsidR="00000000">
        <w:trPr>
          <w:divId w:val="1490169818"/>
          <w:trHeight w:val="12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divId w:val="1307204432"/>
              <w:rPr>
                <w:rFonts w:eastAsia="Times New Roman"/>
              </w:rPr>
            </w:pPr>
            <w:r>
              <w:rPr>
                <w:rFonts w:eastAsia="Times New Roman"/>
                <w:color w:val="000000"/>
                <w:sz w:val="20"/>
                <w:szCs w:val="20"/>
              </w:rPr>
              <w:t>Remainder of 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251</w:t>
            </w: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2022</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500,000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502,574</w:t>
            </w: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19,219</w:t>
            </w: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815,896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816,020</w:t>
            </w: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280,484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280,615</w:t>
            </w: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4,190,752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1,328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4,192,080</w:t>
            </w:r>
          </w:p>
        </w:tc>
      </w:tr>
      <w:tr w:rsidR="00000000">
        <w:trPr>
          <w:divId w:val="1490169818"/>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8C69C0">
            <w:pPr>
              <w:spacing w:after="100"/>
              <w:jc w:val="right"/>
              <w:rPr>
                <w:rFonts w:eastAsia="Times New Roman"/>
              </w:rPr>
            </w:pPr>
            <w:r>
              <w:rPr>
                <w:rFonts w:eastAsia="Times New Roman"/>
                <w:color w:val="000000"/>
                <w:sz w:val="20"/>
                <w:szCs w:val="20"/>
              </w:rPr>
              <w:t>5,787,132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8C69C0">
            <w:pPr>
              <w:spacing w:after="100"/>
              <w:jc w:val="right"/>
              <w:rPr>
                <w:rFonts w:eastAsia="Times New Roman"/>
              </w:rPr>
            </w:pPr>
            <w:r>
              <w:rPr>
                <w:rFonts w:eastAsia="Times New Roman"/>
                <w:color w:val="000000"/>
                <w:sz w:val="20"/>
                <w:szCs w:val="20"/>
              </w:rPr>
              <w:t>23,627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8C69C0">
            <w:pPr>
              <w:spacing w:after="100"/>
              <w:jc w:val="right"/>
              <w:rPr>
                <w:rFonts w:eastAsia="Times New Roman"/>
              </w:rPr>
            </w:pPr>
            <w:r>
              <w:rPr>
                <w:rFonts w:eastAsia="Times New Roman"/>
                <w:color w:val="000000"/>
                <w:sz w:val="20"/>
                <w:szCs w:val="20"/>
              </w:rPr>
              <w:t>5,810,759</w:t>
            </w:r>
          </w:p>
        </w:tc>
      </w:tr>
      <w:tr w:rsidR="00000000">
        <w:trPr>
          <w:divId w:val="149016981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Weighted average effective rate </w:t>
            </w: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8C69C0">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8C69C0">
            <w:pPr>
              <w:spacing w:after="100"/>
              <w:jc w:val="right"/>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8C69C0">
            <w:pPr>
              <w:spacing w:after="100"/>
              <w:jc w:val="right"/>
              <w:rPr>
                <w:rFonts w:eastAsia="Times New Roman"/>
              </w:rPr>
            </w:pPr>
            <w:r>
              <w:rPr>
                <w:rFonts w:eastAsia="Times New Roman"/>
                <w:color w:val="000000"/>
                <w:sz w:val="20"/>
                <w:szCs w:val="20"/>
              </w:rPr>
              <w:t>1.8%</w:t>
            </w:r>
          </w:p>
        </w:tc>
      </w:tr>
    </w:tbl>
    <w:p w:rsidR="00000000" w:rsidRDefault="008C69C0">
      <w:pPr>
        <w:ind w:firstLine="720"/>
        <w:jc w:val="both"/>
        <w:divId w:val="1510289741"/>
        <w:rPr>
          <w:rFonts w:eastAsia="Times New Roman"/>
        </w:rPr>
      </w:pPr>
      <w:r>
        <w:rPr>
          <w:rFonts w:eastAsia="Times New Roman"/>
          <w:color w:val="000000"/>
          <w:sz w:val="20"/>
          <w:szCs w:val="20"/>
        </w:rPr>
        <w:t>Cash paid for interest totaled $49.8 million and $40.2 million for the nine months ended September </w:t>
      </w:r>
      <w:r>
        <w:rPr>
          <w:rFonts w:eastAsia="Times New Roman"/>
          <w:color w:val="000000"/>
          <w:sz w:val="20"/>
          <w:szCs w:val="20"/>
        </w:rPr>
        <w:t>30, 2021 and 2020, respectively. Interest capitalized as real estate totaled $2.6 million and $2.5 million for the nine month periods ended September 30, 2021 and 2020, respectively.</w:t>
      </w:r>
    </w:p>
    <w:p w:rsidR="00000000" w:rsidRDefault="008C69C0">
      <w:pPr>
        <w:ind w:hanging="360"/>
        <w:jc w:val="both"/>
        <w:divId w:val="1978367186"/>
        <w:rPr>
          <w:rFonts w:eastAsia="Times New Roman"/>
        </w:rPr>
      </w:pPr>
      <w:r>
        <w:rPr>
          <w:rFonts w:eastAsia="Times New Roman"/>
          <w:color w:val="000000"/>
          <w:sz w:val="20"/>
          <w:szCs w:val="20"/>
        </w:rPr>
        <w:t>7.</w:t>
      </w:r>
      <w:r>
        <w:rPr>
          <w:rFonts w:eastAsia="Times New Roman"/>
          <w:color w:val="000000"/>
          <w:sz w:val="20"/>
          <w:szCs w:val="20"/>
          <w:u w:val="single"/>
        </w:rPr>
        <w:t>Noncontrolling Interests</w:t>
      </w:r>
    </w:p>
    <w:p w:rsidR="00000000" w:rsidRDefault="008C69C0">
      <w:pPr>
        <w:ind w:firstLine="720"/>
        <w:jc w:val="both"/>
        <w:divId w:val="884802472"/>
        <w:rPr>
          <w:rFonts w:eastAsia="Times New Roman"/>
        </w:rPr>
      </w:pPr>
      <w:r>
        <w:rPr>
          <w:rFonts w:eastAsia="Times New Roman"/>
          <w:color w:val="000000"/>
          <w:sz w:val="20"/>
          <w:szCs w:val="20"/>
        </w:rPr>
        <w:t>At September 30, 2021, the noncontrolling inte</w:t>
      </w:r>
      <w:r>
        <w:rPr>
          <w:rFonts w:eastAsia="Times New Roman"/>
          <w:color w:val="000000"/>
          <w:sz w:val="20"/>
          <w:szCs w:val="20"/>
        </w:rPr>
        <w:t>rests represent (i) third-party equity interests in subsidiaries owning 24 operating self-storage facilities and five self-storage facilities that are under construction and (ii) 231,978 partnership units held by third-parties in a subsidiary that are conv</w:t>
      </w:r>
      <w:r>
        <w:rPr>
          <w:rFonts w:eastAsia="Times New Roman"/>
          <w:color w:val="000000"/>
          <w:sz w:val="20"/>
          <w:szCs w:val="20"/>
        </w:rPr>
        <w:t>ertible on a one-for-one basis (subject to certain limitations) into common shares of the Company at the option of the unitholder (collectively, the “Noncontrolling Interests”). At September 30, 2021, the Noncontrolling Interests cannot require us to redee</w:t>
      </w:r>
      <w:r>
        <w:rPr>
          <w:rFonts w:eastAsia="Times New Roman"/>
          <w:color w:val="000000"/>
          <w:sz w:val="20"/>
          <w:szCs w:val="20"/>
        </w:rPr>
        <w:t xml:space="preserve">m their interests, other than pursuant to a liquidation of the subsidiary. </w:t>
      </w:r>
    </w:p>
    <w:p w:rsidR="00000000" w:rsidRDefault="008C69C0">
      <w:pPr>
        <w:ind w:firstLine="720"/>
        <w:jc w:val="both"/>
        <w:divId w:val="1346596133"/>
        <w:rPr>
          <w:rFonts w:eastAsia="Times New Roman"/>
        </w:rPr>
      </w:pPr>
      <w:r>
        <w:rPr>
          <w:rFonts w:eastAsia="Times New Roman"/>
          <w:color w:val="000000"/>
          <w:sz w:val="20"/>
          <w:szCs w:val="20"/>
        </w:rPr>
        <w:t>During the nine months ended September 30, 2021 and 2020, we allocated a total of $4.1 million and $2.8 million, respectively, of income to these interests; and we paid $4.5 millio</w:t>
      </w:r>
      <w:r>
        <w:rPr>
          <w:rFonts w:eastAsia="Times New Roman"/>
          <w:color w:val="000000"/>
          <w:sz w:val="20"/>
          <w:szCs w:val="20"/>
        </w:rPr>
        <w:t xml:space="preserve">n and $4.0 million, respectively, in distributions to these interests. </w:t>
      </w:r>
    </w:p>
    <w:p w:rsidR="00000000" w:rsidRDefault="008C69C0">
      <w:pPr>
        <w:ind w:firstLine="720"/>
        <w:jc w:val="both"/>
        <w:divId w:val="1004478712"/>
        <w:rPr>
          <w:rFonts w:eastAsia="Times New Roman"/>
        </w:rPr>
      </w:pPr>
      <w:r>
        <w:rPr>
          <w:rFonts w:eastAsia="Times New Roman"/>
          <w:color w:val="000000"/>
          <w:sz w:val="20"/>
          <w:szCs w:val="20"/>
        </w:rPr>
        <w:t xml:space="preserve">During the nine months ended September 30, 2021 and 2020, Noncontrolling Interests contributed $2.4 million and $2.3 million, respectively, to our subsidiaries. </w:t>
      </w:r>
    </w:p>
    <w:p w:rsidR="00000000" w:rsidRDefault="008C69C0">
      <w:pPr>
        <w:jc w:val="center"/>
        <w:divId w:val="1542934002"/>
        <w:rPr>
          <w:rFonts w:eastAsia="Times New Roman"/>
        </w:rPr>
      </w:pPr>
      <w:r>
        <w:rPr>
          <w:rFonts w:eastAsia="Times New Roman"/>
          <w:color w:val="000000"/>
          <w:sz w:val="20"/>
          <w:szCs w:val="20"/>
        </w:rPr>
        <w:t>20</w:t>
      </w:r>
    </w:p>
    <w:p w:rsidR="00000000" w:rsidRDefault="008C69C0">
      <w:pPr>
        <w:rPr>
          <w:rFonts w:eastAsia="Times New Roman"/>
        </w:rPr>
      </w:pPr>
      <w:r>
        <w:rPr>
          <w:rFonts w:eastAsia="Times New Roman"/>
        </w:rPr>
        <w:pict>
          <v:rect id="_x0000_i1046" style="width:0;height:1.5pt" o:hralign="center" o:hrstd="t" o:hr="t" fillcolor="#a0a0a0" stroked="f"/>
        </w:pict>
      </w:r>
    </w:p>
    <w:p w:rsidR="00000000" w:rsidRDefault="008C69C0">
      <w:pPr>
        <w:jc w:val="center"/>
        <w:divId w:val="434518881"/>
        <w:rPr>
          <w:rFonts w:eastAsia="Times New Roman"/>
        </w:rPr>
      </w:pPr>
      <w:r>
        <w:rPr>
          <w:rFonts w:eastAsia="Times New Roman"/>
          <w:b/>
          <w:bCs/>
          <w:color w:val="000000"/>
          <w:sz w:val="20"/>
          <w:szCs w:val="20"/>
        </w:rPr>
        <w:t>PUBLIC STORAGE</w:t>
      </w:r>
    </w:p>
    <w:p w:rsidR="00000000" w:rsidRDefault="008C69C0">
      <w:pPr>
        <w:jc w:val="center"/>
        <w:divId w:val="434518881"/>
        <w:rPr>
          <w:rFonts w:eastAsia="Times New Roman"/>
        </w:rPr>
      </w:pPr>
      <w:r>
        <w:rPr>
          <w:rFonts w:eastAsia="Times New Roman"/>
          <w:b/>
          <w:bCs/>
          <w:color w:val="000000"/>
          <w:sz w:val="20"/>
          <w:szCs w:val="20"/>
        </w:rPr>
        <w:t>NOTES TO FINANCIAL STATEMENTS</w:t>
      </w:r>
    </w:p>
    <w:p w:rsidR="00000000" w:rsidRDefault="008C69C0">
      <w:pPr>
        <w:jc w:val="center"/>
        <w:divId w:val="434518881"/>
        <w:rPr>
          <w:rFonts w:eastAsia="Times New Roman"/>
        </w:rPr>
      </w:pPr>
      <w:r>
        <w:rPr>
          <w:rFonts w:eastAsia="Times New Roman"/>
          <w:b/>
          <w:bCs/>
          <w:color w:val="000000"/>
          <w:sz w:val="20"/>
          <w:szCs w:val="20"/>
        </w:rPr>
        <w:t>September 30, 2021</w:t>
      </w:r>
    </w:p>
    <w:p w:rsidR="00000000" w:rsidRDefault="008C69C0">
      <w:pPr>
        <w:jc w:val="center"/>
        <w:divId w:val="434518881"/>
        <w:rPr>
          <w:rFonts w:eastAsia="Times New Roman"/>
        </w:rPr>
      </w:pPr>
      <w:r>
        <w:rPr>
          <w:rFonts w:eastAsia="Times New Roman"/>
          <w:b/>
          <w:bCs/>
          <w:color w:val="000000"/>
          <w:sz w:val="20"/>
          <w:szCs w:val="20"/>
        </w:rPr>
        <w:t>(unaudited)</w:t>
      </w:r>
    </w:p>
    <w:p w:rsidR="00000000" w:rsidRDefault="008C69C0">
      <w:pPr>
        <w:ind w:hanging="360"/>
        <w:jc w:val="both"/>
        <w:divId w:val="280192024"/>
        <w:rPr>
          <w:rFonts w:eastAsia="Times New Roman"/>
        </w:rPr>
      </w:pPr>
      <w:r>
        <w:rPr>
          <w:rFonts w:eastAsia="Times New Roman"/>
          <w:color w:val="000000"/>
          <w:sz w:val="20"/>
          <w:szCs w:val="20"/>
        </w:rPr>
        <w:t>8.</w:t>
      </w:r>
      <w:r>
        <w:rPr>
          <w:rFonts w:eastAsia="Times New Roman"/>
          <w:color w:val="000000"/>
          <w:sz w:val="20"/>
          <w:szCs w:val="20"/>
          <w:u w:val="single"/>
        </w:rPr>
        <w:t>Shareholders’ Equity</w:t>
      </w:r>
    </w:p>
    <w:p w:rsidR="00000000" w:rsidRDefault="008C69C0">
      <w:pPr>
        <w:jc w:val="both"/>
        <w:rPr>
          <w:rFonts w:eastAsia="Times New Roman"/>
        </w:rPr>
      </w:pPr>
    </w:p>
    <w:p w:rsidR="00000000" w:rsidRDefault="008C69C0">
      <w:pPr>
        <w:jc w:val="both"/>
        <w:divId w:val="202644973"/>
        <w:rPr>
          <w:rFonts w:eastAsia="Times New Roman"/>
        </w:rPr>
      </w:pPr>
      <w:r>
        <w:rPr>
          <w:rFonts w:eastAsia="Times New Roman"/>
          <w:color w:val="000000"/>
          <w:sz w:val="20"/>
          <w:szCs w:val="20"/>
          <w:u w:val="single"/>
        </w:rPr>
        <w:t>Preferred Shares</w:t>
      </w:r>
    </w:p>
    <w:p w:rsidR="00000000" w:rsidRDefault="008C69C0">
      <w:pPr>
        <w:ind w:firstLine="720"/>
        <w:jc w:val="both"/>
        <w:rPr>
          <w:rFonts w:eastAsia="Times New Roman"/>
        </w:rPr>
      </w:pPr>
      <w:r>
        <w:rPr>
          <w:rFonts w:eastAsia="Times New Roman"/>
          <w:color w:val="000000"/>
          <w:sz w:val="20"/>
          <w:szCs w:val="20"/>
        </w:rPr>
        <w:t>At September 30, 2021 and December </w:t>
      </w:r>
      <w:r>
        <w:rPr>
          <w:rFonts w:eastAsia="Times New Roman"/>
          <w:color w:val="000000"/>
          <w:sz w:val="20"/>
          <w:szCs w:val="20"/>
        </w:rPr>
        <w:t>31, 2020, we had the following series of Cumulative Preferred Shares (“Preferred Shares”) outstanding:</w:t>
      </w:r>
    </w:p>
    <w:p w:rsidR="00000000" w:rsidRDefault="008C69C0">
      <w:pPr>
        <w:ind w:firstLine="720"/>
        <w:jc w:val="both"/>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7"/>
        <w:gridCol w:w="1069"/>
        <w:gridCol w:w="36"/>
        <w:gridCol w:w="36"/>
        <w:gridCol w:w="36"/>
        <w:gridCol w:w="36"/>
        <w:gridCol w:w="77"/>
        <w:gridCol w:w="934"/>
        <w:gridCol w:w="36"/>
        <w:gridCol w:w="36"/>
        <w:gridCol w:w="36"/>
        <w:gridCol w:w="36"/>
        <w:gridCol w:w="59"/>
        <w:gridCol w:w="815"/>
        <w:gridCol w:w="187"/>
        <w:gridCol w:w="36"/>
        <w:gridCol w:w="36"/>
        <w:gridCol w:w="36"/>
        <w:gridCol w:w="77"/>
        <w:gridCol w:w="934"/>
        <w:gridCol w:w="36"/>
        <w:gridCol w:w="36"/>
        <w:gridCol w:w="36"/>
        <w:gridCol w:w="36"/>
        <w:gridCol w:w="120"/>
        <w:gridCol w:w="850"/>
        <w:gridCol w:w="36"/>
        <w:gridCol w:w="36"/>
        <w:gridCol w:w="36"/>
        <w:gridCol w:w="36"/>
        <w:gridCol w:w="77"/>
        <w:gridCol w:w="934"/>
        <w:gridCol w:w="36"/>
        <w:gridCol w:w="36"/>
        <w:gridCol w:w="36"/>
        <w:gridCol w:w="36"/>
        <w:gridCol w:w="120"/>
        <w:gridCol w:w="850"/>
        <w:gridCol w:w="36"/>
      </w:tblGrid>
      <w:tr w:rsidR="00000000">
        <w:trPr>
          <w:divId w:val="766268575"/>
        </w:trPr>
        <w:tc>
          <w:tcPr>
            <w:tcW w:w="50" w:type="pct"/>
            <w:vAlign w:val="center"/>
            <w:hideMark/>
          </w:tcPr>
          <w:p w:rsidR="00000000" w:rsidRDefault="008C69C0">
            <w:pPr>
              <w:ind w:firstLine="720"/>
              <w:jc w:val="both"/>
              <w:rPr>
                <w:rFonts w:eastAsia="Times New Roman"/>
              </w:rPr>
            </w:pPr>
          </w:p>
        </w:tc>
        <w:tc>
          <w:tcPr>
            <w:tcW w:w="69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At September 30, 2021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At December 31, 2020</w:t>
            </w: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Earliest Redemption Date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Dividend Rate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Liquidation Preference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Liquidation Preference</w:t>
            </w:r>
          </w:p>
        </w:tc>
      </w:tr>
      <w:tr w:rsidR="00000000">
        <w:trPr>
          <w:divId w:val="76626857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66268575"/>
        </w:trPr>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(Dollar amounts in thousands)</w:t>
            </w: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C</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5/17/2021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5.125 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7/20/2021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4.950 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325,000 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10/14/2021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4.900 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350,000 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350,000 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F</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6/2/2022</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5.150 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G</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8/9/2022</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5.050 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H</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3/11/2024</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5.600 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I</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9/12/2024</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4.875 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J</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11/15/2024</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4.700 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K</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12/20/2024</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L</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6/17/2025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4.625 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M</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8/14/2025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4.125 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N</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10/6/2025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3.875 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O</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11/17/2025</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3.900 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P</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6/16/2026</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Series Q</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8/17/2026</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3.950 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766268575"/>
        </w:trPr>
        <w:tc>
          <w:tcPr>
            <w:tcW w:w="0" w:type="auto"/>
            <w:gridSpan w:val="9"/>
            <w:tcMar>
              <w:top w:w="30" w:type="dxa"/>
              <w:left w:w="26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 Preferred Shares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160,600 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4,015,000 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151,700 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3,792,500 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ind w:firstLine="720"/>
        <w:jc w:val="both"/>
        <w:divId w:val="2132164188"/>
        <w:rPr>
          <w:rFonts w:eastAsia="Times New Roman"/>
        </w:rPr>
      </w:pPr>
      <w:r>
        <w:rPr>
          <w:rFonts w:eastAsia="Times New Roman"/>
          <w:color w:val="000000"/>
          <w:sz w:val="20"/>
          <w:szCs w:val="20"/>
        </w:rPr>
        <w:t>The holders of our Preferred Shares have general preference rights with respect to liquidation, quarterly distributions, and any accumulated unpaid distributions. Except as noted below,</w:t>
      </w:r>
      <w:r>
        <w:rPr>
          <w:rFonts w:eastAsia="Times New Roman"/>
          <w:color w:val="000000"/>
          <w:sz w:val="20"/>
          <w:szCs w:val="20"/>
        </w:rPr>
        <w:t xml:space="preserve"> holders of the Preferred Shares do not have voting rights. In the event of a cumulative arrearage equal to six quarterly dividends, holders of all outstanding series of preferred shares (voting as a single class without regard to series) will have the rig</w:t>
      </w:r>
      <w:r>
        <w:rPr>
          <w:rFonts w:eastAsia="Times New Roman"/>
          <w:color w:val="000000"/>
          <w:sz w:val="20"/>
          <w:szCs w:val="20"/>
        </w:rPr>
        <w:t xml:space="preserve">ht to elect two additional members to serve on our board of trustees (our “Board”) until the arrearage has been cured. At September 30, 2021, there were no dividends in arrears. The affirmative vote of at least 66.67% of the outstanding shares of a series </w:t>
      </w:r>
      <w:r>
        <w:rPr>
          <w:rFonts w:eastAsia="Times New Roman"/>
          <w:color w:val="000000"/>
          <w:sz w:val="20"/>
          <w:szCs w:val="20"/>
        </w:rPr>
        <w:t>of Preferred Shares is required for any material and adverse amendment to the terms of such series. The affirmative vote of at least 66.67% of the outstanding shares of all of our Preferred Shares, voting as a single class, is required to issue shares rank</w:t>
      </w:r>
      <w:r>
        <w:rPr>
          <w:rFonts w:eastAsia="Times New Roman"/>
          <w:color w:val="000000"/>
          <w:sz w:val="20"/>
          <w:szCs w:val="20"/>
        </w:rPr>
        <w:t>ing senior to our Preferred Shares.</w:t>
      </w:r>
    </w:p>
    <w:p w:rsidR="00000000" w:rsidRDefault="008C69C0">
      <w:pPr>
        <w:ind w:firstLine="720"/>
        <w:jc w:val="both"/>
        <w:divId w:val="1983727253"/>
        <w:rPr>
          <w:rFonts w:eastAsia="Times New Roman"/>
        </w:rPr>
      </w:pPr>
      <w:r>
        <w:rPr>
          <w:rFonts w:eastAsia="Times New Roman"/>
          <w:color w:val="000000"/>
          <w:sz w:val="20"/>
          <w:szCs w:val="20"/>
        </w:rPr>
        <w:t>Except under certain conditions relating to the Company’s qualification as a REIT, the Preferred Shares are not redeemable prior to the dates indicated on the table above. On or after the respective dates, each of the se</w:t>
      </w:r>
      <w:r>
        <w:rPr>
          <w:rFonts w:eastAsia="Times New Roman"/>
          <w:color w:val="000000"/>
          <w:sz w:val="20"/>
          <w:szCs w:val="20"/>
        </w:rPr>
        <w:t>ries of Preferred Shares is redeemable at our option, in whole or in part, at $25.00 per depositary share, plus accrued and unpaid dividends. Holders of the Preferred Shares cannot require us to redeem such shares.</w:t>
      </w:r>
    </w:p>
    <w:p w:rsidR="00000000" w:rsidRDefault="008C69C0">
      <w:pPr>
        <w:ind w:firstLine="720"/>
        <w:jc w:val="both"/>
        <w:divId w:val="1436903490"/>
        <w:rPr>
          <w:rFonts w:eastAsia="Times New Roman"/>
        </w:rPr>
      </w:pPr>
      <w:r>
        <w:rPr>
          <w:rFonts w:eastAsia="Times New Roman"/>
          <w:color w:val="000000"/>
          <w:sz w:val="20"/>
          <w:szCs w:val="20"/>
        </w:rPr>
        <w:t>Upon issuance of our Preferred Shares, we</w:t>
      </w:r>
      <w:r>
        <w:rPr>
          <w:rFonts w:eastAsia="Times New Roman"/>
          <w:color w:val="000000"/>
          <w:sz w:val="20"/>
          <w:szCs w:val="20"/>
        </w:rPr>
        <w:t xml:space="preserve"> classify the liquidation value as preferred equity on our balance sheet with any issuance costs recorded as a reduction to Paid-in capital.</w:t>
      </w:r>
    </w:p>
    <w:p w:rsidR="00000000" w:rsidRDefault="008C69C0">
      <w:pPr>
        <w:ind w:firstLine="720"/>
        <w:jc w:val="both"/>
        <w:divId w:val="1382288460"/>
        <w:rPr>
          <w:rFonts w:eastAsia="Times New Roman"/>
        </w:rPr>
      </w:pPr>
      <w:r>
        <w:rPr>
          <w:rFonts w:eastAsia="Times New Roman"/>
          <w:color w:val="000000"/>
          <w:sz w:val="20"/>
          <w:szCs w:val="20"/>
        </w:rPr>
        <w:t>In December 2020, we called for redemption of, and on January 20, 2021, we redeemed our 5.400% Series B Preferred S</w:t>
      </w:r>
      <w:r>
        <w:rPr>
          <w:rFonts w:eastAsia="Times New Roman"/>
          <w:color w:val="000000"/>
          <w:sz w:val="20"/>
          <w:szCs w:val="20"/>
        </w:rPr>
        <w:t>hares, at par. The liquidation value (at par) of $300.0 million was reclassified as a liability at December 31, 2020, and is not included in the table above. We recorded a $9.9 million allocation of income from our common shareholders to the holders of our</w:t>
      </w:r>
      <w:r>
        <w:rPr>
          <w:rFonts w:eastAsia="Times New Roman"/>
          <w:color w:val="000000"/>
          <w:sz w:val="20"/>
          <w:szCs w:val="20"/>
        </w:rPr>
        <w:t xml:space="preserve"> Preferred Shares in the year ended December 31, 2020 in connection with this redemption.</w:t>
      </w:r>
    </w:p>
    <w:p w:rsidR="00000000" w:rsidRDefault="008C69C0">
      <w:pPr>
        <w:jc w:val="center"/>
        <w:divId w:val="1528443961"/>
        <w:rPr>
          <w:rFonts w:eastAsia="Times New Roman"/>
        </w:rPr>
      </w:pPr>
      <w:r>
        <w:rPr>
          <w:rFonts w:eastAsia="Times New Roman"/>
          <w:color w:val="000000"/>
          <w:sz w:val="20"/>
          <w:szCs w:val="20"/>
        </w:rPr>
        <w:t>21</w:t>
      </w:r>
    </w:p>
    <w:p w:rsidR="00000000" w:rsidRDefault="008C69C0">
      <w:pPr>
        <w:rPr>
          <w:rFonts w:eastAsia="Times New Roman"/>
        </w:rPr>
      </w:pPr>
      <w:r>
        <w:rPr>
          <w:rFonts w:eastAsia="Times New Roman"/>
        </w:rPr>
        <w:pict>
          <v:rect id="_x0000_i1047" style="width:0;height:1.5pt" o:hralign="center" o:hrstd="t" o:hr="t" fillcolor="#a0a0a0" stroked="f"/>
        </w:pict>
      </w:r>
    </w:p>
    <w:p w:rsidR="00000000" w:rsidRDefault="008C69C0">
      <w:pPr>
        <w:jc w:val="center"/>
        <w:divId w:val="1868449292"/>
        <w:rPr>
          <w:rFonts w:eastAsia="Times New Roman"/>
        </w:rPr>
      </w:pPr>
      <w:r>
        <w:rPr>
          <w:rFonts w:eastAsia="Times New Roman"/>
          <w:b/>
          <w:bCs/>
          <w:color w:val="000000"/>
          <w:sz w:val="20"/>
          <w:szCs w:val="20"/>
        </w:rPr>
        <w:t>PUBLIC STORAGE</w:t>
      </w:r>
    </w:p>
    <w:p w:rsidR="00000000" w:rsidRDefault="008C69C0">
      <w:pPr>
        <w:jc w:val="center"/>
        <w:divId w:val="1868449292"/>
        <w:rPr>
          <w:rFonts w:eastAsia="Times New Roman"/>
        </w:rPr>
      </w:pPr>
      <w:r>
        <w:rPr>
          <w:rFonts w:eastAsia="Times New Roman"/>
          <w:b/>
          <w:bCs/>
          <w:color w:val="000000"/>
          <w:sz w:val="20"/>
          <w:szCs w:val="20"/>
        </w:rPr>
        <w:t>NOTES TO FINANCIAL STATEMENTS</w:t>
      </w:r>
    </w:p>
    <w:p w:rsidR="00000000" w:rsidRDefault="008C69C0">
      <w:pPr>
        <w:jc w:val="center"/>
        <w:divId w:val="1868449292"/>
        <w:rPr>
          <w:rFonts w:eastAsia="Times New Roman"/>
        </w:rPr>
      </w:pPr>
      <w:r>
        <w:rPr>
          <w:rFonts w:eastAsia="Times New Roman"/>
          <w:b/>
          <w:bCs/>
          <w:color w:val="000000"/>
          <w:sz w:val="20"/>
          <w:szCs w:val="20"/>
        </w:rPr>
        <w:t>September 30, 2021</w:t>
      </w:r>
    </w:p>
    <w:p w:rsidR="00000000" w:rsidRDefault="008C69C0">
      <w:pPr>
        <w:jc w:val="center"/>
        <w:divId w:val="1868449292"/>
        <w:rPr>
          <w:rFonts w:eastAsia="Times New Roman"/>
        </w:rPr>
      </w:pPr>
      <w:r>
        <w:rPr>
          <w:rFonts w:eastAsia="Times New Roman"/>
          <w:b/>
          <w:bCs/>
          <w:color w:val="000000"/>
          <w:sz w:val="20"/>
          <w:szCs w:val="20"/>
        </w:rPr>
        <w:t>(unaudited)</w:t>
      </w:r>
    </w:p>
    <w:p w:rsidR="00000000" w:rsidRDefault="008C69C0">
      <w:pPr>
        <w:ind w:firstLine="720"/>
        <w:jc w:val="both"/>
        <w:divId w:val="1217666902"/>
        <w:rPr>
          <w:rFonts w:eastAsia="Times New Roman"/>
        </w:rPr>
      </w:pPr>
      <w:r>
        <w:rPr>
          <w:rFonts w:eastAsia="Times New Roman"/>
          <w:color w:val="000000"/>
          <w:sz w:val="20"/>
          <w:szCs w:val="20"/>
        </w:rPr>
        <w:t>On June 16, 2021, we issued approximately 24.2 mil</w:t>
      </w:r>
      <w:r>
        <w:rPr>
          <w:rFonts w:eastAsia="Times New Roman"/>
          <w:color w:val="000000"/>
          <w:sz w:val="20"/>
          <w:szCs w:val="20"/>
        </w:rPr>
        <w:t xml:space="preserve">lion depositary shares, each representing 0.001 of a share of our 4.000% Series P Preferred Shares, at an issuance price of $25.00 per depositary share, for a total of $603.8 million in gross proceeds, and we incurred $17.4 million in issuance costs. </w:t>
      </w:r>
    </w:p>
    <w:p w:rsidR="00000000" w:rsidRDefault="008C69C0">
      <w:pPr>
        <w:ind w:firstLine="720"/>
        <w:jc w:val="both"/>
        <w:divId w:val="718699772"/>
        <w:rPr>
          <w:rFonts w:eastAsia="Times New Roman"/>
        </w:rPr>
      </w:pPr>
      <w:r>
        <w:rPr>
          <w:rFonts w:eastAsia="Times New Roman"/>
          <w:color w:val="000000"/>
          <w:sz w:val="20"/>
          <w:szCs w:val="20"/>
        </w:rPr>
        <w:t>On J</w:t>
      </w:r>
      <w:r>
        <w:rPr>
          <w:rFonts w:eastAsia="Times New Roman"/>
          <w:color w:val="000000"/>
          <w:sz w:val="20"/>
          <w:szCs w:val="20"/>
        </w:rPr>
        <w:t xml:space="preserve">une 30, 2021, we redeemed our 5.125% Series C Preferred Shares, at par. We recorded a $6.4 million allocation of income from our common shareholders to the holders of our Preferred Shares in the nine months ended September 30, 2021 in connection with this </w:t>
      </w:r>
      <w:r>
        <w:rPr>
          <w:rFonts w:eastAsia="Times New Roman"/>
          <w:color w:val="000000"/>
          <w:sz w:val="20"/>
          <w:szCs w:val="20"/>
        </w:rPr>
        <w:t>redemption.</w:t>
      </w:r>
    </w:p>
    <w:p w:rsidR="00000000" w:rsidRDefault="008C69C0">
      <w:pPr>
        <w:ind w:firstLine="720"/>
        <w:jc w:val="both"/>
        <w:divId w:val="2091733646"/>
        <w:rPr>
          <w:rFonts w:eastAsia="Times New Roman"/>
        </w:rPr>
      </w:pPr>
      <w:r>
        <w:rPr>
          <w:rFonts w:eastAsia="Times New Roman"/>
          <w:color w:val="000000"/>
          <w:sz w:val="20"/>
          <w:szCs w:val="20"/>
        </w:rPr>
        <w:t>On July 20, 2021, we redeemed our 4.950% Series D Preferred Shares, at par. We recorded a $10.6 million allocation of income from our common shareholders to the holders of our Preferred Shares in the nine months ended September 30, 2021 in conn</w:t>
      </w:r>
      <w:r>
        <w:rPr>
          <w:rFonts w:eastAsia="Times New Roman"/>
          <w:color w:val="000000"/>
          <w:sz w:val="20"/>
          <w:szCs w:val="20"/>
        </w:rPr>
        <w:t>ection with this redemption.</w:t>
      </w:r>
    </w:p>
    <w:p w:rsidR="00000000" w:rsidRDefault="008C69C0">
      <w:pPr>
        <w:ind w:firstLine="720"/>
        <w:jc w:val="both"/>
        <w:divId w:val="998461746"/>
        <w:rPr>
          <w:rFonts w:eastAsia="Times New Roman"/>
        </w:rPr>
      </w:pPr>
      <w:r>
        <w:rPr>
          <w:rFonts w:eastAsia="Times New Roman"/>
          <w:color w:val="000000"/>
          <w:sz w:val="20"/>
          <w:szCs w:val="20"/>
        </w:rPr>
        <w:t>On August 17, 2021, we issued approximately 5.8 million depositary shares, each representing 0.001 of a share of our 3.950% Series Q Preferred Shares, at an issuance price of $25.00 per depositary share, for a total of $143.8 m</w:t>
      </w:r>
      <w:r>
        <w:rPr>
          <w:rFonts w:eastAsia="Times New Roman"/>
          <w:color w:val="000000"/>
          <w:sz w:val="20"/>
          <w:szCs w:val="20"/>
        </w:rPr>
        <w:t xml:space="preserve">illion in gross proceeds, and we incurred $4.8 million in issuance costs. </w:t>
      </w:r>
    </w:p>
    <w:p w:rsidR="00000000" w:rsidRDefault="008C69C0">
      <w:pPr>
        <w:ind w:firstLine="720"/>
        <w:jc w:val="both"/>
        <w:divId w:val="2144302435"/>
        <w:rPr>
          <w:rFonts w:eastAsia="Times New Roman"/>
        </w:rPr>
      </w:pPr>
      <w:r>
        <w:rPr>
          <w:rFonts w:eastAsia="Times New Roman"/>
          <w:color w:val="000000"/>
          <w:sz w:val="20"/>
          <w:szCs w:val="20"/>
        </w:rPr>
        <w:t>On June 17, 2020, we issued 22.6 million depositary shares, each representing 0.001 of a share of our 4.625% Series L Preferred Shares, at an issuance price of $25.00 per depositary</w:t>
      </w:r>
      <w:r>
        <w:rPr>
          <w:rFonts w:eastAsia="Times New Roman"/>
          <w:color w:val="000000"/>
          <w:sz w:val="20"/>
          <w:szCs w:val="20"/>
        </w:rPr>
        <w:t xml:space="preserve"> share, for a total of $565.0 million in gross proceeds, and we incurred $15.8 million in issuance costs. </w:t>
      </w:r>
    </w:p>
    <w:p w:rsidR="00000000" w:rsidRDefault="008C69C0">
      <w:pPr>
        <w:ind w:firstLine="720"/>
        <w:jc w:val="both"/>
        <w:divId w:val="2066878990"/>
        <w:rPr>
          <w:rFonts w:eastAsia="Times New Roman"/>
        </w:rPr>
      </w:pPr>
      <w:r>
        <w:rPr>
          <w:rFonts w:eastAsia="Times New Roman"/>
          <w:color w:val="000000"/>
          <w:sz w:val="20"/>
          <w:szCs w:val="20"/>
        </w:rPr>
        <w:t>On July 10, 2020, we redeemed our 5.375% Series V Preferred Shares, at par. We recorded a $15.1 million allocation of income from our common sharehol</w:t>
      </w:r>
      <w:r>
        <w:rPr>
          <w:rFonts w:eastAsia="Times New Roman"/>
          <w:color w:val="000000"/>
          <w:sz w:val="20"/>
          <w:szCs w:val="20"/>
        </w:rPr>
        <w:t>ders to the holders of our Preferred Shares in the nine months ended September 30, 2020 in connection with this redemption.</w:t>
      </w:r>
    </w:p>
    <w:p w:rsidR="00000000" w:rsidRDefault="008C69C0">
      <w:pPr>
        <w:ind w:firstLine="720"/>
        <w:jc w:val="both"/>
        <w:divId w:val="528957308"/>
        <w:rPr>
          <w:rFonts w:eastAsia="Times New Roman"/>
        </w:rPr>
      </w:pPr>
      <w:r>
        <w:rPr>
          <w:rFonts w:eastAsia="Times New Roman"/>
          <w:color w:val="000000"/>
          <w:sz w:val="20"/>
          <w:szCs w:val="20"/>
        </w:rPr>
        <w:t>On August 14, 2020, we issued 9.2 million depositary shares, each representing 0.001 of a share of our 4.125</w:t>
      </w:r>
      <w:r>
        <w:rPr>
          <w:rFonts w:eastAsia="Times New Roman"/>
          <w:color w:val="000000"/>
          <w:sz w:val="20"/>
          <w:szCs w:val="20"/>
        </w:rPr>
        <w:t xml:space="preserve">% Series M Preferred Shares, at an issuance price of $25.00 per depositary share, for a total of $230.0 million in gross proceeds, and we incurred $5.4 million in issuance costs. </w:t>
      </w:r>
    </w:p>
    <w:p w:rsidR="00000000" w:rsidRDefault="008C69C0">
      <w:pPr>
        <w:ind w:firstLine="720"/>
        <w:jc w:val="both"/>
        <w:divId w:val="182015514"/>
        <w:rPr>
          <w:rFonts w:eastAsia="Times New Roman"/>
        </w:rPr>
      </w:pPr>
      <w:r>
        <w:rPr>
          <w:rFonts w:eastAsia="Times New Roman"/>
          <w:color w:val="000000"/>
          <w:sz w:val="20"/>
          <w:szCs w:val="20"/>
        </w:rPr>
        <w:t>On September 30, 2020, we redeemed our 5.200% Series W and Series X Preferre</w:t>
      </w:r>
      <w:r>
        <w:rPr>
          <w:rFonts w:eastAsia="Times New Roman"/>
          <w:color w:val="000000"/>
          <w:sz w:val="20"/>
          <w:szCs w:val="20"/>
        </w:rPr>
        <w:t>d Shares, at par. We recorded a $23.3 million allocation of income from our common shareholders to the holders of our Preferred Shares in the three and nine months ended September 30, 2020 in connection with these redemptions.</w:t>
      </w:r>
    </w:p>
    <w:p w:rsidR="00000000" w:rsidRDefault="008C69C0">
      <w:pPr>
        <w:jc w:val="both"/>
        <w:divId w:val="891037563"/>
        <w:rPr>
          <w:rFonts w:eastAsia="Times New Roman"/>
        </w:rPr>
      </w:pPr>
      <w:r>
        <w:rPr>
          <w:rFonts w:eastAsia="Times New Roman"/>
          <w:color w:val="000000"/>
          <w:sz w:val="20"/>
          <w:szCs w:val="20"/>
          <w:u w:val="single"/>
        </w:rPr>
        <w:t>Dividends</w:t>
      </w:r>
    </w:p>
    <w:p w:rsidR="00000000" w:rsidRDefault="008C69C0">
      <w:pPr>
        <w:ind w:firstLine="720"/>
        <w:jc w:val="both"/>
        <w:divId w:val="590747969"/>
        <w:rPr>
          <w:rFonts w:eastAsia="Times New Roman"/>
        </w:rPr>
      </w:pPr>
      <w:r>
        <w:rPr>
          <w:rFonts w:eastAsia="Times New Roman"/>
          <w:color w:val="000000"/>
          <w:sz w:val="20"/>
          <w:szCs w:val="20"/>
        </w:rPr>
        <w:t>Common share divide</w:t>
      </w:r>
      <w:r>
        <w:rPr>
          <w:rFonts w:eastAsia="Times New Roman"/>
          <w:color w:val="000000"/>
          <w:sz w:val="20"/>
          <w:szCs w:val="20"/>
        </w:rPr>
        <w:t>nds, including amounts paid to our restricted share unitholders, totaled $351.2 million ($2.00 per share) and $349.8 million ($2.00 per share) for the three months ended September 30, 2021 and 2020, respectively, and $1.05 billion ($6.00 per share) for eac</w:t>
      </w:r>
      <w:r>
        <w:rPr>
          <w:rFonts w:eastAsia="Times New Roman"/>
          <w:color w:val="000000"/>
          <w:sz w:val="20"/>
          <w:szCs w:val="20"/>
        </w:rPr>
        <w:t>h of the nine months ended September 30, 2021 and 2020, respectively. Preferred share dividends totaled $46.2 million and $53.9 million for the three months ended September 30, 2021 and 2020, respectively, and $138.5 million and $158.8 million for the nine</w:t>
      </w:r>
      <w:r>
        <w:rPr>
          <w:rFonts w:eastAsia="Times New Roman"/>
          <w:color w:val="000000"/>
          <w:sz w:val="20"/>
          <w:szCs w:val="20"/>
        </w:rPr>
        <w:t xml:space="preserve"> months ended September 30, 2021 and 2020, respectively.</w:t>
      </w:r>
    </w:p>
    <w:p w:rsidR="00000000" w:rsidRDefault="008C69C0">
      <w:pPr>
        <w:ind w:hanging="360"/>
        <w:jc w:val="both"/>
        <w:divId w:val="1541820442"/>
        <w:rPr>
          <w:rFonts w:eastAsia="Times New Roman"/>
        </w:rPr>
      </w:pPr>
      <w:r>
        <w:rPr>
          <w:rFonts w:eastAsia="Times New Roman"/>
          <w:color w:val="000000"/>
          <w:sz w:val="20"/>
          <w:szCs w:val="20"/>
        </w:rPr>
        <w:t>9.</w:t>
      </w:r>
      <w:r>
        <w:rPr>
          <w:rFonts w:eastAsia="Times New Roman"/>
          <w:color w:val="000000"/>
          <w:sz w:val="20"/>
          <w:szCs w:val="20"/>
          <w:u w:val="single"/>
        </w:rPr>
        <w:t>Related Party Transactions</w:t>
      </w:r>
    </w:p>
    <w:p w:rsidR="00000000" w:rsidRDefault="008C69C0">
      <w:pPr>
        <w:ind w:firstLine="720"/>
        <w:jc w:val="both"/>
        <w:divId w:val="500437982"/>
        <w:rPr>
          <w:rFonts w:eastAsia="Times New Roman"/>
        </w:rPr>
      </w:pPr>
      <w:r>
        <w:rPr>
          <w:rFonts w:eastAsia="Times New Roman"/>
          <w:color w:val="000000"/>
          <w:sz w:val="20"/>
          <w:szCs w:val="20"/>
        </w:rPr>
        <w:t>At September 30, 2021, Tamara Hughes Gustavson, a current member of the Board and her adult children owned and controlled 65 self-storage facilities in Canada. Ms. Gustav</w:t>
      </w:r>
      <w:r>
        <w:rPr>
          <w:rFonts w:eastAsia="Times New Roman"/>
          <w:color w:val="000000"/>
          <w:sz w:val="20"/>
          <w:szCs w:val="20"/>
        </w:rPr>
        <w:t>son’s direct ownership in these properties is less than 1.0%. These facilities operate under the Public Storage® tradename, which we license to the owners of these facilities for use in Canada on a royalty-free, non-exclusive basis. We have no ownership in</w:t>
      </w:r>
      <w:r>
        <w:rPr>
          <w:rFonts w:eastAsia="Times New Roman"/>
          <w:color w:val="000000"/>
          <w:sz w:val="20"/>
          <w:szCs w:val="20"/>
        </w:rPr>
        <w:t>terest in these facilities and we do not own or operate any facilities in Canada. If we chose to acquire or develop our own facilities in Canada, we would have to share the use of the Public Storage® name in Canada. We have a right of first refusal, subjec</w:t>
      </w:r>
      <w:r>
        <w:rPr>
          <w:rFonts w:eastAsia="Times New Roman"/>
          <w:color w:val="000000"/>
          <w:sz w:val="20"/>
          <w:szCs w:val="20"/>
        </w:rPr>
        <w:t>t to limitations, to acquire the stock or assets of the corporation engaged in the operation of these facilities if their owners agree to sell them. Our subsidiaries reinsure risks relating to loss of goods stored by customers in these facilities, and have</w:t>
      </w:r>
      <w:r>
        <w:rPr>
          <w:rFonts w:eastAsia="Times New Roman"/>
          <w:color w:val="000000"/>
          <w:sz w:val="20"/>
          <w:szCs w:val="20"/>
        </w:rPr>
        <w:t xml:space="preserve"> received approximately $1.5 million and $1.1 million for the nine months ended September 30, 2021 and 2020, respectively.</w:t>
      </w:r>
    </w:p>
    <w:p w:rsidR="00000000" w:rsidRDefault="008C69C0">
      <w:pPr>
        <w:ind w:hanging="360"/>
        <w:jc w:val="both"/>
        <w:divId w:val="938487956"/>
        <w:rPr>
          <w:rFonts w:eastAsia="Times New Roman"/>
        </w:rPr>
      </w:pPr>
      <w:r>
        <w:rPr>
          <w:rFonts w:eastAsia="Times New Roman"/>
          <w:color w:val="000000"/>
          <w:sz w:val="20"/>
          <w:szCs w:val="20"/>
        </w:rPr>
        <w:t>10.</w:t>
      </w:r>
      <w:r>
        <w:rPr>
          <w:rFonts w:eastAsia="Times New Roman"/>
          <w:color w:val="000000"/>
          <w:sz w:val="20"/>
          <w:szCs w:val="20"/>
          <w:u w:val="single"/>
        </w:rPr>
        <w:t>Share-Based Compensation</w:t>
      </w:r>
    </w:p>
    <w:p w:rsidR="00000000" w:rsidRDefault="008C69C0">
      <w:pPr>
        <w:ind w:firstLine="720"/>
        <w:jc w:val="both"/>
        <w:divId w:val="991325024"/>
        <w:rPr>
          <w:rFonts w:eastAsia="Times New Roman"/>
        </w:rPr>
      </w:pPr>
      <w:r>
        <w:rPr>
          <w:rFonts w:eastAsia="Times New Roman"/>
          <w:color w:val="000000"/>
          <w:sz w:val="20"/>
          <w:szCs w:val="20"/>
        </w:rPr>
        <w:t>Under various share-based compensation plans and under terms established or modified by our Board or a co</w:t>
      </w:r>
      <w:r>
        <w:rPr>
          <w:rFonts w:eastAsia="Times New Roman"/>
          <w:color w:val="000000"/>
          <w:sz w:val="20"/>
          <w:szCs w:val="20"/>
        </w:rPr>
        <w:t xml:space="preserve">mmittee thereof, we grant non-qualified options to purchase the Company’s common shares, as well as RSUs, to trustees, officers, and key employees. </w:t>
      </w:r>
    </w:p>
    <w:p w:rsidR="00000000" w:rsidRDefault="008C69C0">
      <w:pPr>
        <w:jc w:val="center"/>
        <w:divId w:val="1623195725"/>
        <w:rPr>
          <w:rFonts w:eastAsia="Times New Roman"/>
        </w:rPr>
      </w:pPr>
      <w:r>
        <w:rPr>
          <w:rFonts w:eastAsia="Times New Roman"/>
          <w:color w:val="000000"/>
          <w:sz w:val="20"/>
          <w:szCs w:val="20"/>
        </w:rPr>
        <w:t>22</w:t>
      </w:r>
    </w:p>
    <w:p w:rsidR="00000000" w:rsidRDefault="008C69C0">
      <w:pPr>
        <w:rPr>
          <w:rFonts w:eastAsia="Times New Roman"/>
        </w:rPr>
      </w:pPr>
      <w:r>
        <w:rPr>
          <w:rFonts w:eastAsia="Times New Roman"/>
        </w:rPr>
        <w:pict>
          <v:rect id="_x0000_i1048" style="width:0;height:1.5pt" o:hralign="center" o:hrstd="t" o:hr="t" fillcolor="#a0a0a0" stroked="f"/>
        </w:pict>
      </w:r>
    </w:p>
    <w:p w:rsidR="00000000" w:rsidRDefault="008C69C0">
      <w:pPr>
        <w:jc w:val="center"/>
        <w:divId w:val="1079714832"/>
        <w:rPr>
          <w:rFonts w:eastAsia="Times New Roman"/>
        </w:rPr>
      </w:pPr>
      <w:r>
        <w:rPr>
          <w:rFonts w:eastAsia="Times New Roman"/>
          <w:b/>
          <w:bCs/>
          <w:color w:val="000000"/>
          <w:sz w:val="20"/>
          <w:szCs w:val="20"/>
        </w:rPr>
        <w:t>PUBLIC STORAGE</w:t>
      </w:r>
    </w:p>
    <w:p w:rsidR="00000000" w:rsidRDefault="008C69C0">
      <w:pPr>
        <w:jc w:val="center"/>
        <w:divId w:val="1079714832"/>
        <w:rPr>
          <w:rFonts w:eastAsia="Times New Roman"/>
        </w:rPr>
      </w:pPr>
      <w:r>
        <w:rPr>
          <w:rFonts w:eastAsia="Times New Roman"/>
          <w:b/>
          <w:bCs/>
          <w:color w:val="000000"/>
          <w:sz w:val="20"/>
          <w:szCs w:val="20"/>
        </w:rPr>
        <w:t>NOTES TO FINANCIAL STATEMENTS</w:t>
      </w:r>
    </w:p>
    <w:p w:rsidR="00000000" w:rsidRDefault="008C69C0">
      <w:pPr>
        <w:jc w:val="center"/>
        <w:divId w:val="1079714832"/>
        <w:rPr>
          <w:rFonts w:eastAsia="Times New Roman"/>
        </w:rPr>
      </w:pPr>
      <w:r>
        <w:rPr>
          <w:rFonts w:eastAsia="Times New Roman"/>
          <w:b/>
          <w:bCs/>
          <w:color w:val="000000"/>
          <w:sz w:val="20"/>
          <w:szCs w:val="20"/>
        </w:rPr>
        <w:t>September </w:t>
      </w:r>
      <w:r>
        <w:rPr>
          <w:rFonts w:eastAsia="Times New Roman"/>
          <w:b/>
          <w:bCs/>
          <w:color w:val="000000"/>
          <w:sz w:val="20"/>
          <w:szCs w:val="20"/>
        </w:rPr>
        <w:t>30, 2021</w:t>
      </w:r>
    </w:p>
    <w:p w:rsidR="00000000" w:rsidRDefault="008C69C0">
      <w:pPr>
        <w:jc w:val="center"/>
        <w:divId w:val="1079714832"/>
        <w:rPr>
          <w:rFonts w:eastAsia="Times New Roman"/>
        </w:rPr>
      </w:pPr>
      <w:r>
        <w:rPr>
          <w:rFonts w:eastAsia="Times New Roman"/>
          <w:b/>
          <w:bCs/>
          <w:color w:val="000000"/>
          <w:sz w:val="20"/>
          <w:szCs w:val="20"/>
        </w:rPr>
        <w:t>(unaudited)</w:t>
      </w:r>
    </w:p>
    <w:p w:rsidR="00000000" w:rsidRDefault="008C69C0">
      <w:pPr>
        <w:ind w:firstLine="720"/>
        <w:jc w:val="both"/>
        <w:divId w:val="462774600"/>
        <w:rPr>
          <w:rFonts w:eastAsia="Times New Roman"/>
        </w:rPr>
      </w:pPr>
      <w:r>
        <w:rPr>
          <w:rFonts w:eastAsia="Times New Roman"/>
          <w:color w:val="000000"/>
          <w:sz w:val="20"/>
          <w:szCs w:val="20"/>
        </w:rPr>
        <w:t>We consider stock options and RSUs “granted” and “outstanding” as the terms are used herein, when (i) the Company and the recipient reach a mutual understanding of the key terms of the award, (ii) the award has been authorized, and (ii</w:t>
      </w:r>
      <w:r>
        <w:rPr>
          <w:rFonts w:eastAsia="Times New Roman"/>
          <w:color w:val="000000"/>
          <w:sz w:val="20"/>
          <w:szCs w:val="20"/>
        </w:rPr>
        <w:t xml:space="preserve">i) the recipient is affected by changes in the market price of our stock. </w:t>
      </w:r>
    </w:p>
    <w:p w:rsidR="00000000" w:rsidRDefault="008C69C0">
      <w:pPr>
        <w:ind w:firstLine="720"/>
        <w:jc w:val="both"/>
        <w:divId w:val="459147739"/>
        <w:rPr>
          <w:rFonts w:eastAsia="Times New Roman"/>
        </w:rPr>
      </w:pPr>
      <w:r>
        <w:rPr>
          <w:rFonts w:eastAsia="Times New Roman"/>
          <w:color w:val="000000"/>
          <w:sz w:val="20"/>
          <w:szCs w:val="20"/>
        </w:rPr>
        <w:t>We amortize the grant-date fair value of awards, as compensation expense over the service period, which begins on the grant date and ends on the expected vesting date. For awards th</w:t>
      </w:r>
      <w:r>
        <w:rPr>
          <w:rFonts w:eastAsia="Times New Roman"/>
          <w:color w:val="000000"/>
          <w:sz w:val="20"/>
          <w:szCs w:val="20"/>
        </w:rPr>
        <w:t>at are earned solely upon the passage of time and continued service, the entire cost of the award is amortized on a straight-line basis over the service period. For awards with performance conditions, the individual cost of each vesting is amortized separa</w:t>
      </w:r>
      <w:r>
        <w:rPr>
          <w:rFonts w:eastAsia="Times New Roman"/>
          <w:color w:val="000000"/>
          <w:sz w:val="20"/>
          <w:szCs w:val="20"/>
        </w:rPr>
        <w:t xml:space="preserve">tely over each individual service period (the “accelerated attribution” method). </w:t>
      </w:r>
    </w:p>
    <w:p w:rsidR="00000000" w:rsidRDefault="008C69C0">
      <w:pPr>
        <w:ind w:firstLine="720"/>
        <w:jc w:val="both"/>
        <w:divId w:val="604651388"/>
        <w:rPr>
          <w:rFonts w:eastAsia="Times New Roman"/>
        </w:rPr>
      </w:pPr>
      <w:r>
        <w:rPr>
          <w:rFonts w:eastAsia="Times New Roman"/>
          <w:color w:val="000000"/>
          <w:sz w:val="20"/>
          <w:szCs w:val="20"/>
        </w:rPr>
        <w:t>We recorded share-based compensation expense associated with stock options and RSUs in the various expense categories in the Statement of Income as set forth in the following</w:t>
      </w:r>
      <w:r>
        <w:rPr>
          <w:rFonts w:eastAsia="Times New Roman"/>
          <w:color w:val="000000"/>
          <w:sz w:val="20"/>
          <w:szCs w:val="20"/>
        </w:rPr>
        <w:t xml:space="preserve"> table. In addition, $0.8 million and $3.1 million share-based compensation cost was capitalized as real estate facilities for the three and nine months ended September 30, 2021, respectively.</w:t>
      </w:r>
    </w:p>
    <w:tbl>
      <w:tblPr>
        <w:tblW w:w="4810" w:type="pct"/>
        <w:tblCellMar>
          <w:top w:w="15" w:type="dxa"/>
          <w:left w:w="15" w:type="dxa"/>
          <w:bottom w:w="15" w:type="dxa"/>
          <w:right w:w="15" w:type="dxa"/>
        </w:tblCellMar>
        <w:tblLook w:val="04A0" w:firstRow="1" w:lastRow="0" w:firstColumn="1" w:lastColumn="0" w:noHBand="0" w:noVBand="1"/>
      </w:tblPr>
      <w:tblGrid>
        <w:gridCol w:w="38"/>
        <w:gridCol w:w="2619"/>
        <w:gridCol w:w="37"/>
        <w:gridCol w:w="120"/>
        <w:gridCol w:w="1118"/>
        <w:gridCol w:w="36"/>
        <w:gridCol w:w="36"/>
        <w:gridCol w:w="36"/>
        <w:gridCol w:w="36"/>
        <w:gridCol w:w="120"/>
        <w:gridCol w:w="1076"/>
        <w:gridCol w:w="36"/>
        <w:gridCol w:w="36"/>
        <w:gridCol w:w="36"/>
        <w:gridCol w:w="36"/>
        <w:gridCol w:w="120"/>
        <w:gridCol w:w="1076"/>
        <w:gridCol w:w="36"/>
        <w:gridCol w:w="36"/>
        <w:gridCol w:w="36"/>
        <w:gridCol w:w="36"/>
        <w:gridCol w:w="120"/>
        <w:gridCol w:w="1078"/>
        <w:gridCol w:w="36"/>
      </w:tblGrid>
      <w:tr w:rsidR="00000000">
        <w:trPr>
          <w:divId w:val="1625963388"/>
        </w:trPr>
        <w:tc>
          <w:tcPr>
            <w:tcW w:w="50" w:type="pct"/>
            <w:vAlign w:val="center"/>
            <w:hideMark/>
          </w:tcPr>
          <w:p w:rsidR="00000000" w:rsidRDefault="008C69C0">
            <w:pPr>
              <w:ind w:firstLine="720"/>
              <w:jc w:val="both"/>
              <w:rPr>
                <w:rFonts w:eastAsia="Times New Roman"/>
              </w:rPr>
            </w:pPr>
          </w:p>
        </w:tc>
        <w:tc>
          <w:tcPr>
            <w:tcW w:w="167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3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3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3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73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r>
      <w:tr w:rsidR="00000000">
        <w:trPr>
          <w:divId w:val="1625963388"/>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w:t>
            </w:r>
          </w:p>
        </w:tc>
      </w:tr>
      <w:tr w:rsidR="00000000">
        <w:trPr>
          <w:divId w:val="1625963388"/>
          <w:trHeight w:val="12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Self-storage cost of operations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4,506 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3,488 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16,272 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10,550 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Ancillary cost of operations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9,746 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5,278 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30,019 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11,080 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6259633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14,595 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8,766 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47,685 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21,630 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ind w:firstLine="720"/>
        <w:jc w:val="both"/>
        <w:divId w:val="690839299"/>
        <w:rPr>
          <w:rFonts w:eastAsia="Times New Roman"/>
        </w:rPr>
      </w:pPr>
      <w:r>
        <w:rPr>
          <w:rFonts w:eastAsia="Times New Roman"/>
          <w:color w:val="000000"/>
          <w:sz w:val="20"/>
          <w:szCs w:val="20"/>
        </w:rPr>
        <w:t xml:space="preserve">In July 2020, we modified our share-based compensation plans to allow immediate vesting upon retirement (“Retirement Acceleration”), and to extend the exercisability of outstanding stock options up to a year after retirement, for currently outstanding and </w:t>
      </w:r>
      <w:r>
        <w:rPr>
          <w:rFonts w:eastAsia="Times New Roman"/>
          <w:color w:val="000000"/>
          <w:sz w:val="20"/>
          <w:szCs w:val="20"/>
        </w:rPr>
        <w:t xml:space="preserve">future grants. Prior to the modification, unvested awards were forfeited, and outstanding vested stock options were cancelled, upon retirement. Employees are eligible for Retirement Acceleration if they meet certain conditions including length of service, </w:t>
      </w:r>
      <w:r>
        <w:rPr>
          <w:rFonts w:eastAsia="Times New Roman"/>
          <w:color w:val="000000"/>
          <w:sz w:val="20"/>
          <w:szCs w:val="20"/>
        </w:rPr>
        <w:t xml:space="preserve">age, notice of intent to retire, and facilitation of succession for their role. </w:t>
      </w:r>
    </w:p>
    <w:p w:rsidR="00000000" w:rsidRDefault="008C69C0">
      <w:pPr>
        <w:ind w:firstLine="720"/>
        <w:jc w:val="both"/>
        <w:divId w:val="739715248"/>
        <w:rPr>
          <w:rFonts w:eastAsia="Times New Roman"/>
        </w:rPr>
      </w:pPr>
      <w:r>
        <w:rPr>
          <w:rFonts w:eastAsia="Times New Roman"/>
          <w:color w:val="000000"/>
          <w:sz w:val="20"/>
          <w:szCs w:val="20"/>
        </w:rPr>
        <w:t>This modification results in accelerating amortization of compensation expense for each grant by changing the end of the service period from the original vesting date to the d</w:t>
      </w:r>
      <w:r>
        <w:rPr>
          <w:rFonts w:eastAsia="Times New Roman"/>
          <w:color w:val="000000"/>
          <w:sz w:val="20"/>
          <w:szCs w:val="20"/>
        </w:rPr>
        <w:t>ate an employee is expected to be eligible for Retirement Acceleration, if earlier. As a result, the Company recorded $4.8 million and $15.8 million in accelerated compensation expense during the three and nine months ended September 30, 2021, respectively</w:t>
      </w:r>
      <w:r>
        <w:rPr>
          <w:rFonts w:eastAsia="Times New Roman"/>
          <w:color w:val="000000"/>
          <w:sz w:val="20"/>
          <w:szCs w:val="20"/>
        </w:rPr>
        <w:t>, as compared to $2.6 million for each of the three and nine months ended September 30, 2020, respectively.</w:t>
      </w:r>
    </w:p>
    <w:p w:rsidR="00000000" w:rsidRDefault="008C69C0">
      <w:pPr>
        <w:ind w:firstLine="720"/>
        <w:jc w:val="both"/>
        <w:divId w:val="10764240"/>
        <w:rPr>
          <w:rFonts w:eastAsia="Times New Roman"/>
        </w:rPr>
      </w:pPr>
      <w:r>
        <w:rPr>
          <w:rFonts w:eastAsia="Times New Roman"/>
          <w:color w:val="000000"/>
          <w:sz w:val="20"/>
          <w:szCs w:val="20"/>
        </w:rPr>
        <w:t>During the three months ended March 31, 2021, the Company depleted the available shares under the 2016 Equity and Performance-Based Incentive Compen</w:t>
      </w:r>
      <w:r>
        <w:rPr>
          <w:rFonts w:eastAsia="Times New Roman"/>
          <w:color w:val="000000"/>
          <w:sz w:val="20"/>
          <w:szCs w:val="20"/>
        </w:rPr>
        <w:t xml:space="preserve">sation Plan resulting in $4.8 million of award expense classified as a liability as of March 31, 2021. On April 26, 2021, the Company’s Shareholders approved the 2021 Equity and Performance-Based Incentive Compensation Plan, which authorizes an additional </w:t>
      </w:r>
      <w:r>
        <w:rPr>
          <w:rFonts w:eastAsia="Times New Roman"/>
          <w:color w:val="000000"/>
          <w:sz w:val="20"/>
          <w:szCs w:val="20"/>
        </w:rPr>
        <w:t>three million shares available for future issuance. Consequently, awards previously classified as a liability were revalued as of April 26, 2021 and reclassified to equity.</w:t>
      </w:r>
    </w:p>
    <w:p w:rsidR="00000000" w:rsidRDefault="008C69C0">
      <w:pPr>
        <w:ind w:firstLine="720"/>
        <w:jc w:val="both"/>
        <w:divId w:val="883443563"/>
        <w:rPr>
          <w:rFonts w:eastAsia="Times New Roman"/>
        </w:rPr>
      </w:pPr>
      <w:r>
        <w:rPr>
          <w:rFonts w:eastAsia="Times New Roman"/>
          <w:color w:val="000000"/>
          <w:sz w:val="20"/>
          <w:szCs w:val="20"/>
        </w:rPr>
        <w:t>In amortizing share-based compensation expense, we do not estimate future forfeitur</w:t>
      </w:r>
      <w:r>
        <w:rPr>
          <w:rFonts w:eastAsia="Times New Roman"/>
          <w:color w:val="000000"/>
          <w:sz w:val="20"/>
          <w:szCs w:val="20"/>
        </w:rPr>
        <w:t xml:space="preserve">es. Instead, we reverse previously amortized share-based compensation expense with respect to grants that are forfeited in the period the employee terminates employment. </w:t>
      </w:r>
    </w:p>
    <w:p w:rsidR="00000000" w:rsidRDefault="008C69C0">
      <w:pPr>
        <w:divId w:val="1805613265"/>
        <w:rPr>
          <w:rFonts w:eastAsia="Times New Roman"/>
        </w:rPr>
      </w:pPr>
      <w:r>
        <w:rPr>
          <w:rFonts w:eastAsia="Times New Roman"/>
          <w:color w:val="000000"/>
          <w:sz w:val="20"/>
          <w:szCs w:val="20"/>
          <w:u w:val="single"/>
        </w:rPr>
        <w:t>Stock Options</w:t>
      </w:r>
    </w:p>
    <w:p w:rsidR="00000000" w:rsidRDefault="008C69C0">
      <w:pPr>
        <w:ind w:firstLine="720"/>
        <w:jc w:val="both"/>
        <w:divId w:val="176235872"/>
        <w:rPr>
          <w:rFonts w:eastAsia="Times New Roman"/>
        </w:rPr>
      </w:pPr>
      <w:r>
        <w:rPr>
          <w:rFonts w:eastAsia="Times New Roman"/>
          <w:color w:val="000000"/>
          <w:sz w:val="20"/>
          <w:szCs w:val="20"/>
        </w:rPr>
        <w:t>Stock options vest over 3 to 5 years, expire 10 years after the grant d</w:t>
      </w:r>
      <w:r>
        <w:rPr>
          <w:rFonts w:eastAsia="Times New Roman"/>
          <w:color w:val="000000"/>
          <w:sz w:val="20"/>
          <w:szCs w:val="20"/>
        </w:rPr>
        <w:t>ate, and have an exercise price equal to the closing trading price of our common shares on the grant date. Employees cannot require the Company to settle their award in cash. We use the Black-Scholes option valuation model to estimate the fair value of our</w:t>
      </w:r>
      <w:r>
        <w:rPr>
          <w:rFonts w:eastAsia="Times New Roman"/>
          <w:color w:val="000000"/>
          <w:sz w:val="20"/>
          <w:szCs w:val="20"/>
        </w:rPr>
        <w:t xml:space="preserve"> performance-based and non-performance based stock options. </w:t>
      </w:r>
    </w:p>
    <w:p w:rsidR="00000000" w:rsidRDefault="008C69C0">
      <w:pPr>
        <w:ind w:firstLine="720"/>
        <w:jc w:val="both"/>
        <w:divId w:val="1831486392"/>
        <w:rPr>
          <w:rFonts w:eastAsia="Times New Roman"/>
        </w:rPr>
      </w:pPr>
      <w:r>
        <w:rPr>
          <w:rFonts w:eastAsia="Times New Roman"/>
          <w:color w:val="000000"/>
          <w:sz w:val="20"/>
          <w:szCs w:val="20"/>
        </w:rPr>
        <w:t>Outstanding stock option grants are included on a one-for-one basis in our diluted weighted average shares, to the extent dilutive, after applying the treasury stock method (based upon the averag</w:t>
      </w:r>
      <w:r>
        <w:rPr>
          <w:rFonts w:eastAsia="Times New Roman"/>
          <w:color w:val="000000"/>
          <w:sz w:val="20"/>
          <w:szCs w:val="20"/>
        </w:rPr>
        <w:t>e common share price during the period) to assumed exercise proceeds and measured but unrecognized compensation.</w:t>
      </w:r>
    </w:p>
    <w:p w:rsidR="00000000" w:rsidRDefault="008C69C0">
      <w:pPr>
        <w:jc w:val="center"/>
        <w:divId w:val="1961765810"/>
        <w:rPr>
          <w:rFonts w:eastAsia="Times New Roman"/>
        </w:rPr>
      </w:pPr>
      <w:r>
        <w:rPr>
          <w:rFonts w:eastAsia="Times New Roman"/>
          <w:color w:val="000000"/>
          <w:sz w:val="20"/>
          <w:szCs w:val="20"/>
        </w:rPr>
        <w:t>23</w:t>
      </w:r>
    </w:p>
    <w:p w:rsidR="00000000" w:rsidRDefault="008C69C0">
      <w:pPr>
        <w:rPr>
          <w:rFonts w:eastAsia="Times New Roman"/>
        </w:rPr>
      </w:pPr>
      <w:r>
        <w:rPr>
          <w:rFonts w:eastAsia="Times New Roman"/>
        </w:rPr>
        <w:pict>
          <v:rect id="_x0000_i1049" style="width:0;height:1.5pt" o:hralign="center" o:hrstd="t" o:hr="t" fillcolor="#a0a0a0" stroked="f"/>
        </w:pict>
      </w:r>
    </w:p>
    <w:p w:rsidR="00000000" w:rsidRDefault="008C69C0">
      <w:pPr>
        <w:jc w:val="center"/>
        <w:divId w:val="766190239"/>
        <w:rPr>
          <w:rFonts w:eastAsia="Times New Roman"/>
        </w:rPr>
      </w:pPr>
      <w:r>
        <w:rPr>
          <w:rFonts w:eastAsia="Times New Roman"/>
          <w:b/>
          <w:bCs/>
          <w:color w:val="000000"/>
          <w:sz w:val="20"/>
          <w:szCs w:val="20"/>
        </w:rPr>
        <w:t>PUBLIC STORAGE</w:t>
      </w:r>
    </w:p>
    <w:p w:rsidR="00000000" w:rsidRDefault="008C69C0">
      <w:pPr>
        <w:jc w:val="center"/>
        <w:divId w:val="766190239"/>
        <w:rPr>
          <w:rFonts w:eastAsia="Times New Roman"/>
        </w:rPr>
      </w:pPr>
      <w:r>
        <w:rPr>
          <w:rFonts w:eastAsia="Times New Roman"/>
          <w:b/>
          <w:bCs/>
          <w:color w:val="000000"/>
          <w:sz w:val="20"/>
          <w:szCs w:val="20"/>
        </w:rPr>
        <w:t>NOTES TO FINANCIAL STATEMENTS</w:t>
      </w:r>
    </w:p>
    <w:p w:rsidR="00000000" w:rsidRDefault="008C69C0">
      <w:pPr>
        <w:jc w:val="center"/>
        <w:divId w:val="766190239"/>
        <w:rPr>
          <w:rFonts w:eastAsia="Times New Roman"/>
        </w:rPr>
      </w:pPr>
      <w:r>
        <w:rPr>
          <w:rFonts w:eastAsia="Times New Roman"/>
          <w:b/>
          <w:bCs/>
          <w:color w:val="000000"/>
          <w:sz w:val="20"/>
          <w:szCs w:val="20"/>
        </w:rPr>
        <w:t>September 30, 2021</w:t>
      </w:r>
    </w:p>
    <w:p w:rsidR="00000000" w:rsidRDefault="008C69C0">
      <w:pPr>
        <w:jc w:val="center"/>
        <w:divId w:val="766190239"/>
        <w:rPr>
          <w:rFonts w:eastAsia="Times New Roman"/>
        </w:rPr>
      </w:pPr>
      <w:r>
        <w:rPr>
          <w:rFonts w:eastAsia="Times New Roman"/>
          <w:b/>
          <w:bCs/>
          <w:color w:val="000000"/>
          <w:sz w:val="20"/>
          <w:szCs w:val="20"/>
        </w:rPr>
        <w:t>(unaudited)</w:t>
      </w:r>
    </w:p>
    <w:p w:rsidR="00000000" w:rsidRDefault="008C69C0">
      <w:pPr>
        <w:ind w:firstLine="720"/>
        <w:jc w:val="both"/>
        <w:divId w:val="890699782"/>
        <w:rPr>
          <w:rFonts w:eastAsia="Times New Roman"/>
        </w:rPr>
      </w:pPr>
      <w:r>
        <w:rPr>
          <w:rFonts w:eastAsia="Times New Roman"/>
          <w:color w:val="000000"/>
          <w:sz w:val="20"/>
          <w:szCs w:val="20"/>
        </w:rPr>
        <w:t>For the three and nine month</w:t>
      </w:r>
      <w:r>
        <w:rPr>
          <w:rFonts w:eastAsia="Times New Roman"/>
          <w:color w:val="000000"/>
          <w:sz w:val="20"/>
          <w:szCs w:val="20"/>
        </w:rPr>
        <w:t>s ended September 30, 2021, we recorded share-based compensation expense for outstanding stock options of $5.5 million and $20.5 million, respectively, as compared to $0.8 million and $3.2 million for the same periods in 2020. The amounts for the three and</w:t>
      </w:r>
      <w:r>
        <w:rPr>
          <w:rFonts w:eastAsia="Times New Roman"/>
          <w:color w:val="000000"/>
          <w:sz w:val="20"/>
          <w:szCs w:val="20"/>
        </w:rPr>
        <w:t xml:space="preserve"> nine months ended September 30, 2021 includes $0.4 million and $4.9 million, respectively, as compared to $0.1 million for each of the same periods in 2020, in connection with the Retirement Acceleration as discussed above. </w:t>
      </w:r>
    </w:p>
    <w:p w:rsidR="00000000" w:rsidRDefault="008C69C0">
      <w:pPr>
        <w:ind w:firstLine="720"/>
        <w:jc w:val="both"/>
        <w:divId w:val="2043165875"/>
        <w:rPr>
          <w:rFonts w:eastAsia="Times New Roman"/>
        </w:rPr>
      </w:pPr>
      <w:r>
        <w:rPr>
          <w:rFonts w:eastAsia="Times New Roman"/>
          <w:color w:val="000000"/>
          <w:sz w:val="20"/>
          <w:szCs w:val="20"/>
        </w:rPr>
        <w:t>During the nine months ended S</w:t>
      </w:r>
      <w:r>
        <w:rPr>
          <w:rFonts w:eastAsia="Times New Roman"/>
          <w:color w:val="000000"/>
          <w:sz w:val="20"/>
          <w:szCs w:val="20"/>
        </w:rPr>
        <w:t>eptember 30, 2021, 385,000 stock options were awarded, 411,467 options were exercised and 10,000 options were forfeited. In addition, we expect an incremental 175,000 stock options to be paid out based on the estimated achievement of performance targets. A</w:t>
      </w:r>
      <w:r>
        <w:rPr>
          <w:rFonts w:eastAsia="Times New Roman"/>
          <w:color w:val="000000"/>
          <w:sz w:val="20"/>
          <w:szCs w:val="20"/>
        </w:rPr>
        <w:t xml:space="preserve"> total of 3,099,700 stock options were outstanding at September 30, 2021, (2,961,167 at December 31, 2020) and have an average exercise price of $216.45.</w:t>
      </w:r>
    </w:p>
    <w:p w:rsidR="00000000" w:rsidRDefault="008C69C0">
      <w:pPr>
        <w:ind w:firstLine="720"/>
        <w:jc w:val="both"/>
        <w:divId w:val="1213613090"/>
        <w:rPr>
          <w:rFonts w:eastAsia="Times New Roman"/>
        </w:rPr>
      </w:pPr>
      <w:r>
        <w:rPr>
          <w:rFonts w:eastAsia="Times New Roman"/>
          <w:color w:val="000000"/>
          <w:sz w:val="20"/>
          <w:szCs w:val="20"/>
        </w:rPr>
        <w:t xml:space="preserve">During the nine months ended September 30, 2021, we incurred share-based compensation expense of $1.1 </w:t>
      </w:r>
      <w:r>
        <w:rPr>
          <w:rFonts w:eastAsia="Times New Roman"/>
          <w:color w:val="000000"/>
          <w:sz w:val="20"/>
          <w:szCs w:val="20"/>
        </w:rPr>
        <w:t>million in connection with the initial 15,000 stock option awards issued to each of the five trustees who joined our Board in January 2021.</w:t>
      </w:r>
    </w:p>
    <w:p w:rsidR="00000000" w:rsidRDefault="008C69C0">
      <w:pPr>
        <w:ind w:firstLine="720"/>
        <w:jc w:val="both"/>
        <w:divId w:val="1501430071"/>
        <w:rPr>
          <w:rFonts w:eastAsia="Times New Roman"/>
        </w:rPr>
      </w:pPr>
      <w:r>
        <w:rPr>
          <w:rFonts w:eastAsia="Times New Roman"/>
          <w:color w:val="000000"/>
          <w:sz w:val="20"/>
          <w:szCs w:val="20"/>
        </w:rPr>
        <w:t xml:space="preserve">During the nine months ended September 30, 2021, 245,000 stock options were awarded where vesting is dependent upon </w:t>
      </w:r>
      <w:r>
        <w:rPr>
          <w:rFonts w:eastAsia="Times New Roman"/>
          <w:color w:val="000000"/>
          <w:sz w:val="20"/>
          <w:szCs w:val="20"/>
        </w:rPr>
        <w:t>meeting certain performance targets with respect to 2021, 2022, and 2023. These awards contain a relative Total Shareholder Return modifier that will adjust the payout based on relative performance as compared to the market. As of September 30, 2021, these</w:t>
      </w:r>
      <w:r>
        <w:rPr>
          <w:rFonts w:eastAsia="Times New Roman"/>
          <w:color w:val="000000"/>
          <w:sz w:val="20"/>
          <w:szCs w:val="20"/>
        </w:rPr>
        <w:t xml:space="preserve"> targets are expected to be met at 100% achievement. These options resulted in $5.7 million in related compensation expense during the nine months ended September 30, 2021.</w:t>
      </w:r>
    </w:p>
    <w:p w:rsidR="00000000" w:rsidRDefault="008C69C0">
      <w:pPr>
        <w:ind w:firstLine="720"/>
        <w:jc w:val="both"/>
        <w:divId w:val="745613414"/>
        <w:rPr>
          <w:rFonts w:eastAsia="Times New Roman"/>
        </w:rPr>
      </w:pPr>
      <w:r>
        <w:rPr>
          <w:rFonts w:eastAsia="Times New Roman"/>
          <w:color w:val="000000"/>
          <w:sz w:val="20"/>
          <w:szCs w:val="20"/>
        </w:rPr>
        <w:t>During the nine months ended September 30, 2020, 770,000 stock options were awarded</w:t>
      </w:r>
      <w:r>
        <w:rPr>
          <w:rFonts w:eastAsia="Times New Roman"/>
          <w:color w:val="000000"/>
          <w:sz w:val="20"/>
          <w:szCs w:val="20"/>
        </w:rPr>
        <w:t xml:space="preserve"> where vesting is dependent upon meeting certain performance targets with respect to 2020, 2021, and 2022. As of September 30, 2021, these targets are expected to be met at 125% achievement, an increase from 100% as of December 31, 2020, resulting in $9.6 </w:t>
      </w:r>
      <w:r>
        <w:rPr>
          <w:rFonts w:eastAsia="Times New Roman"/>
          <w:color w:val="000000"/>
          <w:sz w:val="20"/>
          <w:szCs w:val="20"/>
        </w:rPr>
        <w:t xml:space="preserve">million in related compensation expense during the nine months ended September 30, 2021. </w:t>
      </w:r>
    </w:p>
    <w:p w:rsidR="00000000" w:rsidRDefault="008C69C0">
      <w:pPr>
        <w:divId w:val="1902672254"/>
        <w:rPr>
          <w:rFonts w:eastAsia="Times New Roman"/>
        </w:rPr>
      </w:pPr>
      <w:r>
        <w:rPr>
          <w:rFonts w:eastAsia="Times New Roman"/>
          <w:color w:val="000000"/>
          <w:sz w:val="20"/>
          <w:szCs w:val="20"/>
          <w:u w:val="single"/>
        </w:rPr>
        <w:t>Restricted Share Units</w:t>
      </w:r>
    </w:p>
    <w:p w:rsidR="00000000" w:rsidRDefault="008C69C0">
      <w:pPr>
        <w:ind w:firstLine="720"/>
        <w:jc w:val="both"/>
        <w:divId w:val="126093513"/>
        <w:rPr>
          <w:rFonts w:eastAsia="Times New Roman"/>
        </w:rPr>
      </w:pPr>
      <w:r>
        <w:rPr>
          <w:rFonts w:eastAsia="Times New Roman"/>
          <w:color w:val="000000"/>
          <w:sz w:val="20"/>
          <w:szCs w:val="20"/>
        </w:rPr>
        <w:t>RSUs generally vest over 5 to 8 years from the grant date. The grantee receives dividends for each outstanding RSU equal to the per-share divid</w:t>
      </w:r>
      <w:r>
        <w:rPr>
          <w:rFonts w:eastAsia="Times New Roman"/>
          <w:color w:val="000000"/>
          <w:sz w:val="20"/>
          <w:szCs w:val="20"/>
        </w:rPr>
        <w:t>ends received by our common shareholders. We expense any dividends previously paid upon forfeiture of the related RSU. Upon vesting, the grantee receives common shares equal to the number of vested RSUs, less common shares withheld in exchange for tax depo</w:t>
      </w:r>
      <w:r>
        <w:rPr>
          <w:rFonts w:eastAsia="Times New Roman"/>
          <w:color w:val="000000"/>
          <w:sz w:val="20"/>
          <w:szCs w:val="20"/>
        </w:rPr>
        <w:t xml:space="preserve">sits made by the Company to satisfy the grantee’s statutory tax liabilities arising from the vesting. </w:t>
      </w:r>
    </w:p>
    <w:p w:rsidR="00000000" w:rsidRDefault="008C69C0">
      <w:pPr>
        <w:ind w:firstLine="720"/>
        <w:jc w:val="both"/>
        <w:divId w:val="221714154"/>
        <w:rPr>
          <w:rFonts w:eastAsia="Times New Roman"/>
        </w:rPr>
      </w:pPr>
      <w:r>
        <w:rPr>
          <w:rFonts w:eastAsia="Times New Roman"/>
          <w:color w:val="000000"/>
          <w:sz w:val="20"/>
          <w:szCs w:val="20"/>
        </w:rPr>
        <w:t xml:space="preserve">The fair value of our RSUs is determined based upon the applicable closing trading price of our common shares. </w:t>
      </w:r>
    </w:p>
    <w:p w:rsidR="00000000" w:rsidRDefault="008C69C0">
      <w:pPr>
        <w:ind w:firstLine="720"/>
        <w:jc w:val="both"/>
        <w:divId w:val="774593767"/>
        <w:rPr>
          <w:rFonts w:eastAsia="Times New Roman"/>
        </w:rPr>
      </w:pPr>
      <w:r>
        <w:rPr>
          <w:rFonts w:eastAsia="Times New Roman"/>
          <w:color w:val="000000"/>
          <w:sz w:val="20"/>
          <w:szCs w:val="20"/>
        </w:rPr>
        <w:t>During the nine months ended September 30</w:t>
      </w:r>
      <w:r>
        <w:rPr>
          <w:rFonts w:eastAsia="Times New Roman"/>
          <w:color w:val="000000"/>
          <w:sz w:val="20"/>
          <w:szCs w:val="20"/>
        </w:rPr>
        <w:t>, 2021, 78,040 RSUs were granted, 26,414 RSUs were forfeited and 81,193 RSUs vested. In addition, we expect an incremental 9,250 RSUs to be paid out based on the estimated achievement of performance targets. The vesting resulted in the issuance of 54,914 c</w:t>
      </w:r>
      <w:r>
        <w:rPr>
          <w:rFonts w:eastAsia="Times New Roman"/>
          <w:color w:val="000000"/>
          <w:sz w:val="20"/>
          <w:szCs w:val="20"/>
        </w:rPr>
        <w:t>ommon shares. In addition, tax deposits totaling $10.4 million ($9.7 million for the same period in 2020) were made on behalf of employees in exchange for 26,279 common shares withheld upon vesting. A total of 532,471 RSUs were outstanding at September 30,</w:t>
      </w:r>
      <w:r>
        <w:rPr>
          <w:rFonts w:eastAsia="Times New Roman"/>
          <w:color w:val="000000"/>
          <w:sz w:val="20"/>
          <w:szCs w:val="20"/>
        </w:rPr>
        <w:t xml:space="preserve"> 2021 (552,788 at December 31, 2020). During the nine months ended September 30, 2021, 37,000 RSUs were awarded where vesting is dependent upon meeting certain performance targets for 2021. As of September 30, 2021, these targets are expected to be met at </w:t>
      </w:r>
      <w:r>
        <w:rPr>
          <w:rFonts w:eastAsia="Times New Roman"/>
          <w:color w:val="000000"/>
          <w:sz w:val="20"/>
          <w:szCs w:val="20"/>
        </w:rPr>
        <w:t>125% achievement. These RSUs resulted in $4.6 million in related compensation expense during the nine months ended September 30, 2021.</w:t>
      </w:r>
    </w:p>
    <w:p w:rsidR="00000000" w:rsidRDefault="008C69C0">
      <w:pPr>
        <w:ind w:firstLine="720"/>
        <w:jc w:val="both"/>
        <w:divId w:val="659236794"/>
        <w:rPr>
          <w:rFonts w:eastAsia="Times New Roman"/>
        </w:rPr>
      </w:pPr>
      <w:r>
        <w:rPr>
          <w:rFonts w:eastAsia="Times New Roman"/>
          <w:color w:val="000000"/>
          <w:sz w:val="20"/>
          <w:szCs w:val="20"/>
        </w:rPr>
        <w:t>A total of $10.0 million and $30.2 million in RSU cost was recorded for the three and nine months ended September 30, 202</w:t>
      </w:r>
      <w:r>
        <w:rPr>
          <w:rFonts w:eastAsia="Times New Roman"/>
          <w:color w:val="000000"/>
          <w:sz w:val="20"/>
          <w:szCs w:val="20"/>
        </w:rPr>
        <w:t>1, respectively, as compared to $8.0 million and $18.4 million for the same periods in 2020. The amount for the three and nine months ended September 30, 2021 includes $4.4 million and $10.9 million, respectively, as compared to $2.5 million for each of th</w:t>
      </w:r>
      <w:r>
        <w:rPr>
          <w:rFonts w:eastAsia="Times New Roman"/>
          <w:color w:val="000000"/>
          <w:sz w:val="20"/>
          <w:szCs w:val="20"/>
        </w:rPr>
        <w:t xml:space="preserve">e same periods in 2020, in connection with the Retirement Acceleration as discussed above. </w:t>
      </w:r>
    </w:p>
    <w:p w:rsidR="00000000" w:rsidRDefault="008C69C0">
      <w:pPr>
        <w:ind w:hanging="360"/>
        <w:jc w:val="both"/>
        <w:divId w:val="715858858"/>
        <w:rPr>
          <w:rFonts w:eastAsia="Times New Roman"/>
        </w:rPr>
      </w:pPr>
      <w:r>
        <w:rPr>
          <w:rFonts w:eastAsia="Times New Roman"/>
          <w:color w:val="000000"/>
          <w:sz w:val="20"/>
          <w:szCs w:val="20"/>
        </w:rPr>
        <w:t>11.</w:t>
      </w:r>
      <w:r>
        <w:rPr>
          <w:rFonts w:eastAsia="Times New Roman"/>
          <w:color w:val="000000"/>
          <w:sz w:val="20"/>
          <w:szCs w:val="20"/>
          <w:u w:val="single"/>
        </w:rPr>
        <w:t>Segment Information</w:t>
      </w:r>
    </w:p>
    <w:p w:rsidR="00000000" w:rsidRDefault="008C69C0">
      <w:pPr>
        <w:ind w:firstLine="720"/>
        <w:jc w:val="both"/>
        <w:divId w:val="1123886927"/>
        <w:rPr>
          <w:rFonts w:eastAsia="Times New Roman"/>
        </w:rPr>
      </w:pPr>
      <w:r>
        <w:rPr>
          <w:rFonts w:eastAsia="Times New Roman"/>
          <w:color w:val="000000"/>
          <w:sz w:val="20"/>
          <w:szCs w:val="20"/>
        </w:rPr>
        <w:t>Our reportable segments reflect the significant components of our operations where discrete financial information is evaluated separately by our chief operating decision maker (“CODM”). We organize our segments based primarily upon the nature of the underl</w:t>
      </w:r>
      <w:r>
        <w:rPr>
          <w:rFonts w:eastAsia="Times New Roman"/>
          <w:color w:val="000000"/>
          <w:sz w:val="20"/>
          <w:szCs w:val="20"/>
        </w:rPr>
        <w:t xml:space="preserve">ying products and services, as well as the drivers of profitability growth. The net income for each reportable segment included in the table below are in conformity with GAAP and our </w:t>
      </w:r>
    </w:p>
    <w:p w:rsidR="00000000" w:rsidRDefault="008C69C0">
      <w:pPr>
        <w:jc w:val="center"/>
        <w:divId w:val="302127537"/>
        <w:rPr>
          <w:rFonts w:eastAsia="Times New Roman"/>
        </w:rPr>
      </w:pPr>
      <w:r>
        <w:rPr>
          <w:rFonts w:eastAsia="Times New Roman"/>
          <w:color w:val="000000"/>
          <w:sz w:val="20"/>
          <w:szCs w:val="20"/>
        </w:rPr>
        <w:t>24</w:t>
      </w:r>
    </w:p>
    <w:p w:rsidR="00000000" w:rsidRDefault="008C69C0">
      <w:pPr>
        <w:rPr>
          <w:rFonts w:eastAsia="Times New Roman"/>
        </w:rPr>
      </w:pPr>
      <w:r>
        <w:rPr>
          <w:rFonts w:eastAsia="Times New Roman"/>
        </w:rPr>
        <w:pict>
          <v:rect id="_x0000_i1050" style="width:0;height:1.5pt" o:hralign="center" o:hrstd="t" o:hr="t" fillcolor="#a0a0a0" stroked="f"/>
        </w:pict>
      </w:r>
    </w:p>
    <w:p w:rsidR="00000000" w:rsidRDefault="008C69C0">
      <w:pPr>
        <w:jc w:val="center"/>
        <w:divId w:val="147861929"/>
        <w:rPr>
          <w:rFonts w:eastAsia="Times New Roman"/>
        </w:rPr>
      </w:pPr>
      <w:r>
        <w:rPr>
          <w:rFonts w:eastAsia="Times New Roman"/>
          <w:b/>
          <w:bCs/>
          <w:color w:val="000000"/>
          <w:sz w:val="20"/>
          <w:szCs w:val="20"/>
        </w:rPr>
        <w:t>PUBLIC STORAGE</w:t>
      </w:r>
    </w:p>
    <w:p w:rsidR="00000000" w:rsidRDefault="008C69C0">
      <w:pPr>
        <w:jc w:val="center"/>
        <w:divId w:val="147861929"/>
        <w:rPr>
          <w:rFonts w:eastAsia="Times New Roman"/>
        </w:rPr>
      </w:pPr>
      <w:r>
        <w:rPr>
          <w:rFonts w:eastAsia="Times New Roman"/>
          <w:b/>
          <w:bCs/>
          <w:color w:val="000000"/>
          <w:sz w:val="20"/>
          <w:szCs w:val="20"/>
        </w:rPr>
        <w:t>NOTES TO FINANCIAL STATEMENTS</w:t>
      </w:r>
    </w:p>
    <w:p w:rsidR="00000000" w:rsidRDefault="008C69C0">
      <w:pPr>
        <w:jc w:val="center"/>
        <w:divId w:val="147861929"/>
        <w:rPr>
          <w:rFonts w:eastAsia="Times New Roman"/>
        </w:rPr>
      </w:pPr>
      <w:r>
        <w:rPr>
          <w:rFonts w:eastAsia="Times New Roman"/>
          <w:b/>
          <w:bCs/>
          <w:color w:val="000000"/>
          <w:sz w:val="20"/>
          <w:szCs w:val="20"/>
        </w:rPr>
        <w:t>September 30, 2021</w:t>
      </w:r>
    </w:p>
    <w:p w:rsidR="00000000" w:rsidRDefault="008C69C0">
      <w:pPr>
        <w:jc w:val="center"/>
        <w:divId w:val="147861929"/>
        <w:rPr>
          <w:rFonts w:eastAsia="Times New Roman"/>
        </w:rPr>
      </w:pPr>
      <w:r>
        <w:rPr>
          <w:rFonts w:eastAsia="Times New Roman"/>
          <w:b/>
          <w:bCs/>
          <w:color w:val="000000"/>
          <w:sz w:val="20"/>
          <w:szCs w:val="20"/>
        </w:rPr>
        <w:t>(unaudited)</w:t>
      </w:r>
    </w:p>
    <w:p w:rsidR="00000000" w:rsidRDefault="008C69C0">
      <w:pPr>
        <w:jc w:val="both"/>
        <w:divId w:val="620258940"/>
        <w:rPr>
          <w:rFonts w:eastAsia="Times New Roman"/>
        </w:rPr>
      </w:pPr>
      <w:r>
        <w:rPr>
          <w:rFonts w:eastAsia="Times New Roman"/>
          <w:color w:val="000000"/>
          <w:sz w:val="20"/>
          <w:szCs w:val="20"/>
        </w:rPr>
        <w:t xml:space="preserve">significant accounting policies as denoted in Note 2. The amounts not attributable to reportable segments are aggregated under “other items not </w:t>
      </w:r>
      <w:r>
        <w:rPr>
          <w:rFonts w:eastAsia="Times New Roman"/>
          <w:color w:val="000000"/>
          <w:sz w:val="20"/>
          <w:szCs w:val="20"/>
        </w:rPr>
        <w:t xml:space="preserve">allocated to segments.” </w:t>
      </w:r>
    </w:p>
    <w:p w:rsidR="00000000" w:rsidRDefault="008C69C0">
      <w:pPr>
        <w:ind w:firstLine="720"/>
        <w:jc w:val="both"/>
        <w:divId w:val="1051270462"/>
        <w:rPr>
          <w:rFonts w:eastAsia="Times New Roman"/>
        </w:rPr>
      </w:pPr>
      <w:r>
        <w:rPr>
          <w:rFonts w:eastAsia="Times New Roman"/>
          <w:color w:val="000000"/>
          <w:sz w:val="20"/>
          <w:szCs w:val="20"/>
        </w:rPr>
        <w:t>Following is a description of and basis for presentation for each of our reportable segments.</w:t>
      </w:r>
    </w:p>
    <w:p w:rsidR="00000000" w:rsidRDefault="008C69C0">
      <w:pPr>
        <w:ind w:firstLine="1080"/>
        <w:divId w:val="1603493557"/>
        <w:rPr>
          <w:rFonts w:eastAsia="Times New Roman"/>
        </w:rPr>
      </w:pPr>
      <w:r>
        <w:rPr>
          <w:rFonts w:eastAsia="Times New Roman"/>
          <w:color w:val="000000"/>
          <w:sz w:val="20"/>
          <w:szCs w:val="20"/>
          <w:u w:val="single"/>
        </w:rPr>
        <w:t>Self-Storage Operations</w:t>
      </w:r>
    </w:p>
    <w:p w:rsidR="00000000" w:rsidRDefault="008C69C0">
      <w:pPr>
        <w:ind w:firstLine="720"/>
        <w:jc w:val="both"/>
        <w:divId w:val="1613779449"/>
        <w:rPr>
          <w:rFonts w:eastAsia="Times New Roman"/>
        </w:rPr>
      </w:pPr>
      <w:r>
        <w:rPr>
          <w:rFonts w:eastAsia="Times New Roman"/>
          <w:color w:val="000000"/>
          <w:sz w:val="20"/>
          <w:szCs w:val="20"/>
        </w:rPr>
        <w:t>The Self-Storage Operations segment reflects the rental operations from all self-storage facilities we own. Our C</w:t>
      </w:r>
      <w:r>
        <w:rPr>
          <w:rFonts w:eastAsia="Times New Roman"/>
          <w:color w:val="000000"/>
          <w:sz w:val="20"/>
          <w:szCs w:val="20"/>
        </w:rPr>
        <w:t>ODM reviews the net operating income (“NOI”) of this segment, which represents the related revenues less cost of operations (prior to depreciation expense), in assessing performance and making resource allocation decisions. The presentation in the tables b</w:t>
      </w:r>
      <w:r>
        <w:rPr>
          <w:rFonts w:eastAsia="Times New Roman"/>
          <w:color w:val="000000"/>
          <w:sz w:val="20"/>
          <w:szCs w:val="20"/>
        </w:rPr>
        <w:t>elow sets forth the NOI of this segment, as well as the depreciation expense for this segment, which while reviewed by our CODM and included in net income, is not considered by the CODM in assessing performance and decision making. For all periods presente</w:t>
      </w:r>
      <w:r>
        <w:rPr>
          <w:rFonts w:eastAsia="Times New Roman"/>
          <w:color w:val="000000"/>
          <w:sz w:val="20"/>
          <w:szCs w:val="20"/>
        </w:rPr>
        <w:t xml:space="preserve">d, substantially all of our real estate facilities, goodwill and other intangible assets, other assets, and accrued and other liabilities are associated with the Self-Storage Operations segment. </w:t>
      </w:r>
    </w:p>
    <w:p w:rsidR="00000000" w:rsidRDefault="008C69C0">
      <w:pPr>
        <w:ind w:firstLine="720"/>
        <w:jc w:val="both"/>
        <w:divId w:val="1812208151"/>
        <w:rPr>
          <w:rFonts w:eastAsia="Times New Roman"/>
        </w:rPr>
      </w:pPr>
      <w:r>
        <w:rPr>
          <w:rFonts w:eastAsia="Times New Roman"/>
          <w:color w:val="000000"/>
          <w:sz w:val="20"/>
          <w:szCs w:val="20"/>
          <w:u w:val="single"/>
        </w:rPr>
        <w:t>Ancillary Operations</w:t>
      </w:r>
    </w:p>
    <w:p w:rsidR="00000000" w:rsidRDefault="008C69C0">
      <w:pPr>
        <w:ind w:firstLine="720"/>
        <w:jc w:val="both"/>
        <w:divId w:val="1974141781"/>
        <w:rPr>
          <w:rFonts w:eastAsia="Times New Roman"/>
        </w:rPr>
      </w:pPr>
      <w:r>
        <w:rPr>
          <w:rFonts w:eastAsia="Times New Roman"/>
          <w:color w:val="000000"/>
          <w:sz w:val="20"/>
          <w:szCs w:val="20"/>
        </w:rPr>
        <w:t>The Ancillary Operations segment reflec</w:t>
      </w:r>
      <w:r>
        <w:rPr>
          <w:rFonts w:eastAsia="Times New Roman"/>
          <w:color w:val="000000"/>
          <w:sz w:val="20"/>
          <w:szCs w:val="20"/>
        </w:rPr>
        <w:t xml:space="preserve">ts the operations of our tenant reinsurance, merchandise sales, and third party management activities. </w:t>
      </w:r>
    </w:p>
    <w:p w:rsidR="00000000" w:rsidRDefault="008C69C0">
      <w:pPr>
        <w:ind w:firstLine="720"/>
        <w:jc w:val="both"/>
        <w:divId w:val="1582829271"/>
        <w:rPr>
          <w:rFonts w:eastAsia="Times New Roman"/>
        </w:rPr>
      </w:pPr>
      <w:r>
        <w:rPr>
          <w:rFonts w:eastAsia="Times New Roman"/>
          <w:color w:val="000000"/>
          <w:sz w:val="20"/>
          <w:szCs w:val="20"/>
          <w:u w:val="single"/>
        </w:rPr>
        <w:t>Investment in PSB</w:t>
      </w:r>
    </w:p>
    <w:p w:rsidR="00000000" w:rsidRDefault="008C69C0">
      <w:pPr>
        <w:ind w:firstLine="720"/>
        <w:jc w:val="both"/>
        <w:divId w:val="1665935662"/>
        <w:rPr>
          <w:rFonts w:eastAsia="Times New Roman"/>
        </w:rPr>
      </w:pPr>
      <w:r>
        <w:rPr>
          <w:rFonts w:eastAsia="Times New Roman"/>
          <w:color w:val="000000"/>
          <w:sz w:val="20"/>
          <w:szCs w:val="20"/>
        </w:rPr>
        <w:t>This segment represents our approximate 42% equity interest in PSB, a publicly-traded REIT that owns, operates, acquires, and develops</w:t>
      </w:r>
      <w:r>
        <w:rPr>
          <w:rFonts w:eastAsia="Times New Roman"/>
          <w:color w:val="000000"/>
          <w:sz w:val="20"/>
          <w:szCs w:val="20"/>
        </w:rPr>
        <w:t xml:space="preserve"> commercial properties, primarily multi-tenant flex, office, and industrial space. PSB has a separate management team and board of directors that makes its financing, capital allocation, and other significant decisions. In making resource allocation decisi</w:t>
      </w:r>
      <w:r>
        <w:rPr>
          <w:rFonts w:eastAsia="Times New Roman"/>
          <w:color w:val="000000"/>
          <w:sz w:val="20"/>
          <w:szCs w:val="20"/>
        </w:rPr>
        <w:t xml:space="preserve">ons with respect to our investment in PSB, the CODM reviews PSB’s net income, which is detailed in PSB’s periodic filings with the SEC. The segment presentation in the tables below includes our equity earnings from PSB. </w:t>
      </w:r>
    </w:p>
    <w:p w:rsidR="00000000" w:rsidRDefault="008C69C0">
      <w:pPr>
        <w:divId w:val="1473525308"/>
        <w:rPr>
          <w:rFonts w:eastAsia="Times New Roman"/>
        </w:rPr>
      </w:pPr>
      <w:r>
        <w:rPr>
          <w:rFonts w:eastAsia="Times New Roman"/>
          <w:color w:val="000000"/>
          <w:sz w:val="20"/>
          <w:szCs w:val="20"/>
          <w:u w:val="single"/>
        </w:rPr>
        <w:t>Investment in Shurgard</w:t>
      </w:r>
    </w:p>
    <w:p w:rsidR="00000000" w:rsidRDefault="008C69C0">
      <w:pPr>
        <w:ind w:firstLine="720"/>
        <w:jc w:val="both"/>
        <w:divId w:val="821308925"/>
        <w:rPr>
          <w:rFonts w:eastAsia="Times New Roman"/>
        </w:rPr>
      </w:pPr>
      <w:r>
        <w:rPr>
          <w:rFonts w:eastAsia="Times New Roman"/>
          <w:color w:val="000000"/>
          <w:sz w:val="20"/>
          <w:szCs w:val="20"/>
        </w:rPr>
        <w:t>This segment</w:t>
      </w:r>
      <w:r>
        <w:rPr>
          <w:rFonts w:eastAsia="Times New Roman"/>
          <w:color w:val="000000"/>
          <w:sz w:val="20"/>
          <w:szCs w:val="20"/>
        </w:rPr>
        <w:t xml:space="preserve"> represents our approximate 35% equity interest in Shurgard, a publicly held company which owns and operates self-storage facilities located in seven countries in Western Europe. Shurgard has a separate management team and board of trustees that makes its </w:t>
      </w:r>
      <w:r>
        <w:rPr>
          <w:rFonts w:eastAsia="Times New Roman"/>
          <w:color w:val="000000"/>
          <w:sz w:val="20"/>
          <w:szCs w:val="20"/>
        </w:rPr>
        <w:t>financing, capital allocation, and other significant decisions. In making resource allocation decisions with respect to our investment in Shurgard, the CODM reviews Shurgard’s net income. The segment presentation below includes our equity earnings from Shu</w:t>
      </w:r>
      <w:r>
        <w:rPr>
          <w:rFonts w:eastAsia="Times New Roman"/>
          <w:color w:val="000000"/>
          <w:sz w:val="20"/>
          <w:szCs w:val="20"/>
        </w:rPr>
        <w:t xml:space="preserve">rgard. </w:t>
      </w:r>
    </w:p>
    <w:p w:rsidR="00000000" w:rsidRDefault="008C69C0">
      <w:pPr>
        <w:jc w:val="center"/>
        <w:divId w:val="1699626592"/>
        <w:rPr>
          <w:rFonts w:eastAsia="Times New Roman"/>
        </w:rPr>
      </w:pPr>
      <w:r>
        <w:rPr>
          <w:rFonts w:eastAsia="Times New Roman"/>
          <w:color w:val="000000"/>
          <w:sz w:val="20"/>
          <w:szCs w:val="20"/>
        </w:rPr>
        <w:t>25</w:t>
      </w:r>
    </w:p>
    <w:p w:rsidR="00000000" w:rsidRDefault="008C69C0">
      <w:pPr>
        <w:rPr>
          <w:rFonts w:eastAsia="Times New Roman"/>
        </w:rPr>
      </w:pPr>
      <w:r>
        <w:rPr>
          <w:rFonts w:eastAsia="Times New Roman"/>
        </w:rPr>
        <w:pict>
          <v:rect id="_x0000_i1051" style="width:0;height:1.5pt" o:hralign="center" o:hrstd="t" o:hr="t" fillcolor="#a0a0a0" stroked="f"/>
        </w:pict>
      </w:r>
    </w:p>
    <w:p w:rsidR="00000000" w:rsidRDefault="008C69C0">
      <w:pPr>
        <w:jc w:val="center"/>
        <w:divId w:val="2068990176"/>
        <w:rPr>
          <w:rFonts w:eastAsia="Times New Roman"/>
        </w:rPr>
      </w:pPr>
      <w:r>
        <w:rPr>
          <w:rFonts w:eastAsia="Times New Roman"/>
          <w:b/>
          <w:bCs/>
          <w:color w:val="000000"/>
          <w:sz w:val="20"/>
          <w:szCs w:val="20"/>
        </w:rPr>
        <w:t>PUBLIC STORAGE</w:t>
      </w:r>
    </w:p>
    <w:p w:rsidR="00000000" w:rsidRDefault="008C69C0">
      <w:pPr>
        <w:jc w:val="center"/>
        <w:divId w:val="2068990176"/>
        <w:rPr>
          <w:rFonts w:eastAsia="Times New Roman"/>
        </w:rPr>
      </w:pPr>
      <w:r>
        <w:rPr>
          <w:rFonts w:eastAsia="Times New Roman"/>
          <w:b/>
          <w:bCs/>
          <w:color w:val="000000"/>
          <w:sz w:val="20"/>
          <w:szCs w:val="20"/>
        </w:rPr>
        <w:t>NOTES TO FINANCIAL STATEMENTS</w:t>
      </w:r>
    </w:p>
    <w:p w:rsidR="00000000" w:rsidRDefault="008C69C0">
      <w:pPr>
        <w:jc w:val="center"/>
        <w:divId w:val="2068990176"/>
        <w:rPr>
          <w:rFonts w:eastAsia="Times New Roman"/>
        </w:rPr>
      </w:pPr>
      <w:r>
        <w:rPr>
          <w:rFonts w:eastAsia="Times New Roman"/>
          <w:b/>
          <w:bCs/>
          <w:color w:val="000000"/>
          <w:sz w:val="20"/>
          <w:szCs w:val="20"/>
        </w:rPr>
        <w:t>September 30, 2021</w:t>
      </w:r>
    </w:p>
    <w:p w:rsidR="00000000" w:rsidRDefault="008C69C0">
      <w:pPr>
        <w:jc w:val="center"/>
        <w:divId w:val="2068990176"/>
        <w:rPr>
          <w:rFonts w:eastAsia="Times New Roman"/>
        </w:rPr>
      </w:pPr>
      <w:r>
        <w:rPr>
          <w:rFonts w:eastAsia="Times New Roman"/>
          <w:b/>
          <w:bCs/>
          <w:color w:val="000000"/>
          <w:sz w:val="20"/>
          <w:szCs w:val="20"/>
        </w:rPr>
        <w:t>(unaudited)</w:t>
      </w:r>
    </w:p>
    <w:p w:rsidR="00000000" w:rsidRDefault="008C69C0">
      <w:pPr>
        <w:ind w:firstLine="720"/>
        <w:jc w:val="both"/>
        <w:divId w:val="1602032649"/>
        <w:rPr>
          <w:rFonts w:eastAsia="Times New Roman"/>
        </w:rPr>
      </w:pPr>
      <w:r>
        <w:rPr>
          <w:rFonts w:eastAsia="Times New Roman"/>
          <w:color w:val="000000"/>
          <w:sz w:val="20"/>
          <w:szCs w:val="20"/>
          <w:u w:val="single"/>
        </w:rPr>
        <w:t>Presentation of Segment Information</w:t>
      </w:r>
    </w:p>
    <w:p w:rsidR="00000000" w:rsidRDefault="008C69C0">
      <w:pPr>
        <w:ind w:firstLine="720"/>
        <w:jc w:val="both"/>
        <w:divId w:val="757486471"/>
        <w:rPr>
          <w:rFonts w:eastAsia="Times New Roman"/>
        </w:rPr>
      </w:pPr>
      <w:r>
        <w:rPr>
          <w:rFonts w:eastAsia="Times New Roman"/>
          <w:color w:val="000000"/>
          <w:sz w:val="20"/>
          <w:szCs w:val="20"/>
        </w:rPr>
        <w:t>The following table reconciles NOI (as applicable) and net income of each segment to our consoli</w:t>
      </w:r>
      <w:r>
        <w:rPr>
          <w:rFonts w:eastAsia="Times New Roman"/>
          <w:color w:val="000000"/>
          <w:sz w:val="20"/>
          <w:szCs w:val="20"/>
        </w:rPr>
        <w:t>dated net income:</w:t>
      </w:r>
    </w:p>
    <w:tbl>
      <w:tblPr>
        <w:tblW w:w="4833" w:type="pct"/>
        <w:tblCellMar>
          <w:top w:w="15" w:type="dxa"/>
          <w:left w:w="15" w:type="dxa"/>
          <w:bottom w:w="15" w:type="dxa"/>
          <w:right w:w="15" w:type="dxa"/>
        </w:tblCellMar>
        <w:tblLook w:val="04A0" w:firstRow="1" w:lastRow="0" w:firstColumn="1" w:lastColumn="0" w:noHBand="0" w:noVBand="1"/>
      </w:tblPr>
      <w:tblGrid>
        <w:gridCol w:w="40"/>
        <w:gridCol w:w="3266"/>
        <w:gridCol w:w="39"/>
        <w:gridCol w:w="110"/>
        <w:gridCol w:w="971"/>
        <w:gridCol w:w="36"/>
        <w:gridCol w:w="36"/>
        <w:gridCol w:w="36"/>
        <w:gridCol w:w="36"/>
        <w:gridCol w:w="110"/>
        <w:gridCol w:w="935"/>
        <w:gridCol w:w="36"/>
        <w:gridCol w:w="36"/>
        <w:gridCol w:w="36"/>
        <w:gridCol w:w="36"/>
        <w:gridCol w:w="110"/>
        <w:gridCol w:w="935"/>
        <w:gridCol w:w="36"/>
        <w:gridCol w:w="36"/>
        <w:gridCol w:w="36"/>
        <w:gridCol w:w="36"/>
        <w:gridCol w:w="110"/>
        <w:gridCol w:w="935"/>
        <w:gridCol w:w="36"/>
      </w:tblGrid>
      <w:tr w:rsidR="00000000">
        <w:trPr>
          <w:divId w:val="660041486"/>
        </w:trPr>
        <w:tc>
          <w:tcPr>
            <w:tcW w:w="50" w:type="pct"/>
            <w:vAlign w:val="center"/>
            <w:hideMark/>
          </w:tcPr>
          <w:p w:rsidR="00000000" w:rsidRDefault="008C69C0">
            <w:pPr>
              <w:ind w:firstLine="720"/>
              <w:jc w:val="both"/>
              <w:rPr>
                <w:rFonts w:eastAsia="Times New Roman"/>
              </w:rPr>
            </w:pPr>
          </w:p>
        </w:tc>
        <w:tc>
          <w:tcPr>
            <w:tcW w:w="206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3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3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3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3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Nine Months Ended September 30,</w:t>
            </w: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2020</w:t>
            </w:r>
          </w:p>
        </w:tc>
      </w:tr>
      <w:tr w:rsidR="00000000">
        <w:trPr>
          <w:divId w:val="660041486"/>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21"/>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(amounts in thousands)</w:t>
            </w: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Self-Storage Segment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Revenue</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840,510 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683,949 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2,333,850 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2,022,692 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(216,999)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(209,179)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(631,699)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(637,229)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623,511 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474,770 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1,702,151 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1,385,463 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(188,552)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(138,333)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(508,139)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(411,851)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Net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434,959 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336,437 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1,194,012 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973,612 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Ancillary Segment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Revenue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54,421 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50,596 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157,658 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143,840 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(19,735)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(15,174)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(52,044)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(44,081)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34,686 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35,422 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105,614 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99,759 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Investment in PSB Segment (a) - Equity in earnings of unconsolidated entities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27,110 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16,548 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62,494 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51,513 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Investment in Shurgard Segment (a) - Equity in earnings of unconsolidated entities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18,888 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Total net income allocated to segments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502,505 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393,099 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1,381,008 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1,136,234 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i/>
                <w:iCs/>
                <w:color w:val="000000"/>
                <w:sz w:val="18"/>
                <w:szCs w:val="18"/>
              </w:rPr>
              <w:t xml:space="preserve">Other items not allocated to segments: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004148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General and administrative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(31,682)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(18,262)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(78,996)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(53,234)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Interest and other income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18,976 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Interest expense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(23,736)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(14,282)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(60,980)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(42,048)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40,906 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(41,900)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73,584 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(52,250)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660041486"/>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r>
              <w:rPr>
                <w:rFonts w:eastAsia="Times New Roman"/>
                <w:color w:val="000000"/>
                <w:sz w:val="18"/>
                <w:szCs w:val="18"/>
              </w:rPr>
              <w:t>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491,628 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1,337,620 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1,008,795 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jc w:val="both"/>
        <w:divId w:val="386490735"/>
        <w:rPr>
          <w:rFonts w:eastAsia="Times New Roman"/>
        </w:rPr>
      </w:pPr>
      <w:r>
        <w:rPr>
          <w:rFonts w:eastAsia="Times New Roman"/>
          <w:color w:val="000000"/>
          <w:sz w:val="20"/>
          <w:szCs w:val="20"/>
        </w:rPr>
        <w:t xml:space="preserve">(a) See Note 4 for a reconciliation of these amounts to our total Equity in Earnings of Unconsolidated Real Estate Entities on our income statements. </w:t>
      </w:r>
    </w:p>
    <w:p w:rsidR="00000000" w:rsidRDefault="008C69C0">
      <w:pPr>
        <w:ind w:hanging="360"/>
        <w:divId w:val="64765182"/>
        <w:rPr>
          <w:rFonts w:eastAsia="Times New Roman"/>
        </w:rPr>
      </w:pPr>
      <w:r>
        <w:rPr>
          <w:rFonts w:eastAsia="Times New Roman"/>
          <w:color w:val="000000"/>
          <w:sz w:val="20"/>
          <w:szCs w:val="20"/>
        </w:rPr>
        <w:t>12.</w:t>
      </w:r>
      <w:r>
        <w:rPr>
          <w:rFonts w:eastAsia="Times New Roman"/>
          <w:color w:val="000000"/>
          <w:sz w:val="20"/>
          <w:szCs w:val="20"/>
          <w:u w:val="single"/>
        </w:rPr>
        <w:t>Commitments and Contingencies</w:t>
      </w:r>
    </w:p>
    <w:p w:rsidR="00000000" w:rsidRDefault="008C69C0">
      <w:pPr>
        <w:ind w:firstLine="720"/>
        <w:jc w:val="both"/>
        <w:divId w:val="121848964"/>
        <w:rPr>
          <w:rFonts w:eastAsia="Times New Roman"/>
        </w:rPr>
      </w:pPr>
      <w:r>
        <w:rPr>
          <w:rFonts w:eastAsia="Times New Roman"/>
          <w:color w:val="000000"/>
          <w:sz w:val="20"/>
          <w:szCs w:val="20"/>
          <w:u w:val="single"/>
        </w:rPr>
        <w:t>Contingent Losses</w:t>
      </w:r>
    </w:p>
    <w:p w:rsidR="00000000" w:rsidRDefault="008C69C0">
      <w:pPr>
        <w:ind w:firstLine="720"/>
        <w:jc w:val="both"/>
        <w:divId w:val="238909660"/>
        <w:rPr>
          <w:rFonts w:eastAsia="Times New Roman"/>
        </w:rPr>
      </w:pPr>
      <w:r>
        <w:rPr>
          <w:rFonts w:eastAsia="Times New Roman"/>
          <w:color w:val="000000"/>
          <w:sz w:val="20"/>
          <w:szCs w:val="20"/>
        </w:rPr>
        <w:t>We are a party to various legal proceedings and subjec</w:t>
      </w:r>
      <w:r>
        <w:rPr>
          <w:rFonts w:eastAsia="Times New Roman"/>
          <w:color w:val="000000"/>
          <w:sz w:val="20"/>
          <w:szCs w:val="20"/>
        </w:rPr>
        <w:t>t to various claims and complaints; however, we believe that the likelihood of these contingencies resulting in a material loss to the Company, either individually or in the aggregate, is remote.</w:t>
      </w:r>
    </w:p>
    <w:p w:rsidR="00000000" w:rsidRDefault="008C69C0">
      <w:pPr>
        <w:ind w:firstLine="720"/>
        <w:jc w:val="both"/>
        <w:divId w:val="732199353"/>
        <w:rPr>
          <w:rFonts w:eastAsia="Times New Roman"/>
        </w:rPr>
      </w:pPr>
      <w:r>
        <w:rPr>
          <w:rFonts w:eastAsia="Times New Roman"/>
          <w:color w:val="000000"/>
          <w:sz w:val="20"/>
          <w:szCs w:val="20"/>
          <w:u w:val="single"/>
        </w:rPr>
        <w:t>Insurance and Loss Exposure</w:t>
      </w:r>
    </w:p>
    <w:p w:rsidR="00000000" w:rsidRDefault="008C69C0">
      <w:pPr>
        <w:ind w:firstLine="720"/>
        <w:jc w:val="both"/>
        <w:divId w:val="1299454027"/>
        <w:rPr>
          <w:rFonts w:eastAsia="Times New Roman"/>
        </w:rPr>
      </w:pPr>
      <w:r>
        <w:rPr>
          <w:rFonts w:eastAsia="Times New Roman"/>
          <w:color w:val="000000"/>
          <w:sz w:val="20"/>
          <w:szCs w:val="20"/>
        </w:rPr>
        <w:t>We carry property, earthquake, g</w:t>
      </w:r>
      <w:r>
        <w:rPr>
          <w:rFonts w:eastAsia="Times New Roman"/>
          <w:color w:val="000000"/>
          <w:sz w:val="20"/>
          <w:szCs w:val="20"/>
        </w:rPr>
        <w:t>eneral liability, employee medical insurance, and workers compensation coverage through internationally recognized insurance carriers, subject to deductibles. Our deductible for general liability is $2.0 million per occurrence. Our annual deductible for pr</w:t>
      </w:r>
      <w:r>
        <w:rPr>
          <w:rFonts w:eastAsia="Times New Roman"/>
          <w:color w:val="000000"/>
          <w:sz w:val="20"/>
          <w:szCs w:val="20"/>
        </w:rPr>
        <w:t>operty loss is $25.0 million per occurrence. This deductible decreases to $5.0 million once we reach $35.0 million in aggregate losses for occurrences that exceed $5.0 million. Insurance carriers’ aggregate limits on these policies of $75.0 million for pro</w:t>
      </w:r>
      <w:r>
        <w:rPr>
          <w:rFonts w:eastAsia="Times New Roman"/>
          <w:color w:val="000000"/>
          <w:sz w:val="20"/>
          <w:szCs w:val="20"/>
        </w:rPr>
        <w:t xml:space="preserve">perty losses and $102.0 million for general liability losses are higher than estimates of maximum probable losses that could occur from individual </w:t>
      </w:r>
    </w:p>
    <w:p w:rsidR="00000000" w:rsidRDefault="008C69C0">
      <w:pPr>
        <w:jc w:val="center"/>
        <w:divId w:val="2089573846"/>
        <w:rPr>
          <w:rFonts w:eastAsia="Times New Roman"/>
        </w:rPr>
      </w:pPr>
      <w:r>
        <w:rPr>
          <w:rFonts w:eastAsia="Times New Roman"/>
          <w:color w:val="000000"/>
          <w:sz w:val="20"/>
          <w:szCs w:val="20"/>
        </w:rPr>
        <w:t>26</w:t>
      </w:r>
    </w:p>
    <w:p w:rsidR="00000000" w:rsidRDefault="008C69C0">
      <w:pPr>
        <w:rPr>
          <w:rFonts w:eastAsia="Times New Roman"/>
        </w:rPr>
      </w:pPr>
      <w:r>
        <w:rPr>
          <w:rFonts w:eastAsia="Times New Roman"/>
        </w:rPr>
        <w:pict>
          <v:rect id="_x0000_i1052" style="width:0;height:1.5pt" o:hralign="center" o:hrstd="t" o:hr="t" fillcolor="#a0a0a0" stroked="f"/>
        </w:pict>
      </w:r>
    </w:p>
    <w:p w:rsidR="00000000" w:rsidRDefault="008C69C0">
      <w:pPr>
        <w:jc w:val="center"/>
        <w:divId w:val="25522279"/>
        <w:rPr>
          <w:rFonts w:eastAsia="Times New Roman"/>
        </w:rPr>
      </w:pPr>
      <w:r>
        <w:rPr>
          <w:rFonts w:eastAsia="Times New Roman"/>
          <w:b/>
          <w:bCs/>
          <w:color w:val="000000"/>
          <w:sz w:val="20"/>
          <w:szCs w:val="20"/>
        </w:rPr>
        <w:t>PUBLIC STORAGE</w:t>
      </w:r>
    </w:p>
    <w:p w:rsidR="00000000" w:rsidRDefault="008C69C0">
      <w:pPr>
        <w:jc w:val="center"/>
        <w:divId w:val="25522279"/>
        <w:rPr>
          <w:rFonts w:eastAsia="Times New Roman"/>
        </w:rPr>
      </w:pPr>
      <w:r>
        <w:rPr>
          <w:rFonts w:eastAsia="Times New Roman"/>
          <w:b/>
          <w:bCs/>
          <w:color w:val="000000"/>
          <w:sz w:val="20"/>
          <w:szCs w:val="20"/>
        </w:rPr>
        <w:t>NOTES TO FINANCIAL STATEMENTS</w:t>
      </w:r>
    </w:p>
    <w:p w:rsidR="00000000" w:rsidRDefault="008C69C0">
      <w:pPr>
        <w:jc w:val="center"/>
        <w:divId w:val="25522279"/>
        <w:rPr>
          <w:rFonts w:eastAsia="Times New Roman"/>
        </w:rPr>
      </w:pPr>
      <w:r>
        <w:rPr>
          <w:rFonts w:eastAsia="Times New Roman"/>
          <w:b/>
          <w:bCs/>
          <w:color w:val="000000"/>
          <w:sz w:val="20"/>
          <w:szCs w:val="20"/>
        </w:rPr>
        <w:t>September 30, 2021</w:t>
      </w:r>
    </w:p>
    <w:p w:rsidR="00000000" w:rsidRDefault="008C69C0">
      <w:pPr>
        <w:jc w:val="center"/>
        <w:divId w:val="25522279"/>
        <w:rPr>
          <w:rFonts w:eastAsia="Times New Roman"/>
        </w:rPr>
      </w:pPr>
      <w:r>
        <w:rPr>
          <w:rFonts w:eastAsia="Times New Roman"/>
          <w:b/>
          <w:bCs/>
          <w:color w:val="000000"/>
          <w:sz w:val="20"/>
          <w:szCs w:val="20"/>
        </w:rPr>
        <w:t>(una</w:t>
      </w:r>
      <w:r>
        <w:rPr>
          <w:rFonts w:eastAsia="Times New Roman"/>
          <w:b/>
          <w:bCs/>
          <w:color w:val="000000"/>
          <w:sz w:val="20"/>
          <w:szCs w:val="20"/>
        </w:rPr>
        <w:t>udited)</w:t>
      </w:r>
    </w:p>
    <w:p w:rsidR="00000000" w:rsidRDefault="008C69C0">
      <w:pPr>
        <w:jc w:val="both"/>
        <w:divId w:val="1345476202"/>
        <w:rPr>
          <w:rFonts w:eastAsia="Times New Roman"/>
        </w:rPr>
      </w:pPr>
      <w:r>
        <w:rPr>
          <w:rFonts w:eastAsia="Times New Roman"/>
          <w:color w:val="000000"/>
          <w:sz w:val="20"/>
          <w:szCs w:val="20"/>
        </w:rPr>
        <w:t>catastrophic events determined in recent engineering and actuarial studies; however, in case of multiple catastrophic events, these limits could be exceeded.</w:t>
      </w:r>
    </w:p>
    <w:p w:rsidR="00000000" w:rsidRDefault="008C69C0">
      <w:pPr>
        <w:ind w:firstLine="720"/>
        <w:jc w:val="both"/>
        <w:divId w:val="1249315307"/>
        <w:rPr>
          <w:rFonts w:eastAsia="Times New Roman"/>
        </w:rPr>
      </w:pPr>
      <w:r>
        <w:rPr>
          <w:rFonts w:eastAsia="Times New Roman"/>
          <w:color w:val="000000"/>
          <w:sz w:val="20"/>
          <w:szCs w:val="20"/>
        </w:rPr>
        <w:t>We reinsure a program that provides insurance to our customers from an independent third-p</w:t>
      </w:r>
      <w:r>
        <w:rPr>
          <w:rFonts w:eastAsia="Times New Roman"/>
          <w:color w:val="000000"/>
          <w:sz w:val="20"/>
          <w:szCs w:val="20"/>
        </w:rPr>
        <w:t>arty insurer. This program covers customer claims for losses to goods stored at our facilities as a result of specific named perils (earthquakes are not covered by this program), up to a maximum limit of $5,000 per storage unit. We reinsure all risks in th</w:t>
      </w:r>
      <w:r>
        <w:rPr>
          <w:rFonts w:eastAsia="Times New Roman"/>
          <w:color w:val="000000"/>
          <w:sz w:val="20"/>
          <w:szCs w:val="20"/>
        </w:rPr>
        <w:t xml:space="preserve">is program, but purchase insurance to cover this exposure for a limit of $15.0 million for losses in excess of $5.0 million per occurrence. We are subject to licensing requirements and regulations in several states. Customers participate in the program at </w:t>
      </w:r>
      <w:r>
        <w:rPr>
          <w:rFonts w:eastAsia="Times New Roman"/>
          <w:color w:val="000000"/>
          <w:sz w:val="20"/>
          <w:szCs w:val="20"/>
        </w:rPr>
        <w:t>their option. At September 30, 2021, there were approximately 1.1 million certificates held by our self-storage customers, representing aggregate coverage of approximately $4.7 billion.</w:t>
      </w:r>
    </w:p>
    <w:p w:rsidR="00000000" w:rsidRDefault="008C69C0">
      <w:pPr>
        <w:ind w:firstLine="720"/>
        <w:jc w:val="both"/>
        <w:divId w:val="2113470687"/>
        <w:rPr>
          <w:rFonts w:eastAsia="Times New Roman"/>
        </w:rPr>
      </w:pPr>
      <w:r>
        <w:rPr>
          <w:rFonts w:eastAsia="Times New Roman"/>
          <w:color w:val="000000"/>
          <w:sz w:val="20"/>
          <w:szCs w:val="20"/>
          <w:u w:val="single"/>
        </w:rPr>
        <w:t>Commitments</w:t>
      </w:r>
    </w:p>
    <w:p w:rsidR="00000000" w:rsidRDefault="008C69C0">
      <w:pPr>
        <w:ind w:firstLine="720"/>
        <w:jc w:val="both"/>
        <w:divId w:val="6099987"/>
        <w:rPr>
          <w:rFonts w:eastAsia="Times New Roman"/>
        </w:rPr>
      </w:pPr>
      <w:r>
        <w:rPr>
          <w:rFonts w:eastAsia="Times New Roman"/>
          <w:color w:val="000000"/>
          <w:sz w:val="20"/>
          <w:szCs w:val="20"/>
        </w:rPr>
        <w:t>We have construction commitments representing future expec</w:t>
      </w:r>
      <w:r>
        <w:rPr>
          <w:rFonts w:eastAsia="Times New Roman"/>
          <w:color w:val="000000"/>
          <w:sz w:val="20"/>
          <w:szCs w:val="20"/>
        </w:rPr>
        <w:t>ted payments for construction under contract totaling $134.1 million at September 30, 2021. We expect to pay approximately $38.3 million in the remainder of 2021, $93.9 million in 2022 and $1.9 million in 2023 for these construction commitments.</w:t>
      </w:r>
    </w:p>
    <w:p w:rsidR="00000000" w:rsidRDefault="008C69C0">
      <w:pPr>
        <w:ind w:firstLine="720"/>
        <w:jc w:val="both"/>
        <w:divId w:val="568341715"/>
        <w:rPr>
          <w:rFonts w:eastAsia="Times New Roman"/>
        </w:rPr>
      </w:pPr>
      <w:r>
        <w:rPr>
          <w:rFonts w:eastAsia="Times New Roman"/>
          <w:color w:val="000000"/>
          <w:sz w:val="20"/>
          <w:szCs w:val="20"/>
        </w:rPr>
        <w:t>We have fu</w:t>
      </w:r>
      <w:r>
        <w:rPr>
          <w:rFonts w:eastAsia="Times New Roman"/>
          <w:color w:val="000000"/>
          <w:sz w:val="20"/>
          <w:szCs w:val="20"/>
        </w:rPr>
        <w:t>ture contractual payments on land, equipment and office space under various lease commitments totaling $66.3 million at September 30, 2021. We expect to pay approximately $0.7 million in the remainder of 2021, $3.1 million in 2022, $3.0 million in 2023, $2</w:t>
      </w:r>
      <w:r>
        <w:rPr>
          <w:rFonts w:eastAsia="Times New Roman"/>
          <w:color w:val="000000"/>
          <w:sz w:val="20"/>
          <w:szCs w:val="20"/>
        </w:rPr>
        <w:t>.9 million in each of 2024 and 2025 and $53.7 million thereafter for these commitments.</w:t>
      </w:r>
    </w:p>
    <w:p w:rsidR="00000000" w:rsidRDefault="008C69C0">
      <w:pPr>
        <w:ind w:hanging="360"/>
        <w:divId w:val="761802330"/>
        <w:rPr>
          <w:rFonts w:eastAsia="Times New Roman"/>
        </w:rPr>
      </w:pPr>
      <w:r>
        <w:rPr>
          <w:rFonts w:eastAsia="Times New Roman"/>
          <w:color w:val="000000"/>
          <w:sz w:val="20"/>
          <w:szCs w:val="20"/>
        </w:rPr>
        <w:t>13.</w:t>
      </w:r>
      <w:r>
        <w:rPr>
          <w:rFonts w:eastAsia="Times New Roman"/>
          <w:color w:val="000000"/>
          <w:sz w:val="20"/>
          <w:szCs w:val="20"/>
          <w:u w:val="single"/>
        </w:rPr>
        <w:t>Subsequent Events</w:t>
      </w:r>
    </w:p>
    <w:p w:rsidR="00000000" w:rsidRDefault="008C69C0">
      <w:pPr>
        <w:ind w:firstLine="720"/>
        <w:jc w:val="both"/>
        <w:rPr>
          <w:rFonts w:eastAsia="Times New Roman"/>
        </w:rPr>
      </w:pPr>
      <w:r>
        <w:rPr>
          <w:rFonts w:eastAsia="Times New Roman"/>
          <w:color w:val="000000"/>
          <w:sz w:val="20"/>
          <w:szCs w:val="20"/>
        </w:rPr>
        <w:t xml:space="preserve">Subsequent to September 30, 2021, we acquired or were under contract to acquire 107 self-storage facilities across 16 states with 11.8 million net </w:t>
      </w:r>
      <w:r>
        <w:rPr>
          <w:rFonts w:eastAsia="Times New Roman"/>
          <w:color w:val="000000"/>
          <w:sz w:val="20"/>
          <w:szCs w:val="20"/>
        </w:rPr>
        <w:t>rentable square feet, for $2.3 billion, including the issuance of partnership units of approximately $80.0 million. These include a portfolio of 56 properties (7.5 million net rentable square feet) currently operated under the brand name of All Storage tha</w:t>
      </w:r>
      <w:r>
        <w:rPr>
          <w:rFonts w:eastAsia="Times New Roman"/>
          <w:color w:val="000000"/>
          <w:sz w:val="20"/>
          <w:szCs w:val="20"/>
        </w:rPr>
        <w:t xml:space="preserve">t we are under contract to purchase for $1.5 billion in cash. The acquisition, which is subject to the satisfaction of customary closing conditions, is expected to close in two separate tranches, with seven self-storage facilities closing in November 2021 </w:t>
      </w:r>
      <w:r>
        <w:rPr>
          <w:rFonts w:eastAsia="Times New Roman"/>
          <w:color w:val="000000"/>
          <w:sz w:val="20"/>
          <w:szCs w:val="20"/>
        </w:rPr>
        <w:t>and 49 self-storage facilities closing in December 2021.</w:t>
      </w:r>
    </w:p>
    <w:p w:rsidR="00000000" w:rsidRDefault="008C69C0">
      <w:pPr>
        <w:ind w:firstLine="720"/>
        <w:jc w:val="both"/>
        <w:rPr>
          <w:rFonts w:eastAsia="Times New Roman"/>
        </w:rPr>
      </w:pPr>
    </w:p>
    <w:p w:rsidR="00000000" w:rsidRDefault="008C69C0">
      <w:pPr>
        <w:divId w:val="1042829035"/>
        <w:rPr>
          <w:rFonts w:eastAsia="Times New Roman"/>
        </w:rPr>
      </w:pPr>
    </w:p>
    <w:p w:rsidR="00000000" w:rsidRDefault="008C69C0">
      <w:pPr>
        <w:divId w:val="553002332"/>
        <w:rPr>
          <w:rFonts w:eastAsia="Times New Roman"/>
        </w:rPr>
      </w:pPr>
    </w:p>
    <w:p w:rsidR="00000000" w:rsidRDefault="008C69C0">
      <w:pPr>
        <w:ind w:firstLine="720"/>
        <w:jc w:val="both"/>
        <w:rPr>
          <w:rFonts w:eastAsia="Times New Roman"/>
        </w:rPr>
      </w:pPr>
    </w:p>
    <w:p w:rsidR="00000000" w:rsidRDefault="008C69C0">
      <w:pPr>
        <w:ind w:firstLine="720"/>
        <w:jc w:val="both"/>
        <w:rPr>
          <w:rFonts w:eastAsia="Times New Roman"/>
        </w:rPr>
      </w:pPr>
    </w:p>
    <w:p w:rsidR="00000000" w:rsidRDefault="008C69C0">
      <w:pPr>
        <w:ind w:firstLine="720"/>
        <w:jc w:val="both"/>
        <w:rPr>
          <w:rFonts w:eastAsia="Times New Roman"/>
        </w:rPr>
      </w:pPr>
    </w:p>
    <w:p w:rsidR="00000000" w:rsidRDefault="008C69C0">
      <w:pPr>
        <w:ind w:firstLine="720"/>
        <w:jc w:val="both"/>
        <w:rPr>
          <w:rFonts w:eastAsia="Times New Roman"/>
        </w:rPr>
      </w:pPr>
    </w:p>
    <w:p w:rsidR="00000000" w:rsidRDefault="008C69C0">
      <w:pPr>
        <w:ind w:firstLine="720"/>
        <w:jc w:val="both"/>
        <w:divId w:val="987787702"/>
        <w:rPr>
          <w:rFonts w:eastAsia="Times New Roman"/>
        </w:rPr>
      </w:pPr>
    </w:p>
    <w:p w:rsidR="00000000" w:rsidRDefault="008C69C0">
      <w:pPr>
        <w:divId w:val="1837070249"/>
        <w:rPr>
          <w:rFonts w:eastAsia="Times New Roman"/>
        </w:rPr>
      </w:pPr>
    </w:p>
    <w:p w:rsidR="00000000" w:rsidRDefault="008C69C0">
      <w:pPr>
        <w:jc w:val="center"/>
        <w:divId w:val="1296326779"/>
        <w:rPr>
          <w:rFonts w:eastAsia="Times New Roman"/>
        </w:rPr>
      </w:pPr>
      <w:r>
        <w:rPr>
          <w:rFonts w:eastAsia="Times New Roman"/>
          <w:color w:val="000000"/>
          <w:sz w:val="20"/>
          <w:szCs w:val="20"/>
        </w:rPr>
        <w:t>27</w:t>
      </w:r>
    </w:p>
    <w:p w:rsidR="00000000" w:rsidRDefault="008C69C0">
      <w:pPr>
        <w:rPr>
          <w:rFonts w:eastAsia="Times New Roman"/>
        </w:rPr>
      </w:pPr>
      <w:r>
        <w:rPr>
          <w:rFonts w:eastAsia="Times New Roman"/>
        </w:rPr>
        <w:pict>
          <v:rect id="_x0000_i1053" style="width:0;height:1.5pt" o:hralign="center" o:hrstd="t" o:hr="t" fillcolor="#a0a0a0" stroked="f"/>
        </w:pict>
      </w:r>
    </w:p>
    <w:p w:rsidR="00000000" w:rsidRDefault="008C69C0">
      <w:pPr>
        <w:divId w:val="1551334758"/>
        <w:rPr>
          <w:rFonts w:eastAsia="Times New Roman"/>
        </w:rPr>
      </w:pPr>
    </w:p>
    <w:p w:rsidR="00000000" w:rsidRDefault="008C69C0">
      <w:pPr>
        <w:divId w:val="49884547"/>
        <w:rPr>
          <w:rFonts w:eastAsia="Times New Roman"/>
        </w:rPr>
      </w:pPr>
      <w:r>
        <w:rPr>
          <w:rFonts w:eastAsia="Times New Roman"/>
          <w:b/>
          <w:bCs/>
          <w:color w:val="000000"/>
          <w:sz w:val="20"/>
          <w:szCs w:val="20"/>
        </w:rPr>
        <w:t>ITEM 2.    </w:t>
      </w:r>
      <w:r>
        <w:rPr>
          <w:rFonts w:eastAsia="Times New Roman"/>
          <w:b/>
          <w:bCs/>
          <w:color w:val="000000"/>
          <w:sz w:val="20"/>
          <w:szCs w:val="20"/>
          <w:u w:val="single"/>
        </w:rPr>
        <w:t>Management’s Discussion and Analysis of Financial Condition and Results of Operations</w:t>
      </w:r>
    </w:p>
    <w:p w:rsidR="00000000" w:rsidRDefault="008C69C0">
      <w:pPr>
        <w:jc w:val="both"/>
        <w:divId w:val="288168334"/>
        <w:rPr>
          <w:rFonts w:eastAsia="Times New Roman"/>
        </w:rPr>
      </w:pPr>
      <w:r>
        <w:rPr>
          <w:rFonts w:eastAsia="Times New Roman"/>
          <w:b/>
          <w:bCs/>
          <w:color w:val="000000"/>
          <w:sz w:val="20"/>
          <w:szCs w:val="20"/>
          <w:u w:val="single"/>
        </w:rPr>
        <w:t>Forward Looking Statements</w:t>
      </w:r>
    </w:p>
    <w:p w:rsidR="00000000" w:rsidRDefault="008C69C0">
      <w:pPr>
        <w:ind w:firstLine="720"/>
        <w:jc w:val="both"/>
        <w:divId w:val="1703676629"/>
        <w:rPr>
          <w:rFonts w:eastAsia="Times New Roman"/>
        </w:rPr>
      </w:pPr>
      <w:r>
        <w:rPr>
          <w:rFonts w:eastAsia="Times New Roman"/>
          <w:color w:val="000000"/>
          <w:sz w:val="20"/>
          <w:szCs w:val="20"/>
        </w:rPr>
        <w:t>This Quarterly Report on Form 10-Q contains forward-looking statements within the meaning of the Private Securities Litigation Reform Act of 1995. Such forward-looking statements include statements relating to our 2021 outlook and all underlying assumption</w:t>
      </w:r>
      <w:r>
        <w:rPr>
          <w:rFonts w:eastAsia="Times New Roman"/>
          <w:color w:val="000000"/>
          <w:sz w:val="20"/>
          <w:szCs w:val="20"/>
        </w:rPr>
        <w:t xml:space="preserve">s, our expected acquisition, disposition, development and redevelopment activity, supply and demand for our self-storage facilities, information relating to operating trends in our markets, expectations regarding operating expenses, including property tax </w:t>
      </w:r>
      <w:r>
        <w:rPr>
          <w:rFonts w:eastAsia="Times New Roman"/>
          <w:color w:val="000000"/>
          <w:sz w:val="20"/>
          <w:szCs w:val="20"/>
        </w:rPr>
        <w:t>changes, our strategic priorities, expectations with respect to financing activities, rental rates, cap rates and yields, leasing expectations, our credit ratings, and all other statements other than statements of historical fact. Such statements are based</w:t>
      </w:r>
      <w:r>
        <w:rPr>
          <w:rFonts w:eastAsia="Times New Roman"/>
          <w:color w:val="000000"/>
          <w:sz w:val="20"/>
          <w:szCs w:val="20"/>
        </w:rPr>
        <w:t xml:space="preserve"> on management’s beliefs and assumptions made based on information currently available to management. All statements in this document, other than statements of historical fact, are forward-looking statements which may be identified by the use of the words </w:t>
      </w:r>
      <w:r>
        <w:rPr>
          <w:rFonts w:eastAsia="Times New Roman"/>
          <w:color w:val="000000"/>
          <w:sz w:val="20"/>
          <w:szCs w:val="20"/>
        </w:rPr>
        <w:t>“outlook,” “guidance,” “expects,” “believes,” “anticipates,” “should,” “estimates,” and similar expressions.</w:t>
      </w:r>
    </w:p>
    <w:p w:rsidR="00000000" w:rsidRDefault="008C69C0">
      <w:pPr>
        <w:ind w:firstLine="720"/>
        <w:jc w:val="both"/>
        <w:divId w:val="286621245"/>
        <w:rPr>
          <w:rFonts w:eastAsia="Times New Roman"/>
        </w:rPr>
      </w:pPr>
      <w:r>
        <w:rPr>
          <w:rFonts w:eastAsia="Times New Roman"/>
          <w:color w:val="000000"/>
          <w:sz w:val="20"/>
          <w:szCs w:val="20"/>
        </w:rPr>
        <w:t>These forward-looking statements involve known and unknown risks and uncertainties, which may cause our actual results and performance to be materi</w:t>
      </w:r>
      <w:r>
        <w:rPr>
          <w:rFonts w:eastAsia="Times New Roman"/>
          <w:color w:val="000000"/>
          <w:sz w:val="20"/>
          <w:szCs w:val="20"/>
        </w:rPr>
        <w:t>ally different from those expressed or implied in the forward-looking statements. Factors and risks that may impact future results and performance include, but are not limited to, those described in Part 1, Item 1A, “Risk Factors” in our most recent Annual</w:t>
      </w:r>
      <w:r>
        <w:rPr>
          <w:rFonts w:eastAsia="Times New Roman"/>
          <w:color w:val="000000"/>
          <w:sz w:val="20"/>
          <w:szCs w:val="20"/>
        </w:rPr>
        <w:t xml:space="preserve"> Report on Form 10-K for the year ended December 31, 2020 filed with the Securities and Exchange Commission (the “SEC”) on February 24, 2021 and in our other filings with the SEC including:</w:t>
      </w:r>
    </w:p>
    <w:p w:rsidR="00000000" w:rsidRDefault="008C69C0">
      <w:pPr>
        <w:ind w:hanging="360"/>
        <w:jc w:val="both"/>
        <w:divId w:val="500438182"/>
        <w:rPr>
          <w:rFonts w:eastAsia="Times New Roman"/>
        </w:rPr>
      </w:pPr>
      <w:r>
        <w:rPr>
          <w:rFonts w:eastAsia="Times New Roman"/>
          <w:color w:val="000000"/>
          <w:sz w:val="20"/>
          <w:szCs w:val="20"/>
        </w:rPr>
        <w:t>•general risks associated with the ownership and operation of real</w:t>
      </w:r>
      <w:r>
        <w:rPr>
          <w:rFonts w:eastAsia="Times New Roman"/>
          <w:color w:val="000000"/>
          <w:sz w:val="20"/>
          <w:szCs w:val="20"/>
        </w:rPr>
        <w:t xml:space="preserve"> estate, including changes in demand, risk related to development, expansion, and acquisition of self-storage facilities, potential liability for environmental contamination, natural disasters, and adverse changes in laws and regulations governing property</w:t>
      </w:r>
      <w:r>
        <w:rPr>
          <w:rFonts w:eastAsia="Times New Roman"/>
          <w:color w:val="000000"/>
          <w:sz w:val="20"/>
          <w:szCs w:val="20"/>
        </w:rPr>
        <w:t xml:space="preserve"> tax, real estate, and zoning; </w:t>
      </w:r>
    </w:p>
    <w:p w:rsidR="00000000" w:rsidRDefault="008C69C0">
      <w:pPr>
        <w:ind w:hanging="360"/>
        <w:jc w:val="both"/>
        <w:divId w:val="856891587"/>
        <w:rPr>
          <w:rFonts w:eastAsia="Times New Roman"/>
        </w:rPr>
      </w:pPr>
      <w:r>
        <w:rPr>
          <w:rFonts w:eastAsia="Times New Roman"/>
          <w:color w:val="000000"/>
          <w:sz w:val="20"/>
          <w:szCs w:val="20"/>
        </w:rPr>
        <w:t xml:space="preserve">•risks associated with downturns in the national and local economies in the markets in which we operate, including risks related to current economic conditions and the economic health of our customers; </w:t>
      </w:r>
    </w:p>
    <w:p w:rsidR="00000000" w:rsidRDefault="008C69C0">
      <w:pPr>
        <w:ind w:hanging="360"/>
        <w:jc w:val="both"/>
        <w:divId w:val="1825930445"/>
        <w:rPr>
          <w:rFonts w:eastAsia="Times New Roman"/>
        </w:rPr>
      </w:pPr>
      <w:r>
        <w:rPr>
          <w:rFonts w:eastAsia="Times New Roman"/>
          <w:color w:val="000000"/>
          <w:sz w:val="20"/>
          <w:szCs w:val="20"/>
        </w:rPr>
        <w:t>•risks associated wit</w:t>
      </w:r>
      <w:r>
        <w:rPr>
          <w:rFonts w:eastAsia="Times New Roman"/>
          <w:color w:val="000000"/>
          <w:sz w:val="20"/>
          <w:szCs w:val="20"/>
        </w:rPr>
        <w:t>h the COVID-19 Pandemic (the “COVID Pandemic”) or similar events, including but not limited to illness or death of our employees or customers, negative impacts to the economic environment and to self-storage customers that could reduce the demand for self-</w:t>
      </w:r>
      <w:r>
        <w:rPr>
          <w:rFonts w:eastAsia="Times New Roman"/>
          <w:color w:val="000000"/>
          <w:sz w:val="20"/>
          <w:szCs w:val="20"/>
        </w:rPr>
        <w:t>storage or reduce our ability to collect rent, and/or potential regulatory actions to (i) close our facilities if we were determined not to be an “essential business” or for other reasons, (ii) limit our ability to increase rent or otherwise limit the rent</w:t>
      </w:r>
      <w:r>
        <w:rPr>
          <w:rFonts w:eastAsia="Times New Roman"/>
          <w:color w:val="000000"/>
          <w:sz w:val="20"/>
          <w:szCs w:val="20"/>
        </w:rPr>
        <w:t xml:space="preserve"> we can charge, or (iii) limit our ability to collect rent or evict delinquent tenants;</w:t>
      </w:r>
    </w:p>
    <w:p w:rsidR="00000000" w:rsidRDefault="008C69C0">
      <w:pPr>
        <w:ind w:hanging="360"/>
        <w:jc w:val="both"/>
        <w:divId w:val="1593050400"/>
        <w:rPr>
          <w:rFonts w:eastAsia="Times New Roman"/>
        </w:rPr>
      </w:pPr>
      <w:r>
        <w:rPr>
          <w:rFonts w:eastAsia="Times New Roman"/>
          <w:color w:val="000000"/>
          <w:sz w:val="20"/>
          <w:szCs w:val="20"/>
        </w:rPr>
        <w:t>•the risk that there could be an out-migration of population from certain high-cost major markets, if it is determined that the ability to “work from home,” which has b</w:t>
      </w:r>
      <w:r>
        <w:rPr>
          <w:rFonts w:eastAsia="Times New Roman"/>
          <w:color w:val="000000"/>
          <w:sz w:val="20"/>
          <w:szCs w:val="20"/>
        </w:rPr>
        <w:t>ecome more prominent during the COVID Pandemic, could allow certain workers to live in less expensive localities, which could negatively impact the occupancies and revenues of our properties in such major high-cost markets;</w:t>
      </w:r>
    </w:p>
    <w:p w:rsidR="00000000" w:rsidRDefault="008C69C0">
      <w:pPr>
        <w:ind w:hanging="360"/>
        <w:jc w:val="both"/>
        <w:divId w:val="319190259"/>
        <w:rPr>
          <w:rFonts w:eastAsia="Times New Roman"/>
        </w:rPr>
      </w:pPr>
      <w:r>
        <w:rPr>
          <w:rFonts w:eastAsia="Times New Roman"/>
          <w:color w:val="000000"/>
          <w:sz w:val="20"/>
          <w:szCs w:val="20"/>
        </w:rPr>
        <w:t>•the risk that more jurisdiction</w:t>
      </w:r>
      <w:r>
        <w:rPr>
          <w:rFonts w:eastAsia="Times New Roman"/>
          <w:color w:val="000000"/>
          <w:sz w:val="20"/>
          <w:szCs w:val="20"/>
        </w:rPr>
        <w:t xml:space="preserve">s will reinstitute COVID Pandemic restrictions, which were previously eased, in response to increases in infections, including as a result of variants such as the Delta variant, or if additional pandemics occur; </w:t>
      </w:r>
    </w:p>
    <w:p w:rsidR="00000000" w:rsidRDefault="008C69C0">
      <w:pPr>
        <w:ind w:hanging="360"/>
        <w:jc w:val="both"/>
        <w:divId w:val="648096721"/>
        <w:rPr>
          <w:rFonts w:eastAsia="Times New Roman"/>
        </w:rPr>
      </w:pPr>
      <w:r>
        <w:rPr>
          <w:rFonts w:eastAsia="Times New Roman"/>
          <w:color w:val="000000"/>
          <w:sz w:val="20"/>
          <w:szCs w:val="20"/>
        </w:rPr>
        <w:t>•the risk that we could experience a change</w:t>
      </w:r>
      <w:r>
        <w:rPr>
          <w:rFonts w:eastAsia="Times New Roman"/>
          <w:color w:val="000000"/>
          <w:sz w:val="20"/>
          <w:szCs w:val="20"/>
        </w:rPr>
        <w:t xml:space="preserve"> in the move-out patterns of our long-term customers due to economic uncertainty and increases in unemployment resulting from changes in macro environment, which could lead to lower occupancies and rent “roll down” as long-term customers are replaced with </w:t>
      </w:r>
      <w:r>
        <w:rPr>
          <w:rFonts w:eastAsia="Times New Roman"/>
          <w:color w:val="000000"/>
          <w:sz w:val="20"/>
          <w:szCs w:val="20"/>
        </w:rPr>
        <w:t>new customers at lower rates;</w:t>
      </w:r>
    </w:p>
    <w:p w:rsidR="00000000" w:rsidRDefault="008C69C0">
      <w:pPr>
        <w:ind w:hanging="360"/>
        <w:jc w:val="both"/>
        <w:divId w:val="1935898056"/>
        <w:rPr>
          <w:rFonts w:eastAsia="Times New Roman"/>
        </w:rPr>
      </w:pPr>
      <w:r>
        <w:rPr>
          <w:rFonts w:eastAsia="Times New Roman"/>
          <w:color w:val="000000"/>
          <w:sz w:val="20"/>
          <w:szCs w:val="20"/>
        </w:rPr>
        <w:t>•the risk of negative impacts on the cost and availability of debt and equity capital as a result of the COVID Pandemic, which could have a material impact upon our capital and growth plans;</w:t>
      </w:r>
    </w:p>
    <w:p w:rsidR="00000000" w:rsidRDefault="008C69C0">
      <w:pPr>
        <w:ind w:hanging="360"/>
        <w:jc w:val="both"/>
        <w:divId w:val="411464052"/>
        <w:rPr>
          <w:rFonts w:eastAsia="Times New Roman"/>
        </w:rPr>
      </w:pPr>
      <w:r>
        <w:rPr>
          <w:rFonts w:eastAsia="Times New Roman"/>
          <w:color w:val="000000"/>
          <w:sz w:val="20"/>
          <w:szCs w:val="20"/>
        </w:rPr>
        <w:t>•the risk that the COVID Pandemic c</w:t>
      </w:r>
      <w:r>
        <w:rPr>
          <w:rFonts w:eastAsia="Times New Roman"/>
          <w:color w:val="000000"/>
          <w:sz w:val="20"/>
          <w:szCs w:val="20"/>
        </w:rPr>
        <w:t>ould adversely impact our ability to retain and hire employees, including as a result of vaccine or testing mandates;</w:t>
      </w:r>
    </w:p>
    <w:p w:rsidR="00000000" w:rsidRDefault="008C69C0">
      <w:pPr>
        <w:ind w:hanging="360"/>
        <w:jc w:val="both"/>
        <w:divId w:val="575285687"/>
        <w:rPr>
          <w:rFonts w:eastAsia="Times New Roman"/>
        </w:rPr>
      </w:pPr>
      <w:r>
        <w:rPr>
          <w:rFonts w:eastAsia="Times New Roman"/>
          <w:color w:val="000000"/>
          <w:sz w:val="20"/>
          <w:szCs w:val="20"/>
        </w:rPr>
        <w:t xml:space="preserve">•the impact of competition from new and existing self-storage and commercial facilities and other storage alternatives; </w:t>
      </w:r>
    </w:p>
    <w:p w:rsidR="00000000" w:rsidRDefault="008C69C0">
      <w:pPr>
        <w:ind w:hanging="360"/>
        <w:jc w:val="both"/>
        <w:divId w:val="1488016268"/>
        <w:rPr>
          <w:rFonts w:eastAsia="Times New Roman"/>
        </w:rPr>
      </w:pPr>
      <w:r>
        <w:rPr>
          <w:rFonts w:eastAsia="Times New Roman"/>
          <w:color w:val="000000"/>
          <w:sz w:val="20"/>
          <w:szCs w:val="20"/>
        </w:rPr>
        <w:t>•the risk that ou</w:t>
      </w:r>
      <w:r>
        <w:rPr>
          <w:rFonts w:eastAsia="Times New Roman"/>
          <w:color w:val="000000"/>
          <w:sz w:val="20"/>
          <w:szCs w:val="20"/>
        </w:rPr>
        <w:t>r existing self-storage facilities may be at a disadvantage in competing with newly developed facilities with more visual and customer appeal;</w:t>
      </w:r>
    </w:p>
    <w:p w:rsidR="00000000" w:rsidRDefault="008C69C0">
      <w:pPr>
        <w:jc w:val="center"/>
        <w:divId w:val="989595267"/>
        <w:rPr>
          <w:rFonts w:eastAsia="Times New Roman"/>
        </w:rPr>
      </w:pPr>
      <w:r>
        <w:rPr>
          <w:rFonts w:eastAsia="Times New Roman"/>
          <w:color w:val="000000"/>
          <w:sz w:val="20"/>
          <w:szCs w:val="20"/>
        </w:rPr>
        <w:t>28</w:t>
      </w:r>
    </w:p>
    <w:p w:rsidR="00000000" w:rsidRDefault="008C69C0">
      <w:pPr>
        <w:rPr>
          <w:rFonts w:eastAsia="Times New Roman"/>
        </w:rPr>
      </w:pPr>
      <w:r>
        <w:rPr>
          <w:rFonts w:eastAsia="Times New Roman"/>
        </w:rPr>
        <w:pict>
          <v:rect id="_x0000_i1054" style="width:0;height:1.5pt" o:hralign="center" o:hrstd="t" o:hr="t" fillcolor="#a0a0a0" stroked="f"/>
        </w:pict>
      </w:r>
    </w:p>
    <w:p w:rsidR="00000000" w:rsidRDefault="008C69C0">
      <w:pPr>
        <w:divId w:val="1834032576"/>
        <w:rPr>
          <w:rFonts w:eastAsia="Times New Roman"/>
        </w:rPr>
      </w:pPr>
    </w:p>
    <w:p w:rsidR="00000000" w:rsidRDefault="008C69C0">
      <w:pPr>
        <w:ind w:hanging="360"/>
        <w:jc w:val="both"/>
        <w:divId w:val="2091611058"/>
        <w:rPr>
          <w:rFonts w:eastAsia="Times New Roman"/>
        </w:rPr>
      </w:pPr>
      <w:r>
        <w:rPr>
          <w:rFonts w:eastAsia="Times New Roman"/>
          <w:color w:val="000000"/>
          <w:sz w:val="20"/>
          <w:szCs w:val="20"/>
        </w:rPr>
        <w:t>•risks related to increased reliance on Google and Sparefoot as customer</w:t>
      </w:r>
      <w:r>
        <w:rPr>
          <w:rFonts w:eastAsia="Times New Roman"/>
          <w:color w:val="000000"/>
          <w:sz w:val="20"/>
          <w:szCs w:val="20"/>
        </w:rPr>
        <w:t xml:space="preserve"> acquisition channels; </w:t>
      </w:r>
    </w:p>
    <w:p w:rsidR="00000000" w:rsidRDefault="008C69C0">
      <w:pPr>
        <w:ind w:hanging="360"/>
        <w:jc w:val="both"/>
        <w:divId w:val="777455501"/>
        <w:rPr>
          <w:rFonts w:eastAsia="Times New Roman"/>
        </w:rPr>
      </w:pPr>
      <w:r>
        <w:rPr>
          <w:rFonts w:eastAsia="Times New Roman"/>
          <w:color w:val="000000"/>
          <w:sz w:val="20"/>
          <w:szCs w:val="20"/>
        </w:rPr>
        <w:t>•difficulties in our ability to successfully evaluate, finance, integrate into our existing operations, and manage properties that we acquire directly or through the acquisition of entities that own and operate self-storage faciliti</w:t>
      </w:r>
      <w:r>
        <w:rPr>
          <w:rFonts w:eastAsia="Times New Roman"/>
          <w:color w:val="000000"/>
          <w:sz w:val="20"/>
          <w:szCs w:val="20"/>
        </w:rPr>
        <w:t>es, or to consummate announced acquisitions in the expected timeframe or at all;</w:t>
      </w:r>
    </w:p>
    <w:p w:rsidR="00000000" w:rsidRDefault="008C69C0">
      <w:pPr>
        <w:ind w:hanging="360"/>
        <w:jc w:val="both"/>
        <w:divId w:val="1154032195"/>
        <w:rPr>
          <w:rFonts w:eastAsia="Times New Roman"/>
        </w:rPr>
      </w:pPr>
      <w:r>
        <w:rPr>
          <w:rFonts w:eastAsia="Times New Roman"/>
          <w:color w:val="000000"/>
          <w:sz w:val="20"/>
          <w:szCs w:val="20"/>
        </w:rPr>
        <w:t>•risks associated with international operations including, but not limited to, unfavorable foreign currency rate fluctuations, changes in tax laws, and local and global econom</w:t>
      </w:r>
      <w:r>
        <w:rPr>
          <w:rFonts w:eastAsia="Times New Roman"/>
          <w:color w:val="000000"/>
          <w:sz w:val="20"/>
          <w:szCs w:val="20"/>
        </w:rPr>
        <w:t xml:space="preserve">ic uncertainty that could adversely affect our earnings and cash flows; </w:t>
      </w:r>
    </w:p>
    <w:p w:rsidR="00000000" w:rsidRDefault="008C69C0">
      <w:pPr>
        <w:ind w:hanging="360"/>
        <w:jc w:val="both"/>
        <w:divId w:val="2039887043"/>
        <w:rPr>
          <w:rFonts w:eastAsia="Times New Roman"/>
        </w:rPr>
      </w:pPr>
      <w:r>
        <w:rPr>
          <w:rFonts w:eastAsia="Times New Roman"/>
          <w:color w:val="000000"/>
          <w:sz w:val="20"/>
          <w:szCs w:val="20"/>
        </w:rPr>
        <w:t>•risks related to our participation in joint ventures;</w:t>
      </w:r>
    </w:p>
    <w:p w:rsidR="00000000" w:rsidRDefault="008C69C0">
      <w:pPr>
        <w:ind w:hanging="360"/>
        <w:jc w:val="both"/>
        <w:divId w:val="562763073"/>
        <w:rPr>
          <w:rFonts w:eastAsia="Times New Roman"/>
        </w:rPr>
      </w:pPr>
      <w:r>
        <w:rPr>
          <w:rFonts w:eastAsia="Times New Roman"/>
          <w:color w:val="000000"/>
          <w:sz w:val="20"/>
          <w:szCs w:val="20"/>
        </w:rPr>
        <w:t>•</w:t>
      </w:r>
      <w:r>
        <w:rPr>
          <w:rFonts w:eastAsia="Times New Roman"/>
          <w:color w:val="000000"/>
          <w:sz w:val="20"/>
          <w:szCs w:val="20"/>
        </w:rPr>
        <w:t>the impact of the legal and regulatory environment as well as national, state, and local laws and regulations including, without limitation, those governing environmental issues, taxes, our tenant reinsurance business, and labor, including risks related to</w:t>
      </w:r>
      <w:r>
        <w:rPr>
          <w:rFonts w:eastAsia="Times New Roman"/>
          <w:color w:val="000000"/>
          <w:sz w:val="20"/>
          <w:szCs w:val="20"/>
        </w:rPr>
        <w:t xml:space="preserve"> the impact of new laws and regulations;</w:t>
      </w:r>
    </w:p>
    <w:p w:rsidR="00000000" w:rsidRDefault="008C69C0">
      <w:pPr>
        <w:ind w:hanging="360"/>
        <w:jc w:val="both"/>
        <w:divId w:val="1848446715"/>
        <w:rPr>
          <w:rFonts w:eastAsia="Times New Roman"/>
        </w:rPr>
      </w:pPr>
      <w:r>
        <w:rPr>
          <w:rFonts w:eastAsia="Times New Roman"/>
          <w:color w:val="000000"/>
          <w:sz w:val="20"/>
          <w:szCs w:val="20"/>
        </w:rPr>
        <w:t>•risks of increased tax expense associated either with a possible failure by us to qualify as a real estate investment trust (“REIT”), or with challenges to the determination of taxable income for our taxable REIT s</w:t>
      </w:r>
      <w:r>
        <w:rPr>
          <w:rFonts w:eastAsia="Times New Roman"/>
          <w:color w:val="000000"/>
          <w:sz w:val="20"/>
          <w:szCs w:val="20"/>
        </w:rPr>
        <w:t>ubsidiaries;</w:t>
      </w:r>
    </w:p>
    <w:p w:rsidR="00000000" w:rsidRDefault="008C69C0">
      <w:pPr>
        <w:ind w:hanging="360"/>
        <w:jc w:val="both"/>
        <w:divId w:val="768430045"/>
        <w:rPr>
          <w:rFonts w:eastAsia="Times New Roman"/>
        </w:rPr>
      </w:pPr>
      <w:r>
        <w:rPr>
          <w:rFonts w:eastAsia="Times New Roman"/>
          <w:color w:val="000000"/>
          <w:sz w:val="20"/>
          <w:szCs w:val="20"/>
        </w:rPr>
        <w:t>•risks due to ballot initiatives or other actions that could remove the protections of Proposition 13 with respect to our real estate and result in substantial increases in our assessed values and property tax bills in California;</w:t>
      </w:r>
    </w:p>
    <w:p w:rsidR="00000000" w:rsidRDefault="008C69C0">
      <w:pPr>
        <w:ind w:hanging="360"/>
        <w:jc w:val="both"/>
        <w:divId w:val="1793088864"/>
        <w:rPr>
          <w:rFonts w:eastAsia="Times New Roman"/>
        </w:rPr>
      </w:pPr>
      <w:r>
        <w:rPr>
          <w:rFonts w:eastAsia="Times New Roman"/>
          <w:color w:val="000000"/>
          <w:sz w:val="20"/>
          <w:szCs w:val="20"/>
        </w:rPr>
        <w:t xml:space="preserve">•changes in </w:t>
      </w:r>
      <w:r>
        <w:rPr>
          <w:rFonts w:eastAsia="Times New Roman"/>
          <w:color w:val="000000"/>
          <w:sz w:val="20"/>
          <w:szCs w:val="20"/>
        </w:rPr>
        <w:t>United States (“U.S.”) federal or state tax laws related to the taxation of REITs and other corporations;</w:t>
      </w:r>
    </w:p>
    <w:p w:rsidR="00000000" w:rsidRDefault="008C69C0">
      <w:pPr>
        <w:ind w:hanging="360"/>
        <w:jc w:val="both"/>
        <w:divId w:val="1043747150"/>
        <w:rPr>
          <w:rFonts w:eastAsia="Times New Roman"/>
        </w:rPr>
      </w:pPr>
      <w:r>
        <w:rPr>
          <w:rFonts w:eastAsia="Times New Roman"/>
          <w:color w:val="000000"/>
          <w:sz w:val="20"/>
          <w:szCs w:val="20"/>
        </w:rPr>
        <w:t>•security breaches, including ransomware, or a failure of our networks, systems or technology could adversely impact our operations or our business, c</w:t>
      </w:r>
      <w:r>
        <w:rPr>
          <w:rFonts w:eastAsia="Times New Roman"/>
          <w:color w:val="000000"/>
          <w:sz w:val="20"/>
          <w:szCs w:val="20"/>
        </w:rPr>
        <w:t>ustomer, and employee relationships or result in fraudulent payments;</w:t>
      </w:r>
    </w:p>
    <w:p w:rsidR="00000000" w:rsidRDefault="008C69C0">
      <w:pPr>
        <w:ind w:hanging="360"/>
        <w:jc w:val="both"/>
        <w:divId w:val="752967233"/>
        <w:rPr>
          <w:rFonts w:eastAsia="Times New Roman"/>
        </w:rPr>
      </w:pPr>
      <w:r>
        <w:rPr>
          <w:rFonts w:eastAsia="Times New Roman"/>
          <w:color w:val="000000"/>
          <w:sz w:val="20"/>
          <w:szCs w:val="20"/>
        </w:rPr>
        <w:t xml:space="preserve">•risks associated with the self-insurance of certain business risks, including property and casualty insurance, employee health insurance, and workers compensation liabilities; </w:t>
      </w:r>
    </w:p>
    <w:p w:rsidR="00000000" w:rsidRDefault="008C69C0">
      <w:pPr>
        <w:ind w:hanging="360"/>
        <w:jc w:val="both"/>
        <w:divId w:val="2092386227"/>
        <w:rPr>
          <w:rFonts w:eastAsia="Times New Roman"/>
        </w:rPr>
      </w:pPr>
      <w:r>
        <w:rPr>
          <w:rFonts w:eastAsia="Times New Roman"/>
          <w:color w:val="000000"/>
          <w:sz w:val="20"/>
          <w:szCs w:val="20"/>
        </w:rPr>
        <w:t>•difficu</w:t>
      </w:r>
      <w:r>
        <w:rPr>
          <w:rFonts w:eastAsia="Times New Roman"/>
          <w:color w:val="000000"/>
          <w:sz w:val="20"/>
          <w:szCs w:val="20"/>
        </w:rPr>
        <w:t xml:space="preserve">lties in raising capital at a reasonable cost; </w:t>
      </w:r>
    </w:p>
    <w:p w:rsidR="00000000" w:rsidRDefault="008C69C0">
      <w:pPr>
        <w:ind w:hanging="360"/>
        <w:jc w:val="both"/>
        <w:divId w:val="1303458570"/>
        <w:rPr>
          <w:rFonts w:eastAsia="Times New Roman"/>
        </w:rPr>
      </w:pPr>
      <w:r>
        <w:rPr>
          <w:rFonts w:eastAsia="Times New Roman"/>
          <w:color w:val="000000"/>
          <w:sz w:val="20"/>
          <w:szCs w:val="20"/>
        </w:rPr>
        <w:t>•delays and cost overruns on our projects to develop new facilities or expand our existing facilities;</w:t>
      </w:r>
    </w:p>
    <w:p w:rsidR="00000000" w:rsidRDefault="008C69C0">
      <w:pPr>
        <w:ind w:hanging="360"/>
        <w:jc w:val="both"/>
        <w:divId w:val="516771754"/>
        <w:rPr>
          <w:rFonts w:eastAsia="Times New Roman"/>
        </w:rPr>
      </w:pPr>
      <w:r>
        <w:rPr>
          <w:rFonts w:eastAsia="Times New Roman"/>
          <w:color w:val="000000"/>
          <w:sz w:val="20"/>
          <w:szCs w:val="20"/>
        </w:rPr>
        <w:t>•difficulties in our ability to hire and retain skilled management and staff;</w:t>
      </w:r>
    </w:p>
    <w:p w:rsidR="00000000" w:rsidRDefault="008C69C0">
      <w:pPr>
        <w:ind w:hanging="360"/>
        <w:jc w:val="both"/>
        <w:divId w:val="980309263"/>
        <w:rPr>
          <w:rFonts w:eastAsia="Times New Roman"/>
        </w:rPr>
      </w:pPr>
      <w:r>
        <w:rPr>
          <w:rFonts w:eastAsia="Times New Roman"/>
          <w:color w:val="000000"/>
          <w:sz w:val="20"/>
          <w:szCs w:val="20"/>
        </w:rPr>
        <w:t>•ineffective succession pla</w:t>
      </w:r>
      <w:r>
        <w:rPr>
          <w:rFonts w:eastAsia="Times New Roman"/>
          <w:color w:val="000000"/>
          <w:sz w:val="20"/>
          <w:szCs w:val="20"/>
        </w:rPr>
        <w:t>nning for our CEO, executive management and our other key employees;</w:t>
      </w:r>
    </w:p>
    <w:p w:rsidR="00000000" w:rsidRDefault="008C69C0">
      <w:pPr>
        <w:ind w:hanging="360"/>
        <w:jc w:val="both"/>
        <w:divId w:val="1104493462"/>
        <w:rPr>
          <w:rFonts w:eastAsia="Times New Roman"/>
        </w:rPr>
      </w:pPr>
      <w:r>
        <w:rPr>
          <w:rFonts w:eastAsia="Times New Roman"/>
          <w:color w:val="000000"/>
          <w:sz w:val="20"/>
          <w:szCs w:val="20"/>
        </w:rPr>
        <w:t>•ongoing litigation and other legal and regulatory actions that may divert management’s time and attention, require us to pay damages and expenses, or restrict the operation of our busine</w:t>
      </w:r>
      <w:r>
        <w:rPr>
          <w:rFonts w:eastAsia="Times New Roman"/>
          <w:color w:val="000000"/>
          <w:sz w:val="20"/>
          <w:szCs w:val="20"/>
        </w:rPr>
        <w:t>ss; and</w:t>
      </w:r>
    </w:p>
    <w:p w:rsidR="00000000" w:rsidRDefault="008C69C0">
      <w:pPr>
        <w:ind w:hanging="360"/>
        <w:jc w:val="both"/>
        <w:divId w:val="357854351"/>
        <w:rPr>
          <w:rFonts w:eastAsia="Times New Roman"/>
        </w:rPr>
      </w:pPr>
      <w:r>
        <w:rPr>
          <w:rFonts w:eastAsia="Times New Roman"/>
          <w:color w:val="000000"/>
          <w:sz w:val="20"/>
          <w:szCs w:val="20"/>
        </w:rPr>
        <w:t>•economic uncertainty due to the impact of war or terrorism.</w:t>
      </w:r>
    </w:p>
    <w:p w:rsidR="00000000" w:rsidRDefault="008C69C0">
      <w:pPr>
        <w:ind w:firstLine="720"/>
        <w:jc w:val="both"/>
        <w:divId w:val="1377392871"/>
        <w:rPr>
          <w:rFonts w:eastAsia="Times New Roman"/>
        </w:rPr>
      </w:pPr>
      <w:r>
        <w:rPr>
          <w:rFonts w:eastAsia="Times New Roman"/>
          <w:color w:val="000000"/>
          <w:sz w:val="20"/>
          <w:szCs w:val="20"/>
        </w:rPr>
        <w:t>These forward-looking statements speak only as of the date of this report or as of the dates indicated in the statements. All of our forward-looking statements, including those in this re</w:t>
      </w:r>
      <w:r>
        <w:rPr>
          <w:rFonts w:eastAsia="Times New Roman"/>
          <w:color w:val="000000"/>
          <w:sz w:val="20"/>
          <w:szCs w:val="20"/>
        </w:rPr>
        <w:t>port, are qualified in their entirety by this statement. We expressly disclaim any obligation to update publicly or otherwise revise any forward-looking statements, whether because of new information, new estimates, or other factors, events or circumstance</w:t>
      </w:r>
      <w:r>
        <w:rPr>
          <w:rFonts w:eastAsia="Times New Roman"/>
          <w:color w:val="000000"/>
          <w:sz w:val="20"/>
          <w:szCs w:val="20"/>
        </w:rPr>
        <w:t>s after the date of these forward-looking statements, except when expressly required by law. Given these risks and uncertainties, you should not rely on any forward-looking statements in this report, or which management may make orally or in writing from t</w:t>
      </w:r>
      <w:r>
        <w:rPr>
          <w:rFonts w:eastAsia="Times New Roman"/>
          <w:color w:val="000000"/>
          <w:sz w:val="20"/>
          <w:szCs w:val="20"/>
        </w:rPr>
        <w:t>ime to time, neither as predictions of future events nor guarantees of future performance.</w:t>
      </w:r>
    </w:p>
    <w:p w:rsidR="00000000" w:rsidRDefault="008C69C0">
      <w:pPr>
        <w:jc w:val="both"/>
        <w:divId w:val="967466246"/>
        <w:rPr>
          <w:rFonts w:eastAsia="Times New Roman"/>
        </w:rPr>
      </w:pPr>
      <w:r>
        <w:rPr>
          <w:rFonts w:eastAsia="Times New Roman"/>
          <w:b/>
          <w:bCs/>
          <w:color w:val="000000"/>
          <w:sz w:val="20"/>
          <w:szCs w:val="20"/>
        </w:rPr>
        <w:t>Critical Accounting Policies</w:t>
      </w:r>
    </w:p>
    <w:p w:rsidR="00000000" w:rsidRDefault="008C69C0">
      <w:pPr>
        <w:ind w:firstLine="720"/>
        <w:jc w:val="both"/>
        <w:divId w:val="1282567365"/>
        <w:rPr>
          <w:rFonts w:eastAsia="Times New Roman"/>
        </w:rPr>
      </w:pPr>
      <w:r>
        <w:rPr>
          <w:rFonts w:eastAsia="Times New Roman"/>
          <w:color w:val="000000"/>
          <w:sz w:val="20"/>
          <w:szCs w:val="20"/>
        </w:rPr>
        <w:t>The preparation of financial statements and related disclosures in conformity with U.S. generally accepted accounting principles (“GAAP”</w:t>
      </w:r>
      <w:r>
        <w:rPr>
          <w:rFonts w:eastAsia="Times New Roman"/>
          <w:color w:val="000000"/>
          <w:sz w:val="20"/>
          <w:szCs w:val="20"/>
        </w:rPr>
        <w:t>) requires us to make judgments, assumptions, and estimates that affect the amounts reported. On an ongoing basis, we evaluate our estimates and assumptions. These estimates and assumptions are based on current facts, historical experience, and various oth</w:t>
      </w:r>
      <w:r>
        <w:rPr>
          <w:rFonts w:eastAsia="Times New Roman"/>
          <w:color w:val="000000"/>
          <w:sz w:val="20"/>
          <w:szCs w:val="20"/>
        </w:rPr>
        <w:t>er factors that we believe are reasonable under the circumstances to determine reported amounts of assets, liabilities, revenues, and expenses that are not readily apparent from other sources.</w:t>
      </w:r>
    </w:p>
    <w:p w:rsidR="00000000" w:rsidRDefault="008C69C0">
      <w:pPr>
        <w:jc w:val="center"/>
        <w:divId w:val="1968898803"/>
        <w:rPr>
          <w:rFonts w:eastAsia="Times New Roman"/>
        </w:rPr>
      </w:pPr>
      <w:r>
        <w:rPr>
          <w:rFonts w:eastAsia="Times New Roman"/>
          <w:color w:val="000000"/>
          <w:sz w:val="20"/>
          <w:szCs w:val="20"/>
        </w:rPr>
        <w:t>29</w:t>
      </w:r>
    </w:p>
    <w:p w:rsidR="00000000" w:rsidRDefault="008C69C0">
      <w:pPr>
        <w:rPr>
          <w:rFonts w:eastAsia="Times New Roman"/>
        </w:rPr>
      </w:pPr>
      <w:r>
        <w:rPr>
          <w:rFonts w:eastAsia="Times New Roman"/>
        </w:rPr>
        <w:pict>
          <v:rect id="_x0000_i1055" style="width:0;height:1.5pt" o:hralign="center" o:hrstd="t" o:hr="t" fillcolor="#a0a0a0" stroked="f"/>
        </w:pict>
      </w:r>
    </w:p>
    <w:p w:rsidR="00000000" w:rsidRDefault="008C69C0">
      <w:pPr>
        <w:divId w:val="1271006123"/>
        <w:rPr>
          <w:rFonts w:eastAsia="Times New Roman"/>
        </w:rPr>
      </w:pPr>
    </w:p>
    <w:p w:rsidR="00000000" w:rsidRDefault="008C69C0">
      <w:pPr>
        <w:ind w:firstLine="720"/>
        <w:jc w:val="both"/>
        <w:divId w:val="579487765"/>
        <w:rPr>
          <w:rFonts w:eastAsia="Times New Roman"/>
        </w:rPr>
      </w:pPr>
      <w:r>
        <w:rPr>
          <w:rFonts w:eastAsia="Times New Roman"/>
          <w:color w:val="000000"/>
          <w:sz w:val="20"/>
          <w:szCs w:val="20"/>
        </w:rPr>
        <w:t>During the nine months ended September 30, 2021, there were no material changes to our critical accounting policies and estimates as compared to the critical accounting policies and estimates disclosed in Management’s Discussion and Analysis of Financial C</w:t>
      </w:r>
      <w:r>
        <w:rPr>
          <w:rFonts w:eastAsia="Times New Roman"/>
          <w:color w:val="000000"/>
          <w:sz w:val="20"/>
          <w:szCs w:val="20"/>
        </w:rPr>
        <w:t>ondition and Results of Operations contained in Part II, Item 7 of our Form 10-K for the year ended December 31, 2020.</w:t>
      </w:r>
    </w:p>
    <w:p w:rsidR="00000000" w:rsidRDefault="008C69C0">
      <w:pPr>
        <w:jc w:val="both"/>
        <w:divId w:val="1832599918"/>
        <w:rPr>
          <w:rFonts w:eastAsia="Times New Roman"/>
        </w:rPr>
      </w:pPr>
      <w:r>
        <w:rPr>
          <w:rFonts w:eastAsia="Times New Roman"/>
          <w:b/>
          <w:bCs/>
          <w:color w:val="000000"/>
          <w:sz w:val="20"/>
          <w:szCs w:val="20"/>
        </w:rPr>
        <w:t xml:space="preserve">Overview </w:t>
      </w:r>
    </w:p>
    <w:p w:rsidR="00000000" w:rsidRDefault="008C69C0">
      <w:pPr>
        <w:ind w:firstLine="720"/>
        <w:jc w:val="both"/>
        <w:rPr>
          <w:rFonts w:eastAsia="Times New Roman"/>
        </w:rPr>
      </w:pPr>
      <w:r>
        <w:rPr>
          <w:rFonts w:eastAsia="Times New Roman"/>
          <w:color w:val="000000"/>
          <w:sz w:val="20"/>
          <w:szCs w:val="20"/>
        </w:rPr>
        <w:t>Our self-storage operations generate most of our net income and our earnings growth is most impacted by the level of organic gr</w:t>
      </w:r>
      <w:r>
        <w:rPr>
          <w:rFonts w:eastAsia="Times New Roman"/>
          <w:color w:val="000000"/>
          <w:sz w:val="20"/>
          <w:szCs w:val="20"/>
        </w:rPr>
        <w:t xml:space="preserve">owth within our Same Store Facilities. Accordingly, a significant portion of management’s time is devoted to maximizing cash flows from our existing self-storage facility portfolio.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During the three and nine months ended September 30, 2021, revenues gen</w:t>
      </w:r>
      <w:r>
        <w:rPr>
          <w:rFonts w:eastAsia="Times New Roman"/>
          <w:color w:val="000000"/>
          <w:sz w:val="20"/>
          <w:szCs w:val="20"/>
        </w:rPr>
        <w:t>erated by our Same Store Facilities (as defined below) increased 14.0% and 9.4%, respectively, while Same Store cost of operations decreased. Demand and operating trends have continued to improve, leading to increases in our self-storage rental rates in al</w:t>
      </w:r>
      <w:r>
        <w:rPr>
          <w:rFonts w:eastAsia="Times New Roman"/>
          <w:color w:val="000000"/>
          <w:sz w:val="20"/>
          <w:szCs w:val="20"/>
        </w:rPr>
        <w:t>l markets while maintaining high levels of occupancy. Our operating trends have benefited from our ability to reduce labor costs through technology improvements and reduced need for Internet marketing. At September 30, 2021, contract rent per occupied foot</w:t>
      </w:r>
      <w:r>
        <w:rPr>
          <w:rFonts w:eastAsia="Times New Roman"/>
          <w:color w:val="000000"/>
          <w:sz w:val="20"/>
          <w:szCs w:val="20"/>
        </w:rPr>
        <w:t xml:space="preserve"> was 10.7% higher and square foot occupancy was 1.2% higher for our Same Store Facilities as compared to September 30, 2020, suggesting continued revenue growth during the remainder of 2021.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In addition to managing our existing facilities for organic gr</w:t>
      </w:r>
      <w:r>
        <w:rPr>
          <w:rFonts w:eastAsia="Times New Roman"/>
          <w:color w:val="000000"/>
          <w:sz w:val="20"/>
          <w:szCs w:val="20"/>
        </w:rPr>
        <w:t>owth, we have grown and plan to continue to grow through the acquisition and development of new facilities and expansion of our existing self-storage facilities. Since the beginning of 2019, we acquired a total of 232 facilities with 18.5 million net renta</w:t>
      </w:r>
      <w:r>
        <w:rPr>
          <w:rFonts w:eastAsia="Times New Roman"/>
          <w:color w:val="000000"/>
          <w:sz w:val="20"/>
          <w:szCs w:val="20"/>
        </w:rPr>
        <w:t xml:space="preserve">ble square feet for $4.1 billion, and within our non-same store portfolio have developed and expanded self-storage space for a total cost of $1.6 billion, adding 17.0 million net rentable square feet.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On April 28, 2021, as part of our portfolio growth, we acquired the ezStorage portfolio consisting of 48 properties (4.1 million net rentable square feet) for $1.8 billion. These properties are located in submarkets with strong demand drivers and other des</w:t>
      </w:r>
      <w:r>
        <w:rPr>
          <w:rFonts w:eastAsia="Times New Roman"/>
          <w:color w:val="000000"/>
          <w:sz w:val="20"/>
          <w:szCs w:val="20"/>
        </w:rPr>
        <w:t xml:space="preserve">irable characteristics across Washington DC, Virginia, and Maryland.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 xml:space="preserve">Subsequent to September 30, 2021, we are under contract to acquire the All Storage portfolio consisting of 56 properties (7.5 million net rentable square feet) for $1.5 billion. These </w:t>
      </w:r>
      <w:r>
        <w:rPr>
          <w:rFonts w:eastAsia="Times New Roman"/>
          <w:color w:val="000000"/>
          <w:sz w:val="20"/>
          <w:szCs w:val="20"/>
        </w:rPr>
        <w:t>properties are located in submarkets with strong demand drivers and other desirable characteristics across Dallas-Ft. Worth (52 properties) and Oklahoma City. The acquisition, which is subject to the satisfaction of customary closing conditions, is expecte</w:t>
      </w:r>
      <w:r>
        <w:rPr>
          <w:rFonts w:eastAsia="Times New Roman"/>
          <w:color w:val="000000"/>
          <w:sz w:val="20"/>
          <w:szCs w:val="20"/>
        </w:rPr>
        <w:t>d to close in two separate tranches, with seven self-storage facilities closing in November 2021 and 49 self-storage facilities closing in December 2021.</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Our strong financial profile continues to enable effective access to capital markets in order to sup</w:t>
      </w:r>
      <w:r>
        <w:rPr>
          <w:rFonts w:eastAsia="Times New Roman"/>
          <w:color w:val="000000"/>
          <w:sz w:val="20"/>
          <w:szCs w:val="20"/>
        </w:rPr>
        <w:t xml:space="preserve">port our growth, and during the nine months ended September 30, 2021, we raised an aggregate of $3.3 billion in three public debt offerings and $747.5 million in two public offerings of our preferred shares.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 xml:space="preserve">In order to enhance the competitive position </w:t>
      </w:r>
      <w:r>
        <w:rPr>
          <w:rFonts w:eastAsia="Times New Roman"/>
          <w:color w:val="000000"/>
          <w:sz w:val="20"/>
          <w:szCs w:val="20"/>
        </w:rPr>
        <w:t>of certain of our facilities relative to local competitors (including newly developed facilities), we have embarked on a multi-year program to rebrand our properties, to include more pronounced, attractive, and clearly identifiable color schemes and signag</w:t>
      </w:r>
      <w:r>
        <w:rPr>
          <w:rFonts w:eastAsia="Times New Roman"/>
          <w:color w:val="000000"/>
          <w:sz w:val="20"/>
          <w:szCs w:val="20"/>
        </w:rPr>
        <w:t>e, as well as to upgrade the configuration and layout of the offices and other customer zones to improve the customer experience. The timing and scope of the program will evolve as the work is executed and we expect to spend approximately $120.0 million in</w:t>
      </w:r>
      <w:r>
        <w:rPr>
          <w:rFonts w:eastAsia="Times New Roman"/>
          <w:color w:val="000000"/>
          <w:sz w:val="20"/>
          <w:szCs w:val="20"/>
        </w:rPr>
        <w:t xml:space="preserve"> 2021 on this effort.</w:t>
      </w:r>
    </w:p>
    <w:p w:rsidR="00000000" w:rsidRDefault="008C69C0">
      <w:pPr>
        <w:divId w:val="728648024"/>
        <w:rPr>
          <w:rFonts w:eastAsia="Times New Roman"/>
        </w:rPr>
      </w:pPr>
      <w:r>
        <w:rPr>
          <w:rFonts w:eastAsia="Times New Roman"/>
          <w:b/>
          <w:bCs/>
          <w:i/>
          <w:iCs/>
          <w:color w:val="000000"/>
          <w:sz w:val="20"/>
          <w:szCs w:val="20"/>
        </w:rPr>
        <w:t xml:space="preserve">Results of Operations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96005502"/>
        </w:trPr>
        <w:tc>
          <w:tcPr>
            <w:tcW w:w="50" w:type="pct"/>
            <w:vAlign w:val="center"/>
            <w:hideMark/>
          </w:tcPr>
          <w:p w:rsidR="00000000" w:rsidRDefault="008C69C0">
            <w:pPr>
              <w:rPr>
                <w:rFonts w:eastAsia="Times New Roman"/>
              </w:rPr>
            </w:pPr>
          </w:p>
        </w:tc>
        <w:tc>
          <w:tcPr>
            <w:tcW w:w="49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39600550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bl>
    <w:p w:rsidR="00000000" w:rsidRDefault="008C69C0">
      <w:pPr>
        <w:jc w:val="both"/>
        <w:rPr>
          <w:rFonts w:eastAsia="Times New Roman"/>
        </w:rPr>
      </w:pPr>
    </w:p>
    <w:p w:rsidR="00000000" w:rsidRDefault="008C69C0">
      <w:pPr>
        <w:jc w:val="both"/>
        <w:rPr>
          <w:rFonts w:eastAsia="Times New Roman"/>
        </w:rPr>
      </w:pPr>
      <w:r>
        <w:rPr>
          <w:rFonts w:eastAsia="Times New Roman"/>
          <w:b/>
          <w:bCs/>
          <w:color w:val="000000"/>
          <w:sz w:val="20"/>
          <w:szCs w:val="20"/>
          <w:u w:val="single"/>
        </w:rPr>
        <w:t>Operating Results for the Three Months Ended September 30, 2021 and 2020</w:t>
      </w:r>
    </w:p>
    <w:p w:rsidR="00000000" w:rsidRDefault="008C69C0">
      <w:pPr>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For the three months ended September </w:t>
      </w:r>
      <w:r>
        <w:rPr>
          <w:rFonts w:eastAsia="Times New Roman"/>
          <w:color w:val="000000"/>
          <w:sz w:val="20"/>
          <w:szCs w:val="20"/>
        </w:rPr>
        <w:t>30, 2021, net income allocable to our common shareholders was $442.3 million or $2.52 per diluted common share, compared to $246.9 million or $1.41 per diluted common share in 2020 representing an increase of $195.4 million or $1.11 per diluted common shar</w:t>
      </w:r>
      <w:r>
        <w:rPr>
          <w:rFonts w:eastAsia="Times New Roman"/>
          <w:color w:val="000000"/>
          <w:sz w:val="20"/>
          <w:szCs w:val="20"/>
        </w:rPr>
        <w:t>e. The increase is due primarily to (i) a $148.7 million increase in self-storage net operating income (described below), (ii) a $82.8 million increase due to the impact of foreign currency exchange gains and losses associated with our Euro denominated deb</w:t>
      </w:r>
      <w:r>
        <w:rPr>
          <w:rFonts w:eastAsia="Times New Roman"/>
          <w:color w:val="000000"/>
          <w:sz w:val="20"/>
          <w:szCs w:val="20"/>
        </w:rPr>
        <w:t xml:space="preserve">t, (iii) a $23.3 million increase due to the impact of the redemption of preferred shares in the three months ended September 30, 2020, partially offset by (iv) a $50.2 million increase in depreciation and amortization expense.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The $148.7 million increa</w:t>
      </w:r>
      <w:r>
        <w:rPr>
          <w:rFonts w:eastAsia="Times New Roman"/>
          <w:color w:val="000000"/>
          <w:sz w:val="20"/>
          <w:szCs w:val="20"/>
        </w:rPr>
        <w:t>se in self-storage net operating income is a result of a $96.2 million increase in our Same Store Facilities (as defined below), and a $52.5 million increase in our Non-Same Store Facilities (as defined below). Revenues for the Same Store Facilities increa</w:t>
      </w:r>
      <w:r>
        <w:rPr>
          <w:rFonts w:eastAsia="Times New Roman"/>
          <w:color w:val="000000"/>
          <w:sz w:val="20"/>
          <w:szCs w:val="20"/>
        </w:rPr>
        <w:t xml:space="preserve">sed 14.0% or $87.8 million in the three months ended September 30, 2021 as compared to 2020, due primarily to higher realized annual rent per available square foot and weighted average square foot </w:t>
      </w:r>
    </w:p>
    <w:p w:rsidR="00000000" w:rsidRDefault="008C69C0">
      <w:pPr>
        <w:jc w:val="center"/>
        <w:divId w:val="1072237458"/>
        <w:rPr>
          <w:rFonts w:eastAsia="Times New Roman"/>
        </w:rPr>
      </w:pPr>
      <w:r>
        <w:rPr>
          <w:rFonts w:eastAsia="Times New Roman"/>
          <w:color w:val="000000"/>
          <w:sz w:val="20"/>
          <w:szCs w:val="20"/>
        </w:rPr>
        <w:t>30</w:t>
      </w:r>
    </w:p>
    <w:p w:rsidR="00000000" w:rsidRDefault="008C69C0">
      <w:pPr>
        <w:rPr>
          <w:rFonts w:eastAsia="Times New Roman"/>
        </w:rPr>
      </w:pPr>
      <w:r>
        <w:rPr>
          <w:rFonts w:eastAsia="Times New Roman"/>
        </w:rPr>
        <w:pict>
          <v:rect id="_x0000_i1056" style="width:0;height:1.5pt" o:hralign="center" o:hrstd="t" o:hr="t" fillcolor="#a0a0a0" stroked="f"/>
        </w:pict>
      </w:r>
    </w:p>
    <w:p w:rsidR="00000000" w:rsidRDefault="008C69C0">
      <w:pPr>
        <w:divId w:val="1035229208"/>
        <w:rPr>
          <w:rFonts w:eastAsia="Times New Roman"/>
        </w:rPr>
      </w:pPr>
    </w:p>
    <w:p w:rsidR="00000000" w:rsidRDefault="008C69C0">
      <w:pPr>
        <w:jc w:val="both"/>
        <w:rPr>
          <w:rFonts w:eastAsia="Times New Roman"/>
        </w:rPr>
      </w:pPr>
      <w:r>
        <w:rPr>
          <w:rFonts w:eastAsia="Times New Roman"/>
          <w:color w:val="000000"/>
          <w:sz w:val="20"/>
          <w:szCs w:val="20"/>
        </w:rPr>
        <w:t xml:space="preserve">occupancy. Cost </w:t>
      </w:r>
      <w:r>
        <w:rPr>
          <w:rFonts w:eastAsia="Times New Roman"/>
          <w:color w:val="000000"/>
          <w:sz w:val="20"/>
          <w:szCs w:val="20"/>
        </w:rPr>
        <w:t>of operations for the Same Store Facilities decreased by 4.6% or $8.5 million in the three months ended September 30, 2021 as compared to 2020, due primarily to a 43.3% ($7.0 million) decrease in marketing expenses, an 8.4% ($2.6 million) decrease in on-si</w:t>
      </w:r>
      <w:r>
        <w:rPr>
          <w:rFonts w:eastAsia="Times New Roman"/>
          <w:color w:val="000000"/>
          <w:sz w:val="20"/>
          <w:szCs w:val="20"/>
        </w:rPr>
        <w:t xml:space="preserve">te property manager payroll, and a change in property tax timing contributing to a 2.7% ($2.0 million) decrease in property tax expense. The increase in net operating income of $52.5 million for the Non-Same Store Facilities is due primarily to the impact </w:t>
      </w:r>
      <w:r>
        <w:rPr>
          <w:rFonts w:eastAsia="Times New Roman"/>
          <w:color w:val="000000"/>
          <w:sz w:val="20"/>
          <w:szCs w:val="20"/>
        </w:rPr>
        <w:t>of facilities acquired in 2020 and 2021 and the fill-up of recently developed and expanded facilities.</w:t>
      </w:r>
    </w:p>
    <w:p w:rsidR="00000000" w:rsidRDefault="008C69C0">
      <w:pPr>
        <w:ind w:firstLine="720"/>
        <w:jc w:val="both"/>
        <w:rPr>
          <w:rFonts w:eastAsia="Times New Roman"/>
        </w:rPr>
      </w:pPr>
    </w:p>
    <w:p w:rsidR="00000000" w:rsidRDefault="008C69C0">
      <w:pPr>
        <w:ind w:firstLine="720"/>
        <w:jc w:val="both"/>
        <w:rPr>
          <w:rFonts w:eastAsia="Times New Roman"/>
        </w:rPr>
      </w:pPr>
    </w:p>
    <w:p w:rsidR="00000000" w:rsidRDefault="008C69C0">
      <w:pPr>
        <w:jc w:val="both"/>
        <w:rPr>
          <w:rFonts w:eastAsia="Times New Roman"/>
        </w:rPr>
      </w:pPr>
      <w:r>
        <w:rPr>
          <w:rFonts w:eastAsia="Times New Roman"/>
          <w:b/>
          <w:bCs/>
          <w:color w:val="000000"/>
          <w:sz w:val="20"/>
          <w:szCs w:val="20"/>
          <w:u w:val="single"/>
        </w:rPr>
        <w:t>Operating Results for the Nine Months Ended September 30, 2021 and 2020</w:t>
      </w:r>
    </w:p>
    <w:p w:rsidR="00000000" w:rsidRDefault="008C69C0">
      <w:pPr>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For the nine months ended September 30, 2021, net income allocable to our c</w:t>
      </w:r>
      <w:r>
        <w:rPr>
          <w:rFonts w:eastAsia="Times New Roman"/>
          <w:color w:val="000000"/>
          <w:sz w:val="20"/>
          <w:szCs w:val="20"/>
        </w:rPr>
        <w:t>ommon shareholders was $1,174.4 million or $6.70 per diluted common share, compared to $806.2 million or $4.62 per diluted common share in 2020 representing an increase of $368.2 million or $2.08 per diluted common share. The increase is due primarily to (</w:t>
      </w:r>
      <w:r>
        <w:rPr>
          <w:rFonts w:eastAsia="Times New Roman"/>
          <w:color w:val="000000"/>
          <w:sz w:val="20"/>
          <w:szCs w:val="20"/>
        </w:rPr>
        <w:t>i) a $316.7 million increase in self-storage net operating income (described below), (ii) a $125.8 million increase due to the impact of foreign currency exchange gains and losses associated with our Euro denominated debt, partially offset by (iii) a $96.3</w:t>
      </w:r>
      <w:r>
        <w:rPr>
          <w:rFonts w:eastAsia="Times New Roman"/>
          <w:color w:val="000000"/>
          <w:sz w:val="20"/>
          <w:szCs w:val="20"/>
        </w:rPr>
        <w:t xml:space="preserve"> million increase in depreciation and amortization expense and (iv) a $25.8 million increase in general and administrative expense due primarily to increased share-based compensation expense.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The $316.7 million increase in self-storage net operating inc</w:t>
      </w:r>
      <w:r>
        <w:rPr>
          <w:rFonts w:eastAsia="Times New Roman"/>
          <w:color w:val="000000"/>
          <w:sz w:val="20"/>
          <w:szCs w:val="20"/>
        </w:rPr>
        <w:t>ome is a result of a $216.9 million increase in our Same Store Facilities (as defined below), and a $99.8 million increase in our Non-Same Store Facilities (as defined below). Revenues for the Same Store Facilities increased 9.4% or $175.2 million in the n</w:t>
      </w:r>
      <w:r>
        <w:rPr>
          <w:rFonts w:eastAsia="Times New Roman"/>
          <w:color w:val="000000"/>
          <w:sz w:val="20"/>
          <w:szCs w:val="20"/>
        </w:rPr>
        <w:t xml:space="preserve">ine months ended September 30, 2021 as compared to 2020, due primarily to higher realized annual rent per available square foot and weighted average square foot occupancy. Cost of operations for the Same Store Facilities decreased by 7.4% or $41.7 million </w:t>
      </w:r>
      <w:r>
        <w:rPr>
          <w:rFonts w:eastAsia="Times New Roman"/>
          <w:color w:val="000000"/>
          <w:sz w:val="20"/>
          <w:szCs w:val="20"/>
        </w:rPr>
        <w:t>in the nine months ended September 30, 2021 as compared to 2020, due primarily to (i) a 19.5% ($20.0 million) decrease in on-site property manager payroll, (ii) a 37.1% ($18.0 million) decrease in marketing expenses and (iii) a change in property tax timin</w:t>
      </w:r>
      <w:r>
        <w:rPr>
          <w:rFonts w:eastAsia="Times New Roman"/>
          <w:color w:val="000000"/>
          <w:sz w:val="20"/>
          <w:szCs w:val="20"/>
        </w:rPr>
        <w:t>g contributing to our 6.2% ($13.4 million) decrease in property tax expense. The increase in net operating income of $99.8 million for the Non-Same Store Facilities is due primarily to the impact of facilities acquired in 2020 and 2021 and the fill-up of r</w:t>
      </w:r>
      <w:r>
        <w:rPr>
          <w:rFonts w:eastAsia="Times New Roman"/>
          <w:color w:val="000000"/>
          <w:sz w:val="20"/>
          <w:szCs w:val="20"/>
        </w:rPr>
        <w:t>ecently developed and expanded facilities.</w:t>
      </w:r>
    </w:p>
    <w:p w:rsidR="00000000" w:rsidRDefault="008C69C0">
      <w:pPr>
        <w:ind w:firstLine="720"/>
        <w:jc w:val="both"/>
        <w:rPr>
          <w:rFonts w:eastAsia="Times New Roman"/>
        </w:rPr>
      </w:pPr>
    </w:p>
    <w:p w:rsidR="00000000" w:rsidRDefault="008C69C0">
      <w:pPr>
        <w:ind w:firstLine="720"/>
        <w:jc w:val="both"/>
        <w:rPr>
          <w:rFonts w:eastAsia="Times New Roman"/>
        </w:rPr>
      </w:pPr>
    </w:p>
    <w:p w:rsidR="00000000" w:rsidRDefault="008C69C0">
      <w:pPr>
        <w:jc w:val="both"/>
        <w:rPr>
          <w:rFonts w:eastAsia="Times New Roman"/>
        </w:rPr>
      </w:pPr>
      <w:r>
        <w:rPr>
          <w:rFonts w:eastAsia="Times New Roman"/>
          <w:b/>
          <w:bCs/>
          <w:color w:val="000000"/>
          <w:sz w:val="20"/>
          <w:szCs w:val="20"/>
          <w:u w:val="single"/>
        </w:rPr>
        <w:t>Funds from Operations and Core Funds from Operations</w:t>
      </w:r>
    </w:p>
    <w:p w:rsidR="00000000" w:rsidRDefault="008C69C0">
      <w:pPr>
        <w:jc w:val="both"/>
        <w:rPr>
          <w:rFonts w:eastAsia="Times New Roman"/>
        </w:rPr>
      </w:pPr>
    </w:p>
    <w:p w:rsidR="00000000" w:rsidRDefault="008C69C0">
      <w:pPr>
        <w:ind w:firstLine="720"/>
        <w:jc w:val="both"/>
        <w:divId w:val="1164394238"/>
        <w:rPr>
          <w:rFonts w:eastAsia="Times New Roman"/>
        </w:rPr>
      </w:pPr>
      <w:r>
        <w:rPr>
          <w:rFonts w:eastAsia="Times New Roman"/>
          <w:color w:val="000000"/>
          <w:sz w:val="20"/>
          <w:szCs w:val="20"/>
        </w:rPr>
        <w:t>Funds from Operations (“FFO”</w:t>
      </w:r>
      <w:r>
        <w:rPr>
          <w:rFonts w:eastAsia="Times New Roman"/>
          <w:color w:val="000000"/>
          <w:sz w:val="20"/>
          <w:szCs w:val="20"/>
        </w:rPr>
        <w:t>) and FFO per share are non-GAAP measures defined by the National Association of Real Estate Investment Trusts and are considered helpful measures of REIT performance by REITs and many REIT analysts. FFO represents net income before depreciation and amorti</w:t>
      </w:r>
      <w:r>
        <w:rPr>
          <w:rFonts w:eastAsia="Times New Roman"/>
          <w:color w:val="000000"/>
          <w:sz w:val="20"/>
          <w:szCs w:val="20"/>
        </w:rPr>
        <w:t xml:space="preserve">zation, which is excluded because it is based upon historical costs and assumes that building values diminish ratably over time, while we believe that real estate values fluctuate due to market conditions. FFO also excludes gains or losses on sale of real </w:t>
      </w:r>
      <w:r>
        <w:rPr>
          <w:rFonts w:eastAsia="Times New Roman"/>
          <w:color w:val="000000"/>
          <w:sz w:val="20"/>
          <w:szCs w:val="20"/>
        </w:rPr>
        <w:t xml:space="preserve">estate assets and real estate impairment charges, which are also based upon historical costs and are impacted by historical depreciation. FFO and FFO per share are not a substitute for net income or earnings per share. FFO is not a substitute for net cash </w:t>
      </w:r>
      <w:r>
        <w:rPr>
          <w:rFonts w:eastAsia="Times New Roman"/>
          <w:color w:val="000000"/>
          <w:sz w:val="20"/>
          <w:szCs w:val="20"/>
        </w:rPr>
        <w:t xml:space="preserve">flow in evaluating our liquidity or ability to pay dividends, because it excludes investing and financing activities presented on our statements of cash flows. In addition, other REITs may compute these measures differently, so comparisons among REITs may </w:t>
      </w:r>
      <w:r>
        <w:rPr>
          <w:rFonts w:eastAsia="Times New Roman"/>
          <w:color w:val="000000"/>
          <w:sz w:val="20"/>
          <w:szCs w:val="20"/>
        </w:rPr>
        <w:t xml:space="preserve">not be helpful. </w:t>
      </w:r>
    </w:p>
    <w:p w:rsidR="00000000" w:rsidRDefault="008C69C0">
      <w:pPr>
        <w:ind w:firstLine="720"/>
        <w:jc w:val="both"/>
        <w:divId w:val="563569623"/>
        <w:rPr>
          <w:rFonts w:eastAsia="Times New Roman"/>
        </w:rPr>
      </w:pPr>
      <w:r>
        <w:rPr>
          <w:rFonts w:eastAsia="Times New Roman"/>
          <w:color w:val="000000"/>
          <w:sz w:val="20"/>
          <w:szCs w:val="20"/>
        </w:rPr>
        <w:t>For the three months ended September 30, 2021, FFO was $3.61 per diluted common share, as compared to $2.28 per diluted common share for the same period in 2020, representing an increase of 58.3%, or $1.33 per diluted common share.</w:t>
      </w:r>
    </w:p>
    <w:p w:rsidR="00000000" w:rsidRDefault="008C69C0">
      <w:pPr>
        <w:ind w:firstLine="720"/>
        <w:jc w:val="both"/>
        <w:divId w:val="1640107144"/>
        <w:rPr>
          <w:rFonts w:eastAsia="Times New Roman"/>
        </w:rPr>
      </w:pPr>
      <w:r>
        <w:rPr>
          <w:rFonts w:eastAsia="Times New Roman"/>
          <w:color w:val="000000"/>
          <w:sz w:val="20"/>
          <w:szCs w:val="20"/>
        </w:rPr>
        <w:t>For the</w:t>
      </w:r>
      <w:r>
        <w:rPr>
          <w:rFonts w:eastAsia="Times New Roman"/>
          <w:color w:val="000000"/>
          <w:sz w:val="20"/>
          <w:szCs w:val="20"/>
        </w:rPr>
        <w:t xml:space="preserve"> nine months ended September 30, 2021, FFO was $9.69 per diluted common share, as compared to $7.18 per diluted common share for the same period in 2020, representing an increase of 35.0%, or $2.51 per diluted common share.</w:t>
      </w:r>
    </w:p>
    <w:p w:rsidR="00000000" w:rsidRDefault="008C69C0">
      <w:pPr>
        <w:jc w:val="center"/>
        <w:divId w:val="1480344577"/>
        <w:rPr>
          <w:rFonts w:eastAsia="Times New Roman"/>
        </w:rPr>
      </w:pPr>
      <w:r>
        <w:rPr>
          <w:rFonts w:eastAsia="Times New Roman"/>
          <w:color w:val="000000"/>
          <w:sz w:val="20"/>
          <w:szCs w:val="20"/>
        </w:rPr>
        <w:t>31</w:t>
      </w:r>
    </w:p>
    <w:p w:rsidR="00000000" w:rsidRDefault="008C69C0">
      <w:pPr>
        <w:rPr>
          <w:rFonts w:eastAsia="Times New Roman"/>
        </w:rPr>
      </w:pPr>
      <w:r>
        <w:rPr>
          <w:rFonts w:eastAsia="Times New Roman"/>
        </w:rPr>
        <w:pict>
          <v:rect id="_x0000_i1057" style="width:0;height:1.5pt" o:hralign="center" o:hrstd="t" o:hr="t" fillcolor="#a0a0a0" stroked="f"/>
        </w:pict>
      </w:r>
    </w:p>
    <w:p w:rsidR="00000000" w:rsidRDefault="008C69C0">
      <w:pPr>
        <w:divId w:val="2110158588"/>
        <w:rPr>
          <w:rFonts w:eastAsia="Times New Roman"/>
        </w:rPr>
      </w:pPr>
    </w:p>
    <w:p w:rsidR="00000000" w:rsidRDefault="008C69C0">
      <w:pPr>
        <w:ind w:firstLine="720"/>
        <w:jc w:val="both"/>
        <w:rPr>
          <w:rFonts w:eastAsia="Times New Roman"/>
        </w:rPr>
      </w:pPr>
      <w:r>
        <w:rPr>
          <w:rFonts w:eastAsia="Times New Roman"/>
          <w:color w:val="000000"/>
          <w:sz w:val="20"/>
          <w:szCs w:val="20"/>
        </w:rPr>
        <w:t>The following tables reconcile diluted earnings per share to FFO per share and set forth the computation of FFO per share:</w:t>
      </w:r>
    </w:p>
    <w:p w:rsidR="00000000" w:rsidRDefault="008C69C0">
      <w:pPr>
        <w:divId w:val="14688904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92"/>
        <w:gridCol w:w="38"/>
        <w:gridCol w:w="120"/>
        <w:gridCol w:w="953"/>
        <w:gridCol w:w="36"/>
        <w:gridCol w:w="36"/>
        <w:gridCol w:w="36"/>
        <w:gridCol w:w="36"/>
        <w:gridCol w:w="120"/>
        <w:gridCol w:w="912"/>
        <w:gridCol w:w="36"/>
        <w:gridCol w:w="36"/>
        <w:gridCol w:w="36"/>
        <w:gridCol w:w="36"/>
        <w:gridCol w:w="120"/>
        <w:gridCol w:w="912"/>
        <w:gridCol w:w="36"/>
        <w:gridCol w:w="36"/>
        <w:gridCol w:w="36"/>
        <w:gridCol w:w="36"/>
        <w:gridCol w:w="120"/>
        <w:gridCol w:w="912"/>
        <w:gridCol w:w="36"/>
      </w:tblGrid>
      <w:tr w:rsidR="00000000">
        <w:trPr>
          <w:divId w:val="1942569587"/>
        </w:trPr>
        <w:tc>
          <w:tcPr>
            <w:tcW w:w="50" w:type="pct"/>
            <w:vAlign w:val="center"/>
            <w:hideMark/>
          </w:tcPr>
          <w:p w:rsidR="00000000" w:rsidRDefault="008C69C0">
            <w:pPr>
              <w:rPr>
                <w:rFonts w:eastAsia="Times New Roman"/>
              </w:rPr>
            </w:pPr>
          </w:p>
        </w:tc>
        <w:tc>
          <w:tcPr>
            <w:tcW w:w="219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94256958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8"/>
                <w:szCs w:val="28"/>
              </w:rPr>
              <w:t> </w:t>
            </w: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September 30,</w:t>
            </w: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2020</w:t>
            </w:r>
          </w:p>
        </w:tc>
      </w:tr>
      <w:tr w:rsidR="00000000">
        <w:trPr>
          <w:divId w:val="1942569587"/>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20"/>
                <w:szCs w:val="20"/>
              </w:rPr>
              <w:t>(Amounts in thousands, except per share data)</w:t>
            </w: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b/>
                <w:bCs/>
                <w:color w:val="000000"/>
                <w:sz w:val="20"/>
                <w:szCs w:val="20"/>
                <w:u w:val="single"/>
              </w:rPr>
              <w:t>Reconciliation of Diluted Earnings per Share to FFO per Share: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Height w:val="12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Diluted Earnings per Share</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212"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Eliminate amounts per share excluded from FFO:</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divId w:val="1942569587"/>
        </w:trPr>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Depreciation and amortization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(0.18)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FFO per share</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3.61 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9.69 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b/>
                <w:bCs/>
                <w:color w:val="000000"/>
                <w:sz w:val="20"/>
                <w:szCs w:val="20"/>
                <w:u w:val="single"/>
              </w:rPr>
              <w:t>Computation of FFO per Share: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Height w:val="12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Net income allocable to common shareholders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442,327 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246,916 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1,174,386 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806,169 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212"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Eliminate items excluded from FFO:</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42569587"/>
        </w:trPr>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Depreciation and amortization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187,611 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137,526 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505,218 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409,484 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Depreciation from unconsolidated real estate investments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19,209 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17,492 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54,485 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52,607 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Depreciation allocated to noncontrolling interests and restricted share unitholders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(1,318)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(954)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(3,413)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(2,853)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(12,572)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(3,174)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(31,156)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(12,415)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xml:space="preserve">FFO allocable to common shares </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635,257 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397,806 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1,699,520 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1,252,992 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xml:space="preserve">Diluted weighted average common shares </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175,806 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174,626 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175,398 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174,606 </w:t>
            </w:r>
          </w:p>
        </w:tc>
        <w:tc>
          <w:tcPr>
            <w:tcW w:w="0" w:type="auto"/>
            <w:tcBorders>
              <w:top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r w:rsidR="00000000">
        <w:trPr>
          <w:divId w:val="1942569587"/>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FFO per share</w:t>
            </w: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3.61 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2.28 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9.69 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7.18 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ind w:firstLine="720"/>
        <w:jc w:val="both"/>
        <w:divId w:val="1528904293"/>
        <w:rPr>
          <w:rFonts w:eastAsia="Times New Roman"/>
        </w:rPr>
      </w:pPr>
      <w:r>
        <w:rPr>
          <w:rFonts w:eastAsia="Times New Roman"/>
          <w:color w:val="000000"/>
          <w:sz w:val="20"/>
          <w:szCs w:val="20"/>
        </w:rPr>
        <w:t>We also present “Core FFO per share,” a non-GAAP measure that represents FFO per share excluding the impact of (i) foreign currency exchange gains and losses, (ii) charges related t</w:t>
      </w:r>
      <w:r>
        <w:rPr>
          <w:rFonts w:eastAsia="Times New Roman"/>
          <w:color w:val="000000"/>
          <w:sz w:val="20"/>
          <w:szCs w:val="20"/>
        </w:rPr>
        <w:t>o the redemption of preferred securities, and (iii) certain other non-cash and/or nonrecurring income or expense items primarily representing, with respect to the periods presented below, the impact of loss contingency accruals, casualties, transactional d</w:t>
      </w:r>
      <w:r>
        <w:rPr>
          <w:rFonts w:eastAsia="Times New Roman"/>
          <w:color w:val="000000"/>
          <w:sz w:val="20"/>
          <w:szCs w:val="20"/>
        </w:rPr>
        <w:t>ue diligence, and advisory costs</w:t>
      </w:r>
      <w:r>
        <w:rPr>
          <w:rFonts w:eastAsia="Times New Roman"/>
          <w:color w:val="000000"/>
          <w:sz w:val="18"/>
          <w:szCs w:val="18"/>
        </w:rPr>
        <w:t xml:space="preserve"> . </w:t>
      </w:r>
      <w:r>
        <w:rPr>
          <w:rFonts w:eastAsia="Times New Roman"/>
          <w:color w:val="000000"/>
          <w:sz w:val="20"/>
          <w:szCs w:val="20"/>
        </w:rPr>
        <w:t>We review Core FFO per share to evaluate our ongoing operating performance and we believe it is used by investors and REIT analysts in a similar manner. However, Core FFO per share is not a substitute for net income per s</w:t>
      </w:r>
      <w:r>
        <w:rPr>
          <w:rFonts w:eastAsia="Times New Roman"/>
          <w:color w:val="000000"/>
          <w:sz w:val="20"/>
          <w:szCs w:val="20"/>
        </w:rPr>
        <w:t>hare. Because other REITs may not compute Core FFO per share in the same manner as we do, may not use the same terminology or may not present such a measure, Core FFO per share may not be comparable among REITs.</w:t>
      </w:r>
    </w:p>
    <w:p w:rsidR="00000000" w:rsidRDefault="008C69C0">
      <w:pPr>
        <w:jc w:val="center"/>
        <w:divId w:val="1529222649"/>
        <w:rPr>
          <w:rFonts w:eastAsia="Times New Roman"/>
        </w:rPr>
      </w:pPr>
      <w:r>
        <w:rPr>
          <w:rFonts w:eastAsia="Times New Roman"/>
          <w:color w:val="000000"/>
          <w:sz w:val="20"/>
          <w:szCs w:val="20"/>
        </w:rPr>
        <w:t>32</w:t>
      </w:r>
    </w:p>
    <w:p w:rsidR="00000000" w:rsidRDefault="008C69C0">
      <w:pPr>
        <w:rPr>
          <w:rFonts w:eastAsia="Times New Roman"/>
        </w:rPr>
      </w:pPr>
      <w:r>
        <w:rPr>
          <w:rFonts w:eastAsia="Times New Roman"/>
        </w:rPr>
        <w:pict>
          <v:rect id="_x0000_i1058" style="width:0;height:1.5pt" o:hralign="center" o:hrstd="t" o:hr="t" fillcolor="#a0a0a0" stroked="f"/>
        </w:pict>
      </w:r>
    </w:p>
    <w:p w:rsidR="00000000" w:rsidRDefault="008C69C0">
      <w:pPr>
        <w:divId w:val="1680421946"/>
        <w:rPr>
          <w:rFonts w:eastAsia="Times New Roman"/>
        </w:rPr>
      </w:pPr>
    </w:p>
    <w:p w:rsidR="00000000" w:rsidRDefault="008C69C0">
      <w:pPr>
        <w:ind w:firstLine="720"/>
        <w:jc w:val="both"/>
        <w:divId w:val="761298459"/>
        <w:rPr>
          <w:rFonts w:eastAsia="Times New Roman"/>
        </w:rPr>
      </w:pPr>
      <w:r>
        <w:rPr>
          <w:rFonts w:eastAsia="Times New Roman"/>
          <w:color w:val="000000"/>
          <w:sz w:val="20"/>
          <w:szCs w:val="20"/>
        </w:rPr>
        <w:t>Th</w:t>
      </w:r>
      <w:r>
        <w:rPr>
          <w:rFonts w:eastAsia="Times New Roman"/>
          <w:color w:val="000000"/>
          <w:sz w:val="20"/>
          <w:szCs w:val="20"/>
        </w:rPr>
        <w:t>e following table reconciles FFO per share to Core FFO per share:</w:t>
      </w:r>
    </w:p>
    <w:tbl>
      <w:tblPr>
        <w:tblW w:w="5000" w:type="pct"/>
        <w:tblCellMar>
          <w:top w:w="15" w:type="dxa"/>
          <w:left w:w="15" w:type="dxa"/>
          <w:bottom w:w="15" w:type="dxa"/>
          <w:right w:w="15" w:type="dxa"/>
        </w:tblCellMar>
        <w:tblLook w:val="04A0" w:firstRow="1" w:lastRow="0" w:firstColumn="1" w:lastColumn="0" w:noHBand="0" w:noVBand="1"/>
      </w:tblPr>
      <w:tblGrid>
        <w:gridCol w:w="39"/>
        <w:gridCol w:w="2589"/>
        <w:gridCol w:w="38"/>
        <w:gridCol w:w="120"/>
        <w:gridCol w:w="571"/>
        <w:gridCol w:w="36"/>
        <w:gridCol w:w="36"/>
        <w:gridCol w:w="36"/>
        <w:gridCol w:w="36"/>
        <w:gridCol w:w="120"/>
        <w:gridCol w:w="571"/>
        <w:gridCol w:w="36"/>
        <w:gridCol w:w="36"/>
        <w:gridCol w:w="36"/>
        <w:gridCol w:w="36"/>
        <w:gridCol w:w="91"/>
        <w:gridCol w:w="818"/>
        <w:gridCol w:w="187"/>
        <w:gridCol w:w="36"/>
        <w:gridCol w:w="36"/>
        <w:gridCol w:w="36"/>
        <w:gridCol w:w="120"/>
        <w:gridCol w:w="571"/>
        <w:gridCol w:w="36"/>
        <w:gridCol w:w="36"/>
        <w:gridCol w:w="36"/>
        <w:gridCol w:w="36"/>
        <w:gridCol w:w="120"/>
        <w:gridCol w:w="571"/>
        <w:gridCol w:w="36"/>
        <w:gridCol w:w="36"/>
        <w:gridCol w:w="36"/>
        <w:gridCol w:w="36"/>
        <w:gridCol w:w="91"/>
        <w:gridCol w:w="818"/>
        <w:gridCol w:w="187"/>
      </w:tblGrid>
      <w:tr w:rsidR="00000000">
        <w:trPr>
          <w:divId w:val="1370571113"/>
        </w:trPr>
        <w:tc>
          <w:tcPr>
            <w:tcW w:w="50" w:type="pct"/>
            <w:vAlign w:val="center"/>
            <w:hideMark/>
          </w:tcPr>
          <w:p w:rsidR="00000000" w:rsidRDefault="008C69C0">
            <w:pPr>
              <w:ind w:firstLine="720"/>
              <w:jc w:val="both"/>
              <w:rPr>
                <w:rFonts w:eastAsia="Times New Roman"/>
              </w:rPr>
            </w:pPr>
          </w:p>
        </w:tc>
        <w:tc>
          <w:tcPr>
            <w:tcW w:w="174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September 30,</w:t>
            </w:r>
          </w:p>
        </w:tc>
      </w:tr>
      <w:tr w:rsidR="00000000">
        <w:trPr>
          <w:divId w:val="137057111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Percentage Change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Percentage Change</w:t>
            </w:r>
          </w:p>
        </w:tc>
      </w:tr>
      <w:tr w:rsidR="00000000">
        <w:trPr>
          <w:divId w:val="1370571113"/>
          <w:trHeight w:val="18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FFO per share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1370571113"/>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Eliminate the per share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8C69C0">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38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 xml:space="preserve">Foreign currency exchange (gain) loss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(0.23)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(0.42)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38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Preferred share redemption charge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0.22 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38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Property losses and tenant claims due to casualties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380" w:type="dxa"/>
              <w:bottom w:w="30" w:type="dxa"/>
              <w:right w:w="20" w:type="dxa"/>
            </w:tcMar>
            <w:vAlign w:val="bottom"/>
            <w:hideMark/>
          </w:tcPr>
          <w:p w:rsidR="00000000" w:rsidRDefault="008C69C0">
            <w:pPr>
              <w:spacing w:after="100"/>
              <w:ind w:hanging="180"/>
              <w:rPr>
                <w:rFonts w:eastAsia="Times New Roman"/>
              </w:rPr>
            </w:pPr>
            <w:r>
              <w:rPr>
                <w:rFonts w:eastAsia="Times New Roman"/>
                <w:color w:val="000000"/>
                <w:sz w:val="20"/>
                <w:szCs w:val="20"/>
              </w:rPr>
              <w:t>Other items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(0.02)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37057111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Core FFO per share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bl>
    <w:p w:rsidR="00000000" w:rsidRDefault="008C69C0">
      <w:pPr>
        <w:divId w:val="1913082825"/>
        <w:rPr>
          <w:rFonts w:eastAsia="Times New Roman"/>
        </w:rPr>
      </w:pPr>
      <w:r>
        <w:rPr>
          <w:rFonts w:eastAsia="Times New Roman"/>
          <w:b/>
          <w:bCs/>
          <w:color w:val="000000"/>
          <w:sz w:val="20"/>
          <w:szCs w:val="20"/>
        </w:rPr>
        <w:t>Analysis of Net Income by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33062831"/>
        </w:trPr>
        <w:tc>
          <w:tcPr>
            <w:tcW w:w="50" w:type="pct"/>
            <w:vAlign w:val="center"/>
            <w:hideMark/>
          </w:tcPr>
          <w:p w:rsidR="00000000" w:rsidRDefault="008C69C0">
            <w:pPr>
              <w:rPr>
                <w:rFonts w:eastAsia="Times New Roman"/>
              </w:rPr>
            </w:pPr>
          </w:p>
        </w:tc>
        <w:tc>
          <w:tcPr>
            <w:tcW w:w="49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43306283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bl>
    <w:p w:rsidR="00000000" w:rsidRDefault="008C69C0">
      <w:pPr>
        <w:ind w:firstLine="720"/>
        <w:jc w:val="both"/>
        <w:divId w:val="1723164779"/>
        <w:rPr>
          <w:rFonts w:eastAsia="Times New Roman"/>
        </w:rPr>
      </w:pPr>
      <w:r>
        <w:rPr>
          <w:rFonts w:eastAsia="Times New Roman"/>
          <w:color w:val="000000"/>
          <w:sz w:val="20"/>
          <w:szCs w:val="20"/>
        </w:rPr>
        <w:t>The following discussion and analysis is presented and organized in accordance with Note 11 to our September 30, 2021 financial statements, “Segment Information.” Accordingly, refer to the table presented in Note 11 in order to reconcile such amounts to ou</w:t>
      </w:r>
      <w:r>
        <w:rPr>
          <w:rFonts w:eastAsia="Times New Roman"/>
          <w:color w:val="000000"/>
          <w:sz w:val="20"/>
          <w:szCs w:val="20"/>
        </w:rPr>
        <w:t>r total net income and for further information on our reportable segments.</w:t>
      </w:r>
    </w:p>
    <w:p w:rsidR="00000000" w:rsidRDefault="008C69C0">
      <w:pPr>
        <w:jc w:val="both"/>
        <w:divId w:val="1870869733"/>
        <w:rPr>
          <w:rFonts w:eastAsia="Times New Roman"/>
        </w:rPr>
      </w:pPr>
      <w:r>
        <w:rPr>
          <w:rFonts w:eastAsia="Times New Roman"/>
          <w:b/>
          <w:bCs/>
          <w:color w:val="000000"/>
          <w:sz w:val="20"/>
          <w:szCs w:val="20"/>
          <w:u w:val="single"/>
        </w:rPr>
        <w:t>Self-Storage Operations</w:t>
      </w:r>
    </w:p>
    <w:p w:rsidR="00000000" w:rsidRDefault="008C69C0">
      <w:pPr>
        <w:ind w:firstLine="720"/>
        <w:jc w:val="both"/>
        <w:divId w:val="1585644880"/>
        <w:rPr>
          <w:rFonts w:eastAsia="Times New Roman"/>
        </w:rPr>
      </w:pPr>
      <w:r>
        <w:rPr>
          <w:rFonts w:eastAsia="Times New Roman"/>
          <w:color w:val="000000"/>
          <w:sz w:val="20"/>
          <w:szCs w:val="20"/>
        </w:rPr>
        <w:t>Our self-storage operations are analyzed in four groups: (i) the 2,274 facilities that we have owned and operated on a stabilized basis since January 1, 2019</w:t>
      </w:r>
      <w:r>
        <w:rPr>
          <w:rFonts w:eastAsia="Times New Roman"/>
          <w:color w:val="000000"/>
          <w:sz w:val="20"/>
          <w:szCs w:val="20"/>
        </w:rPr>
        <w:t xml:space="preserve"> (the “Same Store Facilities”), (ii) 232 facilities we acquired after December 31, 2018 (the “Acquired facilities”), (iii) 139 facilities that have been newly developed or expanded, or that we expect to commence expansion by December 31, 2021 (the “Newly d</w:t>
      </w:r>
      <w:r>
        <w:rPr>
          <w:rFonts w:eastAsia="Times New Roman"/>
          <w:color w:val="000000"/>
          <w:sz w:val="20"/>
          <w:szCs w:val="20"/>
        </w:rPr>
        <w:t xml:space="preserve">eveloped and expanded facilities”), and (iv) 33 other facilities, which are otherwise not stabilized with respect to occupancies or rental rates since January 1, 2019 (the “Other non-same store facilities”). See Note 11 to our September 30, 2021 financial </w:t>
      </w:r>
      <w:r>
        <w:rPr>
          <w:rFonts w:eastAsia="Times New Roman"/>
          <w:color w:val="000000"/>
          <w:sz w:val="20"/>
          <w:szCs w:val="20"/>
        </w:rPr>
        <w:t>statements “Segment Information,” for a reconciliation of the amounts in the tables below to our total net income.</w:t>
      </w:r>
    </w:p>
    <w:p w:rsidR="00000000" w:rsidRDefault="008C69C0">
      <w:pPr>
        <w:jc w:val="center"/>
        <w:divId w:val="1275746235"/>
        <w:rPr>
          <w:rFonts w:eastAsia="Times New Roman"/>
        </w:rPr>
      </w:pPr>
      <w:r>
        <w:rPr>
          <w:rFonts w:eastAsia="Times New Roman"/>
          <w:color w:val="000000"/>
          <w:sz w:val="20"/>
          <w:szCs w:val="20"/>
        </w:rPr>
        <w:t>33</w:t>
      </w:r>
    </w:p>
    <w:p w:rsidR="00000000" w:rsidRDefault="008C69C0">
      <w:pPr>
        <w:rPr>
          <w:rFonts w:eastAsia="Times New Roman"/>
        </w:rPr>
      </w:pPr>
      <w:r>
        <w:rPr>
          <w:rFonts w:eastAsia="Times New Roman"/>
        </w:rPr>
        <w:pict>
          <v:rect id="_x0000_i1059" style="width:0;height:1.5pt" o:hralign="center" o:hrstd="t" o:hr="t" fillcolor="#a0a0a0" stroked="f"/>
        </w:pict>
      </w:r>
    </w:p>
    <w:p w:rsidR="00000000" w:rsidRDefault="008C69C0">
      <w:pPr>
        <w:divId w:val="872420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330"/>
        <w:gridCol w:w="38"/>
        <w:gridCol w:w="110"/>
        <w:gridCol w:w="630"/>
        <w:gridCol w:w="36"/>
        <w:gridCol w:w="36"/>
        <w:gridCol w:w="36"/>
        <w:gridCol w:w="36"/>
        <w:gridCol w:w="110"/>
        <w:gridCol w:w="630"/>
        <w:gridCol w:w="36"/>
        <w:gridCol w:w="36"/>
        <w:gridCol w:w="36"/>
        <w:gridCol w:w="36"/>
        <w:gridCol w:w="82"/>
        <w:gridCol w:w="740"/>
        <w:gridCol w:w="170"/>
        <w:gridCol w:w="36"/>
        <w:gridCol w:w="36"/>
        <w:gridCol w:w="36"/>
        <w:gridCol w:w="110"/>
        <w:gridCol w:w="765"/>
        <w:gridCol w:w="36"/>
        <w:gridCol w:w="36"/>
        <w:gridCol w:w="36"/>
        <w:gridCol w:w="36"/>
        <w:gridCol w:w="110"/>
        <w:gridCol w:w="765"/>
        <w:gridCol w:w="36"/>
        <w:gridCol w:w="36"/>
        <w:gridCol w:w="36"/>
        <w:gridCol w:w="36"/>
        <w:gridCol w:w="82"/>
        <w:gridCol w:w="740"/>
        <w:gridCol w:w="170"/>
      </w:tblGrid>
      <w:tr w:rsidR="00000000">
        <w:tc>
          <w:tcPr>
            <w:tcW w:w="50" w:type="pct"/>
            <w:vAlign w:val="center"/>
            <w:hideMark/>
          </w:tcPr>
          <w:p w:rsidR="00000000" w:rsidRDefault="008C69C0">
            <w:pPr>
              <w:rPr>
                <w:rFonts w:eastAsia="Times New Roman"/>
              </w:rPr>
            </w:pPr>
          </w:p>
        </w:tc>
        <w:tc>
          <w:tcPr>
            <w:tcW w:w="171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Self-Storage Operations</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 </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Summary</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Percentage Change</w:t>
            </w:r>
          </w:p>
        </w:tc>
      </w:tr>
      <w:tr w:rsidR="00000000">
        <w:trPr>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(Dollar amounts and square footage in thousands)</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716,050 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628,286 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2,042,832 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1,867,663 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62,187 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11,001 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124,751 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28,103 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55,100 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38,375 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145,960 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108,449 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20,307 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18,477 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840,510 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683,949 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2,333,850 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2,022,692 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Cost of operations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175,609 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184,068 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523,323 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565,057 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20,064 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45,918 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19,059 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17,735 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55,572 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51,016 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7,526 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216,999 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209,179 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631,699 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637,229 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(0.9)</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Net operating income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540,441 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444,218 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1,519,509 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1,302,606 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42,123 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6,121 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78,833 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14,473 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36,041 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20,640 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90,388 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57,433 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13,421 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10,951 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38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Total net operating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623,511 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474,770 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1,702,151 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1,385,463 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Depreciation and amortization expense: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(112,656)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(112,092)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(332,079)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(333,650)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(55,986)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(7,223)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675.1 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(114,297)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(22,292)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(14,977)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(13,596)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(46,126)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(39,796)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(4,933)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(5,422)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(15,637)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(16,113)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47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Total depreciation and amortization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(188,552)</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(138,333)</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(508,139)</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(411,851)</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Net income (loss):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427,785 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332,126 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1,187,430 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968,956 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(13,863)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(1,102)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(35,464)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(7,819)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21,064 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44,262 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17,637 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(1,631)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(2,216)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(5,162)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38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Total net income</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434,959 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336,437 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1,194,012 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973,612 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Number of facilities at period end: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2,678 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2,504 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Net rentable square footage at period end: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Same Store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148,695 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148,695 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Acquired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18,524 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Newly developed and expanded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15,469 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Other non-same store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186,377 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171,006 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bl>
    <w:p w:rsidR="00000000" w:rsidRDefault="008C69C0">
      <w:pPr>
        <w:jc w:val="center"/>
        <w:divId w:val="1903784330"/>
        <w:rPr>
          <w:rFonts w:eastAsia="Times New Roman"/>
        </w:rPr>
      </w:pPr>
      <w:r>
        <w:rPr>
          <w:rFonts w:eastAsia="Times New Roman"/>
          <w:color w:val="000000"/>
          <w:sz w:val="20"/>
          <w:szCs w:val="20"/>
        </w:rPr>
        <w:t>34</w:t>
      </w:r>
    </w:p>
    <w:p w:rsidR="00000000" w:rsidRDefault="008C69C0">
      <w:pPr>
        <w:rPr>
          <w:rFonts w:eastAsia="Times New Roman"/>
        </w:rPr>
      </w:pPr>
      <w:r>
        <w:rPr>
          <w:rFonts w:eastAsia="Times New Roman"/>
        </w:rPr>
        <w:pict>
          <v:rect id="_x0000_i1060" style="width:0;height:1.5pt" o:hralign="center" o:hrstd="t" o:hr="t" fillcolor="#a0a0a0" stroked="f"/>
        </w:pict>
      </w:r>
    </w:p>
    <w:p w:rsidR="00000000" w:rsidRDefault="008C69C0">
      <w:pPr>
        <w:divId w:val="2071465483"/>
        <w:rPr>
          <w:rFonts w:eastAsia="Times New Roman"/>
        </w:rPr>
      </w:pPr>
    </w:p>
    <w:p w:rsidR="00000000" w:rsidRDefault="008C69C0">
      <w:pPr>
        <w:ind w:hanging="360"/>
        <w:jc w:val="both"/>
        <w:rPr>
          <w:rFonts w:eastAsia="Times New Roman"/>
        </w:rPr>
      </w:pPr>
      <w:r>
        <w:rPr>
          <w:rFonts w:eastAsia="Times New Roman"/>
          <w:color w:val="000000"/>
          <w:sz w:val="18"/>
          <w:szCs w:val="18"/>
        </w:rPr>
        <w:t>(a)We revised our prior period financial statements to correct the presentation of share-based compensation expense and dividends paid on RSUs between general and administrative expense and self-storage cost of operati</w:t>
      </w:r>
      <w:r>
        <w:rPr>
          <w:rFonts w:eastAsia="Times New Roman"/>
          <w:color w:val="000000"/>
          <w:sz w:val="18"/>
          <w:szCs w:val="18"/>
        </w:rPr>
        <w:t>ons. As a result, we revised our statements of income for the three and nine months ended September 30, 2020 with an increase in self-storage cost of operations of</w:t>
      </w:r>
      <w:r>
        <w:rPr>
          <w:rFonts w:eastAsia="Times New Roman"/>
          <w:color w:val="000000"/>
          <w:sz w:val="20"/>
          <w:szCs w:val="20"/>
        </w:rPr>
        <w:t xml:space="preserve"> </w:t>
      </w:r>
      <w:r>
        <w:rPr>
          <w:rFonts w:eastAsia="Times New Roman"/>
          <w:color w:val="000000"/>
          <w:sz w:val="18"/>
          <w:szCs w:val="18"/>
        </w:rPr>
        <w:t>$3.1 million and $9.4 million, respectively, and a corresponding decrease to general and adm</w:t>
      </w:r>
      <w:r>
        <w:rPr>
          <w:rFonts w:eastAsia="Times New Roman"/>
          <w:color w:val="000000"/>
          <w:sz w:val="18"/>
          <w:szCs w:val="18"/>
        </w:rPr>
        <w:t xml:space="preserve">inistrative expenses. This immaterial correction had no impact on our total expenses or net income. The correction also had no impact on our balance sheet, statements of comprehensive income, statements of equity, or cash flows as of and for the three and </w:t>
      </w:r>
      <w:r>
        <w:rPr>
          <w:rFonts w:eastAsia="Times New Roman"/>
          <w:color w:val="000000"/>
          <w:sz w:val="18"/>
          <w:szCs w:val="18"/>
        </w:rPr>
        <w:t>nine months ended September 30, 2020.</w:t>
      </w:r>
    </w:p>
    <w:p w:rsidR="00000000" w:rsidRDefault="008C69C0">
      <w:pPr>
        <w:ind w:hanging="360"/>
        <w:jc w:val="both"/>
        <w:divId w:val="475991524"/>
        <w:rPr>
          <w:rFonts w:eastAsia="Times New Roman"/>
        </w:rPr>
      </w:pPr>
      <w:r>
        <w:rPr>
          <w:rFonts w:eastAsia="Times New Roman"/>
          <w:color w:val="000000"/>
          <w:sz w:val="18"/>
          <w:szCs w:val="18"/>
        </w:rPr>
        <w:t>(b)Net operating income or “NOI” is a non-GAAP financial measure that excludes the impact of depreciation and amortization expense, which is based upon historical real estate costs and assumes that building values dimi</w:t>
      </w:r>
      <w:r>
        <w:rPr>
          <w:rFonts w:eastAsia="Times New Roman"/>
          <w:color w:val="000000"/>
          <w:sz w:val="18"/>
          <w:szCs w:val="18"/>
        </w:rPr>
        <w:t>nish ratably over time, while we believe that real estate values fluctuate due to market conditions. We utilize NOI in determining current property values, evaluating property performance, and in evaluating property operating trends. We believe that invest</w:t>
      </w:r>
      <w:r>
        <w:rPr>
          <w:rFonts w:eastAsia="Times New Roman"/>
          <w:color w:val="000000"/>
          <w:sz w:val="18"/>
          <w:szCs w:val="18"/>
        </w:rPr>
        <w:t>ors and analysts utilize NOI in a similar manner. NOI is not a substitute for net income, operating cash flow, or other related financial measures, in evaluating our operating results. See Note 11 to our September 30, 2021 financial statements for a reconc</w:t>
      </w:r>
      <w:r>
        <w:rPr>
          <w:rFonts w:eastAsia="Times New Roman"/>
          <w:color w:val="000000"/>
          <w:sz w:val="18"/>
          <w:szCs w:val="18"/>
        </w:rPr>
        <w:t>iliation of NOI to our total net income for all periods presented.</w:t>
      </w:r>
    </w:p>
    <w:p w:rsidR="00000000" w:rsidRDefault="008C69C0">
      <w:pPr>
        <w:ind w:firstLine="720"/>
        <w:jc w:val="both"/>
        <w:rPr>
          <w:rFonts w:eastAsia="Times New Roman"/>
        </w:rPr>
      </w:pPr>
      <w:r>
        <w:rPr>
          <w:rFonts w:eastAsia="Times New Roman"/>
          <w:i/>
          <w:iCs/>
          <w:color w:val="000000"/>
          <w:sz w:val="20"/>
          <w:szCs w:val="20"/>
        </w:rPr>
        <w:t>Same Store Facilities</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The Same Store Facilities consist of facilities we have owned and operated on a stabilized level of occupancy, revenues, and cost of operations since January 1, 2019</w:t>
      </w:r>
      <w:r>
        <w:rPr>
          <w:rFonts w:eastAsia="Times New Roman"/>
          <w:color w:val="000000"/>
          <w:sz w:val="20"/>
          <w:szCs w:val="20"/>
        </w:rPr>
        <w:t>. Our Same Store Facilities decreased from 2,278 facilities at June 30, 2021 to 2,274 facilities at September 30, 2021. The composition of our Same Store Facilities allows us more effectively to evaluate the ongoing performance of our self-storage portfoli</w:t>
      </w:r>
      <w:r>
        <w:rPr>
          <w:rFonts w:eastAsia="Times New Roman"/>
          <w:color w:val="000000"/>
          <w:sz w:val="20"/>
          <w:szCs w:val="20"/>
        </w:rPr>
        <w:t xml:space="preserve">o in 2019, 2020, and 2021 and exclude the impact of fill-up of unstabilized facilities, which can significantly affect operating trends. We believe investors and analysts use Same Store information in a similar manner. However, because other REITs may not </w:t>
      </w:r>
      <w:r>
        <w:rPr>
          <w:rFonts w:eastAsia="Times New Roman"/>
          <w:color w:val="000000"/>
          <w:sz w:val="20"/>
          <w:szCs w:val="20"/>
        </w:rPr>
        <w:t xml:space="preserve">compute Same Store Facilities in the same manner as we do, may not use the same terminology or may not present such a measure, Same Store Facilities may not be comparable among REITs. </w:t>
      </w:r>
    </w:p>
    <w:p w:rsidR="00000000" w:rsidRDefault="008C69C0">
      <w:pPr>
        <w:ind w:firstLine="720"/>
        <w:jc w:val="both"/>
        <w:rPr>
          <w:rFonts w:eastAsia="Times New Roman"/>
        </w:rPr>
      </w:pPr>
    </w:p>
    <w:p w:rsidR="00000000" w:rsidRDefault="008C69C0">
      <w:pPr>
        <w:ind w:firstLine="720"/>
        <w:jc w:val="both"/>
        <w:rPr>
          <w:rFonts w:eastAsia="Times New Roman"/>
        </w:rPr>
      </w:pPr>
      <w:r>
        <w:rPr>
          <w:rFonts w:eastAsia="Times New Roman"/>
          <w:color w:val="000000"/>
          <w:sz w:val="20"/>
          <w:szCs w:val="20"/>
        </w:rPr>
        <w:t>The following table summarizes the historical operating results of th</w:t>
      </w:r>
      <w:r>
        <w:rPr>
          <w:rFonts w:eastAsia="Times New Roman"/>
          <w:color w:val="000000"/>
          <w:sz w:val="20"/>
          <w:szCs w:val="20"/>
        </w:rPr>
        <w:t xml:space="preserve">ese 2,274 facilities (148.7 million net rentable square feet) that represent approximately 80% of the aggregate net rentable square feet of our U.S. consolidated self-storage portfolio at September 30, 2021. It includes various measures and detail that we </w:t>
      </w:r>
      <w:r>
        <w:rPr>
          <w:rFonts w:eastAsia="Times New Roman"/>
          <w:color w:val="000000"/>
          <w:sz w:val="20"/>
          <w:szCs w:val="20"/>
        </w:rPr>
        <w:t>do not include in the analysis of the developed, acquired, and other non-same store facilities, due to the relative magnitude and importance of our same store facilities relative to our self-storage facilities.</w:t>
      </w:r>
    </w:p>
    <w:p w:rsidR="00000000" w:rsidRDefault="008C69C0">
      <w:pPr>
        <w:ind w:firstLine="720"/>
        <w:jc w:val="both"/>
        <w:rPr>
          <w:rFonts w:eastAsia="Times New Roman"/>
        </w:rPr>
      </w:pPr>
    </w:p>
    <w:p w:rsidR="00000000" w:rsidRDefault="008C69C0">
      <w:pPr>
        <w:jc w:val="center"/>
        <w:divId w:val="1769232555"/>
        <w:rPr>
          <w:rFonts w:eastAsia="Times New Roman"/>
        </w:rPr>
      </w:pPr>
      <w:r>
        <w:rPr>
          <w:rFonts w:eastAsia="Times New Roman"/>
          <w:color w:val="000000"/>
          <w:sz w:val="20"/>
          <w:szCs w:val="20"/>
        </w:rPr>
        <w:t>35</w:t>
      </w:r>
    </w:p>
    <w:p w:rsidR="00000000" w:rsidRDefault="008C69C0">
      <w:pPr>
        <w:rPr>
          <w:rFonts w:eastAsia="Times New Roman"/>
        </w:rPr>
      </w:pPr>
      <w:r>
        <w:rPr>
          <w:rFonts w:eastAsia="Times New Roman"/>
        </w:rPr>
        <w:pict>
          <v:rect id="_x0000_i1061" style="width:0;height:1.5pt" o:hralign="center" o:hrstd="t" o:hr="t" fillcolor="#a0a0a0" stroked="f"/>
        </w:pict>
      </w:r>
    </w:p>
    <w:p w:rsidR="00000000" w:rsidRDefault="008C69C0">
      <w:pPr>
        <w:divId w:val="640231508"/>
        <w:rPr>
          <w:rFonts w:eastAsia="Times New Roman"/>
        </w:rPr>
      </w:pPr>
    </w:p>
    <w:p w:rsidR="00000000" w:rsidRDefault="008C69C0">
      <w:pPr>
        <w:divId w:val="1309507345"/>
        <w:rPr>
          <w:rFonts w:eastAsia="Times New Roman"/>
        </w:rPr>
      </w:pPr>
      <w:r>
        <w:rPr>
          <w:rFonts w:eastAsia="Times New Roman"/>
          <w:b/>
          <w:bCs/>
          <w:color w:val="000000"/>
          <w:sz w:val="20"/>
          <w:szCs w:val="20"/>
        </w:rPr>
        <w:t>Se</w:t>
      </w:r>
      <w:r>
        <w:rPr>
          <w:rFonts w:eastAsia="Times New Roman"/>
          <w:b/>
          <w:bCs/>
          <w:color w:val="000000"/>
          <w:sz w:val="20"/>
          <w:szCs w:val="20"/>
        </w:rPr>
        <w:t>lected Operating Data for the Same Store Facilities (2,274 facilities)</w:t>
      </w:r>
    </w:p>
    <w:p w:rsidR="00000000" w:rsidRDefault="008C69C0">
      <w:pPr>
        <w:jc w:val="both"/>
        <w:divId w:val="18840555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51"/>
        <w:gridCol w:w="37"/>
        <w:gridCol w:w="120"/>
        <w:gridCol w:w="700"/>
        <w:gridCol w:w="36"/>
        <w:gridCol w:w="36"/>
        <w:gridCol w:w="36"/>
        <w:gridCol w:w="36"/>
        <w:gridCol w:w="120"/>
        <w:gridCol w:w="700"/>
        <w:gridCol w:w="36"/>
        <w:gridCol w:w="36"/>
        <w:gridCol w:w="36"/>
        <w:gridCol w:w="36"/>
        <w:gridCol w:w="92"/>
        <w:gridCol w:w="729"/>
        <w:gridCol w:w="36"/>
        <w:gridCol w:w="36"/>
        <w:gridCol w:w="36"/>
        <w:gridCol w:w="36"/>
        <w:gridCol w:w="120"/>
        <w:gridCol w:w="850"/>
        <w:gridCol w:w="36"/>
        <w:gridCol w:w="36"/>
        <w:gridCol w:w="36"/>
        <w:gridCol w:w="36"/>
        <w:gridCol w:w="120"/>
        <w:gridCol w:w="850"/>
        <w:gridCol w:w="36"/>
        <w:gridCol w:w="36"/>
        <w:gridCol w:w="36"/>
        <w:gridCol w:w="36"/>
        <w:gridCol w:w="92"/>
        <w:gridCol w:w="729"/>
        <w:gridCol w:w="36"/>
      </w:tblGrid>
      <w:tr w:rsidR="00000000">
        <w:trPr>
          <w:divId w:val="1576889669"/>
        </w:trPr>
        <w:tc>
          <w:tcPr>
            <w:tcW w:w="50" w:type="pct"/>
            <w:vAlign w:val="center"/>
            <w:hideMark/>
          </w:tcPr>
          <w:p w:rsidR="00000000" w:rsidRDefault="008C69C0">
            <w:pPr>
              <w:jc w:val="both"/>
              <w:rPr>
                <w:rFonts w:eastAsia="Times New Roman"/>
              </w:rPr>
            </w:pPr>
          </w:p>
        </w:tc>
        <w:tc>
          <w:tcPr>
            <w:tcW w:w="154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1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9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2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2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9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1576889669"/>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18"/>
                <w:szCs w:val="18"/>
              </w:rPr>
              <w:t>Percentage Change</w:t>
            </w:r>
          </w:p>
        </w:tc>
      </w:tr>
      <w:tr w:rsidR="00000000">
        <w:trPr>
          <w:divId w:val="1576889669"/>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(Dollar amounts in thousands, except for per square foot data)</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Revenues (a):</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Rental income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694,589 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609,150 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1,982,274 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1,803,659 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9.9%</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Late charges and administrative fees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21,461 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19,136 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60,558 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64,004 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(5.4)%</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716,050 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628,286 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2,042,832 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1,867,663 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Direct cost of operations (a):</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Property taxes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69,573 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71,533 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203,172 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216,595 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On-site property manager payroll</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28,116 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30,701 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82,412 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102,390 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(19.5)%</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Repairs and maintenance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13,078 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12,954 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39,139 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37,302 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4.9%</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Utilities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11,051 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11,278 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31,102 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31,665 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Marketing</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9,143 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16,131 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30,535 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48,512 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(37.1)%</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Other direct property costs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18,851 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17,071 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55,433 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50,872 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9.0%</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 direct cost of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149,812 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159,668 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441,793 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487,336 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(9.3)%</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Direct net operating income (b)</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566,238 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468,618 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1,601,039 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1,380,327 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16.0%</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Indirect cost of operations (a):</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Supervisory payroll</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(8,320)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(9,831)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(27,768)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(31,786)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(12.6)%</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Centralized management costs</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(13,757)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(11,464)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(39,990)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(36,510)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w:t>
            </w:r>
          </w:p>
        </w:tc>
      </w:tr>
      <w:tr w:rsidR="00000000">
        <w:trPr>
          <w:divId w:val="1576889669"/>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Share-based compensation</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(3,720)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(3,105)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(13,772)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(9,425)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46.1%</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540,441 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444,218 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1,519,509 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1,302,606 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16.7%</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Depreciation and amortization expense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(112,656)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(112,092)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0.5%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(332,079)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(333,650)</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(0.5)%</w:t>
            </w: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427,785 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332,126 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1,187,430 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968,956 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22.5%</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Gross margin (before indirect costs, depreciation and amortization expense)</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79.1%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11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Gross margin (before depreciation and amortization expense)</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69.7%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6.7%</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Weighted average for the period: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159"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Square foot occupancy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96.5%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Realized annual rental income per (c):</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Occupied square foot</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18.42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7.3%</w:t>
            </w:r>
          </w:p>
        </w:tc>
      </w:tr>
      <w:tr w:rsidR="00000000">
        <w:trPr>
          <w:divId w:val="157688966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Available square foot</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17.77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9.8%</w:t>
            </w:r>
          </w:p>
        </w:tc>
      </w:tr>
      <w:tr w:rsidR="00000000">
        <w:trPr>
          <w:divId w:val="1576889669"/>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20" w:type="dxa"/>
              <w:bottom w:w="30" w:type="dxa"/>
              <w:right w:w="20" w:type="dxa"/>
            </w:tcMar>
            <w:vAlign w:val="bottom"/>
            <w:hideMark/>
          </w:tcPr>
          <w:p w:rsidR="00000000" w:rsidRDefault="008C69C0">
            <w:pPr>
              <w:spacing w:after="100"/>
              <w:divId w:val="839193727"/>
              <w:rPr>
                <w:rFonts w:eastAsia="Times New Roman"/>
              </w:rPr>
            </w:pPr>
            <w:r>
              <w:rPr>
                <w:rFonts w:eastAsia="Times New Roman"/>
                <w:color w:val="000000"/>
                <w:sz w:val="20"/>
                <w:szCs w:val="20"/>
              </w:rPr>
              <w:t>At September 30:</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576889669"/>
        </w:trPr>
        <w:tc>
          <w:tcPr>
            <w:tcW w:w="0" w:type="auto"/>
            <w:gridSpan w:val="3"/>
            <w:tcMar>
              <w:top w:w="30" w:type="dxa"/>
              <w:left w:w="11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w:t>
            </w:r>
          </w:p>
        </w:tc>
      </w:tr>
      <w:tr w:rsidR="00000000">
        <w:trPr>
          <w:divId w:val="1576889669"/>
        </w:trPr>
        <w:tc>
          <w:tcPr>
            <w:tcW w:w="0" w:type="auto"/>
            <w:gridSpan w:val="3"/>
            <w:tcMar>
              <w:top w:w="30" w:type="dxa"/>
              <w:left w:w="20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Annual contract rent per occupied square foot (d)</w:t>
            </w:r>
          </w:p>
        </w:tc>
        <w:tc>
          <w:tcPr>
            <w:tcW w:w="0" w:type="auto"/>
            <w:gridSpan w:val="3"/>
            <w:tcMar>
              <w:top w:w="0" w:type="dxa"/>
              <w:left w:w="20" w:type="dxa"/>
              <w:bottom w:w="0" w:type="dxa"/>
              <w:right w:w="20" w:type="dxa"/>
            </w:tcMar>
            <w:vAlign w:val="center"/>
            <w:hideMark/>
          </w:tcPr>
          <w:p w:rsidR="00000000" w:rsidRDefault="008C69C0">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19.56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17.67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10.7%</w:t>
            </w:r>
          </w:p>
        </w:tc>
      </w:tr>
    </w:tbl>
    <w:p w:rsidR="00000000" w:rsidRDefault="008C69C0">
      <w:pPr>
        <w:jc w:val="center"/>
        <w:divId w:val="574899744"/>
        <w:rPr>
          <w:rFonts w:eastAsia="Times New Roman"/>
        </w:rPr>
      </w:pPr>
      <w:r>
        <w:rPr>
          <w:rFonts w:eastAsia="Times New Roman"/>
          <w:color w:val="000000"/>
          <w:sz w:val="20"/>
          <w:szCs w:val="20"/>
        </w:rPr>
        <w:t>36</w:t>
      </w:r>
    </w:p>
    <w:p w:rsidR="00000000" w:rsidRDefault="008C69C0">
      <w:pPr>
        <w:rPr>
          <w:rFonts w:eastAsia="Times New Roman"/>
        </w:rPr>
      </w:pPr>
      <w:r>
        <w:rPr>
          <w:rFonts w:eastAsia="Times New Roman"/>
        </w:rPr>
        <w:pict>
          <v:rect id="_x0000_i1062" style="width:0;height:1.5pt" o:hralign="center" o:hrstd="t" o:hr="t" fillcolor="#a0a0a0" stroked="f"/>
        </w:pict>
      </w:r>
    </w:p>
    <w:p w:rsidR="00000000" w:rsidRDefault="008C69C0">
      <w:pPr>
        <w:divId w:val="558398686"/>
        <w:rPr>
          <w:rFonts w:eastAsia="Times New Roman"/>
        </w:rPr>
      </w:pPr>
    </w:p>
    <w:p w:rsidR="00000000" w:rsidRDefault="008C69C0">
      <w:pPr>
        <w:ind w:hanging="360"/>
        <w:jc w:val="both"/>
        <w:divId w:val="1958752654"/>
        <w:rPr>
          <w:rFonts w:eastAsia="Times New Roman"/>
        </w:rPr>
      </w:pPr>
      <w:r>
        <w:rPr>
          <w:rFonts w:eastAsia="Times New Roman"/>
          <w:color w:val="000000"/>
          <w:sz w:val="20"/>
          <w:szCs w:val="20"/>
        </w:rPr>
        <w:t>(a)</w:t>
      </w:r>
      <w:r>
        <w:rPr>
          <w:rFonts w:eastAsia="Times New Roman"/>
          <w:color w:val="000000"/>
          <w:sz w:val="18"/>
          <w:szCs w:val="18"/>
        </w:rPr>
        <w:t>Revenues and cost of operations do not include tenant reinsurance and merchandise sale revenues and expenses generated at the facilities. See “Ancillary Operations” below for more information.</w:t>
      </w:r>
    </w:p>
    <w:p w:rsidR="00000000" w:rsidRDefault="008C69C0">
      <w:pPr>
        <w:ind w:hanging="360"/>
        <w:jc w:val="both"/>
        <w:divId w:val="993296304"/>
        <w:rPr>
          <w:rFonts w:eastAsia="Times New Roman"/>
        </w:rPr>
      </w:pPr>
      <w:r>
        <w:rPr>
          <w:rFonts w:eastAsia="Times New Roman"/>
          <w:color w:val="000000"/>
          <w:sz w:val="20"/>
          <w:szCs w:val="20"/>
        </w:rPr>
        <w:t>(b)</w:t>
      </w:r>
      <w:r>
        <w:rPr>
          <w:rFonts w:eastAsia="Times New Roman"/>
          <w:color w:val="000000"/>
          <w:sz w:val="18"/>
          <w:szCs w:val="18"/>
        </w:rPr>
        <w:t>Direct net operating income (“Direct NOI”), a subtotal within NOI, is a non-GAAP financial measure that excludes the impact of supervisory payroll, centralized management costs and share-based compensation in addition to depreciation and amortization expen</w:t>
      </w:r>
      <w:r>
        <w:rPr>
          <w:rFonts w:eastAsia="Times New Roman"/>
          <w:color w:val="000000"/>
          <w:sz w:val="18"/>
          <w:szCs w:val="18"/>
        </w:rPr>
        <w:t xml:space="preserve">se. We utilize direct net operating income in evaluating property performance and in evaluating property operating trends as compared to our competitors. </w:t>
      </w:r>
    </w:p>
    <w:p w:rsidR="00000000" w:rsidRDefault="008C69C0">
      <w:pPr>
        <w:ind w:hanging="360"/>
        <w:jc w:val="both"/>
        <w:divId w:val="675302381"/>
        <w:rPr>
          <w:rFonts w:eastAsia="Times New Roman"/>
        </w:rPr>
      </w:pPr>
      <w:r>
        <w:rPr>
          <w:rFonts w:eastAsia="Times New Roman"/>
          <w:color w:val="000000"/>
          <w:sz w:val="20"/>
          <w:szCs w:val="20"/>
        </w:rPr>
        <w:t>(c)</w:t>
      </w:r>
      <w:r>
        <w:rPr>
          <w:rFonts w:eastAsia="Times New Roman"/>
          <w:color w:val="000000"/>
          <w:sz w:val="18"/>
          <w:szCs w:val="18"/>
        </w:rPr>
        <w:t>Realized annual rent per occupied square foot is computed by dividing rental income, before late c</w:t>
      </w:r>
      <w:r>
        <w:rPr>
          <w:rFonts w:eastAsia="Times New Roman"/>
          <w:color w:val="000000"/>
          <w:sz w:val="18"/>
          <w:szCs w:val="18"/>
        </w:rPr>
        <w:t>harges and administrative fees, by the weighted average occupied square feet for the period. Realized annual rent per available square foot (“REVPAF”) is computed by dividing rental income, before late charges and administrative fees, by the total availabl</w:t>
      </w:r>
      <w:r>
        <w:rPr>
          <w:rFonts w:eastAsia="Times New Roman"/>
          <w:color w:val="000000"/>
          <w:sz w:val="18"/>
          <w:szCs w:val="18"/>
        </w:rPr>
        <w:t>e net rentable square feet for the period. These measures exclude late charges and administrative fees in order to provide a better measure of our ongoing level of revenue. Late charges are dependent upon the level of delinquency and administrative fees ar</w:t>
      </w:r>
      <w:r>
        <w:rPr>
          <w:rFonts w:eastAsia="Times New Roman"/>
          <w:color w:val="000000"/>
          <w:sz w:val="18"/>
          <w:szCs w:val="18"/>
        </w:rPr>
        <w:t xml:space="preserve">e dependent upon the level of move-ins. In addition, the rates charged for late charges and administrative fees can vary independently from rental rates. These measures take into consideration promotional discounts, which reduce rental income. </w:t>
      </w:r>
    </w:p>
    <w:p w:rsidR="00000000" w:rsidRDefault="008C69C0">
      <w:pPr>
        <w:ind w:hanging="360"/>
        <w:jc w:val="both"/>
        <w:divId w:val="1341736744"/>
        <w:rPr>
          <w:rFonts w:eastAsia="Times New Roman"/>
        </w:rPr>
      </w:pPr>
      <w:r>
        <w:rPr>
          <w:rFonts w:eastAsia="Times New Roman"/>
          <w:color w:val="000000"/>
          <w:sz w:val="20"/>
          <w:szCs w:val="20"/>
        </w:rPr>
        <w:t>(d)</w:t>
      </w:r>
      <w:r>
        <w:rPr>
          <w:rFonts w:eastAsia="Times New Roman"/>
          <w:color w:val="000000"/>
          <w:sz w:val="18"/>
          <w:szCs w:val="18"/>
        </w:rPr>
        <w:t>Annual c</w:t>
      </w:r>
      <w:r>
        <w:rPr>
          <w:rFonts w:eastAsia="Times New Roman"/>
          <w:color w:val="000000"/>
          <w:sz w:val="18"/>
          <w:szCs w:val="18"/>
        </w:rPr>
        <w:t>ontract rent represents the agreed upon monthly rate that is paid by our tenants in place at the time of measurement. Contract rates are initially set in the lease agreement upon move-in and we adjust them from time to time with notice. Contract rent exclu</w:t>
      </w:r>
      <w:r>
        <w:rPr>
          <w:rFonts w:eastAsia="Times New Roman"/>
          <w:color w:val="000000"/>
          <w:sz w:val="18"/>
          <w:szCs w:val="18"/>
        </w:rPr>
        <w:t>des other fees that are charged on a per-item basis, such as late charges and administrative fees, does not reflect the impact of promotional discounts, and does not reflect the impact of rents that are written off as uncollectible.</w:t>
      </w:r>
    </w:p>
    <w:p w:rsidR="00000000" w:rsidRDefault="008C69C0">
      <w:pPr>
        <w:divId w:val="2038846278"/>
        <w:rPr>
          <w:rFonts w:eastAsia="Times New Roman"/>
        </w:rPr>
      </w:pPr>
      <w:r>
        <w:rPr>
          <w:rFonts w:eastAsia="Times New Roman"/>
          <w:i/>
          <w:iCs/>
          <w:color w:val="000000"/>
          <w:sz w:val="20"/>
          <w:szCs w:val="20"/>
        </w:rPr>
        <w:t xml:space="preserve">Analysis of Same Store </w:t>
      </w:r>
      <w:r>
        <w:rPr>
          <w:rFonts w:eastAsia="Times New Roman"/>
          <w:i/>
          <w:iCs/>
          <w:color w:val="000000"/>
          <w:sz w:val="20"/>
          <w:szCs w:val="20"/>
        </w:rPr>
        <w:t>Revenue</w:t>
      </w:r>
    </w:p>
    <w:p w:rsidR="00000000" w:rsidRDefault="008C69C0">
      <w:pPr>
        <w:ind w:firstLine="720"/>
        <w:jc w:val="both"/>
        <w:divId w:val="1279290664"/>
        <w:rPr>
          <w:rFonts w:eastAsia="Times New Roman"/>
        </w:rPr>
      </w:pPr>
      <w:r>
        <w:rPr>
          <w:rFonts w:eastAsia="Times New Roman"/>
          <w:color w:val="000000"/>
          <w:sz w:val="20"/>
          <w:szCs w:val="20"/>
        </w:rPr>
        <w:t>We believe a balanced occupancy and rate strategy maximizes our revenues over time. We regularly adjust the rental rates and promotional discounts offered (generally, “$1.00 rent for the first month”), as well as our marketing efforts to maximize r</w:t>
      </w:r>
      <w:r>
        <w:rPr>
          <w:rFonts w:eastAsia="Times New Roman"/>
          <w:color w:val="000000"/>
          <w:sz w:val="20"/>
          <w:szCs w:val="20"/>
        </w:rPr>
        <w:t xml:space="preserve">evenue from new tenants to replace tenants that vacate. </w:t>
      </w:r>
    </w:p>
    <w:p w:rsidR="00000000" w:rsidRDefault="008C69C0">
      <w:pPr>
        <w:ind w:firstLine="720"/>
        <w:jc w:val="both"/>
        <w:divId w:val="1135566514"/>
        <w:rPr>
          <w:rFonts w:eastAsia="Times New Roman"/>
        </w:rPr>
      </w:pPr>
      <w:r>
        <w:rPr>
          <w:rFonts w:eastAsia="Times New Roman"/>
          <w:color w:val="000000"/>
          <w:sz w:val="20"/>
          <w:szCs w:val="20"/>
        </w:rPr>
        <w:t>We typically increase rental rates to our long-term tenants (generally, those who have been with us for at least a year) every six to twelve months. As a result, the number of long-term tenants we ha</w:t>
      </w:r>
      <w:r>
        <w:rPr>
          <w:rFonts w:eastAsia="Times New Roman"/>
          <w:color w:val="000000"/>
          <w:sz w:val="20"/>
          <w:szCs w:val="20"/>
        </w:rPr>
        <w:t>ve in our facilities is an important factor in our revenue growth. The level of rate increases to long-term tenants is based upon balancing the additional revenue from the increase against the negative impact of incremental move-outs, by considering the cu</w:t>
      </w:r>
      <w:r>
        <w:rPr>
          <w:rFonts w:eastAsia="Times New Roman"/>
          <w:color w:val="000000"/>
          <w:sz w:val="20"/>
          <w:szCs w:val="20"/>
        </w:rPr>
        <w:t xml:space="preserve">stomer’s in-place rent and prevailing market rents, among other factors. </w:t>
      </w:r>
    </w:p>
    <w:p w:rsidR="00000000" w:rsidRDefault="008C69C0">
      <w:pPr>
        <w:ind w:firstLine="720"/>
        <w:jc w:val="both"/>
        <w:divId w:val="1942298209"/>
        <w:rPr>
          <w:rFonts w:eastAsia="Times New Roman"/>
        </w:rPr>
      </w:pPr>
      <w:r>
        <w:rPr>
          <w:rFonts w:eastAsia="Times New Roman"/>
          <w:color w:val="000000"/>
          <w:sz w:val="20"/>
          <w:szCs w:val="20"/>
        </w:rPr>
        <w:t>Revenues generated by our Same Store Facilities increased 14.0% and 9.4% for the three and nine months ended September 30, 2021, respectively, as compared to the same periods in 2020</w:t>
      </w:r>
      <w:r>
        <w:rPr>
          <w:rFonts w:eastAsia="Times New Roman"/>
          <w:color w:val="000000"/>
          <w:sz w:val="20"/>
          <w:szCs w:val="20"/>
        </w:rPr>
        <w:t>. The increase is due primarily to (i) a 12.5% and 7.3% increase in realized annual rent per occupied square foot for the three and nine months ended September 30, 2021, respectively, as compared to the same periods in 2020, and (ii) a 1.4% and 2.3% increa</w:t>
      </w:r>
      <w:r>
        <w:rPr>
          <w:rFonts w:eastAsia="Times New Roman"/>
          <w:color w:val="000000"/>
          <w:sz w:val="20"/>
          <w:szCs w:val="20"/>
        </w:rPr>
        <w:t>se in average occupancy for the three and nine months ended September 30, 2021, respectively, as compared to the same periods in 2020. The same store revenue growth for the nine months ended September 30, 2021 was partially offset by a 5.4% decrease in lat</w:t>
      </w:r>
      <w:r>
        <w:rPr>
          <w:rFonts w:eastAsia="Times New Roman"/>
          <w:color w:val="000000"/>
          <w:sz w:val="20"/>
          <w:szCs w:val="20"/>
        </w:rPr>
        <w:t xml:space="preserve">e charges and administrative fees as compared to the same period in 2020. </w:t>
      </w:r>
    </w:p>
    <w:p w:rsidR="00000000" w:rsidRDefault="008C69C0">
      <w:pPr>
        <w:ind w:firstLine="720"/>
        <w:jc w:val="both"/>
        <w:divId w:val="321473729"/>
        <w:rPr>
          <w:rFonts w:eastAsia="Times New Roman"/>
        </w:rPr>
      </w:pPr>
      <w:r>
        <w:rPr>
          <w:rFonts w:eastAsia="Times New Roman"/>
          <w:color w:val="000000"/>
          <w:sz w:val="20"/>
          <w:szCs w:val="20"/>
        </w:rPr>
        <w:t>Our growth in revenues, weighted average square foot occupancy, realized annual rent per occupied square foot, and REVPAF for the nine months ended September 30, 2021 as compared to</w:t>
      </w:r>
      <w:r>
        <w:rPr>
          <w:rFonts w:eastAsia="Times New Roman"/>
          <w:color w:val="000000"/>
          <w:sz w:val="20"/>
          <w:szCs w:val="20"/>
        </w:rPr>
        <w:t xml:space="preserve"> the same period in 2020 was evident in substantially all of our markets including each of our top 15 markets.</w:t>
      </w:r>
    </w:p>
    <w:p w:rsidR="00000000" w:rsidRDefault="008C69C0">
      <w:pPr>
        <w:ind w:firstLine="720"/>
        <w:jc w:val="both"/>
        <w:divId w:val="703484370"/>
        <w:rPr>
          <w:rFonts w:eastAsia="Times New Roman"/>
        </w:rPr>
      </w:pPr>
      <w:r>
        <w:rPr>
          <w:rFonts w:eastAsia="Times New Roman"/>
          <w:color w:val="000000"/>
          <w:sz w:val="20"/>
          <w:szCs w:val="20"/>
        </w:rPr>
        <w:t>For the three and nine months ended September 30, 2020, our revenues were impacted by our decision to temporarily curtail our tenant rate increas</w:t>
      </w:r>
      <w:r>
        <w:rPr>
          <w:rFonts w:eastAsia="Times New Roman"/>
          <w:color w:val="000000"/>
          <w:sz w:val="20"/>
          <w:szCs w:val="20"/>
        </w:rPr>
        <w:t>e program and additional pricing limitations to existing tenants imposed by local governments due to “State of Emergency” declarations in response to the COVID Pandemic and other disasters in the during 2020. Although most restrictions have recently been l</w:t>
      </w:r>
      <w:r>
        <w:rPr>
          <w:rFonts w:eastAsia="Times New Roman"/>
          <w:color w:val="000000"/>
          <w:sz w:val="20"/>
          <w:szCs w:val="20"/>
        </w:rPr>
        <w:t xml:space="preserve">ifted, we continue to expect a portion of our revenues to remain impacted throughout 2021. </w:t>
      </w:r>
    </w:p>
    <w:p w:rsidR="00000000" w:rsidRDefault="008C69C0">
      <w:pPr>
        <w:ind w:firstLine="720"/>
        <w:jc w:val="both"/>
        <w:divId w:val="115343590"/>
        <w:rPr>
          <w:rFonts w:eastAsia="Times New Roman"/>
        </w:rPr>
      </w:pPr>
      <w:r>
        <w:rPr>
          <w:rFonts w:eastAsia="Times New Roman"/>
          <w:color w:val="000000"/>
          <w:sz w:val="20"/>
          <w:szCs w:val="20"/>
        </w:rPr>
        <w:t xml:space="preserve">The increase of realized annual rent per occupied square foot in the three and nine months ended September 30, 2021 as compared to the same periods in 2020 was due </w:t>
      </w:r>
      <w:r>
        <w:rPr>
          <w:rFonts w:eastAsia="Times New Roman"/>
          <w:color w:val="000000"/>
          <w:sz w:val="20"/>
          <w:szCs w:val="20"/>
        </w:rPr>
        <w:t>to (i) a 23.5% and 28.1% year over year increase in average rates per square foot charged to new tenants moving in during the three and nine months, as a result of strong customer demand across all markets, combined with (ii) rate increases to existing ten</w:t>
      </w:r>
      <w:r>
        <w:rPr>
          <w:rFonts w:eastAsia="Times New Roman"/>
          <w:color w:val="000000"/>
          <w:sz w:val="20"/>
          <w:szCs w:val="20"/>
        </w:rPr>
        <w:t>ants in 2021 as compared to the curtailed increases in 2020. At September 30, 2021, annual contract rent per occupied square foot was 10.7% higher as compared to September 30, 2020.</w:t>
      </w:r>
    </w:p>
    <w:p w:rsidR="00000000" w:rsidRDefault="008C69C0">
      <w:pPr>
        <w:ind w:firstLine="720"/>
        <w:jc w:val="both"/>
        <w:divId w:val="178128887"/>
        <w:rPr>
          <w:rFonts w:eastAsia="Times New Roman"/>
        </w:rPr>
      </w:pPr>
      <w:r>
        <w:rPr>
          <w:rFonts w:eastAsia="Times New Roman"/>
          <w:color w:val="000000"/>
          <w:sz w:val="20"/>
          <w:szCs w:val="20"/>
        </w:rPr>
        <w:t>We experienced high occupancy levels throughout the first nine months of 2</w:t>
      </w:r>
      <w:r>
        <w:rPr>
          <w:rFonts w:eastAsia="Times New Roman"/>
          <w:color w:val="000000"/>
          <w:sz w:val="20"/>
          <w:szCs w:val="20"/>
        </w:rPr>
        <w:t>021. Our average square foot occupancy levels increased 1.4% and 2.3% on a year over year basis during the three and nine months ended September 30, 2021, respectively. At September 30, 2021, our square foot occupancy was 95.7%. The improvement in occupanc</w:t>
      </w:r>
      <w:r>
        <w:rPr>
          <w:rFonts w:eastAsia="Times New Roman"/>
          <w:color w:val="000000"/>
          <w:sz w:val="20"/>
          <w:szCs w:val="20"/>
        </w:rPr>
        <w:t>y trends was due primarily to improved trends in move-outs, with year over year move-outs down 6.1% and 8.9% in the three and nine months ended September 30, 2021, respectively. This resulted in an increased average length of stay for the three and nine mo</w:t>
      </w:r>
      <w:r>
        <w:rPr>
          <w:rFonts w:eastAsia="Times New Roman"/>
          <w:color w:val="000000"/>
          <w:sz w:val="20"/>
          <w:szCs w:val="20"/>
        </w:rPr>
        <w:t xml:space="preserve">nths ended September 30, 2021. An increased average length of stay supports revenue growth, due to more long-term tenants who are eligible for rate increases, and a reduced requirement to replace vacating tenants with new tenants </w:t>
      </w:r>
    </w:p>
    <w:p w:rsidR="00000000" w:rsidRDefault="008C69C0">
      <w:pPr>
        <w:jc w:val="center"/>
        <w:divId w:val="183205877"/>
        <w:rPr>
          <w:rFonts w:eastAsia="Times New Roman"/>
        </w:rPr>
      </w:pPr>
      <w:r>
        <w:rPr>
          <w:rFonts w:eastAsia="Times New Roman"/>
          <w:color w:val="000000"/>
          <w:sz w:val="20"/>
          <w:szCs w:val="20"/>
        </w:rPr>
        <w:t>37</w:t>
      </w:r>
    </w:p>
    <w:p w:rsidR="00000000" w:rsidRDefault="008C69C0">
      <w:pPr>
        <w:rPr>
          <w:rFonts w:eastAsia="Times New Roman"/>
        </w:rPr>
      </w:pPr>
      <w:r>
        <w:rPr>
          <w:rFonts w:eastAsia="Times New Roman"/>
        </w:rPr>
        <w:pict>
          <v:rect id="_x0000_i1063" style="width:0;height:1.5pt" o:hralign="center" o:hrstd="t" o:hr="t" fillcolor="#a0a0a0" stroked="f"/>
        </w:pict>
      </w:r>
    </w:p>
    <w:p w:rsidR="00000000" w:rsidRDefault="008C69C0">
      <w:pPr>
        <w:divId w:val="186255876"/>
        <w:rPr>
          <w:rFonts w:eastAsia="Times New Roman"/>
        </w:rPr>
      </w:pPr>
    </w:p>
    <w:p w:rsidR="00000000" w:rsidRDefault="008C69C0">
      <w:pPr>
        <w:jc w:val="both"/>
        <w:divId w:val="1729570031"/>
        <w:rPr>
          <w:rFonts w:eastAsia="Times New Roman"/>
        </w:rPr>
      </w:pPr>
      <w:r>
        <w:rPr>
          <w:rFonts w:eastAsia="Times New Roman"/>
          <w:color w:val="000000"/>
          <w:sz w:val="20"/>
          <w:szCs w:val="20"/>
        </w:rPr>
        <w:t>which can lead to increased promotional costs and decrease our pricing leverage. With higher occupancy and pricing trends, we reduced promotional discounts given to new move-in customers for the three and nine months ended September 30, 202</w:t>
      </w:r>
      <w:r>
        <w:rPr>
          <w:rFonts w:eastAsia="Times New Roman"/>
          <w:color w:val="000000"/>
          <w:sz w:val="20"/>
          <w:szCs w:val="20"/>
        </w:rPr>
        <w:t>1 by 70.3% and 49.2%, respectively, as compared to the same periods in 2020.</w:t>
      </w:r>
    </w:p>
    <w:p w:rsidR="00000000" w:rsidRDefault="008C69C0">
      <w:pPr>
        <w:ind w:firstLine="720"/>
        <w:jc w:val="both"/>
        <w:divId w:val="117602649"/>
        <w:rPr>
          <w:rFonts w:eastAsia="Times New Roman"/>
        </w:rPr>
      </w:pPr>
      <w:r>
        <w:rPr>
          <w:rFonts w:eastAsia="Times New Roman"/>
          <w:color w:val="000000"/>
          <w:sz w:val="20"/>
          <w:szCs w:val="20"/>
        </w:rPr>
        <w:t>Demand historically has been higher in the summer months than in the winter months and, as a result, rental rates charged to new tenants have typically been higher in the summer m</w:t>
      </w:r>
      <w:r>
        <w:rPr>
          <w:rFonts w:eastAsia="Times New Roman"/>
          <w:color w:val="000000"/>
          <w:sz w:val="20"/>
          <w:szCs w:val="20"/>
        </w:rPr>
        <w:t>onths than in the winter months. Demand fluctuates due to various local and regional factors, including the overall economy. Demand into our system is also impacted by new supply of self-storage space as well as alternatives to self-storage.</w:t>
      </w:r>
    </w:p>
    <w:p w:rsidR="00000000" w:rsidRDefault="008C69C0">
      <w:pPr>
        <w:ind w:firstLine="720"/>
        <w:jc w:val="both"/>
        <w:divId w:val="68813800"/>
        <w:rPr>
          <w:rFonts w:eastAsia="Times New Roman"/>
        </w:rPr>
      </w:pPr>
      <w:r>
        <w:rPr>
          <w:rFonts w:eastAsia="Times New Roman"/>
          <w:color w:val="000000"/>
          <w:sz w:val="20"/>
          <w:szCs w:val="20"/>
          <w:u w:val="single"/>
        </w:rPr>
        <w:t>Late Charges a</w:t>
      </w:r>
      <w:r>
        <w:rPr>
          <w:rFonts w:eastAsia="Times New Roman"/>
          <w:color w:val="000000"/>
          <w:sz w:val="20"/>
          <w:szCs w:val="20"/>
          <w:u w:val="single"/>
        </w:rPr>
        <w:t>nd Administrative Fees</w:t>
      </w:r>
    </w:p>
    <w:p w:rsidR="00000000" w:rsidRDefault="008C69C0">
      <w:pPr>
        <w:ind w:firstLine="720"/>
        <w:jc w:val="both"/>
        <w:divId w:val="1613365785"/>
        <w:rPr>
          <w:rFonts w:eastAsia="Times New Roman"/>
        </w:rPr>
      </w:pPr>
      <w:r>
        <w:rPr>
          <w:rFonts w:eastAsia="Times New Roman"/>
          <w:color w:val="000000"/>
          <w:sz w:val="20"/>
          <w:szCs w:val="20"/>
        </w:rPr>
        <w:t>Late charges and administrative fees increased 12.1% for the three months ended September 30, 2021 as compared to the same period of 2020 due primarily to delinquent rent fees being waived in 2020 during the COVID Pandemic. Late char</w:t>
      </w:r>
      <w:r>
        <w:rPr>
          <w:rFonts w:eastAsia="Times New Roman"/>
          <w:color w:val="000000"/>
          <w:sz w:val="20"/>
          <w:szCs w:val="20"/>
        </w:rPr>
        <w:t>ges and administrative fees decreased 5.4% year over year for the nine months ended September 30, 2021 due to (i) an acceleration in average collections whereby a greater percentage of tenants paid their monthly rent promptly to avoid the incurrence of suc</w:t>
      </w:r>
      <w:r>
        <w:rPr>
          <w:rFonts w:eastAsia="Times New Roman"/>
          <w:color w:val="000000"/>
          <w:sz w:val="20"/>
          <w:szCs w:val="20"/>
        </w:rPr>
        <w:t xml:space="preserve">h fees and (ii) reduced move-in administrative fees due to lower move-ins. </w:t>
      </w:r>
    </w:p>
    <w:p w:rsidR="00000000" w:rsidRDefault="008C69C0">
      <w:pPr>
        <w:ind w:firstLine="720"/>
        <w:jc w:val="both"/>
        <w:divId w:val="61880590"/>
        <w:rPr>
          <w:rFonts w:eastAsia="Times New Roman"/>
        </w:rPr>
      </w:pPr>
      <w:r>
        <w:rPr>
          <w:rFonts w:eastAsia="Times New Roman"/>
          <w:color w:val="000000"/>
          <w:sz w:val="20"/>
          <w:szCs w:val="20"/>
          <w:u w:val="single"/>
        </w:rPr>
        <w:t>Selected Key Statistical Data</w:t>
      </w:r>
    </w:p>
    <w:p w:rsidR="00000000" w:rsidRDefault="008C69C0">
      <w:pPr>
        <w:ind w:firstLine="720"/>
        <w:jc w:val="both"/>
        <w:divId w:val="1551841557"/>
        <w:rPr>
          <w:rFonts w:eastAsia="Times New Roman"/>
        </w:rPr>
      </w:pPr>
      <w:r>
        <w:rPr>
          <w:rFonts w:eastAsia="Times New Roman"/>
          <w:color w:val="000000"/>
          <w:sz w:val="20"/>
          <w:szCs w:val="20"/>
        </w:rPr>
        <w:t>The following table sets forth average annual contract rent per square foot and total square footage for tenants moving in and moving out during the t</w:t>
      </w:r>
      <w:r>
        <w:rPr>
          <w:rFonts w:eastAsia="Times New Roman"/>
          <w:color w:val="000000"/>
          <w:sz w:val="20"/>
          <w:szCs w:val="20"/>
        </w:rPr>
        <w:t xml:space="preserve">hree and nine months ended September 30, 2021 and 2020. It also includes promotional discounts, which vary based upon the move-in contractual rates, move-in volume, and percentage of tenants moving in who receive the discount. </w:t>
      </w:r>
    </w:p>
    <w:tbl>
      <w:tblPr>
        <w:tblW w:w="4984" w:type="pct"/>
        <w:tblCellMar>
          <w:top w:w="15" w:type="dxa"/>
          <w:left w:w="15" w:type="dxa"/>
          <w:bottom w:w="15" w:type="dxa"/>
          <w:right w:w="15" w:type="dxa"/>
        </w:tblCellMar>
        <w:tblLook w:val="04A0" w:firstRow="1" w:lastRow="0" w:firstColumn="1" w:lastColumn="0" w:noHBand="0" w:noVBand="1"/>
      </w:tblPr>
      <w:tblGrid>
        <w:gridCol w:w="39"/>
        <w:gridCol w:w="2745"/>
        <w:gridCol w:w="38"/>
        <w:gridCol w:w="120"/>
        <w:gridCol w:w="717"/>
        <w:gridCol w:w="36"/>
        <w:gridCol w:w="36"/>
        <w:gridCol w:w="36"/>
        <w:gridCol w:w="36"/>
        <w:gridCol w:w="120"/>
        <w:gridCol w:w="700"/>
        <w:gridCol w:w="36"/>
        <w:gridCol w:w="36"/>
        <w:gridCol w:w="36"/>
        <w:gridCol w:w="36"/>
        <w:gridCol w:w="77"/>
        <w:gridCol w:w="623"/>
        <w:gridCol w:w="38"/>
        <w:gridCol w:w="36"/>
        <w:gridCol w:w="36"/>
        <w:gridCol w:w="36"/>
        <w:gridCol w:w="120"/>
        <w:gridCol w:w="700"/>
        <w:gridCol w:w="36"/>
        <w:gridCol w:w="36"/>
        <w:gridCol w:w="36"/>
        <w:gridCol w:w="36"/>
        <w:gridCol w:w="120"/>
        <w:gridCol w:w="700"/>
        <w:gridCol w:w="36"/>
        <w:gridCol w:w="36"/>
        <w:gridCol w:w="36"/>
        <w:gridCol w:w="36"/>
        <w:gridCol w:w="77"/>
        <w:gridCol w:w="623"/>
        <w:gridCol w:w="38"/>
      </w:tblGrid>
      <w:tr w:rsidR="00000000">
        <w:trPr>
          <w:divId w:val="650447647"/>
        </w:trPr>
        <w:tc>
          <w:tcPr>
            <w:tcW w:w="50" w:type="pct"/>
            <w:vAlign w:val="center"/>
            <w:hideMark/>
          </w:tcPr>
          <w:p w:rsidR="00000000" w:rsidRDefault="008C69C0">
            <w:pPr>
              <w:ind w:firstLine="720"/>
              <w:jc w:val="both"/>
              <w:rPr>
                <w:rFonts w:eastAsia="Times New Roman"/>
              </w:rPr>
            </w:pPr>
          </w:p>
        </w:tc>
        <w:tc>
          <w:tcPr>
            <w:tcW w:w="171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7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7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7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76"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0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650447647"/>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650447647"/>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ind w:hanging="9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8C69C0">
            <w:pPr>
              <w:spacing w:after="100"/>
              <w:ind w:hanging="9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ind w:hanging="90"/>
              <w:jc w:val="center"/>
              <w:rPr>
                <w:rFonts w:eastAsia="Times New Roman"/>
              </w:rPr>
            </w:pPr>
            <w:r>
              <w:rPr>
                <w:rFonts w:eastAsia="Times New Roman"/>
                <w:color w:val="000000"/>
                <w:sz w:val="20"/>
                <w:szCs w:val="20"/>
              </w:rPr>
              <w:t>Change</w:t>
            </w:r>
          </w:p>
        </w:tc>
      </w:tr>
      <w:tr w:rsidR="00000000">
        <w:trPr>
          <w:divId w:val="650447647"/>
          <w:trHeight w:val="60"/>
        </w:trPr>
        <w:tc>
          <w:tcPr>
            <w:tcW w:w="0" w:type="auto"/>
            <w:gridSpan w:val="3"/>
            <w:tcMar>
              <w:top w:w="0" w:type="dxa"/>
              <w:left w:w="20" w:type="dxa"/>
              <w:bottom w:w="0" w:type="dxa"/>
              <w:right w:w="20" w:type="dxa"/>
            </w:tcMar>
            <w:vAlign w:val="center"/>
            <w:hideMark/>
          </w:tcPr>
          <w:p w:rsidR="00000000" w:rsidRDefault="008C69C0">
            <w:pPr>
              <w:spacing w:after="100"/>
              <w:ind w:hanging="9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50447647"/>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 except for per square foot amounts)</w:t>
            </w:r>
          </w:p>
        </w:tc>
      </w:tr>
      <w:tr w:rsidR="00000000">
        <w:trPr>
          <w:divId w:val="650447647"/>
          <w:trHeight w:val="12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15"/>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5044764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Tenants moving in during the period: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50447647"/>
        </w:trPr>
        <w:tc>
          <w:tcPr>
            <w:tcW w:w="0" w:type="auto"/>
            <w:gridSpan w:val="3"/>
            <w:tcMar>
              <w:top w:w="30" w:type="dxa"/>
              <w:left w:w="20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14.95 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16.92 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28.1%</w:t>
            </w:r>
          </w:p>
        </w:tc>
      </w:tr>
      <w:tr w:rsidR="00000000">
        <w:trPr>
          <w:divId w:val="650447647"/>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23,590 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26,548 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71,356 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80,138 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(11.0)%</w:t>
            </w:r>
          </w:p>
        </w:tc>
      </w:tr>
      <w:tr w:rsidR="00000000">
        <w:trPr>
          <w:divId w:val="650447647"/>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Contract revenue gained from move-ins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108,927 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99,223 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905,508 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793,967 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14.0%</w:t>
            </w:r>
          </w:p>
        </w:tc>
      </w:tr>
      <w:tr w:rsidR="00000000">
        <w:trPr>
          <w:divId w:val="650447647"/>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Promotional discounts given</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5,858 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19,697 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29,996 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59,105 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(49.2)%</w:t>
            </w:r>
          </w:p>
        </w:tc>
      </w:tr>
      <w:tr w:rsidR="00000000">
        <w:trPr>
          <w:divId w:val="650447647"/>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5044764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Tenants moving out during the period: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50447647"/>
        </w:trPr>
        <w:tc>
          <w:tcPr>
            <w:tcW w:w="0" w:type="auto"/>
            <w:gridSpan w:val="3"/>
            <w:tcMar>
              <w:top w:w="30" w:type="dxa"/>
              <w:left w:w="20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18.24 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15.52 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15.52 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10.9%</w:t>
            </w:r>
          </w:p>
        </w:tc>
      </w:tr>
      <w:tr w:rsidR="00000000">
        <w:trPr>
          <w:divId w:val="650447647"/>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24,885 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26,496 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68,914 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75,611 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w:t>
            </w:r>
          </w:p>
        </w:tc>
      </w:tr>
      <w:tr w:rsidR="00000000">
        <w:trPr>
          <w:divId w:val="650447647"/>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Contract revenue lost from move-outs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113,476 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102,804 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889,507 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880,112 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w:t>
            </w:r>
          </w:p>
        </w:tc>
      </w:tr>
    </w:tbl>
    <w:p w:rsidR="00000000" w:rsidRDefault="008C69C0">
      <w:pPr>
        <w:ind w:firstLine="720"/>
        <w:jc w:val="both"/>
        <w:rPr>
          <w:rFonts w:eastAsia="Times New Roman"/>
        </w:rPr>
      </w:pPr>
    </w:p>
    <w:p w:rsidR="00000000" w:rsidRDefault="008C69C0">
      <w:pPr>
        <w:ind w:firstLine="720"/>
        <w:jc w:val="both"/>
        <w:divId w:val="748309567"/>
        <w:rPr>
          <w:rFonts w:eastAsia="Times New Roman"/>
        </w:rPr>
      </w:pPr>
      <w:r>
        <w:rPr>
          <w:rFonts w:eastAsia="Times New Roman"/>
          <w:color w:val="000000"/>
          <w:sz w:val="20"/>
          <w:szCs w:val="20"/>
          <w:u w:val="single"/>
        </w:rPr>
        <w:t>Revenue Expectations</w:t>
      </w:r>
    </w:p>
    <w:p w:rsidR="00000000" w:rsidRDefault="008C69C0">
      <w:pPr>
        <w:ind w:firstLine="720"/>
        <w:jc w:val="both"/>
        <w:divId w:val="836967475"/>
        <w:rPr>
          <w:rFonts w:eastAsia="Times New Roman"/>
        </w:rPr>
      </w:pPr>
      <w:r>
        <w:rPr>
          <w:rFonts w:eastAsia="Times New Roman"/>
          <w:color w:val="000000"/>
          <w:sz w:val="20"/>
          <w:szCs w:val="20"/>
        </w:rPr>
        <w:t>At September </w:t>
      </w:r>
      <w:r>
        <w:rPr>
          <w:rFonts w:eastAsia="Times New Roman"/>
          <w:color w:val="000000"/>
          <w:sz w:val="20"/>
          <w:szCs w:val="20"/>
        </w:rPr>
        <w:t xml:space="preserve">30, 2021, in place contractual rent was 11.9% higher on a year-over-year basis (comprised of a 1.2% increase in square foot occupancy and a 10.7% increase in annual contract rent per occupied foot). </w:t>
      </w:r>
    </w:p>
    <w:p w:rsidR="00000000" w:rsidRDefault="008C69C0">
      <w:pPr>
        <w:ind w:firstLine="720"/>
        <w:jc w:val="both"/>
        <w:divId w:val="1632635109"/>
        <w:rPr>
          <w:rFonts w:eastAsia="Times New Roman"/>
        </w:rPr>
      </w:pPr>
      <w:r>
        <w:rPr>
          <w:rFonts w:eastAsia="Times New Roman"/>
          <w:color w:val="000000"/>
          <w:sz w:val="20"/>
          <w:szCs w:val="20"/>
        </w:rPr>
        <w:t>For the remainder of 2021, we expect continued year-over</w:t>
      </w:r>
      <w:r>
        <w:rPr>
          <w:rFonts w:eastAsia="Times New Roman"/>
          <w:color w:val="000000"/>
          <w:sz w:val="20"/>
          <w:szCs w:val="20"/>
        </w:rPr>
        <w:t xml:space="preserve">-year revenue growth supported by strength in rates as a result of stable customer demand. </w:t>
      </w:r>
    </w:p>
    <w:p w:rsidR="00000000" w:rsidRDefault="008C69C0">
      <w:pPr>
        <w:divId w:val="978193611"/>
        <w:rPr>
          <w:rFonts w:eastAsia="Times New Roman"/>
        </w:rPr>
      </w:pPr>
      <w:r>
        <w:rPr>
          <w:rFonts w:eastAsia="Times New Roman"/>
          <w:i/>
          <w:iCs/>
          <w:color w:val="000000"/>
          <w:sz w:val="20"/>
          <w:szCs w:val="20"/>
        </w:rPr>
        <w:t xml:space="preserve">Analysis of Same Store Cost of Operations </w:t>
      </w:r>
    </w:p>
    <w:p w:rsidR="00000000" w:rsidRDefault="008C69C0">
      <w:pPr>
        <w:ind w:firstLine="634"/>
        <w:jc w:val="both"/>
        <w:divId w:val="1634286183"/>
        <w:rPr>
          <w:rFonts w:eastAsia="Times New Roman"/>
        </w:rPr>
      </w:pPr>
      <w:r>
        <w:rPr>
          <w:rFonts w:eastAsia="Times New Roman"/>
          <w:color w:val="000000"/>
          <w:sz w:val="20"/>
          <w:szCs w:val="20"/>
        </w:rPr>
        <w:t>Cost of operations (excluding depreciation and amortization) decreased 4.6% and 7.4% in the three and nine months ended S</w:t>
      </w:r>
      <w:r>
        <w:rPr>
          <w:rFonts w:eastAsia="Times New Roman"/>
          <w:color w:val="000000"/>
          <w:sz w:val="20"/>
          <w:szCs w:val="20"/>
        </w:rPr>
        <w:t xml:space="preserve">eptember 30, 2021, respectively, as compared to the same periods in 2020, due primarily to decreased marketing, on-site property manager payroll, and property tax expense. </w:t>
      </w:r>
    </w:p>
    <w:p w:rsidR="00000000" w:rsidRDefault="008C69C0">
      <w:pPr>
        <w:ind w:firstLine="720"/>
        <w:jc w:val="both"/>
        <w:rPr>
          <w:rFonts w:eastAsia="Times New Roman"/>
        </w:rPr>
      </w:pPr>
      <w:r>
        <w:rPr>
          <w:rFonts w:eastAsia="Times New Roman"/>
          <w:color w:val="000000"/>
          <w:sz w:val="20"/>
          <w:szCs w:val="20"/>
        </w:rPr>
        <w:t>Property tax expense decreased 2.7% and 6.2% in the three and nine months ended Sep</w:t>
      </w:r>
      <w:r>
        <w:rPr>
          <w:rFonts w:eastAsia="Times New Roman"/>
          <w:color w:val="000000"/>
          <w:sz w:val="20"/>
          <w:szCs w:val="20"/>
        </w:rPr>
        <w:t>tember 30, 2021, respectively, as compared to the same periods in 2020. In 2020 our property tax expense was recognized on an accelerated basis in each of the first three quarters. We expect decreases through the third quarter to be offset by an increase i</w:t>
      </w:r>
      <w:r>
        <w:rPr>
          <w:rFonts w:eastAsia="Times New Roman"/>
          <w:color w:val="000000"/>
          <w:sz w:val="20"/>
          <w:szCs w:val="20"/>
        </w:rPr>
        <w:t xml:space="preserve">n the fourth quarter of 2021, resulting in an approximate increase of 4.8% for the year ending December 31, 2021 compared to </w:t>
      </w:r>
    </w:p>
    <w:p w:rsidR="00000000" w:rsidRDefault="008C69C0">
      <w:pPr>
        <w:jc w:val="center"/>
        <w:divId w:val="636689350"/>
        <w:rPr>
          <w:rFonts w:eastAsia="Times New Roman"/>
        </w:rPr>
      </w:pPr>
      <w:r>
        <w:rPr>
          <w:rFonts w:eastAsia="Times New Roman"/>
          <w:color w:val="000000"/>
          <w:sz w:val="20"/>
          <w:szCs w:val="20"/>
        </w:rPr>
        <w:t>38</w:t>
      </w:r>
    </w:p>
    <w:p w:rsidR="00000000" w:rsidRDefault="008C69C0">
      <w:pPr>
        <w:rPr>
          <w:rFonts w:eastAsia="Times New Roman"/>
        </w:rPr>
      </w:pPr>
      <w:r>
        <w:rPr>
          <w:rFonts w:eastAsia="Times New Roman"/>
        </w:rPr>
        <w:pict>
          <v:rect id="_x0000_i1064" style="width:0;height:1.5pt" o:hralign="center" o:hrstd="t" o:hr="t" fillcolor="#a0a0a0" stroked="f"/>
        </w:pict>
      </w:r>
    </w:p>
    <w:p w:rsidR="00000000" w:rsidRDefault="008C69C0">
      <w:pPr>
        <w:divId w:val="268395430"/>
        <w:rPr>
          <w:rFonts w:eastAsia="Times New Roman"/>
        </w:rPr>
      </w:pPr>
    </w:p>
    <w:p w:rsidR="00000000" w:rsidRDefault="008C69C0">
      <w:pPr>
        <w:jc w:val="both"/>
        <w:rPr>
          <w:rFonts w:eastAsia="Times New Roman"/>
        </w:rPr>
      </w:pPr>
      <w:r>
        <w:rPr>
          <w:rFonts w:eastAsia="Times New Roman"/>
          <w:color w:val="000000"/>
          <w:sz w:val="20"/>
          <w:szCs w:val="20"/>
        </w:rPr>
        <w:t>the same period in 2020, due primarily to higher assessed values and, to a lesser extent</w:t>
      </w:r>
      <w:r>
        <w:rPr>
          <w:rFonts w:eastAsia="Times New Roman"/>
          <w:color w:val="000000"/>
          <w:sz w:val="20"/>
          <w:szCs w:val="20"/>
        </w:rPr>
        <w:t>, increased tax rates. A summary of our 2020 actual and 2021 estimated quarterly property tax expense is presented below. Amount for the three months ended December 31, 2021 is based on our current estimates of 2021’s full-year property tax expense.</w:t>
      </w:r>
      <w:r>
        <w:rPr>
          <w:rFonts w:eastAsia="Times New Roman"/>
          <w:color w:val="000000"/>
          <w:sz w:val="2"/>
          <w:szCs w:val="2"/>
        </w:rPr>
        <w:t xml:space="preserve"> </w:t>
      </w:r>
    </w:p>
    <w:tbl>
      <w:tblPr>
        <w:tblW w:w="9900" w:type="dxa"/>
        <w:jc w:val="center"/>
        <w:tblCellMar>
          <w:top w:w="15" w:type="dxa"/>
          <w:left w:w="15" w:type="dxa"/>
          <w:bottom w:w="15" w:type="dxa"/>
          <w:right w:w="15" w:type="dxa"/>
        </w:tblCellMar>
        <w:tblLook w:val="04A0" w:firstRow="1" w:lastRow="0" w:firstColumn="1" w:lastColumn="0" w:noHBand="0" w:noVBand="1"/>
      </w:tblPr>
      <w:tblGrid>
        <w:gridCol w:w="37"/>
        <w:gridCol w:w="6551"/>
        <w:gridCol w:w="36"/>
        <w:gridCol w:w="120"/>
        <w:gridCol w:w="1428"/>
        <w:gridCol w:w="36"/>
        <w:gridCol w:w="36"/>
        <w:gridCol w:w="36"/>
        <w:gridCol w:w="36"/>
        <w:gridCol w:w="120"/>
        <w:gridCol w:w="1428"/>
        <w:gridCol w:w="36"/>
      </w:tblGrid>
      <w:tr w:rsidR="00000000">
        <w:trPr>
          <w:jc w:val="center"/>
        </w:trPr>
        <w:tc>
          <w:tcPr>
            <w:tcW w:w="20" w:type="dxa"/>
            <w:vAlign w:val="center"/>
            <w:hideMark/>
          </w:tcPr>
          <w:p w:rsidR="00000000" w:rsidRDefault="008C69C0">
            <w:pPr>
              <w:jc w:val="both"/>
              <w:rPr>
                <w:rFonts w:eastAsia="Times New Roman"/>
              </w:rPr>
            </w:pPr>
          </w:p>
        </w:tc>
        <w:tc>
          <w:tcPr>
            <w:tcW w:w="6785"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146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35"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146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Actual</w:t>
            </w: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u w:val="single"/>
              </w:rPr>
              <w:t>For the three months ended: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March 31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66,481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72,692</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June 30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67,118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72,370</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September 30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69,573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71,533</w:t>
            </w:r>
          </w:p>
        </w:tc>
      </w:tr>
      <w:tr w:rsidR="00000000">
        <w:trPr>
          <w:jc w:val="center"/>
        </w:trPr>
        <w:tc>
          <w:tcPr>
            <w:tcW w:w="0" w:type="auto"/>
            <w:gridSpan w:val="3"/>
            <w:vAlign w:val="center"/>
            <w:hideMark/>
          </w:tcPr>
          <w:p w:rsidR="00000000" w:rsidRDefault="008C69C0">
            <w:pPr>
              <w:spacing w:after="100"/>
              <w:jc w:val="right"/>
              <w:rPr>
                <w:rFonts w:eastAsia="Times New Roman"/>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c>
          <w:tcPr>
            <w:tcW w:w="0" w:type="auto"/>
            <w:gridSpan w:val="3"/>
            <w:vAlign w:val="center"/>
            <w:hideMark/>
          </w:tcPr>
          <w:p w:rsidR="00000000" w:rsidRDefault="008C69C0">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December 31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66,737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41,164</w:t>
            </w: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269,909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257,759</w:t>
            </w:r>
          </w:p>
        </w:tc>
      </w:tr>
    </w:tbl>
    <w:p w:rsidR="00000000" w:rsidRDefault="008C69C0">
      <w:pPr>
        <w:ind w:firstLine="720"/>
        <w:jc w:val="both"/>
        <w:divId w:val="2048676596"/>
        <w:rPr>
          <w:rFonts w:eastAsia="Times New Roman"/>
        </w:rPr>
      </w:pPr>
      <w:r>
        <w:rPr>
          <w:rFonts w:eastAsia="Times New Roman"/>
          <w:color w:val="000000"/>
          <w:sz w:val="20"/>
          <w:szCs w:val="20"/>
        </w:rPr>
        <w:t>On-site property manager payroll expense decreased 8.4% and 19.5% in the three and nine months ended September 30, 2021, respectively, as compared to the same periods in 2020. The decrease is due to (i) a temporary $3.00 hourly incentive increase and enhan</w:t>
      </w:r>
      <w:r>
        <w:rPr>
          <w:rFonts w:eastAsia="Times New Roman"/>
          <w:color w:val="000000"/>
          <w:sz w:val="20"/>
          <w:szCs w:val="20"/>
        </w:rPr>
        <w:t>cement of paid time off benefits to all of our property managers between April 1, 2020 and June 30, 2020 in response to the COVID Pandemic and (ii) a year-over-year decline in hours worked due to staffing reductions from reduced move-in and move-out activi</w:t>
      </w:r>
      <w:r>
        <w:rPr>
          <w:rFonts w:eastAsia="Times New Roman"/>
          <w:color w:val="000000"/>
          <w:sz w:val="20"/>
          <w:szCs w:val="20"/>
        </w:rPr>
        <w:t xml:space="preserve">ty and revisions to other operational processes. In addition, since the second quarter of 2021, we have been experiencing very competitive labor conditions in most geographical markets. In response, on October 1, 2021, we increased the wages of all of our </w:t>
      </w:r>
      <w:r>
        <w:rPr>
          <w:rFonts w:eastAsia="Times New Roman"/>
          <w:color w:val="000000"/>
          <w:sz w:val="20"/>
          <w:szCs w:val="20"/>
        </w:rPr>
        <w:t>property employees by an average of 7.5%, bringing our average pay for non-resident property employees, those not receiving rent and utility free housing, to $15 per hour.</w:t>
      </w:r>
    </w:p>
    <w:p w:rsidR="00000000" w:rsidRDefault="008C69C0">
      <w:pPr>
        <w:ind w:firstLine="720"/>
        <w:jc w:val="both"/>
        <w:divId w:val="1938904428"/>
        <w:rPr>
          <w:rFonts w:eastAsia="Times New Roman"/>
        </w:rPr>
      </w:pPr>
      <w:r>
        <w:rPr>
          <w:rFonts w:eastAsia="Times New Roman"/>
          <w:color w:val="000000"/>
          <w:sz w:val="20"/>
          <w:szCs w:val="20"/>
        </w:rPr>
        <w:t>Repairs and maintenance expense increased 1.0% and 4.9% in the three and nine months</w:t>
      </w:r>
      <w:r>
        <w:rPr>
          <w:rFonts w:eastAsia="Times New Roman"/>
          <w:color w:val="000000"/>
          <w:sz w:val="20"/>
          <w:szCs w:val="20"/>
        </w:rPr>
        <w:t xml:space="preserve"> ended September 30, 2021, respectively, as compared to the same periods in 2020. Repairs and maintenance expense levels are dependent upon many factors such as (i) sporadic occurrences such as accidents, damage, and equipment malfunctions, (ii) short-term</w:t>
      </w:r>
      <w:r>
        <w:rPr>
          <w:rFonts w:eastAsia="Times New Roman"/>
          <w:color w:val="000000"/>
          <w:sz w:val="20"/>
          <w:szCs w:val="20"/>
        </w:rPr>
        <w:t xml:space="preserve"> local supply and demand factors for material and labor, and (iii) weather conditions, which can impact costs such as snow removal, roof repairs, and HVAC maintenance and repairs. </w:t>
      </w:r>
    </w:p>
    <w:p w:rsidR="00000000" w:rsidRDefault="008C69C0">
      <w:pPr>
        <w:ind w:firstLine="634"/>
        <w:jc w:val="both"/>
        <w:divId w:val="728460931"/>
        <w:rPr>
          <w:rFonts w:eastAsia="Times New Roman"/>
        </w:rPr>
      </w:pPr>
      <w:r>
        <w:rPr>
          <w:rFonts w:eastAsia="Times New Roman"/>
          <w:color w:val="000000"/>
          <w:sz w:val="20"/>
          <w:szCs w:val="20"/>
        </w:rPr>
        <w:t>Our utility expenses consist primarily of electricity costs, which are depe</w:t>
      </w:r>
      <w:r>
        <w:rPr>
          <w:rFonts w:eastAsia="Times New Roman"/>
          <w:color w:val="000000"/>
          <w:sz w:val="20"/>
          <w:szCs w:val="20"/>
        </w:rPr>
        <w:t>ndent upon energy prices and usage levels. Changes in usage levels are driven primarily by weather and temperature. Utility expense decreased 2.0% and 1.8% in the three and nine months ended September 30, 2021, respectively, as compared to the same periods</w:t>
      </w:r>
      <w:r>
        <w:rPr>
          <w:rFonts w:eastAsia="Times New Roman"/>
          <w:color w:val="000000"/>
          <w:sz w:val="20"/>
          <w:szCs w:val="20"/>
        </w:rPr>
        <w:t xml:space="preserve"> in 2020. The decrease experienced in the three and nine months ended September 30, 2021 is due primarily to investments we are making in energy saving technology such as solar power and LED lights, which generate favorable returns on investment in the for</w:t>
      </w:r>
      <w:r>
        <w:rPr>
          <w:rFonts w:eastAsia="Times New Roman"/>
          <w:color w:val="000000"/>
          <w:sz w:val="20"/>
          <w:szCs w:val="20"/>
        </w:rPr>
        <w:t xml:space="preserve">m of lower utility usage. We continue to expect a decline in utility expense throughout the remainder of 2021. </w:t>
      </w:r>
    </w:p>
    <w:p w:rsidR="00000000" w:rsidRDefault="008C69C0">
      <w:pPr>
        <w:ind w:firstLine="634"/>
        <w:jc w:val="both"/>
        <w:divId w:val="1150705303"/>
        <w:rPr>
          <w:rFonts w:eastAsia="Times New Roman"/>
        </w:rPr>
      </w:pPr>
      <w:r>
        <w:rPr>
          <w:rFonts w:eastAsia="Times New Roman"/>
          <w:color w:val="000000"/>
          <w:sz w:val="20"/>
          <w:szCs w:val="20"/>
        </w:rPr>
        <w:t>Marketing expense comprised principally Internet advertising and the operating costs of our telephone reservation center. Internet advertising e</w:t>
      </w:r>
      <w:r>
        <w:rPr>
          <w:rFonts w:eastAsia="Times New Roman"/>
          <w:color w:val="000000"/>
          <w:sz w:val="20"/>
          <w:szCs w:val="20"/>
        </w:rPr>
        <w:t>xpense, comprising primarily keyword search fees assessed on a “per click” basis, varies based upon demand for self-storage space, the quantity of people inquiring about self-storage through online search, occupancy levels, the number and aggressiveness of</w:t>
      </w:r>
      <w:r>
        <w:rPr>
          <w:rFonts w:eastAsia="Times New Roman"/>
          <w:color w:val="000000"/>
          <w:sz w:val="20"/>
          <w:szCs w:val="20"/>
        </w:rPr>
        <w:t xml:space="preserve"> bidding competitors, and other factors. These factors are volatile; accordingly, Internet advertising can increase or decrease significantly in the short-term. We decreased marketing expense by 43.3% and 37.1% in the three and nine months ended September </w:t>
      </w:r>
      <w:r>
        <w:rPr>
          <w:rFonts w:eastAsia="Times New Roman"/>
          <w:color w:val="000000"/>
          <w:sz w:val="20"/>
          <w:szCs w:val="20"/>
        </w:rPr>
        <w:t xml:space="preserve">30, 2021, respectively, as compared to the same periods in 2020, given strong demand and high occupancies in many of our same store properties. </w:t>
      </w:r>
    </w:p>
    <w:p w:rsidR="00000000" w:rsidRDefault="008C69C0">
      <w:pPr>
        <w:ind w:firstLine="634"/>
        <w:jc w:val="both"/>
        <w:divId w:val="2088960588"/>
        <w:rPr>
          <w:rFonts w:eastAsia="Times New Roman"/>
        </w:rPr>
      </w:pPr>
      <w:r>
        <w:rPr>
          <w:rFonts w:eastAsia="Times New Roman"/>
          <w:color w:val="000000"/>
          <w:sz w:val="20"/>
          <w:szCs w:val="20"/>
        </w:rPr>
        <w:t>Other direct property costs include administrative expenses specific to each self-storage facility, such as pro</w:t>
      </w:r>
      <w:r>
        <w:rPr>
          <w:rFonts w:eastAsia="Times New Roman"/>
          <w:color w:val="000000"/>
          <w:sz w:val="20"/>
          <w:szCs w:val="20"/>
        </w:rPr>
        <w:t>perty insurance, telephone and data communication lines, business license costs, bank charges related to processing the facilities’ cash receipts, tenant mailings, credit card fees, eviction costs, and the cost of operating each property’s rental office. T</w:t>
      </w:r>
      <w:r>
        <w:rPr>
          <w:rFonts w:eastAsia="Times New Roman"/>
          <w:color w:val="000000"/>
          <w:sz w:val="20"/>
          <w:szCs w:val="20"/>
        </w:rPr>
        <w:t>hese costs increased 10.4% and 9.0% in the three and nine months ended September 30, 2021, respectively, as compared to the same periods in 2020. We continue to experience increased credit card fees due to a long-term trend of more customers paying with cr</w:t>
      </w:r>
      <w:r>
        <w:rPr>
          <w:rFonts w:eastAsia="Times New Roman"/>
          <w:color w:val="000000"/>
          <w:sz w:val="20"/>
          <w:szCs w:val="20"/>
        </w:rPr>
        <w:t xml:space="preserve">edit cards rather than cash, checks, or other methods of payment with lower transaction costs. </w:t>
      </w:r>
    </w:p>
    <w:p w:rsidR="00000000" w:rsidRDefault="008C69C0">
      <w:pPr>
        <w:ind w:firstLine="634"/>
        <w:jc w:val="both"/>
        <w:divId w:val="718748980"/>
        <w:rPr>
          <w:rFonts w:eastAsia="Times New Roman"/>
        </w:rPr>
      </w:pPr>
      <w:r>
        <w:rPr>
          <w:rFonts w:eastAsia="Times New Roman"/>
          <w:color w:val="000000"/>
          <w:sz w:val="20"/>
          <w:szCs w:val="20"/>
        </w:rPr>
        <w:t>Supervisory payroll expense, which represents cash compensation paid to the management personnel who directly and indirectly supervise the on-site property mana</w:t>
      </w:r>
      <w:r>
        <w:rPr>
          <w:rFonts w:eastAsia="Times New Roman"/>
          <w:color w:val="000000"/>
          <w:sz w:val="20"/>
          <w:szCs w:val="20"/>
        </w:rPr>
        <w:t xml:space="preserve">gers, decreased 15.4% and 12.6% in the three and nine months ended September 30, 2021, respectively, as compared to the same periods in 2020, due primarily to lower headcount in 2021 and incentives related to the COVID Pandemic in 2020. </w:t>
      </w:r>
    </w:p>
    <w:p w:rsidR="00000000" w:rsidRDefault="008C69C0">
      <w:pPr>
        <w:ind w:firstLine="634"/>
        <w:jc w:val="both"/>
        <w:divId w:val="496846945"/>
        <w:rPr>
          <w:rFonts w:eastAsia="Times New Roman"/>
        </w:rPr>
      </w:pPr>
      <w:r>
        <w:rPr>
          <w:rFonts w:eastAsia="Times New Roman"/>
          <w:color w:val="000000"/>
          <w:sz w:val="20"/>
          <w:szCs w:val="20"/>
        </w:rPr>
        <w:t>Centralized manage</w:t>
      </w:r>
      <w:r>
        <w:rPr>
          <w:rFonts w:eastAsia="Times New Roman"/>
          <w:color w:val="000000"/>
          <w:sz w:val="20"/>
          <w:szCs w:val="20"/>
        </w:rPr>
        <w:t>ment costs represents administrative and cash compensation expenses for shared general corporate functions to the extent their efforts are devoted to self-storage operations. Such functions include information technology support, hardware, and software, as</w:t>
      </w:r>
      <w:r>
        <w:rPr>
          <w:rFonts w:eastAsia="Times New Roman"/>
          <w:color w:val="000000"/>
          <w:sz w:val="20"/>
          <w:szCs w:val="20"/>
        </w:rPr>
        <w:t xml:space="preserve"> well as centralized administration of payroll, benefits, training, repairs and maintenance, customer service, pricing and marketing, operational accounting and finance, and legal costs. Centralized </w:t>
      </w:r>
    </w:p>
    <w:p w:rsidR="00000000" w:rsidRDefault="008C69C0">
      <w:pPr>
        <w:jc w:val="center"/>
        <w:divId w:val="1171486562"/>
        <w:rPr>
          <w:rFonts w:eastAsia="Times New Roman"/>
        </w:rPr>
      </w:pPr>
      <w:r>
        <w:rPr>
          <w:rFonts w:eastAsia="Times New Roman"/>
          <w:color w:val="000000"/>
          <w:sz w:val="20"/>
          <w:szCs w:val="20"/>
        </w:rPr>
        <w:t>39</w:t>
      </w:r>
    </w:p>
    <w:p w:rsidR="00000000" w:rsidRDefault="008C69C0">
      <w:pPr>
        <w:rPr>
          <w:rFonts w:eastAsia="Times New Roman"/>
        </w:rPr>
      </w:pPr>
      <w:r>
        <w:rPr>
          <w:rFonts w:eastAsia="Times New Roman"/>
        </w:rPr>
        <w:pict>
          <v:rect id="_x0000_i1065" style="width:0;height:1.5pt" o:hralign="center" o:hrstd="t" o:hr="t" fillcolor="#a0a0a0" stroked="f"/>
        </w:pict>
      </w:r>
    </w:p>
    <w:p w:rsidR="00000000" w:rsidRDefault="008C69C0">
      <w:pPr>
        <w:divId w:val="2007200462"/>
        <w:rPr>
          <w:rFonts w:eastAsia="Times New Roman"/>
        </w:rPr>
      </w:pPr>
    </w:p>
    <w:p w:rsidR="00000000" w:rsidRDefault="008C69C0">
      <w:pPr>
        <w:jc w:val="both"/>
        <w:divId w:val="1889873093"/>
        <w:rPr>
          <w:rFonts w:eastAsia="Times New Roman"/>
        </w:rPr>
      </w:pPr>
      <w:r>
        <w:rPr>
          <w:rFonts w:eastAsia="Times New Roman"/>
          <w:color w:val="000000"/>
          <w:sz w:val="20"/>
          <w:szCs w:val="20"/>
        </w:rPr>
        <w:t>management costs increased 20.0% and 9.5% in the three and nine months ended September 30, 2021, respectively, as compared to the same periods in 2020. The increase was due primarily to an increase in IT team costs tha</w:t>
      </w:r>
      <w:r>
        <w:rPr>
          <w:rFonts w:eastAsia="Times New Roman"/>
          <w:color w:val="000000"/>
          <w:sz w:val="20"/>
          <w:szCs w:val="20"/>
        </w:rPr>
        <w:t xml:space="preserve">t support property operations. We expect increases in centralized management costs in the remainder 2021 due to increased headcount. </w:t>
      </w:r>
    </w:p>
    <w:p w:rsidR="00000000" w:rsidRDefault="008C69C0">
      <w:pPr>
        <w:ind w:firstLine="720"/>
        <w:jc w:val="both"/>
        <w:divId w:val="305739092"/>
        <w:rPr>
          <w:rFonts w:eastAsia="Times New Roman"/>
        </w:rPr>
      </w:pPr>
      <w:r>
        <w:rPr>
          <w:rFonts w:eastAsia="Times New Roman"/>
          <w:color w:val="000000"/>
          <w:sz w:val="20"/>
          <w:szCs w:val="20"/>
        </w:rPr>
        <w:t>Share-based compensation expense includes the amortization of restricted share units and stock options granted to manageme</w:t>
      </w:r>
      <w:r>
        <w:rPr>
          <w:rFonts w:eastAsia="Times New Roman"/>
          <w:color w:val="000000"/>
          <w:sz w:val="20"/>
          <w:szCs w:val="20"/>
        </w:rPr>
        <w:t>nt personnel who directly and indirectly supervise the on-site property managers, as well as those employees responsible for providing shared general corporate functions to the extent their efforts are devoted to self-storage operations. Such functions are</w:t>
      </w:r>
      <w:r>
        <w:rPr>
          <w:rFonts w:eastAsia="Times New Roman"/>
          <w:color w:val="000000"/>
          <w:sz w:val="20"/>
          <w:szCs w:val="20"/>
        </w:rPr>
        <w:t xml:space="preserve"> listed above under centralized management costs. Share-based compensation expense varies based upon the level of grants and their related vesting and amortization periods, forfeitures, as well as the Company’s common share price on the date of each grant.</w:t>
      </w:r>
      <w:r>
        <w:rPr>
          <w:rFonts w:eastAsia="Times New Roman"/>
          <w:color w:val="000000"/>
          <w:sz w:val="20"/>
          <w:szCs w:val="20"/>
        </w:rPr>
        <w:t xml:space="preserve"> For the three and nine months ended September 30, 2021, share-based compensation expense increased 19.8% and 46.1%, respectively, as compared to the same periods in 2020, due primarily to the absence of comparable performance-based share-based compensatio</w:t>
      </w:r>
      <w:r>
        <w:rPr>
          <w:rFonts w:eastAsia="Times New Roman"/>
          <w:color w:val="000000"/>
          <w:sz w:val="20"/>
          <w:szCs w:val="20"/>
        </w:rPr>
        <w:t>n expense for the three and nine months ended September 30, 2020 and the accelerated compensation costs recognized in the three and nine months ended September 30, 2021 associated with modifying our share-based compensation plans in July 2020, to allow imm</w:t>
      </w:r>
      <w:r>
        <w:rPr>
          <w:rFonts w:eastAsia="Times New Roman"/>
          <w:color w:val="000000"/>
          <w:sz w:val="20"/>
          <w:szCs w:val="20"/>
        </w:rPr>
        <w:t xml:space="preserve">ediate vesting upon retirement. </w:t>
      </w:r>
    </w:p>
    <w:p w:rsidR="00000000" w:rsidRDefault="008C69C0">
      <w:pPr>
        <w:jc w:val="both"/>
        <w:divId w:val="2073772101"/>
        <w:rPr>
          <w:rFonts w:eastAsia="Times New Roman"/>
        </w:rPr>
      </w:pPr>
      <w:r>
        <w:rPr>
          <w:rFonts w:eastAsia="Times New Roman"/>
          <w:i/>
          <w:iCs/>
          <w:color w:val="000000"/>
          <w:sz w:val="20"/>
          <w:szCs w:val="20"/>
          <w:u w:val="single"/>
        </w:rPr>
        <w:t>Analysis of Same Store Depreciation and Amortization</w:t>
      </w:r>
    </w:p>
    <w:p w:rsidR="00000000" w:rsidRDefault="008C69C0">
      <w:pPr>
        <w:ind w:firstLine="720"/>
        <w:jc w:val="both"/>
        <w:divId w:val="656959168"/>
        <w:rPr>
          <w:rFonts w:eastAsia="Times New Roman"/>
        </w:rPr>
      </w:pPr>
      <w:r>
        <w:rPr>
          <w:rFonts w:eastAsia="Times New Roman"/>
          <w:color w:val="000000"/>
          <w:sz w:val="20"/>
          <w:szCs w:val="20"/>
        </w:rPr>
        <w:t>Depreciation and amortization for Same Store Facilities increased 0.5% and decreased 0.5% in the three and nine months ended September 30, 2021, respectively, as compared</w:t>
      </w:r>
      <w:r>
        <w:rPr>
          <w:rFonts w:eastAsia="Times New Roman"/>
          <w:color w:val="000000"/>
          <w:sz w:val="20"/>
          <w:szCs w:val="20"/>
        </w:rPr>
        <w:t xml:space="preserve"> to the same periods in 2020. We expect modest increases in depreciation expense in the remainder of 2021 due to elevated levels of capital expenditures. </w:t>
      </w:r>
    </w:p>
    <w:p w:rsidR="00000000" w:rsidRDefault="008C69C0">
      <w:pPr>
        <w:jc w:val="center"/>
        <w:divId w:val="173805260"/>
        <w:rPr>
          <w:rFonts w:eastAsia="Times New Roman"/>
        </w:rPr>
      </w:pPr>
      <w:r>
        <w:rPr>
          <w:rFonts w:eastAsia="Times New Roman"/>
          <w:color w:val="000000"/>
          <w:sz w:val="20"/>
          <w:szCs w:val="20"/>
        </w:rPr>
        <w:t>40</w:t>
      </w:r>
    </w:p>
    <w:p w:rsidR="00000000" w:rsidRDefault="008C69C0">
      <w:pPr>
        <w:rPr>
          <w:rFonts w:eastAsia="Times New Roman"/>
        </w:rPr>
      </w:pPr>
      <w:r>
        <w:rPr>
          <w:rFonts w:eastAsia="Times New Roman"/>
        </w:rPr>
        <w:pict>
          <v:rect id="_x0000_i1066" style="width:0;height:1.5pt" o:hralign="center" o:hrstd="t" o:hr="t" fillcolor="#a0a0a0" stroked="f"/>
        </w:pict>
      </w:r>
    </w:p>
    <w:p w:rsidR="00000000" w:rsidRDefault="008C69C0">
      <w:pPr>
        <w:divId w:val="1108695890"/>
        <w:rPr>
          <w:rFonts w:eastAsia="Times New Roman"/>
        </w:rPr>
      </w:pPr>
    </w:p>
    <w:p w:rsidR="00000000" w:rsidRDefault="008C69C0">
      <w:pPr>
        <w:divId w:val="1195580722"/>
        <w:rPr>
          <w:rFonts w:eastAsia="Times New Roman"/>
        </w:rPr>
      </w:pPr>
      <w:r>
        <w:rPr>
          <w:rFonts w:eastAsia="Times New Roman"/>
          <w:i/>
          <w:iCs/>
          <w:color w:val="000000"/>
          <w:sz w:val="20"/>
          <w:szCs w:val="20"/>
        </w:rPr>
        <w:t>Quarterly Financial Data</w:t>
      </w:r>
    </w:p>
    <w:p w:rsidR="00000000" w:rsidRDefault="008C69C0">
      <w:pPr>
        <w:ind w:firstLine="720"/>
        <w:divId w:val="598028961"/>
        <w:rPr>
          <w:rFonts w:eastAsia="Times New Roman"/>
        </w:rPr>
      </w:pPr>
      <w:r>
        <w:rPr>
          <w:rFonts w:eastAsia="Times New Roman"/>
          <w:color w:val="000000"/>
          <w:sz w:val="20"/>
          <w:szCs w:val="20"/>
        </w:rPr>
        <w:t>The following table summarizes selected quarterly financial data with respect to the Same Store Facilities: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431"/>
        <w:gridCol w:w="37"/>
        <w:gridCol w:w="121"/>
        <w:gridCol w:w="945"/>
        <w:gridCol w:w="36"/>
        <w:gridCol w:w="36"/>
        <w:gridCol w:w="36"/>
        <w:gridCol w:w="36"/>
        <w:gridCol w:w="121"/>
        <w:gridCol w:w="896"/>
        <w:gridCol w:w="36"/>
        <w:gridCol w:w="36"/>
        <w:gridCol w:w="36"/>
        <w:gridCol w:w="36"/>
        <w:gridCol w:w="121"/>
        <w:gridCol w:w="946"/>
        <w:gridCol w:w="36"/>
        <w:gridCol w:w="36"/>
        <w:gridCol w:w="36"/>
        <w:gridCol w:w="36"/>
        <w:gridCol w:w="121"/>
        <w:gridCol w:w="898"/>
        <w:gridCol w:w="36"/>
        <w:gridCol w:w="36"/>
        <w:gridCol w:w="36"/>
        <w:gridCol w:w="36"/>
        <w:gridCol w:w="121"/>
        <w:gridCol w:w="898"/>
        <w:gridCol w:w="36"/>
      </w:tblGrid>
      <w:tr w:rsidR="00000000">
        <w:trPr>
          <w:divId w:val="919019933"/>
        </w:trPr>
        <w:tc>
          <w:tcPr>
            <w:tcW w:w="50" w:type="pct"/>
            <w:vAlign w:val="center"/>
            <w:hideMark/>
          </w:tcPr>
          <w:p w:rsidR="00000000" w:rsidRDefault="008C69C0">
            <w:pPr>
              <w:ind w:firstLine="720"/>
              <w:rPr>
                <w:rFonts w:eastAsia="Times New Roman"/>
              </w:rPr>
            </w:pPr>
          </w:p>
        </w:tc>
        <w:tc>
          <w:tcPr>
            <w:tcW w:w="150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For the Quarter Ended</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r>
      <w:tr w:rsidR="00000000">
        <w:trPr>
          <w:divId w:val="919019933"/>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December 31</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Entire Year</w:t>
            </w:r>
          </w:p>
        </w:tc>
      </w:tr>
      <w:tr w:rsidR="00000000">
        <w:trPr>
          <w:divId w:val="919019933"/>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27"/>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20"/>
                <w:szCs w:val="20"/>
              </w:rPr>
              <w:t>(Amounts in thousands, except for per square foot amounts)</w:t>
            </w:r>
          </w:p>
        </w:tc>
      </w:tr>
      <w:tr w:rsidR="00000000">
        <w:trPr>
          <w:divId w:val="91901993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 revenues: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646,897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679,885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716,050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625,818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613,559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628,286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637,256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2,504,919</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6"/>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 cost of operations: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180,768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166,946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175,609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188,922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192,067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184,068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146,394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711,451</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Property taxes: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66,481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67,118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69,573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72,692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72,370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71,533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41,164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257,759</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6"/>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Repairs and maintenance: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13,008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13,053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13,078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12,698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11,650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12,954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13,461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50,763</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6"/>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Marketing:</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14,558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6,834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9,143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14,782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17,599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16,131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13,505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62,017</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REVPAF:</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16.86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17.77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16.01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16.29</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24"/>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Weighted average realized annual rent per occupied square foot:</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18.32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17.24</w:t>
            </w:r>
          </w:p>
        </w:tc>
      </w:tr>
      <w:tr w:rsidR="00000000">
        <w:trPr>
          <w:divId w:val="91901993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15"/>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Weighted average occupancy levels for the period: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97.0%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919019933"/>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94.5%</w:t>
            </w:r>
          </w:p>
        </w:tc>
      </w:tr>
    </w:tbl>
    <w:p w:rsidR="00000000" w:rsidRDefault="008C69C0">
      <w:pPr>
        <w:jc w:val="center"/>
        <w:divId w:val="179049009"/>
        <w:rPr>
          <w:rFonts w:eastAsia="Times New Roman"/>
        </w:rPr>
      </w:pPr>
      <w:r>
        <w:rPr>
          <w:rFonts w:eastAsia="Times New Roman"/>
          <w:color w:val="000000"/>
          <w:sz w:val="20"/>
          <w:szCs w:val="20"/>
        </w:rPr>
        <w:t>41</w:t>
      </w:r>
    </w:p>
    <w:p w:rsidR="00000000" w:rsidRDefault="008C69C0">
      <w:pPr>
        <w:rPr>
          <w:rFonts w:eastAsia="Times New Roman"/>
        </w:rPr>
      </w:pPr>
      <w:r>
        <w:rPr>
          <w:rFonts w:eastAsia="Times New Roman"/>
        </w:rPr>
        <w:pict>
          <v:rect id="_x0000_i1067" style="width:0;height:1.5pt" o:hralign="center" o:hrstd="t" o:hr="t" fillcolor="#a0a0a0" stroked="f"/>
        </w:pict>
      </w:r>
    </w:p>
    <w:p w:rsidR="00000000" w:rsidRDefault="008C69C0">
      <w:pPr>
        <w:divId w:val="141241668"/>
        <w:rPr>
          <w:rFonts w:eastAsia="Times New Roman"/>
        </w:rPr>
      </w:pPr>
    </w:p>
    <w:p w:rsidR="00000000" w:rsidRDefault="008C69C0">
      <w:pPr>
        <w:jc w:val="both"/>
        <w:divId w:val="1913002947"/>
        <w:rPr>
          <w:rFonts w:eastAsia="Times New Roman"/>
        </w:rPr>
      </w:pPr>
      <w:r>
        <w:rPr>
          <w:rFonts w:eastAsia="Times New Roman"/>
          <w:b/>
          <w:bCs/>
          <w:color w:val="000000"/>
          <w:sz w:val="20"/>
          <w:szCs w:val="20"/>
          <w:u w:val="single"/>
        </w:rPr>
        <w:t>Analysis of Market Trends</w:t>
      </w:r>
    </w:p>
    <w:p w:rsidR="00000000" w:rsidRDefault="008C69C0">
      <w:pPr>
        <w:ind w:firstLine="720"/>
        <w:jc w:val="both"/>
        <w:divId w:val="521282690"/>
        <w:rPr>
          <w:rFonts w:eastAsia="Times New Roman"/>
        </w:rPr>
      </w:pPr>
      <w:r>
        <w:rPr>
          <w:rFonts w:eastAsia="Times New Roman"/>
          <w:color w:val="000000"/>
          <w:sz w:val="20"/>
          <w:szCs w:val="20"/>
        </w:rPr>
        <w:t>The following tables set forth selected market trends in our Same Store Facilities:</w:t>
      </w:r>
    </w:p>
    <w:p w:rsidR="00000000" w:rsidRDefault="008C69C0">
      <w:pPr>
        <w:divId w:val="542061012"/>
        <w:rPr>
          <w:rFonts w:eastAsia="Times New Roman"/>
        </w:rPr>
      </w:pPr>
      <w:r>
        <w:rPr>
          <w:rFonts w:eastAsia="Times New Roman"/>
          <w:b/>
          <w:bCs/>
          <w:color w:val="000000"/>
          <w:sz w:val="20"/>
          <w:szCs w:val="20"/>
        </w:rPr>
        <w:t>Same Store Facilities Operating Trends by Market</w:t>
      </w:r>
    </w:p>
    <w:p w:rsidR="00000000" w:rsidRDefault="008C69C0">
      <w:pPr>
        <w:divId w:val="5370862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307"/>
        <w:gridCol w:w="38"/>
        <w:gridCol w:w="89"/>
        <w:gridCol w:w="530"/>
        <w:gridCol w:w="38"/>
        <w:gridCol w:w="95"/>
        <w:gridCol w:w="568"/>
        <w:gridCol w:w="37"/>
        <w:gridCol w:w="110"/>
        <w:gridCol w:w="450"/>
        <w:gridCol w:w="36"/>
        <w:gridCol w:w="110"/>
        <w:gridCol w:w="450"/>
        <w:gridCol w:w="36"/>
        <w:gridCol w:w="75"/>
        <w:gridCol w:w="447"/>
        <w:gridCol w:w="170"/>
        <w:gridCol w:w="55"/>
        <w:gridCol w:w="325"/>
        <w:gridCol w:w="171"/>
        <w:gridCol w:w="55"/>
        <w:gridCol w:w="325"/>
        <w:gridCol w:w="171"/>
        <w:gridCol w:w="75"/>
        <w:gridCol w:w="447"/>
        <w:gridCol w:w="170"/>
        <w:gridCol w:w="110"/>
        <w:gridCol w:w="450"/>
        <w:gridCol w:w="36"/>
        <w:gridCol w:w="110"/>
        <w:gridCol w:w="450"/>
        <w:gridCol w:w="36"/>
        <w:gridCol w:w="75"/>
        <w:gridCol w:w="447"/>
        <w:gridCol w:w="170"/>
      </w:tblGrid>
      <w:tr w:rsidR="00000000">
        <w:trPr>
          <w:divId w:val="341783588"/>
        </w:trPr>
        <w:tc>
          <w:tcPr>
            <w:tcW w:w="50" w:type="pct"/>
            <w:vAlign w:val="center"/>
            <w:hideMark/>
          </w:tcPr>
          <w:p w:rsidR="00000000" w:rsidRDefault="008C69C0">
            <w:pPr>
              <w:rPr>
                <w:rFonts w:eastAsia="Times New Roman"/>
              </w:rPr>
            </w:pPr>
          </w:p>
        </w:tc>
        <w:tc>
          <w:tcPr>
            <w:tcW w:w="103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34178358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As of September 30, 2021</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For the Three Months Ended September 30,</w:t>
            </w:r>
          </w:p>
        </w:tc>
      </w:tr>
      <w:tr w:rsidR="00000000">
        <w:trPr>
          <w:divId w:val="341783588"/>
          <w:trHeight w:val="420"/>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341783588"/>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8C69C0">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8C69C0">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213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15.2</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27.98 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25.96 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27.53 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25.29 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130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87</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5.9</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89</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14.78 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98</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102</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92</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12.78 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40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2.9</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52</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893</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56.1</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417835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2,274</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148.7</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bl>
    <w:p w:rsidR="00000000" w:rsidRDefault="008C69C0">
      <w:pPr>
        <w:divId w:val="1788962825"/>
        <w:rPr>
          <w:rFonts w:eastAsia="Times New Roman"/>
        </w:rPr>
      </w:pPr>
    </w:p>
    <w:p w:rsidR="00000000" w:rsidRDefault="008C69C0">
      <w:pPr>
        <w:jc w:val="center"/>
        <w:divId w:val="1024672355"/>
        <w:rPr>
          <w:rFonts w:eastAsia="Times New Roman"/>
        </w:rPr>
      </w:pPr>
      <w:r>
        <w:rPr>
          <w:rFonts w:eastAsia="Times New Roman"/>
          <w:color w:val="000000"/>
          <w:sz w:val="20"/>
          <w:szCs w:val="20"/>
        </w:rPr>
        <w:t>42</w:t>
      </w:r>
    </w:p>
    <w:p w:rsidR="00000000" w:rsidRDefault="008C69C0">
      <w:pPr>
        <w:rPr>
          <w:rFonts w:eastAsia="Times New Roman"/>
        </w:rPr>
      </w:pPr>
      <w:r>
        <w:rPr>
          <w:rFonts w:eastAsia="Times New Roman"/>
        </w:rPr>
        <w:pict>
          <v:rect id="_x0000_i1068" style="width:0;height:1.5pt" o:hralign="center" o:hrstd="t" o:hr="t" fillcolor="#a0a0a0" stroked="f"/>
        </w:pict>
      </w:r>
    </w:p>
    <w:p w:rsidR="00000000" w:rsidRDefault="008C69C0">
      <w:pPr>
        <w:divId w:val="992484311"/>
        <w:rPr>
          <w:rFonts w:eastAsia="Times New Roman"/>
        </w:rPr>
      </w:pPr>
    </w:p>
    <w:p w:rsidR="00000000" w:rsidRDefault="008C69C0">
      <w:pPr>
        <w:divId w:val="1108743516"/>
        <w:rPr>
          <w:rFonts w:eastAsia="Times New Roman"/>
        </w:rPr>
      </w:pPr>
      <w:r>
        <w:rPr>
          <w:rFonts w:eastAsia="Times New Roman"/>
          <w:b/>
          <w:bCs/>
          <w:color w:val="000000"/>
          <w:sz w:val="20"/>
          <w:szCs w:val="20"/>
        </w:rPr>
        <w:t>Same Store Facilities Operating Trends by Market (Continued)</w:t>
      </w:r>
    </w:p>
    <w:p w:rsidR="00000000" w:rsidRDefault="008C69C0">
      <w:pPr>
        <w:divId w:val="948330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630"/>
        <w:gridCol w:w="36"/>
        <w:gridCol w:w="110"/>
        <w:gridCol w:w="630"/>
        <w:gridCol w:w="36"/>
        <w:gridCol w:w="75"/>
        <w:gridCol w:w="447"/>
        <w:gridCol w:w="170"/>
      </w:tblGrid>
      <w:tr w:rsidR="00000000">
        <w:trPr>
          <w:divId w:val="1157460158"/>
        </w:trPr>
        <w:tc>
          <w:tcPr>
            <w:tcW w:w="50" w:type="pct"/>
            <w:vAlign w:val="center"/>
            <w:hideMark/>
          </w:tcPr>
          <w:p w:rsidR="00000000" w:rsidRDefault="008C69C0">
            <w:pPr>
              <w:rPr>
                <w:rFonts w:eastAsia="Times New Roman"/>
              </w:rPr>
            </w:pPr>
          </w:p>
        </w:tc>
        <w:tc>
          <w:tcPr>
            <w:tcW w:w="67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15746015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16"/>
                <w:szCs w:val="16"/>
              </w:rPr>
              <w:t>For the Three Months Ended September 30,</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bottom"/>
            <w:hideMark/>
          </w:tcPr>
          <w:p w:rsidR="00000000" w:rsidRDefault="008C69C0">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bottom"/>
            <w:hideMark/>
          </w:tcPr>
          <w:p w:rsidR="00000000" w:rsidRDefault="008C69C0">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bottom"/>
            <w:hideMark/>
          </w:tcPr>
          <w:p w:rsidR="00000000" w:rsidRDefault="008C69C0">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bottom"/>
            <w:hideMark/>
          </w:tcPr>
          <w:p w:rsidR="00000000" w:rsidRDefault="008C69C0">
            <w:pPr>
              <w:spacing w:after="100"/>
              <w:jc w:val="center"/>
              <w:rPr>
                <w:rFonts w:eastAsia="Times New Roman"/>
              </w:rPr>
            </w:pPr>
            <w:r>
              <w:rPr>
                <w:rFonts w:eastAsia="Times New Roman"/>
                <w:color w:val="000000"/>
                <w:sz w:val="16"/>
                <w:szCs w:val="16"/>
              </w:rPr>
              <w:t>Net Operating Income ($000's)</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106,385 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97,749 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14,802 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15,875 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2,503 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2,351 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89,080 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79,523 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57,351 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52,987 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9,124 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46,504 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42,362 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44,463 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40,787 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27,988 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32,951 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29,251 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5,620 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6,091 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26,332 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22,145 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33,813 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27,763 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7,437 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25,417 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18,827 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31,506 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28,253 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6,622 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23,955 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20,368 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35,024 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29,753 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19,724 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14,435 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24,695 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20,524 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19,187 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25,106 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21,283 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6,747 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18,233 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22,119 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19,145 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6,921 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11,270 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14,824 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10,127 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17,053 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15,075 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12,674 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10,382 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15,436 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12,530 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11,564 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7,524 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12,404 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2,420 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226,709 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196,622 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48,377 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52,167 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9,919 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168,413 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135,067 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15746015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716,050 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628,286 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149,812 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159,668 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25,797 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24,400 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540,441 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444,218 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bl>
    <w:p w:rsidR="00000000" w:rsidRDefault="008C69C0">
      <w:pPr>
        <w:divId w:val="1660770518"/>
        <w:rPr>
          <w:rFonts w:eastAsia="Times New Roman"/>
        </w:rPr>
      </w:pPr>
    </w:p>
    <w:p w:rsidR="00000000" w:rsidRDefault="008C69C0">
      <w:pPr>
        <w:jc w:val="center"/>
        <w:divId w:val="1008293080"/>
        <w:rPr>
          <w:rFonts w:eastAsia="Times New Roman"/>
        </w:rPr>
      </w:pPr>
      <w:r>
        <w:rPr>
          <w:rFonts w:eastAsia="Times New Roman"/>
          <w:color w:val="000000"/>
          <w:sz w:val="20"/>
          <w:szCs w:val="20"/>
        </w:rPr>
        <w:t>43</w:t>
      </w:r>
    </w:p>
    <w:p w:rsidR="00000000" w:rsidRDefault="008C69C0">
      <w:pPr>
        <w:rPr>
          <w:rFonts w:eastAsia="Times New Roman"/>
        </w:rPr>
      </w:pPr>
      <w:r>
        <w:rPr>
          <w:rFonts w:eastAsia="Times New Roman"/>
        </w:rPr>
        <w:pict>
          <v:rect id="_x0000_i1069" style="width:0;height:1.5pt" o:hralign="center" o:hrstd="t" o:hr="t" fillcolor="#a0a0a0" stroked="f"/>
        </w:pict>
      </w:r>
    </w:p>
    <w:p w:rsidR="00000000" w:rsidRDefault="008C69C0">
      <w:pPr>
        <w:divId w:val="933784859"/>
        <w:rPr>
          <w:rFonts w:eastAsia="Times New Roman"/>
        </w:rPr>
      </w:pPr>
    </w:p>
    <w:p w:rsidR="00000000" w:rsidRDefault="008C69C0">
      <w:pPr>
        <w:divId w:val="1314673392"/>
        <w:rPr>
          <w:rFonts w:eastAsia="Times New Roman"/>
        </w:rPr>
      </w:pPr>
      <w:r>
        <w:rPr>
          <w:rFonts w:eastAsia="Times New Roman"/>
          <w:b/>
          <w:bCs/>
          <w:color w:val="000000"/>
          <w:sz w:val="20"/>
          <w:szCs w:val="20"/>
        </w:rPr>
        <w:t>Same Store Facilities Operating Trends by Market (Cont</w:t>
      </w:r>
      <w:r>
        <w:rPr>
          <w:rFonts w:eastAsia="Times New Roman"/>
          <w:b/>
          <w:bCs/>
          <w:color w:val="000000"/>
          <w:sz w:val="20"/>
          <w:szCs w:val="20"/>
        </w:rPr>
        <w:t>inued)</w:t>
      </w:r>
    </w:p>
    <w:p w:rsidR="00000000" w:rsidRDefault="008C69C0">
      <w:pPr>
        <w:divId w:val="15344145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308"/>
        <w:gridCol w:w="38"/>
        <w:gridCol w:w="89"/>
        <w:gridCol w:w="530"/>
        <w:gridCol w:w="38"/>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287587688"/>
        </w:trPr>
        <w:tc>
          <w:tcPr>
            <w:tcW w:w="50" w:type="pct"/>
            <w:vAlign w:val="center"/>
            <w:hideMark/>
          </w:tcPr>
          <w:p w:rsidR="00000000" w:rsidRDefault="008C69C0">
            <w:pPr>
              <w:rPr>
                <w:rFonts w:eastAsia="Times New Roman"/>
              </w:rPr>
            </w:pPr>
          </w:p>
        </w:tc>
        <w:tc>
          <w:tcPr>
            <w:tcW w:w="1033"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28758768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As of September 30, 2021</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For the Nine Months Ended September 30,</w:t>
            </w:r>
          </w:p>
        </w:tc>
      </w:tr>
      <w:tr w:rsidR="00000000">
        <w:trPr>
          <w:divId w:val="287587688"/>
          <w:trHeight w:val="420"/>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r>
            <w:r>
              <w:rPr>
                <w:rFonts w:eastAsia="Times New Roman"/>
                <w:color w:val="000000"/>
                <w:sz w:val="16"/>
                <w:szCs w:val="16"/>
              </w:rP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287587688"/>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8C69C0">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8C69C0">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213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15.2</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27.20 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25.87 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26.72 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24.90 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130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87</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5.9</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89</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21.38 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19.82 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14.88 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98</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102</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92</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13.43 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16.72 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40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2.9</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52</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11.65 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893</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56.1</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13.28 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28758768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2,274</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148.7</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bl>
    <w:p w:rsidR="00000000" w:rsidRDefault="008C69C0">
      <w:pPr>
        <w:divId w:val="1656227293"/>
        <w:rPr>
          <w:rFonts w:eastAsia="Times New Roman"/>
        </w:rPr>
      </w:pPr>
    </w:p>
    <w:p w:rsidR="00000000" w:rsidRDefault="008C69C0">
      <w:pPr>
        <w:jc w:val="center"/>
        <w:divId w:val="131875037"/>
        <w:rPr>
          <w:rFonts w:eastAsia="Times New Roman"/>
        </w:rPr>
      </w:pPr>
      <w:r>
        <w:rPr>
          <w:rFonts w:eastAsia="Times New Roman"/>
          <w:color w:val="000000"/>
          <w:sz w:val="20"/>
          <w:szCs w:val="20"/>
        </w:rPr>
        <w:t>44</w:t>
      </w:r>
    </w:p>
    <w:p w:rsidR="00000000" w:rsidRDefault="008C69C0">
      <w:pPr>
        <w:rPr>
          <w:rFonts w:eastAsia="Times New Roman"/>
        </w:rPr>
      </w:pPr>
      <w:r>
        <w:rPr>
          <w:rFonts w:eastAsia="Times New Roman"/>
        </w:rPr>
        <w:pict>
          <v:rect id="_x0000_i1070" style="width:0;height:1.5pt" o:hralign="center" o:hrstd="t" o:hr="t" fillcolor="#a0a0a0" stroked="f"/>
        </w:pict>
      </w:r>
    </w:p>
    <w:p w:rsidR="00000000" w:rsidRDefault="008C69C0">
      <w:pPr>
        <w:divId w:val="1331325424"/>
        <w:rPr>
          <w:rFonts w:eastAsia="Times New Roman"/>
        </w:rPr>
      </w:pPr>
    </w:p>
    <w:p w:rsidR="00000000" w:rsidRDefault="008C69C0">
      <w:pPr>
        <w:divId w:val="613558970"/>
        <w:rPr>
          <w:rFonts w:eastAsia="Times New Roman"/>
        </w:rPr>
      </w:pPr>
      <w:r>
        <w:rPr>
          <w:rFonts w:eastAsia="Times New Roman"/>
          <w:b/>
          <w:bCs/>
          <w:color w:val="000000"/>
          <w:sz w:val="20"/>
          <w:szCs w:val="20"/>
        </w:rPr>
        <w:t>Same Store Facilities Operating Trends by Market (Contin</w:t>
      </w:r>
      <w:r>
        <w:rPr>
          <w:rFonts w:eastAsia="Times New Roman"/>
          <w:b/>
          <w:bCs/>
          <w:color w:val="000000"/>
          <w:sz w:val="20"/>
          <w:szCs w:val="20"/>
        </w:rPr>
        <w:t>ued)</w:t>
      </w:r>
    </w:p>
    <w:p w:rsidR="00000000" w:rsidRDefault="008C69C0">
      <w:pPr>
        <w:divId w:val="9257741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765"/>
        <w:gridCol w:w="36"/>
        <w:gridCol w:w="110"/>
        <w:gridCol w:w="765"/>
        <w:gridCol w:w="36"/>
        <w:gridCol w:w="75"/>
        <w:gridCol w:w="447"/>
        <w:gridCol w:w="170"/>
      </w:tblGrid>
      <w:tr w:rsidR="00000000">
        <w:trPr>
          <w:divId w:val="376049445"/>
        </w:trPr>
        <w:tc>
          <w:tcPr>
            <w:tcW w:w="50" w:type="pct"/>
            <w:vAlign w:val="center"/>
            <w:hideMark/>
          </w:tcPr>
          <w:p w:rsidR="00000000" w:rsidRDefault="008C69C0">
            <w:pPr>
              <w:rPr>
                <w:rFonts w:eastAsia="Times New Roman"/>
              </w:rPr>
            </w:pPr>
          </w:p>
        </w:tc>
        <w:tc>
          <w:tcPr>
            <w:tcW w:w="67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30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376049445"/>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8C69C0">
            <w:pPr>
              <w:spacing w:after="100"/>
              <w:jc w:val="center"/>
              <w:rPr>
                <w:rFonts w:eastAsia="Times New Roman"/>
              </w:rPr>
            </w:pPr>
            <w:r>
              <w:rPr>
                <w:rFonts w:eastAsia="Times New Roman"/>
                <w:color w:val="000000"/>
                <w:sz w:val="16"/>
                <w:szCs w:val="16"/>
              </w:rPr>
              <w:t>For the Nine Months Ended September 30,</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8C69C0">
            <w:pPr>
              <w:spacing w:after="100"/>
              <w:jc w:val="center"/>
              <w:rPr>
                <w:rFonts w:eastAsia="Times New Roman"/>
              </w:rPr>
            </w:pPr>
            <w:r>
              <w:rPr>
                <w:rFonts w:eastAsia="Times New Roman"/>
                <w:color w:val="000000"/>
                <w:sz w:val="16"/>
                <w:szCs w:val="16"/>
              </w:rPr>
              <w:t>Net Operating Income ($000's)</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8C69C0">
            <w:pPr>
              <w:spacing w:after="100"/>
              <w:jc w:val="center"/>
              <w:rPr>
                <w:rFonts w:eastAsia="Times New Roman"/>
              </w:rPr>
            </w:pPr>
            <w:r>
              <w:rPr>
                <w:rFonts w:eastAsia="Times New Roman"/>
                <w:color w:val="000000"/>
                <w:sz w:val="16"/>
                <w:szCs w:val="16"/>
              </w:rPr>
              <w:t>Change</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309,560 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289,372 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43,786 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49,067 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(10.8)</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8,076 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7,630 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257,698 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232,675 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10.8 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166,975 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156,057 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26,144 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28,237 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4,752 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135,734 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123,068 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129,251 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121,249 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31,942 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36,059 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4,076 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3,890 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93,233 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81,300 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93,997 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86,751 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17,291 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19,058 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3,116 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73,590 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64,612 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94,884 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83,440 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20,204 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24,161 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3,060 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71,581 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56,219 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90,275 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84,169 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19,835 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21,656 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2,977 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2,857 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67,463 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59,656 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98,584 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88,269 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38,191 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40,447 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4,330 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4,233 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56,063 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43,589 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69,054 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62,154 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15,608 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(12.3)</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3,196 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51,818 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43,350 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70,909 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63,964 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17,132 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20,695 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(17.2)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50,480 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40,118 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25.8 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62,932 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57,889 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20,153 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20,533 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3,184 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39,595 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34,261 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48,397 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44,561 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10,174 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12,202 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(16.6)</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2,478 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35,745 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30,203 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48,695 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44,354 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11,455 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12,126 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(5.5)</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2,031 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35,209 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30,114 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43,471 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37,589 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9,404 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9,713 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1,634 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32,433 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26,323 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23.2 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39,156 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34,456 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9,068 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10,510 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(13.7)</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1,847 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28,241 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22,307 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34,659 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30,590 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6,808 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7,326 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(7.1)</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1,626 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1,551 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26,225 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21,713 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642,033 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582,799 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146,525 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159,938 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(8.4)</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31,107 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29,763 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464,401 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393,098 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18.1 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37604944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2,042,832 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1,867,663 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441,793 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487,336 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(9.3)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81,530 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77,721 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1,519,509 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1,302,606 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18"/>
                <w:szCs w:val="18"/>
              </w:rPr>
              <w:t>16.7 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bl>
    <w:p w:rsidR="00000000" w:rsidRDefault="008C69C0">
      <w:pPr>
        <w:divId w:val="185169927"/>
        <w:rPr>
          <w:rFonts w:eastAsia="Times New Roman"/>
        </w:rPr>
      </w:pPr>
    </w:p>
    <w:p w:rsidR="00000000" w:rsidRDefault="008C69C0">
      <w:pPr>
        <w:jc w:val="center"/>
        <w:divId w:val="1668434679"/>
        <w:rPr>
          <w:rFonts w:eastAsia="Times New Roman"/>
        </w:rPr>
      </w:pPr>
      <w:r>
        <w:rPr>
          <w:rFonts w:eastAsia="Times New Roman"/>
          <w:color w:val="000000"/>
          <w:sz w:val="20"/>
          <w:szCs w:val="20"/>
        </w:rPr>
        <w:t>45</w:t>
      </w:r>
    </w:p>
    <w:p w:rsidR="00000000" w:rsidRDefault="008C69C0">
      <w:pPr>
        <w:rPr>
          <w:rFonts w:eastAsia="Times New Roman"/>
        </w:rPr>
      </w:pPr>
      <w:r>
        <w:rPr>
          <w:rFonts w:eastAsia="Times New Roman"/>
        </w:rPr>
        <w:pict>
          <v:rect id="_x0000_i1071" style="width:0;height:1.5pt" o:hralign="center" o:hrstd="t" o:hr="t" fillcolor="#a0a0a0" stroked="f"/>
        </w:pict>
      </w:r>
    </w:p>
    <w:p w:rsidR="00000000" w:rsidRDefault="008C69C0">
      <w:pPr>
        <w:divId w:val="1441342147"/>
        <w:rPr>
          <w:rFonts w:eastAsia="Times New Roman"/>
        </w:rPr>
      </w:pPr>
    </w:p>
    <w:p w:rsidR="00000000" w:rsidRDefault="008C69C0">
      <w:pPr>
        <w:ind w:firstLine="720"/>
        <w:jc w:val="both"/>
        <w:divId w:val="1089161211"/>
        <w:rPr>
          <w:rFonts w:eastAsia="Times New Roman"/>
        </w:rPr>
      </w:pPr>
      <w:r>
        <w:rPr>
          <w:rFonts w:eastAsia="Times New Roman"/>
          <w:b/>
          <w:bCs/>
          <w:i/>
          <w:iCs/>
          <w:color w:val="000000"/>
          <w:sz w:val="20"/>
          <w:szCs w:val="20"/>
          <w:u w:val="single"/>
        </w:rPr>
        <w:t>Acquired Facilities</w:t>
      </w:r>
    </w:p>
    <w:p w:rsidR="00000000" w:rsidRDefault="008C69C0">
      <w:pPr>
        <w:ind w:firstLine="720"/>
        <w:jc w:val="both"/>
        <w:divId w:val="2058355137"/>
        <w:rPr>
          <w:rFonts w:eastAsia="Times New Roman"/>
        </w:rPr>
      </w:pPr>
      <w:r>
        <w:rPr>
          <w:rFonts w:eastAsia="Times New Roman"/>
          <w:color w:val="000000"/>
          <w:sz w:val="20"/>
          <w:szCs w:val="20"/>
        </w:rPr>
        <w:t xml:space="preserve">The Acquired Facilities represent </w:t>
      </w:r>
      <w:r>
        <w:rPr>
          <w:rFonts w:eastAsia="Times New Roman"/>
          <w:color w:val="000000"/>
          <w:sz w:val="20"/>
          <w:szCs w:val="20"/>
        </w:rPr>
        <w:t>232 facilities that we acquired in 2019, 2020, and within the first nine months of 2021. As a result of the stabilization process and timing of when these facilities were acquired, year-over-year changes can be significant. The following table summarizes o</w:t>
      </w:r>
      <w:r>
        <w:rPr>
          <w:rFonts w:eastAsia="Times New Roman"/>
          <w:color w:val="000000"/>
          <w:sz w:val="20"/>
          <w:szCs w:val="20"/>
        </w:rPr>
        <w:t>perating data with respect to the Acquired Facilities: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2658"/>
        <w:gridCol w:w="36"/>
        <w:gridCol w:w="120"/>
        <w:gridCol w:w="684"/>
        <w:gridCol w:w="36"/>
        <w:gridCol w:w="36"/>
        <w:gridCol w:w="36"/>
        <w:gridCol w:w="36"/>
        <w:gridCol w:w="120"/>
        <w:gridCol w:w="584"/>
        <w:gridCol w:w="36"/>
        <w:gridCol w:w="36"/>
        <w:gridCol w:w="36"/>
        <w:gridCol w:w="36"/>
        <w:gridCol w:w="120"/>
        <w:gridCol w:w="684"/>
        <w:gridCol w:w="36"/>
        <w:gridCol w:w="36"/>
        <w:gridCol w:w="36"/>
        <w:gridCol w:w="36"/>
        <w:gridCol w:w="123"/>
        <w:gridCol w:w="751"/>
        <w:gridCol w:w="39"/>
        <w:gridCol w:w="37"/>
        <w:gridCol w:w="37"/>
        <w:gridCol w:w="37"/>
        <w:gridCol w:w="123"/>
        <w:gridCol w:w="662"/>
        <w:gridCol w:w="38"/>
        <w:gridCol w:w="36"/>
        <w:gridCol w:w="36"/>
        <w:gridCol w:w="36"/>
        <w:gridCol w:w="122"/>
        <w:gridCol w:w="715"/>
        <w:gridCol w:w="39"/>
      </w:tblGrid>
      <w:tr w:rsidR="00000000">
        <w:trPr>
          <w:divId w:val="717511228"/>
        </w:trPr>
        <w:tc>
          <w:tcPr>
            <w:tcW w:w="50" w:type="pct"/>
            <w:vAlign w:val="center"/>
            <w:hideMark/>
          </w:tcPr>
          <w:p w:rsidR="00000000" w:rsidRDefault="008C69C0">
            <w:pPr>
              <w:ind w:firstLine="720"/>
              <w:jc w:val="both"/>
              <w:rPr>
                <w:rFonts w:eastAsia="Times New Roman"/>
              </w:rPr>
            </w:pPr>
          </w:p>
        </w:tc>
        <w:tc>
          <w:tcPr>
            <w:tcW w:w="174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 xml:space="preserve">ACQUIRED FACILITIES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717511228"/>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 (a)</w:t>
            </w:r>
          </w:p>
        </w:tc>
      </w:tr>
      <w:tr w:rsidR="00000000">
        <w:trPr>
          <w:divId w:val="717511228"/>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 amounts in thousands, except for per square foot amounts)</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578517103"/>
              <w:rPr>
                <w:rFonts w:eastAsia="Times New Roman"/>
              </w:rPr>
            </w:pPr>
            <w:r>
              <w:rPr>
                <w:rFonts w:eastAsia="Times New Roman"/>
                <w:color w:val="000000"/>
                <w:sz w:val="20"/>
                <w:szCs w:val="20"/>
              </w:rPr>
              <w:t>2019 Acquisitions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11,180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3,039 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30,249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22,735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7,514</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677733954"/>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15,613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12,753 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38,451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5,368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33,083</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519051697"/>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35,394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35,394 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56,051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56,051</w:t>
            </w:r>
          </w:p>
        </w:tc>
      </w:tr>
      <w:tr w:rsidR="00000000">
        <w:trPr>
          <w:divId w:val="717511228"/>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62,187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11,001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51,186 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124,751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28,103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96,648</w:t>
            </w:r>
          </w:p>
        </w:tc>
      </w:tr>
      <w:tr w:rsidR="00000000">
        <w:trPr>
          <w:divId w:val="717511228"/>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457720785"/>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3,509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3,034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475 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10,225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9,960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265</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936521286"/>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6,113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4,267 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18,990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3,670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15,320</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219172209"/>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10,442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10,442 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16,703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16,703</w:t>
            </w:r>
          </w:p>
        </w:tc>
      </w:tr>
      <w:tr w:rsidR="00000000">
        <w:trPr>
          <w:divId w:val="717511228"/>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20,064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4,880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15,184 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45,918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13,630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32,288</w:t>
            </w:r>
          </w:p>
        </w:tc>
      </w:tr>
      <w:tr w:rsidR="00000000">
        <w:trPr>
          <w:divId w:val="717511228"/>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Net operating income:</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482037397"/>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7,671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5,107 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2,564 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20,024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12,775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7,249</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334189565"/>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1,014 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8,486 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19,461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17,763</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689572801"/>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24,952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24,952 </w:t>
            </w:r>
          </w:p>
        </w:tc>
        <w:tc>
          <w:tcPr>
            <w:tcW w:w="0" w:type="auto"/>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39,348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39,348</w:t>
            </w:r>
          </w:p>
        </w:tc>
      </w:tr>
      <w:tr w:rsidR="00000000">
        <w:trPr>
          <w:divId w:val="717511228"/>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42,123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6,121 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36,002 </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78,833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14,473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64,360</w:t>
            </w:r>
          </w:p>
        </w:tc>
      </w:tr>
      <w:tr w:rsidR="00000000">
        <w:trPr>
          <w:divId w:val="717511228"/>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Depreciation and amortization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(55,986)</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(7,223)</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(48,763)</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(114,297)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(22,292)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(92,005)</w:t>
            </w:r>
          </w:p>
        </w:tc>
      </w:tr>
      <w:tr w:rsidR="00000000">
        <w:trPr>
          <w:divId w:val="717511228"/>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Net loss</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(13,863)</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(1,102)</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(12,761)</w:t>
            </w:r>
          </w:p>
        </w:tc>
        <w:tc>
          <w:tcPr>
            <w:tcW w:w="0" w:type="auto"/>
            <w:tcBorders>
              <w:top w:val="single" w:sz="8"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(35,464)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(27,645)</w:t>
            </w:r>
          </w:p>
        </w:tc>
      </w:tr>
      <w:tr w:rsidR="00000000">
        <w:trPr>
          <w:divId w:val="717511228"/>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2054690879"/>
              <w:rPr>
                <w:rFonts w:eastAsia="Times New Roman"/>
              </w:rPr>
            </w:pPr>
            <w:r>
              <w:rPr>
                <w:rFonts w:eastAsia="Times New Roman"/>
                <w:color w:val="000000"/>
                <w:sz w:val="20"/>
                <w:szCs w:val="20"/>
                <w:u w:val="single"/>
              </w:rPr>
              <w:t>At September 30:</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641815923"/>
              <w:rPr>
                <w:rFonts w:eastAsia="Times New Roman"/>
              </w:rPr>
            </w:pPr>
            <w:r>
              <w:rPr>
                <w:rFonts w:eastAsia="Times New Roman"/>
                <w:color w:val="000000"/>
                <w:sz w:val="20"/>
                <w:szCs w:val="20"/>
              </w:rPr>
              <w:t>2019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91.5%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998651088"/>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12.5%</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925846558"/>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87.0%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717511228"/>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w:t>
            </w:r>
          </w:p>
        </w:tc>
      </w:tr>
      <w:tr w:rsidR="00000000">
        <w:trPr>
          <w:divId w:val="717511228"/>
        </w:trPr>
        <w:tc>
          <w:tcPr>
            <w:tcW w:w="0" w:type="auto"/>
            <w:gridSpan w:val="3"/>
            <w:tcMar>
              <w:top w:w="30" w:type="dxa"/>
              <w:left w:w="8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20"/>
                <w:szCs w:val="20"/>
              </w:rPr>
              <w:t>Annual contract rent per occupied square foot:</w:t>
            </w:r>
          </w:p>
        </w:tc>
        <w:tc>
          <w:tcPr>
            <w:tcW w:w="0" w:type="auto"/>
            <w:gridSpan w:val="3"/>
            <w:tcMar>
              <w:top w:w="0" w:type="dxa"/>
              <w:left w:w="20" w:type="dxa"/>
              <w:bottom w:w="0" w:type="dxa"/>
              <w:right w:w="20" w:type="dxa"/>
            </w:tcMar>
            <w:vAlign w:val="center"/>
            <w:hideMark/>
          </w:tcPr>
          <w:p w:rsidR="00000000" w:rsidRDefault="008C69C0">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696391625"/>
              <w:rPr>
                <w:rFonts w:eastAsia="Times New Roman"/>
              </w:rPr>
            </w:pPr>
            <w:r>
              <w:rPr>
                <w:rFonts w:eastAsia="Times New Roman"/>
                <w:color w:val="000000"/>
                <w:sz w:val="20"/>
                <w:szCs w:val="20"/>
              </w:rPr>
              <w:t>2019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31.1%</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12407031"/>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7.9%</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2010867851"/>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717511228"/>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11.85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36.0%</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Number of facilities: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021903534"/>
              <w:rPr>
                <w:rFonts w:eastAsia="Times New Roman"/>
              </w:rPr>
            </w:pPr>
            <w:r>
              <w:rPr>
                <w:rFonts w:eastAsia="Times New Roman"/>
                <w:color w:val="000000"/>
                <w:sz w:val="20"/>
                <w:szCs w:val="20"/>
              </w:rPr>
              <w:t>2019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503006135"/>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43</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661078722"/>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126</w:t>
            </w:r>
          </w:p>
        </w:tc>
      </w:tr>
      <w:tr w:rsidR="00000000">
        <w:trPr>
          <w:divId w:val="717511228"/>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169</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Net rentable square feet (in thousands):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964196972"/>
              <w:rPr>
                <w:rFonts w:eastAsia="Times New Roman"/>
              </w:rPr>
            </w:pPr>
            <w:r>
              <w:rPr>
                <w:rFonts w:eastAsia="Times New Roman"/>
                <w:color w:val="000000"/>
                <w:sz w:val="20"/>
                <w:szCs w:val="20"/>
              </w:rPr>
              <w:t>2019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3,154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3,154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045181976"/>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1,385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3,690</w:t>
            </w:r>
          </w:p>
        </w:tc>
      </w:tr>
      <w:tr w:rsidR="00000000">
        <w:trPr>
          <w:divId w:val="717511228"/>
        </w:trPr>
        <w:tc>
          <w:tcPr>
            <w:tcW w:w="0" w:type="auto"/>
            <w:gridSpan w:val="3"/>
            <w:tcMar>
              <w:top w:w="30" w:type="dxa"/>
              <w:left w:w="20" w:type="dxa"/>
              <w:bottom w:w="30" w:type="dxa"/>
              <w:right w:w="20" w:type="dxa"/>
            </w:tcMar>
            <w:vAlign w:val="bottom"/>
            <w:hideMark/>
          </w:tcPr>
          <w:p w:rsidR="00000000" w:rsidRDefault="008C69C0">
            <w:pPr>
              <w:spacing w:after="100"/>
              <w:divId w:val="1225872352"/>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10,295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10,295</w:t>
            </w:r>
          </w:p>
        </w:tc>
      </w:tr>
      <w:tr w:rsidR="00000000">
        <w:trPr>
          <w:divId w:val="717511228"/>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18,524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13,985</w:t>
            </w:r>
          </w:p>
        </w:tc>
      </w:tr>
    </w:tbl>
    <w:p w:rsidR="00000000" w:rsidRDefault="008C69C0">
      <w:pPr>
        <w:jc w:val="center"/>
        <w:divId w:val="1128864197"/>
        <w:rPr>
          <w:rFonts w:eastAsia="Times New Roman"/>
        </w:rPr>
      </w:pPr>
      <w:r>
        <w:rPr>
          <w:rFonts w:eastAsia="Times New Roman"/>
          <w:color w:val="000000"/>
          <w:sz w:val="20"/>
          <w:szCs w:val="20"/>
        </w:rPr>
        <w:t>46</w:t>
      </w:r>
    </w:p>
    <w:p w:rsidR="00000000" w:rsidRDefault="008C69C0">
      <w:pPr>
        <w:rPr>
          <w:rFonts w:eastAsia="Times New Roman"/>
        </w:rPr>
      </w:pPr>
      <w:r>
        <w:rPr>
          <w:rFonts w:eastAsia="Times New Roman"/>
        </w:rPr>
        <w:pict>
          <v:rect id="_x0000_i1072" style="width:0;height:1.5pt" o:hralign="center" o:hrstd="t" o:hr="t" fillcolor="#a0a0a0" stroked="f"/>
        </w:pict>
      </w:r>
    </w:p>
    <w:p w:rsidR="00000000" w:rsidRDefault="008C69C0">
      <w:pPr>
        <w:divId w:val="1416512882"/>
        <w:rPr>
          <w:rFonts w:eastAsia="Times New Roman"/>
        </w:rPr>
      </w:pPr>
    </w:p>
    <w:p w:rsidR="00000000" w:rsidRDefault="008C69C0">
      <w:pPr>
        <w:divId w:val="1888181876"/>
        <w:rPr>
          <w:rFonts w:eastAsia="Times New Roman"/>
        </w:rPr>
      </w:pPr>
      <w:r>
        <w:rPr>
          <w:rFonts w:eastAsia="Times New Roman"/>
          <w:b/>
          <w:bCs/>
          <w:color w:val="000000"/>
          <w:sz w:val="20"/>
          <w:szCs w:val="20"/>
        </w:rPr>
        <w:t xml:space="preserve">ACQUIRED FACILITIES (Continued) </w:t>
      </w:r>
    </w:p>
    <w:tbl>
      <w:tblPr>
        <w:tblW w:w="4287" w:type="pct"/>
        <w:tblCellMar>
          <w:top w:w="15" w:type="dxa"/>
          <w:left w:w="15" w:type="dxa"/>
          <w:bottom w:w="15" w:type="dxa"/>
          <w:right w:w="15" w:type="dxa"/>
        </w:tblCellMar>
        <w:tblLook w:val="04A0" w:firstRow="1" w:lastRow="0" w:firstColumn="1" w:lastColumn="0" w:noHBand="0" w:noVBand="1"/>
      </w:tblPr>
      <w:tblGrid>
        <w:gridCol w:w="38"/>
        <w:gridCol w:w="5559"/>
        <w:gridCol w:w="37"/>
        <w:gridCol w:w="121"/>
        <w:gridCol w:w="1331"/>
        <w:gridCol w:w="36"/>
      </w:tblGrid>
      <w:tr w:rsidR="00000000">
        <w:trPr>
          <w:divId w:val="1663312662"/>
        </w:trPr>
        <w:tc>
          <w:tcPr>
            <w:tcW w:w="50" w:type="pct"/>
            <w:vAlign w:val="center"/>
            <w:hideMark/>
          </w:tcPr>
          <w:p w:rsidR="00000000" w:rsidRDefault="008C69C0">
            <w:pPr>
              <w:rPr>
                <w:rFonts w:eastAsia="Times New Roman"/>
              </w:rPr>
            </w:pPr>
          </w:p>
        </w:tc>
        <w:tc>
          <w:tcPr>
            <w:tcW w:w="392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96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663312662"/>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 xml:space="preserve">As of </w:t>
            </w:r>
          </w:p>
          <w:p w:rsidR="00000000" w:rsidRDefault="008C69C0">
            <w:pPr>
              <w:spacing w:after="100"/>
              <w:jc w:val="center"/>
              <w:rPr>
                <w:rFonts w:eastAsia="Times New Roman"/>
              </w:rPr>
            </w:pPr>
            <w:r>
              <w:rPr>
                <w:rFonts w:eastAsia="Times New Roman"/>
                <w:color w:val="000000"/>
                <w:sz w:val="20"/>
                <w:szCs w:val="20"/>
              </w:rPr>
              <w:t>September 30, 2021</w:t>
            </w:r>
          </w:p>
        </w:tc>
      </w:tr>
      <w:tr w:rsidR="00000000">
        <w:trPr>
          <w:divId w:val="1663312662"/>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Costs to acquire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r>
      <w:tr w:rsidR="00000000">
        <w:trPr>
          <w:divId w:val="1663312662"/>
        </w:trPr>
        <w:tc>
          <w:tcPr>
            <w:tcW w:w="0" w:type="auto"/>
            <w:gridSpan w:val="3"/>
            <w:tcMar>
              <w:top w:w="30" w:type="dxa"/>
              <w:left w:w="20" w:type="dxa"/>
              <w:bottom w:w="30" w:type="dxa"/>
              <w:right w:w="20" w:type="dxa"/>
            </w:tcMar>
            <w:vAlign w:val="bottom"/>
            <w:hideMark/>
          </w:tcPr>
          <w:p w:rsidR="00000000" w:rsidRDefault="008C69C0">
            <w:pPr>
              <w:spacing w:after="100"/>
              <w:divId w:val="482741946"/>
              <w:rPr>
                <w:rFonts w:eastAsia="Times New Roman"/>
              </w:rPr>
            </w:pPr>
            <w:r>
              <w:rPr>
                <w:rFonts w:eastAsia="Times New Roman"/>
                <w:color w:val="000000"/>
                <w:sz w:val="20"/>
                <w:szCs w:val="20"/>
              </w:rPr>
              <w:t>2019 Acquisitions</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429,850</w:t>
            </w:r>
          </w:p>
        </w:tc>
      </w:tr>
      <w:tr w:rsidR="00000000">
        <w:trPr>
          <w:divId w:val="1663312662"/>
        </w:trPr>
        <w:tc>
          <w:tcPr>
            <w:tcW w:w="0" w:type="auto"/>
            <w:gridSpan w:val="3"/>
            <w:tcMar>
              <w:top w:w="30" w:type="dxa"/>
              <w:left w:w="20" w:type="dxa"/>
              <w:bottom w:w="30" w:type="dxa"/>
              <w:right w:w="20" w:type="dxa"/>
            </w:tcMar>
            <w:vAlign w:val="bottom"/>
            <w:hideMark/>
          </w:tcPr>
          <w:p w:rsidR="00000000" w:rsidRDefault="008C69C0">
            <w:pPr>
              <w:spacing w:after="100"/>
              <w:divId w:val="230503683"/>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796,065</w:t>
            </w:r>
          </w:p>
        </w:tc>
      </w:tr>
      <w:tr w:rsidR="00000000">
        <w:trPr>
          <w:divId w:val="1663312662"/>
        </w:trPr>
        <w:tc>
          <w:tcPr>
            <w:tcW w:w="0" w:type="auto"/>
            <w:gridSpan w:val="3"/>
            <w:tcMar>
              <w:top w:w="30" w:type="dxa"/>
              <w:left w:w="20" w:type="dxa"/>
              <w:bottom w:w="30" w:type="dxa"/>
              <w:right w:w="20" w:type="dxa"/>
            </w:tcMar>
            <w:vAlign w:val="bottom"/>
            <w:hideMark/>
          </w:tcPr>
          <w:p w:rsidR="00000000" w:rsidRDefault="008C69C0">
            <w:pPr>
              <w:spacing w:after="100"/>
              <w:divId w:val="1491141037"/>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2,845,284</w:t>
            </w:r>
          </w:p>
        </w:tc>
      </w:tr>
      <w:tr w:rsidR="00000000">
        <w:trPr>
          <w:divId w:val="1663312662"/>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4,071,199</w:t>
            </w:r>
          </w:p>
        </w:tc>
      </w:tr>
    </w:tbl>
    <w:p w:rsidR="00000000" w:rsidRDefault="008C69C0">
      <w:pPr>
        <w:ind w:hanging="360"/>
        <w:jc w:val="both"/>
        <w:divId w:val="593317927"/>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8C69C0">
      <w:pPr>
        <w:ind w:hanging="360"/>
        <w:jc w:val="both"/>
        <w:divId w:val="2145538180"/>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 revenues and expenses generated at the facilities. See “Ancillary Operations” below for more information.</w:t>
      </w:r>
    </w:p>
    <w:p w:rsidR="00000000" w:rsidRDefault="008C69C0">
      <w:pPr>
        <w:ind w:firstLine="720"/>
        <w:jc w:val="both"/>
        <w:divId w:val="1773011184"/>
        <w:rPr>
          <w:rFonts w:eastAsia="Times New Roman"/>
        </w:rPr>
      </w:pPr>
      <w:r>
        <w:rPr>
          <w:rFonts w:eastAsia="Times New Roman"/>
          <w:color w:val="000000"/>
          <w:sz w:val="20"/>
          <w:szCs w:val="20"/>
        </w:rPr>
        <w:t xml:space="preserve">We believe that our economies of scale in marketing and operations allows us to generate higher net operating income from newly </w:t>
      </w:r>
      <w:r>
        <w:rPr>
          <w:rFonts w:eastAsia="Times New Roman"/>
          <w:color w:val="000000"/>
          <w:sz w:val="20"/>
          <w:szCs w:val="20"/>
        </w:rPr>
        <w:t>acquired facilities than was achieved by the previous owners. However, it can take 12 or more months for us to fully achieve the higher net operating income, or even longer in the case of an acquired facility with low occupancy levels and/or below market i</w:t>
      </w:r>
      <w:r>
        <w:rPr>
          <w:rFonts w:eastAsia="Times New Roman"/>
          <w:color w:val="000000"/>
          <w:sz w:val="20"/>
          <w:szCs w:val="20"/>
        </w:rPr>
        <w:t>n place rents, and the ultimate levels of net operating income to be achieved can be affected by changes in general economic conditions. As a result, there can be no assurance that we will achieve our expectations with respect to these newly acquired facil</w:t>
      </w:r>
      <w:r>
        <w:rPr>
          <w:rFonts w:eastAsia="Times New Roman"/>
          <w:color w:val="000000"/>
          <w:sz w:val="20"/>
          <w:szCs w:val="20"/>
        </w:rPr>
        <w:t xml:space="preserve">ities. </w:t>
      </w:r>
    </w:p>
    <w:p w:rsidR="00000000" w:rsidRDefault="008C69C0">
      <w:pPr>
        <w:ind w:firstLine="720"/>
        <w:jc w:val="both"/>
        <w:divId w:val="2137285018"/>
        <w:rPr>
          <w:rFonts w:eastAsia="Times New Roman"/>
        </w:rPr>
      </w:pPr>
      <w:r>
        <w:rPr>
          <w:rFonts w:eastAsia="Times New Roman"/>
          <w:color w:val="000000"/>
          <w:sz w:val="20"/>
          <w:szCs w:val="20"/>
        </w:rPr>
        <w:t xml:space="preserve">The Acquired Facilities have an aggregate of approximately 18.5 million net rentable square feet, including 3.6 million in Maryland, 1.9 million in Virginia, 1.8 million in Texas, 0.8 million in Florida, 0.7 million in each of Arizona and Georgia, </w:t>
      </w:r>
      <w:r>
        <w:rPr>
          <w:rFonts w:eastAsia="Times New Roman"/>
          <w:color w:val="000000"/>
          <w:sz w:val="20"/>
          <w:szCs w:val="20"/>
        </w:rPr>
        <w:t>0.6 million in each of California, Illinois, Indiana, Ohio and South Carolina, 0.5 million in each of Idaho, Michigan, Nebraska, North Carolina and Pennsylvania, 0.4 million in each of Colorado, Minnesota and Washington, 0.3 million in each of Alabama, Mas</w:t>
      </w:r>
      <w:r>
        <w:rPr>
          <w:rFonts w:eastAsia="Times New Roman"/>
          <w:color w:val="000000"/>
          <w:sz w:val="20"/>
          <w:szCs w:val="20"/>
        </w:rPr>
        <w:t>sachusetts, Missouri and Tennessee and 1.1 million in other states.</w:t>
      </w:r>
    </w:p>
    <w:p w:rsidR="00000000" w:rsidRDefault="008C69C0">
      <w:pPr>
        <w:ind w:firstLine="720"/>
        <w:jc w:val="both"/>
        <w:divId w:val="2631985"/>
        <w:rPr>
          <w:rFonts w:eastAsia="Times New Roman"/>
        </w:rPr>
      </w:pPr>
      <w:r>
        <w:rPr>
          <w:rFonts w:eastAsia="Times New Roman"/>
          <w:color w:val="000000"/>
          <w:sz w:val="20"/>
          <w:szCs w:val="20"/>
        </w:rPr>
        <w:t>For the nine months ended September 30, 2021, the weighted average annualized yield on cost, based upon net operating income, for the 44 facilities acquired in 2019 was 6.2%. The yield for</w:t>
      </w:r>
      <w:r>
        <w:rPr>
          <w:rFonts w:eastAsia="Times New Roman"/>
          <w:color w:val="000000"/>
          <w:sz w:val="20"/>
          <w:szCs w:val="20"/>
        </w:rPr>
        <w:t xml:space="preserve"> the facilities acquired in 2020 is not meaningful due to the presence of unstabilized facilities. The yield for the facilities acquired in the nine months ended September 30, 2021 is not meaningful due to our limited ownership period. </w:t>
      </w:r>
    </w:p>
    <w:p w:rsidR="00000000" w:rsidRDefault="008C69C0">
      <w:pPr>
        <w:ind w:firstLine="720"/>
        <w:jc w:val="both"/>
        <w:divId w:val="1666124566"/>
        <w:rPr>
          <w:rFonts w:eastAsia="Times New Roman"/>
        </w:rPr>
      </w:pPr>
      <w:r>
        <w:rPr>
          <w:rFonts w:eastAsia="Times New Roman"/>
          <w:color w:val="000000"/>
          <w:sz w:val="20"/>
          <w:szCs w:val="20"/>
        </w:rPr>
        <w:t xml:space="preserve">On April 28, 2021, </w:t>
      </w:r>
      <w:r>
        <w:rPr>
          <w:rFonts w:eastAsia="Times New Roman"/>
          <w:color w:val="000000"/>
          <w:sz w:val="20"/>
          <w:szCs w:val="20"/>
        </w:rPr>
        <w:t>we closed the acquisition of the ezStorage portfolio, consisting of 48 properties (4.1 million net rentable square feet) for acquisition cost of $1.8 billion, which includes 47 self-storage facilities and one property that is under construction. Included i</w:t>
      </w:r>
      <w:r>
        <w:rPr>
          <w:rFonts w:eastAsia="Times New Roman"/>
          <w:color w:val="000000"/>
          <w:sz w:val="20"/>
          <w:szCs w:val="20"/>
        </w:rPr>
        <w:t xml:space="preserve">n the 2021 Acquisition results in the table above are revenues of $22.7 million, NOI of $17.8 million (including Direct NOI of $18.4 million) and square footage occupancy of 93.8% for the three months ended September 30, 2021. </w:t>
      </w:r>
    </w:p>
    <w:p w:rsidR="00000000" w:rsidRDefault="008C69C0">
      <w:pPr>
        <w:ind w:firstLine="720"/>
        <w:jc w:val="both"/>
        <w:divId w:val="1570382570"/>
        <w:rPr>
          <w:rFonts w:eastAsia="Times New Roman"/>
        </w:rPr>
      </w:pPr>
      <w:r>
        <w:rPr>
          <w:rFonts w:eastAsia="Times New Roman"/>
          <w:color w:val="000000"/>
          <w:sz w:val="20"/>
          <w:szCs w:val="20"/>
        </w:rPr>
        <w:t xml:space="preserve">Subsequent to September 30, </w:t>
      </w:r>
      <w:r>
        <w:rPr>
          <w:rFonts w:eastAsia="Times New Roman"/>
          <w:color w:val="000000"/>
          <w:sz w:val="20"/>
          <w:szCs w:val="20"/>
        </w:rPr>
        <w:t>2021, we acquired or were under contract to acquire 107 self-storage facilities across 16 states with 11.8 million net rentable square feet, for $2.3 billion. These include the All Storage portfolio of 56 properties (7.5 million net rentable square feet) t</w:t>
      </w:r>
      <w:r>
        <w:rPr>
          <w:rFonts w:eastAsia="Times New Roman"/>
          <w:color w:val="000000"/>
          <w:sz w:val="20"/>
          <w:szCs w:val="20"/>
        </w:rPr>
        <w:t xml:space="preserve">hat we are under contract to acquire for $1.5 billion. The acquisition, which is subject to the satisfaction of customary closing conditions, is expected to close in two separate tranches, with seven self-storage facilities closing in November 2021 and 49 </w:t>
      </w:r>
      <w:r>
        <w:rPr>
          <w:rFonts w:eastAsia="Times New Roman"/>
          <w:color w:val="000000"/>
          <w:sz w:val="20"/>
          <w:szCs w:val="20"/>
        </w:rPr>
        <w:t>self-storage facilities closing in December 2021.</w:t>
      </w:r>
    </w:p>
    <w:p w:rsidR="00000000" w:rsidRDefault="008C69C0">
      <w:pPr>
        <w:ind w:firstLine="720"/>
        <w:jc w:val="both"/>
        <w:divId w:val="1803620109"/>
        <w:rPr>
          <w:rFonts w:eastAsia="Times New Roman"/>
        </w:rPr>
      </w:pPr>
      <w:r>
        <w:rPr>
          <w:rFonts w:eastAsia="Times New Roman"/>
          <w:color w:val="000000"/>
          <w:sz w:val="20"/>
          <w:szCs w:val="20"/>
        </w:rPr>
        <w:t>We are actively seeking to acquire additional facilities and the environment for new acquisitions has improved. We are observing increased selling activity for both new constructed non-stabilized and stabil</w:t>
      </w:r>
      <w:r>
        <w:rPr>
          <w:rFonts w:eastAsia="Times New Roman"/>
          <w:color w:val="000000"/>
          <w:sz w:val="20"/>
          <w:szCs w:val="20"/>
        </w:rPr>
        <w:t>ized properties. However, future acquisition volume will depend upon whether additional owners will be motivated to market their facilities, which will in turn depend upon factors such as economic conditions and the level of seller confidence.</w:t>
      </w:r>
    </w:p>
    <w:p w:rsidR="00000000" w:rsidRDefault="008C69C0">
      <w:pPr>
        <w:jc w:val="both"/>
        <w:divId w:val="1866598423"/>
        <w:rPr>
          <w:rFonts w:eastAsia="Times New Roman"/>
        </w:rPr>
      </w:pPr>
      <w:r>
        <w:rPr>
          <w:rFonts w:eastAsia="Times New Roman"/>
          <w:i/>
          <w:iCs/>
          <w:color w:val="000000"/>
          <w:sz w:val="20"/>
          <w:szCs w:val="20"/>
          <w:u w:val="single"/>
        </w:rPr>
        <w:t xml:space="preserve">Analysis of </w:t>
      </w:r>
      <w:r>
        <w:rPr>
          <w:rFonts w:eastAsia="Times New Roman"/>
          <w:i/>
          <w:iCs/>
          <w:color w:val="000000"/>
          <w:sz w:val="20"/>
          <w:szCs w:val="20"/>
          <w:u w:val="single"/>
        </w:rPr>
        <w:t>Depreciation and Amortization of Acquired Facilities</w:t>
      </w:r>
    </w:p>
    <w:p w:rsidR="00000000" w:rsidRDefault="008C69C0">
      <w:pPr>
        <w:ind w:firstLine="720"/>
        <w:jc w:val="both"/>
        <w:divId w:val="1675957052"/>
        <w:rPr>
          <w:rFonts w:eastAsia="Times New Roman"/>
        </w:rPr>
      </w:pPr>
      <w:r>
        <w:rPr>
          <w:rFonts w:eastAsia="Times New Roman"/>
          <w:color w:val="000000"/>
          <w:sz w:val="20"/>
          <w:szCs w:val="20"/>
        </w:rPr>
        <w:t>Depreciation and amortization with respect to the Acquired Facilities for the three months ended September 30, 2021 and 2020 totaled $56.0 million and $7.2 million, respectively, and $114.3 million and $</w:t>
      </w:r>
      <w:r>
        <w:rPr>
          <w:rFonts w:eastAsia="Times New Roman"/>
          <w:color w:val="000000"/>
          <w:sz w:val="20"/>
          <w:szCs w:val="20"/>
        </w:rPr>
        <w:t>22.3 million for the nine months ended September 30, 2021 and 2020, respectively. These amounts include (i) depreciation of the acquired buildings, which is recorded generally on a straight line basis over a 25 year period, and (ii) amortization of cost al</w:t>
      </w:r>
      <w:r>
        <w:rPr>
          <w:rFonts w:eastAsia="Times New Roman"/>
          <w:color w:val="000000"/>
          <w:sz w:val="20"/>
          <w:szCs w:val="20"/>
        </w:rPr>
        <w:t>located to the tenants in place upon acquisition of a facility, which is recorded based upon the benefit of such existing tenants to each period and thus is highest when the facility is first acquired and declines as such tenants vacate. With respect to th</w:t>
      </w:r>
      <w:r>
        <w:rPr>
          <w:rFonts w:eastAsia="Times New Roman"/>
          <w:color w:val="000000"/>
          <w:sz w:val="20"/>
          <w:szCs w:val="20"/>
        </w:rPr>
        <w:t>e Acquired Facilities owned at September 30, 2021, depreciation of buildings and amortization of tenant intangibles is expected to aggregate approximately $166.2 million in the year ending December 31, 2021. There will be additional depreciation and amorti</w:t>
      </w:r>
      <w:r>
        <w:rPr>
          <w:rFonts w:eastAsia="Times New Roman"/>
          <w:color w:val="000000"/>
          <w:sz w:val="20"/>
          <w:szCs w:val="20"/>
        </w:rPr>
        <w:t xml:space="preserve">zation of tenant intangibles with respect to new buildings that are acquired in the remainder of 2021. </w:t>
      </w:r>
    </w:p>
    <w:p w:rsidR="00000000" w:rsidRDefault="008C69C0">
      <w:pPr>
        <w:jc w:val="center"/>
        <w:divId w:val="1881438132"/>
        <w:rPr>
          <w:rFonts w:eastAsia="Times New Roman"/>
        </w:rPr>
      </w:pPr>
      <w:r>
        <w:rPr>
          <w:rFonts w:eastAsia="Times New Roman"/>
          <w:color w:val="000000"/>
          <w:sz w:val="20"/>
          <w:szCs w:val="20"/>
        </w:rPr>
        <w:t>47</w:t>
      </w:r>
    </w:p>
    <w:p w:rsidR="00000000" w:rsidRDefault="008C69C0">
      <w:pPr>
        <w:rPr>
          <w:rFonts w:eastAsia="Times New Roman"/>
        </w:rPr>
      </w:pPr>
      <w:r>
        <w:rPr>
          <w:rFonts w:eastAsia="Times New Roman"/>
        </w:rPr>
        <w:pict>
          <v:rect id="_x0000_i1073" style="width:0;height:1.5pt" o:hralign="center" o:hrstd="t" o:hr="t" fillcolor="#a0a0a0" stroked="f"/>
        </w:pict>
      </w:r>
    </w:p>
    <w:p w:rsidR="00000000" w:rsidRDefault="008C69C0">
      <w:pPr>
        <w:divId w:val="612397263"/>
        <w:rPr>
          <w:rFonts w:eastAsia="Times New Roman"/>
        </w:rPr>
      </w:pPr>
    </w:p>
    <w:p w:rsidR="00000000" w:rsidRDefault="008C69C0">
      <w:pPr>
        <w:divId w:val="192503150"/>
        <w:rPr>
          <w:rFonts w:eastAsia="Times New Roman"/>
        </w:rPr>
      </w:pPr>
      <w:r>
        <w:rPr>
          <w:rFonts w:eastAsia="Times New Roman"/>
          <w:b/>
          <w:bCs/>
          <w:i/>
          <w:iCs/>
          <w:color w:val="000000"/>
          <w:sz w:val="20"/>
          <w:szCs w:val="20"/>
          <w:u w:val="single"/>
        </w:rPr>
        <w:t>Developed and Expanded Facilities</w:t>
      </w:r>
    </w:p>
    <w:p w:rsidR="00000000" w:rsidRDefault="008C69C0">
      <w:pPr>
        <w:ind w:firstLine="720"/>
        <w:jc w:val="both"/>
        <w:divId w:val="1761833012"/>
        <w:rPr>
          <w:rFonts w:eastAsia="Times New Roman"/>
        </w:rPr>
      </w:pPr>
      <w:r>
        <w:rPr>
          <w:rFonts w:eastAsia="Times New Roman"/>
          <w:color w:val="000000"/>
          <w:sz w:val="20"/>
          <w:szCs w:val="20"/>
        </w:rPr>
        <w:t>The developed and expanded facilities include 68 facilities that were developed on new sites since January 1, 2016, and 71 facilities subject to expansion of their net rentable square footage. Of these expansions, 44 were completed at January 1, 2020, 19 w</w:t>
      </w:r>
      <w:r>
        <w:rPr>
          <w:rFonts w:eastAsia="Times New Roman"/>
          <w:color w:val="000000"/>
          <w:sz w:val="20"/>
          <w:szCs w:val="20"/>
        </w:rPr>
        <w:t>ere completed in the 21 months ended September 30, 2021, and 8 are currently in process or are expected to commence renovation in 2021. The following table summarizes operating data with respect to the Developed and Expanded Facilities: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2780"/>
        <w:gridCol w:w="36"/>
        <w:gridCol w:w="123"/>
        <w:gridCol w:w="697"/>
        <w:gridCol w:w="40"/>
        <w:gridCol w:w="37"/>
        <w:gridCol w:w="37"/>
        <w:gridCol w:w="37"/>
        <w:gridCol w:w="123"/>
        <w:gridCol w:w="662"/>
        <w:gridCol w:w="40"/>
        <w:gridCol w:w="36"/>
        <w:gridCol w:w="36"/>
        <w:gridCol w:w="36"/>
        <w:gridCol w:w="121"/>
        <w:gridCol w:w="640"/>
        <w:gridCol w:w="37"/>
        <w:gridCol w:w="36"/>
        <w:gridCol w:w="36"/>
        <w:gridCol w:w="36"/>
        <w:gridCol w:w="122"/>
        <w:gridCol w:w="662"/>
        <w:gridCol w:w="37"/>
        <w:gridCol w:w="36"/>
        <w:gridCol w:w="36"/>
        <w:gridCol w:w="36"/>
        <w:gridCol w:w="120"/>
        <w:gridCol w:w="642"/>
        <w:gridCol w:w="36"/>
        <w:gridCol w:w="36"/>
        <w:gridCol w:w="36"/>
        <w:gridCol w:w="36"/>
        <w:gridCol w:w="120"/>
        <w:gridCol w:w="652"/>
        <w:gridCol w:w="36"/>
      </w:tblGrid>
      <w:tr w:rsidR="00000000">
        <w:trPr>
          <w:divId w:val="1635671251"/>
        </w:trPr>
        <w:tc>
          <w:tcPr>
            <w:tcW w:w="50" w:type="pct"/>
            <w:vAlign w:val="center"/>
            <w:hideMark/>
          </w:tcPr>
          <w:p w:rsidR="00000000" w:rsidRDefault="008C69C0">
            <w:pPr>
              <w:ind w:firstLine="720"/>
              <w:jc w:val="both"/>
              <w:rPr>
                <w:rFonts w:eastAsia="Times New Roman"/>
              </w:rPr>
            </w:pPr>
          </w:p>
        </w:tc>
        <w:tc>
          <w:tcPr>
            <w:tcW w:w="171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6"/>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DEVELOPED AND EXPANDED</w:t>
            </w:r>
          </w:p>
        </w:tc>
      </w:tr>
      <w:tr w:rsidR="00000000">
        <w:trPr>
          <w:divId w:val="163567125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 xml:space="preserve">FACILITIES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1635671251"/>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 (a)</w:t>
            </w:r>
          </w:p>
        </w:tc>
      </w:tr>
      <w:tr w:rsidR="00000000">
        <w:trPr>
          <w:divId w:val="1635671251"/>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 amounts in thousands, except for per square foot amounts)</w:t>
            </w:r>
          </w:p>
        </w:tc>
      </w:tr>
      <w:tr w:rsidR="00000000">
        <w:trPr>
          <w:divId w:val="163567125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9,241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7,237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2,004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25,459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20,942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4,517</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7,317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1,797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20,021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15,761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4,260</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7,569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5,267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2,302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20,391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14,467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5,924</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3,313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1,831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1,482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8,470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4,349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4,121</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983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2,093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2,007</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706</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11,978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5,590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46,770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33,738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13,032</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6,554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3,935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11,601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4,577</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2,528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5,872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7,505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(1,633)</w:t>
            </w:r>
          </w:p>
        </w:tc>
      </w:tr>
      <w:tr w:rsidR="00000000">
        <w:trPr>
          <w:divId w:val="1635671251"/>
        </w:trPr>
        <w:tc>
          <w:tcPr>
            <w:tcW w:w="0" w:type="auto"/>
            <w:gridSpan w:val="3"/>
            <w:tcMar>
              <w:top w:w="30" w:type="dxa"/>
              <w:left w:w="32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55,100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38,375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16,725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145,960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108,449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37,511</w:t>
            </w:r>
          </w:p>
        </w:tc>
      </w:tr>
      <w:tr w:rsidR="00000000">
        <w:trPr>
          <w:divId w:val="1635671251"/>
          <w:trHeight w:val="1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2,480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7,214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(370)</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2,702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7,461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7,685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(224)</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2,669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2,605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7,774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7,993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(219)</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3,546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371</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432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1,066</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890</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6,323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6,456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18,512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17,571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941</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2,615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6,981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2,421</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1,548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(320)</w:t>
            </w:r>
          </w:p>
        </w:tc>
      </w:tr>
      <w:tr w:rsidR="00000000">
        <w:trPr>
          <w:divId w:val="1635671251"/>
        </w:trPr>
        <w:tc>
          <w:tcPr>
            <w:tcW w:w="0" w:type="auto"/>
            <w:gridSpan w:val="3"/>
            <w:tcMar>
              <w:top w:w="30" w:type="dxa"/>
              <w:left w:w="32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19,059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17,735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55,572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51,016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4,556</w:t>
            </w:r>
          </w:p>
        </w:tc>
      </w:tr>
      <w:tr w:rsidR="00000000">
        <w:trPr>
          <w:divId w:val="1635671251"/>
          <w:trHeight w:val="1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Net operating income (loss):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6,857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4,757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18,245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13,358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4,887</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4,777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12,560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8,076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4,484</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4,900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2,238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12,617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6,474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6,143</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2,091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672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4,553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803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3,750</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941</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(184)</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11,245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5,723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28,258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16,167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12,091</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2,376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9,197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2,156</w:t>
            </w:r>
          </w:p>
        </w:tc>
      </w:tr>
      <w:tr w:rsidR="00000000">
        <w:trPr>
          <w:divId w:val="1635671251"/>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(467)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4,324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5,637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(1,313)</w:t>
            </w:r>
          </w:p>
        </w:tc>
      </w:tr>
      <w:tr w:rsidR="00000000">
        <w:trPr>
          <w:divId w:val="1635671251"/>
        </w:trPr>
        <w:tc>
          <w:tcPr>
            <w:tcW w:w="0" w:type="auto"/>
            <w:gridSpan w:val="3"/>
            <w:tcMar>
              <w:top w:w="30" w:type="dxa"/>
              <w:left w:w="32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36,041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20,640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15,401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90,388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57,433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32,955</w:t>
            </w:r>
          </w:p>
        </w:tc>
      </w:tr>
      <w:tr w:rsidR="00000000">
        <w:trPr>
          <w:divId w:val="1635671251"/>
        </w:trPr>
        <w:tc>
          <w:tcPr>
            <w:tcW w:w="0" w:type="auto"/>
            <w:gridSpan w:val="3"/>
            <w:tcMar>
              <w:top w:w="30" w:type="dxa"/>
              <w:left w:w="14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Depreciation and amortization expense</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(14,977)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(13,596)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(46,126)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(39,796)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(6,330)</w:t>
            </w:r>
          </w:p>
        </w:tc>
      </w:tr>
      <w:tr w:rsidR="00000000">
        <w:trPr>
          <w:divId w:val="1635671251"/>
        </w:trPr>
        <w:tc>
          <w:tcPr>
            <w:tcW w:w="0" w:type="auto"/>
            <w:gridSpan w:val="3"/>
            <w:tcMar>
              <w:top w:w="30" w:type="dxa"/>
              <w:left w:w="32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21,064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7,044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14,020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44,262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17,637 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C69C0">
            <w:pPr>
              <w:spacing w:after="100"/>
              <w:jc w:val="right"/>
              <w:rPr>
                <w:rFonts w:eastAsia="Times New Roman"/>
              </w:rPr>
            </w:pPr>
            <w:r>
              <w:rPr>
                <w:rFonts w:eastAsia="Times New Roman"/>
                <w:color w:val="000000"/>
                <w:sz w:val="20"/>
                <w:szCs w:val="20"/>
              </w:rPr>
              <w:t>26,625 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C69C0">
            <w:pPr>
              <w:spacing w:after="100"/>
              <w:jc w:val="right"/>
              <w:rPr>
                <w:rFonts w:eastAsia="Times New Roman"/>
              </w:rPr>
            </w:pPr>
          </w:p>
        </w:tc>
      </w:tr>
    </w:tbl>
    <w:p w:rsidR="00000000" w:rsidRDefault="008C69C0">
      <w:pPr>
        <w:jc w:val="both"/>
        <w:rPr>
          <w:rFonts w:eastAsia="Times New Roman"/>
        </w:rPr>
      </w:pPr>
    </w:p>
    <w:p w:rsidR="00000000" w:rsidRDefault="008C69C0">
      <w:pPr>
        <w:jc w:val="center"/>
        <w:divId w:val="727412226"/>
        <w:rPr>
          <w:rFonts w:eastAsia="Times New Roman"/>
        </w:rPr>
      </w:pPr>
      <w:r>
        <w:rPr>
          <w:rFonts w:eastAsia="Times New Roman"/>
          <w:color w:val="000000"/>
          <w:sz w:val="20"/>
          <w:szCs w:val="20"/>
        </w:rPr>
        <w:t>48</w:t>
      </w:r>
    </w:p>
    <w:p w:rsidR="00000000" w:rsidRDefault="008C69C0">
      <w:pPr>
        <w:rPr>
          <w:rFonts w:eastAsia="Times New Roman"/>
        </w:rPr>
      </w:pPr>
      <w:r>
        <w:rPr>
          <w:rFonts w:eastAsia="Times New Roman"/>
        </w:rPr>
        <w:pict>
          <v:rect id="_x0000_i1074" style="width:0;height:1.5pt" o:hralign="center" o:hrstd="t" o:hr="t" fillcolor="#a0a0a0" stroked="f"/>
        </w:pict>
      </w:r>
    </w:p>
    <w:p w:rsidR="00000000" w:rsidRDefault="008C69C0">
      <w:pPr>
        <w:divId w:val="156706390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4767"/>
        <w:gridCol w:w="36"/>
        <w:gridCol w:w="123"/>
        <w:gridCol w:w="965"/>
        <w:gridCol w:w="39"/>
        <w:gridCol w:w="37"/>
        <w:gridCol w:w="37"/>
        <w:gridCol w:w="37"/>
        <w:gridCol w:w="123"/>
        <w:gridCol w:w="935"/>
        <w:gridCol w:w="38"/>
        <w:gridCol w:w="36"/>
        <w:gridCol w:w="36"/>
        <w:gridCol w:w="36"/>
        <w:gridCol w:w="50"/>
        <w:gridCol w:w="931"/>
        <w:gridCol w:w="36"/>
      </w:tblGrid>
      <w:tr w:rsidR="00000000">
        <w:trPr>
          <w:divId w:val="493762375"/>
        </w:trPr>
        <w:tc>
          <w:tcPr>
            <w:tcW w:w="50" w:type="pct"/>
            <w:vAlign w:val="center"/>
            <w:hideMark/>
          </w:tcPr>
          <w:p w:rsidR="00000000" w:rsidRDefault="008C69C0">
            <w:pPr>
              <w:rPr>
                <w:rFonts w:eastAsia="Times New Roman"/>
              </w:rPr>
            </w:pPr>
          </w:p>
        </w:tc>
        <w:tc>
          <w:tcPr>
            <w:tcW w:w="2891"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6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b/>
                <w:bCs/>
                <w:color w:val="000000"/>
                <w:sz w:val="20"/>
                <w:szCs w:val="20"/>
              </w:rPr>
              <w:t>DEVELOPED AND EXPANDED FACILITIES (Continued)</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As of September 30,</w:t>
            </w:r>
          </w:p>
        </w:tc>
      </w:tr>
      <w:tr w:rsidR="00000000">
        <w:trPr>
          <w:divId w:val="493762375"/>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 (a)</w:t>
            </w:r>
          </w:p>
        </w:tc>
      </w:tr>
      <w:tr w:rsidR="00000000">
        <w:trPr>
          <w:divId w:val="493762375"/>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493762375"/>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 amounts in thousands, except for per square foot amounts)</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Square foot occupancy:</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90.5%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3.9%</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84.7%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6.1%</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183.9%</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ascii="Calibri" w:eastAsia="Times New Roman" w:hAnsi="Calibri" w:cs="Calibri"/>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ascii="Calibri" w:eastAsia="Times New Roman" w:hAnsi="Calibri" w:cs="Calibri"/>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9.2%</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16.7%</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82.9%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(0.5)%</w:t>
            </w:r>
          </w:p>
        </w:tc>
      </w:tr>
      <w:tr w:rsidR="00000000">
        <w:trPr>
          <w:divId w:val="493762375"/>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87.3%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5.2%</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Annual contract rent per occupied square foot:</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14.73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24.0%</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15.35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27.1%</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11.99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34.9%</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13.65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58.0%</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69.2%</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ascii="Calibri" w:eastAsia="Times New Roman" w:hAnsi="Calibri" w:cs="Calibri"/>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13.43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31.0%</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15.14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20.12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8.2%</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15.15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11.99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26.4%</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Number of facilities:</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Net rentable square feet (in thousands) (c):</w:t>
            </w: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8C69C0">
            <w:pPr>
              <w:spacing w:after="100"/>
              <w:jc w:val="right"/>
              <w:rPr>
                <w:rFonts w:eastAsia="Times New Roman"/>
              </w:rPr>
            </w:pPr>
            <w:r>
              <w:rPr>
                <w:rFonts w:eastAsia="Times New Roman"/>
                <w:color w:val="000000"/>
                <w:sz w:val="20"/>
                <w:szCs w:val="20"/>
              </w:rPr>
              <w:t> </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2,069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2,069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347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101</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502</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5,818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957</w:t>
            </w:r>
          </w:p>
        </w:tc>
      </w:tr>
      <w:tr w:rsidR="00000000">
        <w:trPr>
          <w:divId w:val="493762375"/>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479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(33)</w:t>
            </w:r>
          </w:p>
        </w:tc>
      </w:tr>
      <w:tr w:rsidR="00000000">
        <w:trPr>
          <w:divId w:val="49376237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17,000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15,469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1,531</w:t>
            </w:r>
          </w:p>
        </w:tc>
      </w:tr>
    </w:tbl>
    <w:p w:rsidR="00000000" w:rsidRDefault="008C69C0">
      <w:pPr>
        <w:jc w:val="center"/>
        <w:divId w:val="691034899"/>
        <w:rPr>
          <w:rFonts w:eastAsia="Times New Roman"/>
        </w:rPr>
      </w:pPr>
      <w:r>
        <w:rPr>
          <w:rFonts w:eastAsia="Times New Roman"/>
          <w:color w:val="000000"/>
          <w:sz w:val="20"/>
          <w:szCs w:val="20"/>
        </w:rPr>
        <w:t>49</w:t>
      </w:r>
    </w:p>
    <w:p w:rsidR="00000000" w:rsidRDefault="008C69C0">
      <w:pPr>
        <w:rPr>
          <w:rFonts w:eastAsia="Times New Roman"/>
        </w:rPr>
      </w:pPr>
      <w:r>
        <w:rPr>
          <w:rFonts w:eastAsia="Times New Roman"/>
        </w:rPr>
        <w:pict>
          <v:rect id="_x0000_i1075" style="width:0;height:1.5pt" o:hralign="center" o:hrstd="t" o:hr="t" fillcolor="#a0a0a0" stroked="f"/>
        </w:pict>
      </w:r>
    </w:p>
    <w:p w:rsidR="00000000" w:rsidRDefault="008C69C0">
      <w:pPr>
        <w:divId w:val="971327667"/>
        <w:rPr>
          <w:rFonts w:eastAsia="Times New Roman"/>
        </w:rPr>
      </w:pPr>
    </w:p>
    <w:tbl>
      <w:tblPr>
        <w:tblW w:w="3818" w:type="pct"/>
        <w:tblCellMar>
          <w:top w:w="15" w:type="dxa"/>
          <w:left w:w="15" w:type="dxa"/>
          <w:bottom w:w="15" w:type="dxa"/>
          <w:right w:w="15" w:type="dxa"/>
        </w:tblCellMar>
        <w:tblLook w:val="04A0" w:firstRow="1" w:lastRow="0" w:firstColumn="1" w:lastColumn="0" w:noHBand="0" w:noVBand="1"/>
      </w:tblPr>
      <w:tblGrid>
        <w:gridCol w:w="38"/>
        <w:gridCol w:w="4773"/>
        <w:gridCol w:w="37"/>
        <w:gridCol w:w="121"/>
        <w:gridCol w:w="1337"/>
        <w:gridCol w:w="36"/>
      </w:tblGrid>
      <w:tr w:rsidR="00000000">
        <w:trPr>
          <w:divId w:val="698704949"/>
        </w:trPr>
        <w:tc>
          <w:tcPr>
            <w:tcW w:w="50" w:type="pct"/>
            <w:vAlign w:val="center"/>
            <w:hideMark/>
          </w:tcPr>
          <w:p w:rsidR="00000000" w:rsidRDefault="008C69C0">
            <w:pPr>
              <w:rPr>
                <w:rFonts w:eastAsia="Times New Roman"/>
              </w:rPr>
            </w:pPr>
          </w:p>
        </w:tc>
        <w:tc>
          <w:tcPr>
            <w:tcW w:w="380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08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698704949"/>
        </w:trPr>
        <w:tc>
          <w:tcPr>
            <w:tcW w:w="0" w:type="auto"/>
            <w:gridSpan w:val="3"/>
            <w:tcMar>
              <w:top w:w="30" w:type="dxa"/>
              <w:left w:w="20" w:type="dxa"/>
              <w:bottom w:w="30" w:type="dxa"/>
              <w:right w:w="20" w:type="dxa"/>
            </w:tcMar>
            <w:vAlign w:val="bottom"/>
            <w:hideMark/>
          </w:tcPr>
          <w:p w:rsidR="00000000" w:rsidRDefault="008C69C0">
            <w:pPr>
              <w:spacing w:after="100"/>
              <w:divId w:val="1722515375"/>
              <w:rPr>
                <w:rFonts w:eastAsia="Times New Roman"/>
              </w:rPr>
            </w:pPr>
          </w:p>
          <w:p w:rsidR="00000000" w:rsidRDefault="008C69C0">
            <w:pPr>
              <w:spacing w:after="100"/>
              <w:divId w:val="2093156709"/>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 xml:space="preserve">As of </w:t>
            </w:r>
          </w:p>
          <w:p w:rsidR="00000000" w:rsidRDefault="008C69C0">
            <w:pPr>
              <w:spacing w:after="100"/>
              <w:jc w:val="center"/>
              <w:rPr>
                <w:rFonts w:eastAsia="Times New Roman"/>
              </w:rPr>
            </w:pPr>
            <w:r>
              <w:rPr>
                <w:rFonts w:eastAsia="Times New Roman"/>
                <w:color w:val="000000"/>
                <w:sz w:val="20"/>
                <w:szCs w:val="20"/>
              </w:rPr>
              <w:t>September 30, 2021</w:t>
            </w:r>
          </w:p>
        </w:tc>
      </w:tr>
      <w:tr w:rsidR="00000000">
        <w:trPr>
          <w:divId w:val="69870494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Costs to develop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2016</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257,585</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239,871</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262,187</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150,387</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42,063</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89,125</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before 2020 (d)</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381,940</w:t>
            </w:r>
          </w:p>
        </w:tc>
      </w:tr>
      <w:tr w:rsidR="00000000">
        <w:trPr>
          <w:divId w:val="698704949"/>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Expansions completed in 2020 or 2021 (d)</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178,768</w:t>
            </w:r>
          </w:p>
        </w:tc>
      </w:tr>
      <w:tr w:rsidR="00000000">
        <w:trPr>
          <w:divId w:val="69870494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1,601,926</w:t>
            </w:r>
          </w:p>
        </w:tc>
      </w:tr>
    </w:tbl>
    <w:p w:rsidR="00000000" w:rsidRDefault="008C69C0">
      <w:pPr>
        <w:ind w:hanging="360"/>
        <w:jc w:val="both"/>
        <w:divId w:val="2027977504"/>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8C69C0">
      <w:pPr>
        <w:ind w:hanging="360"/>
        <w:jc w:val="both"/>
        <w:divId w:val="374163541"/>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sales generated at the facilities. See “Ancillary Operations” below for more information.</w:t>
      </w:r>
    </w:p>
    <w:p w:rsidR="00000000" w:rsidRDefault="008C69C0">
      <w:pPr>
        <w:ind w:hanging="360"/>
        <w:jc w:val="both"/>
        <w:divId w:val="2001692424"/>
        <w:rPr>
          <w:rFonts w:eastAsia="Times New Roman"/>
        </w:rPr>
      </w:pPr>
      <w:r>
        <w:rPr>
          <w:rFonts w:eastAsia="Times New Roman"/>
          <w:color w:val="000000"/>
          <w:sz w:val="18"/>
          <w:szCs w:val="18"/>
        </w:rPr>
        <w:t>(c)The facilities included above have an aggregate of approximately 17.0 </w:t>
      </w:r>
      <w:r>
        <w:rPr>
          <w:rFonts w:eastAsia="Times New Roman"/>
          <w:color w:val="000000"/>
          <w:sz w:val="18"/>
          <w:szCs w:val="18"/>
        </w:rPr>
        <w:t>million net rentable square feet at September 30, 2021, including 6.0 million in Texas, 2.6 million in Florida, 1.9 million in California, 1.5 million in Colorado, 1.1 million in Minnesota, 0.8 million in North Carolina, 0.6 million in Washington, 0.4 mill</w:t>
      </w:r>
      <w:r>
        <w:rPr>
          <w:rFonts w:eastAsia="Times New Roman"/>
          <w:color w:val="000000"/>
          <w:sz w:val="18"/>
          <w:szCs w:val="18"/>
        </w:rPr>
        <w:t>ion in each of Missouri and Virginia, 0.3 million in each of Georgia, Michigan, New Jersey and South Carolina and 0.5 million in other states.</w:t>
      </w:r>
    </w:p>
    <w:p w:rsidR="00000000" w:rsidRDefault="008C69C0">
      <w:pPr>
        <w:ind w:hanging="360"/>
        <w:jc w:val="both"/>
        <w:divId w:val="1204831537"/>
        <w:rPr>
          <w:rFonts w:eastAsia="Times New Roman"/>
        </w:rPr>
      </w:pPr>
      <w:r>
        <w:rPr>
          <w:rFonts w:eastAsia="Times New Roman"/>
          <w:color w:val="000000"/>
          <w:sz w:val="18"/>
          <w:szCs w:val="18"/>
        </w:rPr>
        <w:t>(d)These amounts only include the direct cost incurred to expand and renovate these facilities, and do not includ</w:t>
      </w:r>
      <w:r>
        <w:rPr>
          <w:rFonts w:eastAsia="Times New Roman"/>
          <w:color w:val="000000"/>
          <w:sz w:val="18"/>
          <w:szCs w:val="18"/>
        </w:rPr>
        <w:t xml:space="preserve">e (i) the original cost to develop or acquire the facility or (ii) the lost revenue on space demolished during the construction and fill-up period. </w:t>
      </w:r>
    </w:p>
    <w:p w:rsidR="00000000" w:rsidRDefault="008C69C0">
      <w:pPr>
        <w:ind w:firstLine="720"/>
        <w:jc w:val="both"/>
        <w:divId w:val="117458149"/>
        <w:rPr>
          <w:rFonts w:eastAsia="Times New Roman"/>
        </w:rPr>
      </w:pPr>
      <w:r>
        <w:rPr>
          <w:rFonts w:eastAsia="Times New Roman"/>
          <w:color w:val="000000"/>
          <w:sz w:val="20"/>
          <w:szCs w:val="20"/>
        </w:rPr>
        <w:t xml:space="preserve">It typically takes at least three to four years for a newly developed or expanded self-storage facility to </w:t>
      </w:r>
      <w:r>
        <w:rPr>
          <w:rFonts w:eastAsia="Times New Roman"/>
          <w:color w:val="000000"/>
          <w:sz w:val="20"/>
          <w:szCs w:val="20"/>
        </w:rPr>
        <w:t>stabilize with respect to revenues. Physical occupancy can be achieved as early as two to three years following completion of the development or expansion, through offering lower rental rates during fill-up. As a result, even after achieving high occupancy</w:t>
      </w:r>
      <w:r>
        <w:rPr>
          <w:rFonts w:eastAsia="Times New Roman"/>
          <w:color w:val="000000"/>
          <w:sz w:val="20"/>
          <w:szCs w:val="20"/>
        </w:rPr>
        <w:t xml:space="preserve">, there can still be a period of elevated revenue growth as the tenant base matures and higher rental rates are achieved. </w:t>
      </w:r>
    </w:p>
    <w:p w:rsidR="00000000" w:rsidRDefault="008C69C0">
      <w:pPr>
        <w:ind w:firstLine="720"/>
        <w:jc w:val="both"/>
        <w:divId w:val="266087665"/>
        <w:rPr>
          <w:rFonts w:eastAsia="Times New Roman"/>
        </w:rPr>
      </w:pPr>
      <w:r>
        <w:rPr>
          <w:rFonts w:eastAsia="Times New Roman"/>
          <w:color w:val="000000"/>
          <w:sz w:val="20"/>
          <w:szCs w:val="20"/>
        </w:rPr>
        <w:t xml:space="preserve">We believe that our development and redevelopment activities generate favorable risk-adjusted returns over the long run. However, in </w:t>
      </w:r>
      <w:r>
        <w:rPr>
          <w:rFonts w:eastAsia="Times New Roman"/>
          <w:color w:val="000000"/>
          <w:sz w:val="20"/>
          <w:szCs w:val="20"/>
        </w:rPr>
        <w:t>the short run, our earnings are diluted during the construction and stabilization period due to the cost of capital to fund the development cost, as well as the related construction and development overhead expenses included in general and administrative e</w:t>
      </w:r>
      <w:r>
        <w:rPr>
          <w:rFonts w:eastAsia="Times New Roman"/>
          <w:color w:val="000000"/>
          <w:sz w:val="20"/>
          <w:szCs w:val="20"/>
        </w:rPr>
        <w:t xml:space="preserve">xpense. </w:t>
      </w:r>
    </w:p>
    <w:p w:rsidR="00000000" w:rsidRDefault="008C69C0">
      <w:pPr>
        <w:ind w:firstLine="720"/>
        <w:jc w:val="both"/>
        <w:divId w:val="840006238"/>
        <w:rPr>
          <w:rFonts w:eastAsia="Times New Roman"/>
        </w:rPr>
      </w:pPr>
      <w:r>
        <w:rPr>
          <w:rFonts w:eastAsia="Times New Roman"/>
          <w:color w:val="000000"/>
          <w:sz w:val="20"/>
          <w:szCs w:val="20"/>
        </w:rPr>
        <w:t>Our existing unstabilized facilities continued to fill up in terms of occupancies consistent with our general expectations during the nine months ended September 30, 2021, and we expect that trend to continue. Our unstabilized facilities are affec</w:t>
      </w:r>
      <w:r>
        <w:rPr>
          <w:rFonts w:eastAsia="Times New Roman"/>
          <w:color w:val="000000"/>
          <w:sz w:val="20"/>
          <w:szCs w:val="20"/>
        </w:rPr>
        <w:t>ted by the same market dynamics that affect our Same Store properties. Accordingly, whether we ultimately achieve our yield expectations, and the timeframe for reaching stabilized cash flows, depends largely upon the same factors affecting aggregate demand</w:t>
      </w:r>
      <w:r>
        <w:rPr>
          <w:rFonts w:eastAsia="Times New Roman"/>
          <w:color w:val="000000"/>
          <w:sz w:val="20"/>
          <w:szCs w:val="20"/>
        </w:rPr>
        <w:t>, move-ins, move-outs, and realized annual rent per occupied square foot for our Same Store Facilities as set forth under “Analysis of Same Store Revenue” above.</w:t>
      </w:r>
    </w:p>
    <w:p w:rsidR="00000000" w:rsidRDefault="008C69C0">
      <w:pPr>
        <w:ind w:firstLine="720"/>
        <w:jc w:val="both"/>
        <w:divId w:val="653989714"/>
        <w:rPr>
          <w:rFonts w:eastAsia="Times New Roman"/>
        </w:rPr>
      </w:pPr>
      <w:r>
        <w:rPr>
          <w:rFonts w:eastAsia="Times New Roman"/>
          <w:color w:val="000000"/>
          <w:sz w:val="20"/>
          <w:szCs w:val="20"/>
        </w:rPr>
        <w:t>At September 30, 2021, we had a development pipeline to develop 21 new self-storage facilities</w:t>
      </w:r>
      <w:r>
        <w:rPr>
          <w:rFonts w:eastAsia="Times New Roman"/>
          <w:color w:val="000000"/>
          <w:sz w:val="20"/>
          <w:szCs w:val="20"/>
        </w:rPr>
        <w:t xml:space="preserve"> and expand 31 existing self-storage facilities, which will add approximately 4.6 million net rentable square feet at a cost of $730.6 million. We expect to continue to seek to add projects to maintain a robust pipeline. Our ability to do so continues to b</w:t>
      </w:r>
      <w:r>
        <w:rPr>
          <w:rFonts w:eastAsia="Times New Roman"/>
          <w:color w:val="000000"/>
          <w:sz w:val="20"/>
          <w:szCs w:val="20"/>
        </w:rPr>
        <w:t xml:space="preserve">e challenged by various constraints such as difficulty in finding projects that meet our risk-adjusted yield expectations, and challenges in obtaining building permits for self-storage facilities in certain municipalities. </w:t>
      </w:r>
    </w:p>
    <w:p w:rsidR="00000000" w:rsidRDefault="008C69C0">
      <w:pPr>
        <w:ind w:firstLine="720"/>
        <w:jc w:val="both"/>
        <w:divId w:val="734670802"/>
        <w:rPr>
          <w:rFonts w:eastAsia="Times New Roman"/>
        </w:rPr>
      </w:pPr>
      <w:r>
        <w:rPr>
          <w:rFonts w:eastAsia="Times New Roman"/>
          <w:color w:val="000000"/>
          <w:sz w:val="20"/>
          <w:szCs w:val="20"/>
        </w:rPr>
        <w:t>We typically underwrite new deve</w:t>
      </w:r>
      <w:r>
        <w:rPr>
          <w:rFonts w:eastAsia="Times New Roman"/>
          <w:color w:val="000000"/>
          <w:sz w:val="20"/>
          <w:szCs w:val="20"/>
        </w:rPr>
        <w:t>lopments to stabilize at approximately an 8.0% NOI yield on cost. Our developed facilities have thus far leased-up as expected and are at various stages of their revenue stabilization periods. The actual annualized yields that we may achieve on these facil</w:t>
      </w:r>
      <w:r>
        <w:rPr>
          <w:rFonts w:eastAsia="Times New Roman"/>
          <w:color w:val="000000"/>
          <w:sz w:val="20"/>
          <w:szCs w:val="20"/>
        </w:rPr>
        <w:t xml:space="preserve">ities upon stabilization will depend on many factors, including local and current market conditions in the vicinity of each property and the level of new and existing supply. </w:t>
      </w:r>
    </w:p>
    <w:p w:rsidR="00000000" w:rsidRDefault="008C69C0">
      <w:pPr>
        <w:ind w:firstLine="720"/>
        <w:jc w:val="both"/>
        <w:divId w:val="543372923"/>
        <w:rPr>
          <w:rFonts w:eastAsia="Times New Roman"/>
        </w:rPr>
      </w:pPr>
      <w:r>
        <w:rPr>
          <w:rFonts w:eastAsia="Times New Roman"/>
          <w:color w:val="000000"/>
          <w:sz w:val="20"/>
          <w:szCs w:val="20"/>
        </w:rPr>
        <w:t>We have 21 additional newly developed facilities in process, which will have a t</w:t>
      </w:r>
      <w:r>
        <w:rPr>
          <w:rFonts w:eastAsia="Times New Roman"/>
          <w:color w:val="000000"/>
          <w:sz w:val="20"/>
          <w:szCs w:val="20"/>
        </w:rPr>
        <w:t xml:space="preserve">otal of 1.7 million net rentable square feet of storage space and have an aggregate development cost totaling approximately $272.8 million. We expect these facilities to open over the next 18 to 24 months. </w:t>
      </w:r>
    </w:p>
    <w:p w:rsidR="00000000" w:rsidRDefault="008C69C0">
      <w:pPr>
        <w:ind w:firstLine="720"/>
        <w:jc w:val="both"/>
        <w:divId w:val="646781294"/>
        <w:rPr>
          <w:rFonts w:eastAsia="Times New Roman"/>
        </w:rPr>
      </w:pPr>
      <w:r>
        <w:rPr>
          <w:rFonts w:eastAsia="Times New Roman"/>
          <w:color w:val="000000"/>
          <w:sz w:val="20"/>
          <w:szCs w:val="20"/>
        </w:rPr>
        <w:t>The expansion of an existing facility involves th</w:t>
      </w:r>
      <w:r>
        <w:rPr>
          <w:rFonts w:eastAsia="Times New Roman"/>
          <w:color w:val="000000"/>
          <w:sz w:val="20"/>
          <w:szCs w:val="20"/>
        </w:rPr>
        <w:t xml:space="preserve">e construction of new space on an existing facility, either on existing unused land or through the demolition of existing buildings in order to facilitate densification. The construction </w:t>
      </w:r>
    </w:p>
    <w:p w:rsidR="00000000" w:rsidRDefault="008C69C0">
      <w:pPr>
        <w:jc w:val="center"/>
        <w:divId w:val="276717462"/>
        <w:rPr>
          <w:rFonts w:eastAsia="Times New Roman"/>
        </w:rPr>
      </w:pPr>
      <w:r>
        <w:rPr>
          <w:rFonts w:eastAsia="Times New Roman"/>
          <w:color w:val="000000"/>
          <w:sz w:val="20"/>
          <w:szCs w:val="20"/>
        </w:rPr>
        <w:t>50</w:t>
      </w:r>
    </w:p>
    <w:p w:rsidR="00000000" w:rsidRDefault="008C69C0">
      <w:pPr>
        <w:rPr>
          <w:rFonts w:eastAsia="Times New Roman"/>
        </w:rPr>
      </w:pPr>
      <w:r>
        <w:rPr>
          <w:rFonts w:eastAsia="Times New Roman"/>
        </w:rPr>
        <w:pict>
          <v:rect id="_x0000_i1076" style="width:0;height:1.5pt" o:hralign="center" o:hrstd="t" o:hr="t" fillcolor="#a0a0a0" stroked="f"/>
        </w:pict>
      </w:r>
    </w:p>
    <w:p w:rsidR="00000000" w:rsidRDefault="008C69C0">
      <w:pPr>
        <w:divId w:val="64838231"/>
        <w:rPr>
          <w:rFonts w:eastAsia="Times New Roman"/>
        </w:rPr>
      </w:pPr>
    </w:p>
    <w:p w:rsidR="00000000" w:rsidRDefault="008C69C0">
      <w:pPr>
        <w:jc w:val="both"/>
        <w:divId w:val="1036661121"/>
        <w:rPr>
          <w:rFonts w:eastAsia="Times New Roman"/>
        </w:rPr>
      </w:pPr>
      <w:r>
        <w:rPr>
          <w:rFonts w:eastAsia="Times New Roman"/>
          <w:color w:val="000000"/>
          <w:sz w:val="20"/>
          <w:szCs w:val="20"/>
        </w:rPr>
        <w:t>costs for an expanded faci</w:t>
      </w:r>
      <w:r>
        <w:rPr>
          <w:rFonts w:eastAsia="Times New Roman"/>
          <w:color w:val="000000"/>
          <w:sz w:val="20"/>
          <w:szCs w:val="20"/>
        </w:rPr>
        <w:t xml:space="preserve">lity may include, in addition to adding space, adding amenities such as climate control to existing space, improving the visual appeal of the facility, and to a much lesser extent, the replacement of existing doors, roofs, and HVAC. </w:t>
      </w:r>
    </w:p>
    <w:p w:rsidR="00000000" w:rsidRDefault="008C69C0">
      <w:pPr>
        <w:ind w:firstLine="720"/>
        <w:jc w:val="both"/>
        <w:divId w:val="1246915888"/>
        <w:rPr>
          <w:rFonts w:eastAsia="Times New Roman"/>
        </w:rPr>
      </w:pPr>
      <w:r>
        <w:rPr>
          <w:rFonts w:eastAsia="Times New Roman"/>
          <w:color w:val="000000"/>
          <w:sz w:val="20"/>
          <w:szCs w:val="20"/>
        </w:rPr>
        <w:t xml:space="preserve">The return profile on </w:t>
      </w:r>
      <w:r>
        <w:rPr>
          <w:rFonts w:eastAsia="Times New Roman"/>
          <w:color w:val="000000"/>
          <w:sz w:val="20"/>
          <w:szCs w:val="20"/>
        </w:rPr>
        <w:t xml:space="preserve">the expansion of existing facilities differs from a new facility, due to a lack of land cost, and there can be less cash flow risk because we have more direct knowledge of the local demand for space on the site as compared to a new facility. However, many </w:t>
      </w:r>
      <w:r>
        <w:rPr>
          <w:rFonts w:eastAsia="Times New Roman"/>
          <w:color w:val="000000"/>
          <w:sz w:val="20"/>
          <w:szCs w:val="20"/>
        </w:rPr>
        <w:t xml:space="preserve">expansions involve the demolition of existing revenue-generating space with the loss of the related revenues during the construction and fill-up period. </w:t>
      </w:r>
    </w:p>
    <w:p w:rsidR="00000000" w:rsidRDefault="008C69C0">
      <w:pPr>
        <w:ind w:firstLine="720"/>
        <w:jc w:val="both"/>
        <w:divId w:val="1797020852"/>
        <w:rPr>
          <w:rFonts w:eastAsia="Times New Roman"/>
        </w:rPr>
      </w:pPr>
      <w:r>
        <w:rPr>
          <w:rFonts w:eastAsia="Times New Roman"/>
          <w:color w:val="000000"/>
          <w:sz w:val="20"/>
          <w:szCs w:val="20"/>
        </w:rPr>
        <w:t xml:space="preserve">The facilities under “expansions completed” represent those facilities where the expansions have been </w:t>
      </w:r>
      <w:r>
        <w:rPr>
          <w:rFonts w:eastAsia="Times New Roman"/>
          <w:color w:val="000000"/>
          <w:sz w:val="20"/>
          <w:szCs w:val="20"/>
        </w:rPr>
        <w:t>completed at September 30, 2021 We incurred a total of $560.7 million in direct cost to expand these facilities, demolished a total of 1.1 million net rentable square feet of storage space, and built a total of 5.3 million net rentable square feet of new s</w:t>
      </w:r>
      <w:r>
        <w:rPr>
          <w:rFonts w:eastAsia="Times New Roman"/>
          <w:color w:val="000000"/>
          <w:sz w:val="20"/>
          <w:szCs w:val="20"/>
        </w:rPr>
        <w:t xml:space="preserve">torage space. </w:t>
      </w:r>
    </w:p>
    <w:p w:rsidR="00000000" w:rsidRDefault="008C69C0">
      <w:pPr>
        <w:ind w:firstLine="720"/>
        <w:jc w:val="both"/>
        <w:divId w:val="232660903"/>
        <w:rPr>
          <w:rFonts w:eastAsia="Times New Roman"/>
        </w:rPr>
      </w:pPr>
      <w:r>
        <w:rPr>
          <w:rFonts w:eastAsia="Times New Roman"/>
          <w:color w:val="000000"/>
          <w:sz w:val="20"/>
          <w:szCs w:val="20"/>
        </w:rPr>
        <w:t>The facilities under “expansions in process” represent those facilities where development is in process at September 30, 2021 or which will commence construction by December 31, 2021. We have a pipeline to add a total of 2.9 million net rent</w:t>
      </w:r>
      <w:r>
        <w:rPr>
          <w:rFonts w:eastAsia="Times New Roman"/>
          <w:color w:val="000000"/>
          <w:sz w:val="20"/>
          <w:szCs w:val="20"/>
        </w:rPr>
        <w:t xml:space="preserve">able square feet of storage space by expanding existing self-storage facilities for an aggregate direct development cost of $457.8 million. </w:t>
      </w:r>
    </w:p>
    <w:p w:rsidR="00000000" w:rsidRDefault="008C69C0">
      <w:pPr>
        <w:jc w:val="both"/>
        <w:divId w:val="1724593735"/>
        <w:rPr>
          <w:rFonts w:eastAsia="Times New Roman"/>
        </w:rPr>
      </w:pPr>
      <w:r>
        <w:rPr>
          <w:rFonts w:eastAsia="Times New Roman"/>
          <w:i/>
          <w:iCs/>
          <w:color w:val="000000"/>
          <w:sz w:val="20"/>
          <w:szCs w:val="20"/>
          <w:u w:val="single"/>
        </w:rPr>
        <w:t>Analysis of Depreciation and Amortization of Developed and Expanded Facilities</w:t>
      </w:r>
    </w:p>
    <w:p w:rsidR="00000000" w:rsidRDefault="008C69C0">
      <w:pPr>
        <w:ind w:firstLine="720"/>
        <w:jc w:val="both"/>
        <w:divId w:val="1784835618"/>
        <w:rPr>
          <w:rFonts w:eastAsia="Times New Roman"/>
        </w:rPr>
      </w:pPr>
      <w:r>
        <w:rPr>
          <w:rFonts w:eastAsia="Times New Roman"/>
          <w:color w:val="000000"/>
          <w:sz w:val="20"/>
          <w:szCs w:val="20"/>
        </w:rPr>
        <w:t>Depreciation and amortization with respect to the Developed and Expanded Facilities totaled $15.0 million and $46.1 million for the three and nine months ended September 30, 2021, respectively, as compared to $13.6 million and $39.8 million for the same pe</w:t>
      </w:r>
      <w:r>
        <w:rPr>
          <w:rFonts w:eastAsia="Times New Roman"/>
          <w:color w:val="000000"/>
          <w:sz w:val="20"/>
          <w:szCs w:val="20"/>
        </w:rPr>
        <w:t xml:space="preserve">riods in 2020. These amounts represent depreciation of the developed buildings and, in the case of the expanded facilities, the legacy depreciation on the existing buildings. With respect to the Developed and Expanded Facilities completed at September 30, </w:t>
      </w:r>
      <w:r>
        <w:rPr>
          <w:rFonts w:eastAsia="Times New Roman"/>
          <w:color w:val="000000"/>
          <w:sz w:val="20"/>
          <w:szCs w:val="20"/>
        </w:rPr>
        <w:t xml:space="preserve">2021, depreciation of buildings is expected to aggregate approximately $62.5 million in the year ending December 31, 2021. There will be additional depreciation of new buildings that are developed or expanded in the remainder of 2021. </w:t>
      </w:r>
    </w:p>
    <w:p w:rsidR="00000000" w:rsidRDefault="008C69C0">
      <w:pPr>
        <w:jc w:val="both"/>
        <w:divId w:val="892037280"/>
        <w:rPr>
          <w:rFonts w:eastAsia="Times New Roman"/>
        </w:rPr>
      </w:pPr>
      <w:r>
        <w:rPr>
          <w:rFonts w:eastAsia="Times New Roman"/>
          <w:b/>
          <w:bCs/>
          <w:i/>
          <w:iCs/>
          <w:color w:val="000000"/>
          <w:sz w:val="20"/>
          <w:szCs w:val="20"/>
          <w:u w:val="single"/>
        </w:rPr>
        <w:t>Other non-same store</w:t>
      </w:r>
      <w:r>
        <w:rPr>
          <w:rFonts w:eastAsia="Times New Roman"/>
          <w:b/>
          <w:bCs/>
          <w:i/>
          <w:iCs/>
          <w:color w:val="000000"/>
          <w:sz w:val="20"/>
          <w:szCs w:val="20"/>
          <w:u w:val="single"/>
        </w:rPr>
        <w:t xml:space="preserve"> facilities</w:t>
      </w:r>
    </w:p>
    <w:p w:rsidR="00000000" w:rsidRDefault="008C69C0">
      <w:pPr>
        <w:ind w:firstLine="720"/>
        <w:jc w:val="both"/>
        <w:divId w:val="1532720748"/>
        <w:rPr>
          <w:rFonts w:eastAsia="Times New Roman"/>
        </w:rPr>
      </w:pPr>
      <w:r>
        <w:rPr>
          <w:rFonts w:eastAsia="Times New Roman"/>
          <w:color w:val="000000"/>
          <w:sz w:val="20"/>
          <w:szCs w:val="20"/>
        </w:rPr>
        <w:t xml:space="preserve">The “other non-same store facilities” represent facilities which, while not newly acquired, developed, or expanded, are not fully stabilized since January 1, 2019, due primarily to casualty events such as hurricanes, floods, and fires. </w:t>
      </w:r>
    </w:p>
    <w:p w:rsidR="00000000" w:rsidRDefault="008C69C0">
      <w:pPr>
        <w:ind w:firstLine="720"/>
        <w:jc w:val="both"/>
        <w:divId w:val="960920667"/>
        <w:rPr>
          <w:rFonts w:eastAsia="Times New Roman"/>
        </w:rPr>
      </w:pPr>
      <w:r>
        <w:rPr>
          <w:rFonts w:eastAsia="Times New Roman"/>
          <w:color w:val="000000"/>
          <w:sz w:val="20"/>
          <w:szCs w:val="20"/>
        </w:rPr>
        <w:t>The oth</w:t>
      </w:r>
      <w:r>
        <w:rPr>
          <w:rFonts w:eastAsia="Times New Roman"/>
          <w:color w:val="000000"/>
          <w:sz w:val="20"/>
          <w:szCs w:val="20"/>
        </w:rPr>
        <w:t>er non-same store facilities have an aggregate of 2.2 million net rentable square feet, including 0.6 million in Texas, 0.3 million in California, 0.2 million in each of Georgia, Ohio and Tennessee and 0.7 million in other states.</w:t>
      </w:r>
    </w:p>
    <w:p w:rsidR="00000000" w:rsidRDefault="008C69C0">
      <w:pPr>
        <w:ind w:firstLine="720"/>
        <w:jc w:val="both"/>
        <w:divId w:val="1420831937"/>
        <w:rPr>
          <w:rFonts w:eastAsia="Times New Roman"/>
        </w:rPr>
      </w:pPr>
      <w:r>
        <w:rPr>
          <w:rFonts w:eastAsia="Times New Roman"/>
          <w:color w:val="000000"/>
          <w:sz w:val="20"/>
          <w:szCs w:val="20"/>
        </w:rPr>
        <w:t xml:space="preserve">The net operating income </w:t>
      </w:r>
      <w:r>
        <w:rPr>
          <w:rFonts w:eastAsia="Times New Roman"/>
          <w:color w:val="000000"/>
          <w:sz w:val="20"/>
          <w:szCs w:val="20"/>
        </w:rPr>
        <w:t>for these facilities was $4.9 million and $13.4 million in the three and nine months ended September 30, 2021, respectively, as compared to $3.8 million and $11.0 million for the same periods in 2020. During the three and nine months ended September 30, 20</w:t>
      </w:r>
      <w:r>
        <w:rPr>
          <w:rFonts w:eastAsia="Times New Roman"/>
          <w:color w:val="000000"/>
          <w:sz w:val="20"/>
          <w:szCs w:val="20"/>
        </w:rPr>
        <w:t>21, the average occupancy for these facilities totaled 93.1% and 91.8%, respectively, as compared to 89.8% and 84.2% for the same periods in 2020, and the realized rent per occupied square feet totaled $14.27 and $13.66, respectively, as compared to $12.77</w:t>
      </w:r>
      <w:r>
        <w:rPr>
          <w:rFonts w:eastAsia="Times New Roman"/>
          <w:color w:val="000000"/>
          <w:sz w:val="20"/>
          <w:szCs w:val="20"/>
        </w:rPr>
        <w:t xml:space="preserve"> and $13.31 for the same periods in 2020. </w:t>
      </w:r>
    </w:p>
    <w:p w:rsidR="00000000" w:rsidRDefault="008C69C0">
      <w:pPr>
        <w:ind w:firstLine="720"/>
        <w:jc w:val="both"/>
        <w:divId w:val="171536237"/>
        <w:rPr>
          <w:rFonts w:eastAsia="Times New Roman"/>
        </w:rPr>
      </w:pPr>
      <w:r>
        <w:rPr>
          <w:rFonts w:eastAsia="Times New Roman"/>
          <w:color w:val="000000"/>
          <w:sz w:val="20"/>
          <w:szCs w:val="20"/>
        </w:rPr>
        <w:t>Over the longer term, we expect the growth in operations of these facilities to be similar to that of our Same Store facilities. However, in the short run, year over year comparisons will vary due to the impact of</w:t>
      </w:r>
      <w:r>
        <w:rPr>
          <w:rFonts w:eastAsia="Times New Roman"/>
          <w:color w:val="000000"/>
          <w:sz w:val="20"/>
          <w:szCs w:val="20"/>
        </w:rPr>
        <w:t xml:space="preserve"> the underlying events which resulted in these facilities being classified as non-same store. </w:t>
      </w:r>
    </w:p>
    <w:p w:rsidR="00000000" w:rsidRDefault="008C69C0">
      <w:pPr>
        <w:ind w:firstLine="720"/>
        <w:jc w:val="both"/>
        <w:divId w:val="1186139076"/>
        <w:rPr>
          <w:rFonts w:eastAsia="Times New Roman"/>
        </w:rPr>
      </w:pPr>
      <w:r>
        <w:rPr>
          <w:rFonts w:eastAsia="Times New Roman"/>
          <w:color w:val="000000"/>
          <w:sz w:val="20"/>
          <w:szCs w:val="20"/>
        </w:rPr>
        <w:t>Depreciation and amortization with respect to the other non-same store facilities totaled $4.9 million and $15.6 million for the three and nine months ended Sept</w:t>
      </w:r>
      <w:r>
        <w:rPr>
          <w:rFonts w:eastAsia="Times New Roman"/>
          <w:color w:val="000000"/>
          <w:sz w:val="20"/>
          <w:szCs w:val="20"/>
        </w:rPr>
        <w:t xml:space="preserve">ember 30, 2021, respectively, as compared to $5.4 million and $16.1 million for the same periods in 2020. We expect that depreciation for the remainder of 2021 will approximate the level experienced in the nine months ended September 30, 2021. </w:t>
      </w:r>
    </w:p>
    <w:p w:rsidR="00000000" w:rsidRDefault="008C69C0">
      <w:pPr>
        <w:jc w:val="both"/>
        <w:divId w:val="1609577463"/>
        <w:rPr>
          <w:rFonts w:eastAsia="Times New Roman"/>
        </w:rPr>
      </w:pPr>
    </w:p>
    <w:p w:rsidR="00000000" w:rsidRDefault="008C69C0">
      <w:pPr>
        <w:jc w:val="center"/>
        <w:divId w:val="653873581"/>
        <w:rPr>
          <w:rFonts w:eastAsia="Times New Roman"/>
        </w:rPr>
      </w:pPr>
      <w:r>
        <w:rPr>
          <w:rFonts w:eastAsia="Times New Roman"/>
          <w:color w:val="000000"/>
          <w:sz w:val="20"/>
          <w:szCs w:val="20"/>
        </w:rPr>
        <w:t>51</w:t>
      </w:r>
    </w:p>
    <w:p w:rsidR="00000000" w:rsidRDefault="008C69C0">
      <w:pPr>
        <w:rPr>
          <w:rFonts w:eastAsia="Times New Roman"/>
        </w:rPr>
      </w:pPr>
      <w:r>
        <w:rPr>
          <w:rFonts w:eastAsia="Times New Roman"/>
        </w:rPr>
        <w:pict>
          <v:rect id="_x0000_i1077" style="width:0;height:1.5pt" o:hralign="center" o:hrstd="t" o:hr="t" fillcolor="#a0a0a0" stroked="f"/>
        </w:pict>
      </w:r>
    </w:p>
    <w:p w:rsidR="00000000" w:rsidRDefault="008C69C0">
      <w:pPr>
        <w:divId w:val="1877038765"/>
        <w:rPr>
          <w:rFonts w:eastAsia="Times New Roman"/>
        </w:rPr>
      </w:pPr>
    </w:p>
    <w:p w:rsidR="00000000" w:rsidRDefault="008C69C0">
      <w:pPr>
        <w:jc w:val="both"/>
        <w:rPr>
          <w:rFonts w:eastAsia="Times New Roman"/>
        </w:rPr>
      </w:pPr>
      <w:r>
        <w:rPr>
          <w:rFonts w:eastAsia="Times New Roman"/>
          <w:b/>
          <w:bCs/>
          <w:color w:val="000000"/>
          <w:sz w:val="20"/>
          <w:szCs w:val="20"/>
          <w:u w:val="single"/>
        </w:rPr>
        <w:t>Ancillary Operations</w:t>
      </w:r>
    </w:p>
    <w:p w:rsidR="00000000" w:rsidRDefault="008C69C0">
      <w:pPr>
        <w:ind w:firstLine="720"/>
        <w:jc w:val="both"/>
        <w:divId w:val="1658537475"/>
        <w:rPr>
          <w:rFonts w:eastAsia="Times New Roman"/>
        </w:rPr>
      </w:pPr>
      <w:r>
        <w:rPr>
          <w:rFonts w:eastAsia="Times New Roman"/>
          <w:color w:val="000000"/>
          <w:sz w:val="20"/>
          <w:szCs w:val="20"/>
        </w:rPr>
        <w:t>Ancillary revenues and expenses include amounts associated with the reinsurance of policies against losses to goods stored by tenants in our self-storage facilities in the U.S., management of prope</w:t>
      </w:r>
      <w:r>
        <w:rPr>
          <w:rFonts w:eastAsia="Times New Roman"/>
          <w:color w:val="000000"/>
          <w:sz w:val="20"/>
          <w:szCs w:val="20"/>
        </w:rPr>
        <w:t>rty owned by unrelated third parties, and the sale of merchandise at our self-storage facilities. The following table sets forth our ancillary operations: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2778"/>
        <w:gridCol w:w="37"/>
        <w:gridCol w:w="122"/>
        <w:gridCol w:w="697"/>
        <w:gridCol w:w="39"/>
        <w:gridCol w:w="37"/>
        <w:gridCol w:w="37"/>
        <w:gridCol w:w="37"/>
        <w:gridCol w:w="122"/>
        <w:gridCol w:w="649"/>
        <w:gridCol w:w="39"/>
        <w:gridCol w:w="36"/>
        <w:gridCol w:w="36"/>
        <w:gridCol w:w="36"/>
        <w:gridCol w:w="121"/>
        <w:gridCol w:w="650"/>
        <w:gridCol w:w="37"/>
        <w:gridCol w:w="36"/>
        <w:gridCol w:w="36"/>
        <w:gridCol w:w="36"/>
        <w:gridCol w:w="122"/>
        <w:gridCol w:w="682"/>
        <w:gridCol w:w="38"/>
        <w:gridCol w:w="37"/>
        <w:gridCol w:w="37"/>
        <w:gridCol w:w="37"/>
        <w:gridCol w:w="122"/>
        <w:gridCol w:w="682"/>
        <w:gridCol w:w="38"/>
        <w:gridCol w:w="36"/>
        <w:gridCol w:w="36"/>
        <w:gridCol w:w="36"/>
        <w:gridCol w:w="121"/>
        <w:gridCol w:w="588"/>
        <w:gridCol w:w="37"/>
      </w:tblGrid>
      <w:tr w:rsidR="00000000">
        <w:trPr>
          <w:divId w:val="284233184"/>
        </w:trPr>
        <w:tc>
          <w:tcPr>
            <w:tcW w:w="50" w:type="pct"/>
            <w:vAlign w:val="center"/>
            <w:hideMark/>
          </w:tcPr>
          <w:p w:rsidR="00000000" w:rsidRDefault="008C69C0">
            <w:pPr>
              <w:ind w:firstLine="720"/>
              <w:jc w:val="both"/>
              <w:rPr>
                <w:rFonts w:eastAsia="Times New Roman"/>
              </w:rPr>
            </w:pPr>
          </w:p>
        </w:tc>
        <w:tc>
          <w:tcPr>
            <w:tcW w:w="171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284233184"/>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284233184"/>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w:t>
            </w:r>
          </w:p>
        </w:tc>
      </w:tr>
      <w:tr w:rsidR="00000000">
        <w:trPr>
          <w:divId w:val="284233184"/>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284233184"/>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w:t>
            </w:r>
          </w:p>
        </w:tc>
      </w:tr>
      <w:tr w:rsidR="00000000">
        <w:trPr>
          <w:divId w:val="284233184"/>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Tenant reinsurance premiums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42,774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38,698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4,076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123,271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110,327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12,944</w:t>
            </w: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7,384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8,010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21,932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23,005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(1,073)</w:t>
            </w: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3,888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12,455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1,947</w:t>
            </w:r>
          </w:p>
        </w:tc>
      </w:tr>
      <w:tr w:rsidR="00000000">
        <w:trPr>
          <w:divId w:val="28423318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54,421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50,596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3,825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157,658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143,840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13,818</w:t>
            </w:r>
          </w:p>
        </w:tc>
      </w:tr>
      <w:tr w:rsidR="00000000">
        <w:trPr>
          <w:divId w:val="284233184"/>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11,029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6,544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4,485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26,115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20,611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5,504</w:t>
            </w: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4,476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4,850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13,148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13,510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(362)</w:t>
            </w: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4,230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3,780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12,781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9,960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2,821</w:t>
            </w:r>
          </w:p>
        </w:tc>
      </w:tr>
      <w:tr w:rsidR="00000000">
        <w:trPr>
          <w:divId w:val="284233184"/>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19,735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15,174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4,561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52,044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44,081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7,963</w:t>
            </w:r>
          </w:p>
        </w:tc>
      </w:tr>
      <w:tr w:rsidR="00000000">
        <w:trPr>
          <w:divId w:val="284233184"/>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Net operating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31,745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32,154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(409)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97,156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89,716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7,440</w:t>
            </w: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2,908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8,784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9,495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(711)</w:t>
            </w:r>
          </w:p>
        </w:tc>
      </w:tr>
      <w:tr w:rsidR="00000000">
        <w:trPr>
          <w:divId w:val="284233184"/>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548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(874)</w:t>
            </w:r>
          </w:p>
        </w:tc>
      </w:tr>
      <w:tr w:rsidR="00000000">
        <w:trPr>
          <w:divId w:val="284233184"/>
        </w:trPr>
        <w:tc>
          <w:tcPr>
            <w:tcW w:w="0" w:type="auto"/>
            <w:gridSpan w:val="3"/>
            <w:tcMar>
              <w:top w:w="30" w:type="dxa"/>
              <w:left w:w="44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Total net operating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34,686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35,422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(736)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105,614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99,759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5,855</w:t>
            </w:r>
          </w:p>
        </w:tc>
      </w:tr>
    </w:tbl>
    <w:p w:rsidR="00000000" w:rsidRDefault="008C69C0">
      <w:pPr>
        <w:ind w:firstLine="720"/>
        <w:jc w:val="both"/>
        <w:divId w:val="1247613616"/>
        <w:rPr>
          <w:rFonts w:eastAsia="Times New Roman"/>
        </w:rPr>
      </w:pPr>
      <w:r>
        <w:rPr>
          <w:rFonts w:eastAsia="Times New Roman"/>
          <w:b/>
          <w:bCs/>
          <w:i/>
          <w:iCs/>
          <w:color w:val="000000"/>
          <w:sz w:val="20"/>
          <w:szCs w:val="20"/>
        </w:rPr>
        <w:t>Tenant reinsurance operations:</w:t>
      </w:r>
      <w:r>
        <w:rPr>
          <w:rFonts w:eastAsia="Times New Roman"/>
          <w:i/>
          <w:iCs/>
          <w:color w:val="000000"/>
          <w:sz w:val="20"/>
          <w:szCs w:val="20"/>
        </w:rPr>
        <w:t xml:space="preserve"> </w:t>
      </w:r>
      <w:r>
        <w:rPr>
          <w:rFonts w:eastAsia="Times New Roman"/>
          <w:color w:val="000000"/>
          <w:sz w:val="20"/>
          <w:szCs w:val="20"/>
        </w:rPr>
        <w:t>Our customers have the option of purchasing insurance from a non-affiliated insurance company to cover certain losses to their goods stored at our facilities. A wholly-owned, consolidated subsidiary of Public Storage fully reinsures such policies and there</w:t>
      </w:r>
      <w:r>
        <w:rPr>
          <w:rFonts w:eastAsia="Times New Roman"/>
          <w:color w:val="000000"/>
          <w:sz w:val="20"/>
          <w:szCs w:val="20"/>
        </w:rPr>
        <w:t>by assumes all risk of losses under these policies and receives reinsurance premiums substantially equal to the premiums collected from our tenants, from the non-affiliated insurance company. Such reinsurance premiums are shown as “Tenant reinsurance premi</w:t>
      </w:r>
      <w:r>
        <w:rPr>
          <w:rFonts w:eastAsia="Times New Roman"/>
          <w:color w:val="000000"/>
          <w:sz w:val="20"/>
          <w:szCs w:val="20"/>
        </w:rPr>
        <w:t xml:space="preserve">ums” in the above table. </w:t>
      </w:r>
    </w:p>
    <w:p w:rsidR="00000000" w:rsidRDefault="008C69C0">
      <w:pPr>
        <w:ind w:firstLine="720"/>
        <w:jc w:val="both"/>
        <w:divId w:val="1896775446"/>
        <w:rPr>
          <w:rFonts w:eastAsia="Times New Roman"/>
        </w:rPr>
      </w:pPr>
      <w:r>
        <w:rPr>
          <w:rFonts w:eastAsia="Times New Roman"/>
          <w:color w:val="000000"/>
          <w:sz w:val="20"/>
          <w:szCs w:val="20"/>
        </w:rPr>
        <w:t>Tenant reinsurance premium revenue increased $4.1 million or 10.5% for the three months ended September 30, 2021, and increased $12.9 million or 11.7% for the nine months ended September 30, 2021, in each case as compared to the s</w:t>
      </w:r>
      <w:r>
        <w:rPr>
          <w:rFonts w:eastAsia="Times New Roman"/>
          <w:color w:val="000000"/>
          <w:sz w:val="20"/>
          <w:szCs w:val="20"/>
        </w:rPr>
        <w:t>ame period in 2020. The increase is due to higher average premiums and an increase in our tenant base with respect to acquired, newly developed, and expanded facilities. Tenant reinsurance revenue with respect to the Same Store Facilities totaled $33.7 mil</w:t>
      </w:r>
      <w:r>
        <w:rPr>
          <w:rFonts w:eastAsia="Times New Roman"/>
          <w:color w:val="000000"/>
          <w:sz w:val="20"/>
          <w:szCs w:val="20"/>
        </w:rPr>
        <w:t xml:space="preserve">lion and $100.0 million for the three and nine months ended September 30, 2021, respectively, as compared to $32.8 million and $95.2 million for the same periods in 2020. </w:t>
      </w:r>
    </w:p>
    <w:p w:rsidR="00000000" w:rsidRDefault="008C69C0">
      <w:pPr>
        <w:ind w:firstLine="720"/>
        <w:jc w:val="both"/>
        <w:divId w:val="300306654"/>
        <w:rPr>
          <w:rFonts w:eastAsia="Times New Roman"/>
        </w:rPr>
      </w:pPr>
      <w:r>
        <w:rPr>
          <w:rFonts w:eastAsia="Times New Roman"/>
          <w:color w:val="000000"/>
          <w:sz w:val="20"/>
          <w:szCs w:val="20"/>
        </w:rPr>
        <w:t>We expect future growth will come primarily from customers of newly acquired and dev</w:t>
      </w:r>
      <w:r>
        <w:rPr>
          <w:rFonts w:eastAsia="Times New Roman"/>
          <w:color w:val="000000"/>
          <w:sz w:val="20"/>
          <w:szCs w:val="20"/>
        </w:rPr>
        <w:t>eloped facilities, as well as additional tenants at our existing unstabilized self-storage facilities.</w:t>
      </w:r>
    </w:p>
    <w:p w:rsidR="00000000" w:rsidRDefault="008C69C0">
      <w:pPr>
        <w:ind w:firstLine="720"/>
        <w:jc w:val="both"/>
        <w:divId w:val="1944721770"/>
        <w:rPr>
          <w:rFonts w:eastAsia="Times New Roman"/>
        </w:rPr>
      </w:pPr>
      <w:r>
        <w:rPr>
          <w:rFonts w:eastAsia="Times New Roman"/>
          <w:color w:val="000000"/>
          <w:sz w:val="20"/>
          <w:szCs w:val="20"/>
        </w:rPr>
        <w:t>Cost of operations primarily includes claims paid as well as claims adjustment expenses. Claims expenses vary based upon the number of insured tenants an</w:t>
      </w:r>
      <w:r>
        <w:rPr>
          <w:rFonts w:eastAsia="Times New Roman"/>
          <w:color w:val="000000"/>
          <w:sz w:val="20"/>
          <w:szCs w:val="20"/>
        </w:rPr>
        <w:t>d the volume of events which drive covered customer losses, such as burglary, as well as catastrophic weather events affecting multiple properties such as hurricanes and floods. Cost of operations were $11.0 million and $26.1 million for the three and nine</w:t>
      </w:r>
      <w:r>
        <w:rPr>
          <w:rFonts w:eastAsia="Times New Roman"/>
          <w:color w:val="000000"/>
          <w:sz w:val="20"/>
          <w:szCs w:val="20"/>
        </w:rPr>
        <w:t xml:space="preserve"> months ended September 30, 2021, respectively, as compared to $6.5 million and $20.6 million for the same periods in 2020. </w:t>
      </w:r>
    </w:p>
    <w:p w:rsidR="00000000" w:rsidRDefault="008C69C0">
      <w:pPr>
        <w:ind w:firstLine="720"/>
        <w:jc w:val="both"/>
        <w:divId w:val="255525096"/>
        <w:rPr>
          <w:rFonts w:eastAsia="Times New Roman"/>
        </w:rPr>
      </w:pPr>
      <w:r>
        <w:rPr>
          <w:rFonts w:eastAsia="Times New Roman"/>
          <w:b/>
          <w:bCs/>
          <w:i/>
          <w:iCs/>
          <w:color w:val="000000"/>
          <w:sz w:val="20"/>
          <w:szCs w:val="20"/>
        </w:rPr>
        <w:t>Merchandise sales:</w:t>
      </w:r>
      <w:r>
        <w:rPr>
          <w:rFonts w:eastAsia="Times New Roman"/>
          <w:i/>
          <w:iCs/>
          <w:color w:val="000000"/>
          <w:sz w:val="20"/>
          <w:szCs w:val="20"/>
        </w:rPr>
        <w:t xml:space="preserve"> </w:t>
      </w:r>
      <w:r>
        <w:rPr>
          <w:rFonts w:eastAsia="Times New Roman"/>
          <w:color w:val="000000"/>
          <w:sz w:val="20"/>
          <w:szCs w:val="20"/>
        </w:rPr>
        <w:t xml:space="preserve">We sell locks, boxes, and packing supplies at our self-storage facilities and the level of sales of these items </w:t>
      </w:r>
      <w:r>
        <w:rPr>
          <w:rFonts w:eastAsia="Times New Roman"/>
          <w:color w:val="000000"/>
          <w:sz w:val="20"/>
          <w:szCs w:val="20"/>
        </w:rPr>
        <w:t>is primarily impacted by the level of move-ins and other customer traffic at our self-storage facilities. We do not expect any significant changes in revenues or profitability from our merchandise sales in the remainder of 2021.</w:t>
      </w:r>
    </w:p>
    <w:p w:rsidR="00000000" w:rsidRDefault="008C69C0">
      <w:pPr>
        <w:ind w:firstLine="720"/>
        <w:jc w:val="both"/>
        <w:divId w:val="1552494706"/>
        <w:rPr>
          <w:rFonts w:eastAsia="Times New Roman"/>
        </w:rPr>
      </w:pPr>
      <w:r>
        <w:rPr>
          <w:rFonts w:eastAsia="Times New Roman"/>
          <w:b/>
          <w:bCs/>
          <w:i/>
          <w:iCs/>
          <w:color w:val="000000"/>
          <w:sz w:val="20"/>
          <w:szCs w:val="20"/>
        </w:rPr>
        <w:t>Third party property manage</w:t>
      </w:r>
      <w:r>
        <w:rPr>
          <w:rFonts w:eastAsia="Times New Roman"/>
          <w:b/>
          <w:bCs/>
          <w:i/>
          <w:iCs/>
          <w:color w:val="000000"/>
          <w:sz w:val="20"/>
          <w:szCs w:val="20"/>
        </w:rPr>
        <w:t xml:space="preserve">ment: </w:t>
      </w:r>
      <w:r>
        <w:rPr>
          <w:rFonts w:eastAsia="Times New Roman"/>
          <w:color w:val="000000"/>
          <w:sz w:val="20"/>
          <w:szCs w:val="20"/>
        </w:rPr>
        <w:t xml:space="preserve">At September 30, 2021, we manage 102 facilities for unrelated third parties, and were under contract to manage 43 additional facilities including 37 facilities that are currently under construction. While we expect this business to increase in scope </w:t>
      </w:r>
      <w:r>
        <w:rPr>
          <w:rFonts w:eastAsia="Times New Roman"/>
          <w:color w:val="000000"/>
          <w:sz w:val="20"/>
          <w:szCs w:val="20"/>
        </w:rPr>
        <w:t>and size, we do not expect any significant changes in overall profitability of this business in the near term as we seek new properties to manage and are in the earlier stages of lease-up for newly managed properties.</w:t>
      </w:r>
    </w:p>
    <w:p w:rsidR="00000000" w:rsidRDefault="008C69C0">
      <w:pPr>
        <w:jc w:val="center"/>
        <w:divId w:val="327632530"/>
        <w:rPr>
          <w:rFonts w:eastAsia="Times New Roman"/>
        </w:rPr>
      </w:pPr>
      <w:r>
        <w:rPr>
          <w:rFonts w:eastAsia="Times New Roman"/>
          <w:color w:val="000000"/>
          <w:sz w:val="20"/>
          <w:szCs w:val="20"/>
        </w:rPr>
        <w:t>52</w:t>
      </w:r>
    </w:p>
    <w:p w:rsidR="00000000" w:rsidRDefault="008C69C0">
      <w:pPr>
        <w:rPr>
          <w:rFonts w:eastAsia="Times New Roman"/>
        </w:rPr>
      </w:pPr>
      <w:r>
        <w:rPr>
          <w:rFonts w:eastAsia="Times New Roman"/>
        </w:rPr>
        <w:pict>
          <v:rect id="_x0000_i1078" style="width:0;height:1.5pt" o:hralign="center" o:hrstd="t" o:hr="t" fillcolor="#a0a0a0" stroked="f"/>
        </w:pict>
      </w:r>
    </w:p>
    <w:p w:rsidR="00000000" w:rsidRDefault="008C69C0">
      <w:pPr>
        <w:divId w:val="71198585"/>
        <w:rPr>
          <w:rFonts w:eastAsia="Times New Roman"/>
        </w:rPr>
      </w:pPr>
    </w:p>
    <w:p w:rsidR="00000000" w:rsidRDefault="008C69C0">
      <w:pPr>
        <w:ind w:firstLine="720"/>
        <w:jc w:val="both"/>
        <w:rPr>
          <w:rFonts w:eastAsia="Times New Roman"/>
        </w:rPr>
      </w:pPr>
      <w:r>
        <w:rPr>
          <w:rFonts w:eastAsia="Times New Roman"/>
          <w:color w:val="000000"/>
          <w:sz w:val="20"/>
          <w:szCs w:val="20"/>
        </w:rPr>
        <w:t>Revenues and cost operations from our third party management activities of $3.9 million and $3.8 million, respectively, for the three months ended September 30, 2020, and $10.5 million and $10.0 million, respectively, for the nine months ended Septembe</w:t>
      </w:r>
      <w:r>
        <w:rPr>
          <w:rFonts w:eastAsia="Times New Roman"/>
          <w:color w:val="000000"/>
          <w:sz w:val="20"/>
          <w:szCs w:val="20"/>
        </w:rPr>
        <w:t xml:space="preserve">r 30, 2020, previously reported within interest and other income, have been reclassified to third party property management revenues and third party property management cost of operations, respectively, to conform to the September 30, 2021 presentation. </w:t>
      </w:r>
    </w:p>
    <w:p w:rsidR="00000000" w:rsidRDefault="008C69C0">
      <w:pPr>
        <w:jc w:val="both"/>
        <w:divId w:val="599534526"/>
        <w:rPr>
          <w:rFonts w:eastAsia="Times New Roman"/>
        </w:rPr>
      </w:pPr>
      <w:r>
        <w:rPr>
          <w:rFonts w:eastAsia="Times New Roman"/>
          <w:b/>
          <w:bCs/>
          <w:i/>
          <w:iCs/>
          <w:color w:val="000000"/>
          <w:sz w:val="20"/>
          <w:szCs w:val="20"/>
          <w:u w:val="single"/>
        </w:rPr>
        <w:t>E</w:t>
      </w:r>
      <w:r>
        <w:rPr>
          <w:rFonts w:eastAsia="Times New Roman"/>
          <w:b/>
          <w:bCs/>
          <w:i/>
          <w:iCs/>
          <w:color w:val="000000"/>
          <w:sz w:val="20"/>
          <w:szCs w:val="20"/>
          <w:u w:val="single"/>
        </w:rPr>
        <w:t>quity in earnings of unconsolidated real estate entities</w:t>
      </w:r>
    </w:p>
    <w:p w:rsidR="00000000" w:rsidRDefault="008C69C0">
      <w:pPr>
        <w:ind w:firstLine="720"/>
        <w:jc w:val="both"/>
        <w:divId w:val="685792241"/>
        <w:rPr>
          <w:rFonts w:eastAsia="Times New Roman"/>
        </w:rPr>
      </w:pPr>
      <w:r>
        <w:rPr>
          <w:rFonts w:eastAsia="Times New Roman"/>
          <w:color w:val="000000"/>
          <w:sz w:val="20"/>
          <w:szCs w:val="20"/>
        </w:rPr>
        <w:t>For all periods presented, we have equity investments in PSB and Shurgard, which we account for on the equity method and record our pro-rata share of the net income of these entities. The following t</w:t>
      </w:r>
      <w:r>
        <w:rPr>
          <w:rFonts w:eastAsia="Times New Roman"/>
          <w:color w:val="000000"/>
          <w:sz w:val="20"/>
          <w:szCs w:val="20"/>
        </w:rPr>
        <w:t>able, and the discussion below, sets forth our equity in earnings of unconsolidated real estate entities: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779"/>
        <w:gridCol w:w="37"/>
        <w:gridCol w:w="122"/>
        <w:gridCol w:w="697"/>
        <w:gridCol w:w="39"/>
        <w:gridCol w:w="37"/>
        <w:gridCol w:w="37"/>
        <w:gridCol w:w="37"/>
        <w:gridCol w:w="122"/>
        <w:gridCol w:w="649"/>
        <w:gridCol w:w="39"/>
        <w:gridCol w:w="36"/>
        <w:gridCol w:w="36"/>
        <w:gridCol w:w="36"/>
        <w:gridCol w:w="121"/>
        <w:gridCol w:w="650"/>
        <w:gridCol w:w="37"/>
        <w:gridCol w:w="36"/>
        <w:gridCol w:w="36"/>
        <w:gridCol w:w="36"/>
        <w:gridCol w:w="122"/>
        <w:gridCol w:w="650"/>
        <w:gridCol w:w="38"/>
        <w:gridCol w:w="37"/>
        <w:gridCol w:w="37"/>
        <w:gridCol w:w="37"/>
        <w:gridCol w:w="122"/>
        <w:gridCol w:w="650"/>
        <w:gridCol w:w="38"/>
        <w:gridCol w:w="36"/>
        <w:gridCol w:w="36"/>
        <w:gridCol w:w="36"/>
        <w:gridCol w:w="121"/>
        <w:gridCol w:w="652"/>
        <w:gridCol w:w="37"/>
      </w:tblGrid>
      <w:tr w:rsidR="00000000">
        <w:trPr>
          <w:divId w:val="1891112017"/>
        </w:trPr>
        <w:tc>
          <w:tcPr>
            <w:tcW w:w="50" w:type="pct"/>
            <w:vAlign w:val="center"/>
            <w:hideMark/>
          </w:tcPr>
          <w:p w:rsidR="00000000" w:rsidRDefault="008C69C0">
            <w:pPr>
              <w:ind w:firstLine="720"/>
              <w:jc w:val="both"/>
              <w:rPr>
                <w:rFonts w:eastAsia="Times New Roman"/>
              </w:rPr>
            </w:pPr>
          </w:p>
        </w:tc>
        <w:tc>
          <w:tcPr>
            <w:tcW w:w="171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89111201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189111201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w:t>
            </w:r>
          </w:p>
        </w:tc>
      </w:tr>
      <w:tr w:rsidR="00000000">
        <w:trPr>
          <w:divId w:val="1891112017"/>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89111201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w:t>
            </w:r>
          </w:p>
        </w:tc>
      </w:tr>
      <w:tr w:rsidR="00000000">
        <w:trPr>
          <w:divId w:val="1891112017"/>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Equity in earnings:</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891112017"/>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27,110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16,548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62,494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51,513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10,981</w:t>
            </w:r>
          </w:p>
        </w:tc>
      </w:tr>
      <w:tr w:rsidR="00000000">
        <w:trPr>
          <w:divId w:val="1891112017"/>
        </w:trPr>
        <w:tc>
          <w:tcPr>
            <w:tcW w:w="0" w:type="auto"/>
            <w:gridSpan w:val="3"/>
            <w:tcMar>
              <w:top w:w="30" w:type="dxa"/>
              <w:left w:w="212"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5,750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4,692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1,058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18,888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11,350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7,538</w:t>
            </w:r>
          </w:p>
        </w:tc>
      </w:tr>
      <w:tr w:rsidR="00000000">
        <w:trPr>
          <w:divId w:val="1891112017"/>
        </w:trPr>
        <w:tc>
          <w:tcPr>
            <w:tcW w:w="0" w:type="auto"/>
            <w:gridSpan w:val="3"/>
            <w:tcMar>
              <w:top w:w="30" w:type="dxa"/>
              <w:left w:w="83"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Total equity in earnings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32,860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21,240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11,620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81,382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62,863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18,519</w:t>
            </w:r>
          </w:p>
        </w:tc>
      </w:tr>
    </w:tbl>
    <w:p w:rsidR="00000000" w:rsidRDefault="008C69C0">
      <w:pPr>
        <w:ind w:firstLine="720"/>
        <w:jc w:val="both"/>
        <w:divId w:val="1854176571"/>
        <w:rPr>
          <w:rFonts w:eastAsia="Times New Roman"/>
        </w:rPr>
      </w:pPr>
      <w:r>
        <w:rPr>
          <w:rFonts w:eastAsia="Times New Roman"/>
          <w:b/>
          <w:bCs/>
          <w:i/>
          <w:iCs/>
          <w:color w:val="000000"/>
          <w:sz w:val="20"/>
          <w:szCs w:val="20"/>
        </w:rPr>
        <w:t>In</w:t>
      </w:r>
      <w:r>
        <w:rPr>
          <w:rFonts w:eastAsia="Times New Roman"/>
          <w:b/>
          <w:bCs/>
          <w:i/>
          <w:iCs/>
          <w:color w:val="000000"/>
          <w:sz w:val="20"/>
          <w:szCs w:val="20"/>
        </w:rPr>
        <w:t>vestment in PSB:</w:t>
      </w:r>
      <w:r>
        <w:rPr>
          <w:rFonts w:eastAsia="Times New Roman"/>
          <w:i/>
          <w:iCs/>
          <w:color w:val="000000"/>
          <w:sz w:val="20"/>
          <w:szCs w:val="20"/>
        </w:rPr>
        <w:t xml:space="preserve"> </w:t>
      </w:r>
      <w:r>
        <w:rPr>
          <w:rFonts w:eastAsia="Times New Roman"/>
          <w:color w:val="000000"/>
          <w:sz w:val="20"/>
          <w:szCs w:val="20"/>
        </w:rPr>
        <w:t>Throughout all periods presented, we owned 7,158,354 shares of PS Business Parks, Inc. (“PSB”</w:t>
      </w:r>
      <w:r>
        <w:rPr>
          <w:rFonts w:eastAsia="Times New Roman"/>
          <w:color w:val="000000"/>
          <w:sz w:val="20"/>
          <w:szCs w:val="20"/>
        </w:rPr>
        <w:t>) common stock and 7,305,355 limited partnership units in an operating partnership controlled by PSB, representing an approximate 42% common equity interest. The limited partnership units are convertible at our option, subject to certain conditions, on a o</w:t>
      </w:r>
      <w:r>
        <w:rPr>
          <w:rFonts w:eastAsia="Times New Roman"/>
          <w:color w:val="000000"/>
          <w:sz w:val="20"/>
          <w:szCs w:val="20"/>
        </w:rPr>
        <w:t xml:space="preserve">ne-for-one basis into PSB common stock. </w:t>
      </w:r>
    </w:p>
    <w:p w:rsidR="00000000" w:rsidRDefault="008C69C0">
      <w:pPr>
        <w:ind w:firstLine="720"/>
        <w:jc w:val="both"/>
        <w:divId w:val="1740131083"/>
        <w:rPr>
          <w:rFonts w:eastAsia="Times New Roman"/>
        </w:rPr>
      </w:pPr>
      <w:r>
        <w:rPr>
          <w:rFonts w:eastAsia="Times New Roman"/>
          <w:color w:val="000000"/>
          <w:sz w:val="20"/>
          <w:szCs w:val="20"/>
        </w:rPr>
        <w:t>At September 30, 2021, PSB wholly-owned approximately 28 million rentable square feet of commercial space and had a 95% interest in a 395-unit apartment complex. PSB also manages commercial space that we own pursuan</w:t>
      </w:r>
      <w:r>
        <w:rPr>
          <w:rFonts w:eastAsia="Times New Roman"/>
          <w:color w:val="000000"/>
          <w:sz w:val="20"/>
          <w:szCs w:val="20"/>
        </w:rPr>
        <w:t xml:space="preserve">t to property management agreements. </w:t>
      </w:r>
    </w:p>
    <w:p w:rsidR="00000000" w:rsidRDefault="008C69C0">
      <w:pPr>
        <w:ind w:firstLine="720"/>
        <w:jc w:val="both"/>
        <w:divId w:val="348027091"/>
        <w:rPr>
          <w:rFonts w:eastAsia="Times New Roman"/>
        </w:rPr>
      </w:pPr>
      <w:r>
        <w:rPr>
          <w:rFonts w:eastAsia="Times New Roman"/>
          <w:color w:val="000000"/>
          <w:sz w:val="20"/>
          <w:szCs w:val="20"/>
        </w:rPr>
        <w:t>Equity in earnings from PSB increased $10.6 million and $11.0 million in the three and nine months ended September 30, 2021, respectively, as compared to the same periods in 2020. Included in our equity earnings from P</w:t>
      </w:r>
      <w:r>
        <w:rPr>
          <w:rFonts w:eastAsia="Times New Roman"/>
          <w:color w:val="000000"/>
          <w:sz w:val="20"/>
          <w:szCs w:val="20"/>
        </w:rPr>
        <w:t>SB is our equity share of gains on sale of real estate totaling $12.4 million and $20.3 million for the three and nine months ended September 30, 2021, respectively, as compared to $3.2 million and $11.3 million in the same periods in 2020. PSB’s filings a</w:t>
      </w:r>
      <w:r>
        <w:rPr>
          <w:rFonts w:eastAsia="Times New Roman"/>
          <w:color w:val="000000"/>
          <w:sz w:val="20"/>
          <w:szCs w:val="20"/>
        </w:rPr>
        <w:t xml:space="preserve">nd selected financial information, including discussion of the factors that affect its earnings, can be accessed through the SEC, and on PSB’s website, www.psbusinessparks.com. Information on this website is not incorporated by reference herein and is not </w:t>
      </w:r>
      <w:r>
        <w:rPr>
          <w:rFonts w:eastAsia="Times New Roman"/>
          <w:color w:val="000000"/>
          <w:sz w:val="20"/>
          <w:szCs w:val="20"/>
        </w:rPr>
        <w:t xml:space="preserve">a part of this Quarterly Report on Form 10-Q. </w:t>
      </w:r>
    </w:p>
    <w:p w:rsidR="00000000" w:rsidRDefault="008C69C0">
      <w:pPr>
        <w:ind w:firstLine="720"/>
        <w:jc w:val="both"/>
        <w:divId w:val="1976372693"/>
        <w:rPr>
          <w:rFonts w:eastAsia="Times New Roman"/>
        </w:rPr>
      </w:pPr>
      <w:r>
        <w:rPr>
          <w:rFonts w:eastAsia="Times New Roman"/>
          <w:b/>
          <w:bCs/>
          <w:i/>
          <w:iCs/>
          <w:color w:val="000000"/>
          <w:sz w:val="20"/>
          <w:szCs w:val="20"/>
        </w:rPr>
        <w:t>Investment in Shurgard:</w:t>
      </w:r>
      <w:r>
        <w:rPr>
          <w:rFonts w:eastAsia="Times New Roman"/>
          <w:i/>
          <w:iCs/>
          <w:color w:val="000000"/>
          <w:sz w:val="20"/>
          <w:szCs w:val="20"/>
        </w:rPr>
        <w:t xml:space="preserve"> </w:t>
      </w:r>
      <w:r>
        <w:rPr>
          <w:rFonts w:eastAsia="Times New Roman"/>
          <w:color w:val="000000"/>
          <w:sz w:val="20"/>
          <w:szCs w:val="20"/>
        </w:rPr>
        <w:t>Throughout all periods presented, we effectively owned, directly and indirectly, 31,268,459 Shurgard common shares, representing an approximate 35% equity interest in Shurgard. Shurgard</w:t>
      </w:r>
      <w:r>
        <w:rPr>
          <w:rFonts w:eastAsia="Times New Roman"/>
          <w:color w:val="000000"/>
          <w:sz w:val="20"/>
          <w:szCs w:val="20"/>
        </w:rPr>
        <w:t xml:space="preserve">’s common shares trade on Euronext Brussels under the “SHUR” symbol. </w:t>
      </w:r>
    </w:p>
    <w:p w:rsidR="00000000" w:rsidRDefault="008C69C0">
      <w:pPr>
        <w:ind w:firstLine="720"/>
        <w:jc w:val="both"/>
        <w:divId w:val="1055659064"/>
        <w:rPr>
          <w:rFonts w:eastAsia="Times New Roman"/>
        </w:rPr>
      </w:pPr>
      <w:r>
        <w:rPr>
          <w:rFonts w:eastAsia="Times New Roman"/>
          <w:color w:val="000000"/>
          <w:sz w:val="20"/>
          <w:szCs w:val="20"/>
        </w:rPr>
        <w:t>At September 30, 2021, Shurgard owned 247 self-storage facilities with approximately 13 million net rentable square feet. Shurgard pays us license fees for use of the Shurgard® trademark</w:t>
      </w:r>
      <w:r>
        <w:rPr>
          <w:rFonts w:eastAsia="Times New Roman"/>
          <w:color w:val="000000"/>
          <w:sz w:val="20"/>
          <w:szCs w:val="20"/>
        </w:rPr>
        <w:t xml:space="preserve">, as described in more detail in Note 4 to our September 30, 2021 financial statements. </w:t>
      </w:r>
    </w:p>
    <w:p w:rsidR="00000000" w:rsidRDefault="008C69C0">
      <w:pPr>
        <w:ind w:firstLine="720"/>
        <w:jc w:val="both"/>
        <w:divId w:val="826900365"/>
        <w:rPr>
          <w:rFonts w:eastAsia="Times New Roman"/>
        </w:rPr>
      </w:pPr>
      <w:r>
        <w:rPr>
          <w:rFonts w:eastAsia="Times New Roman"/>
          <w:color w:val="000000"/>
          <w:sz w:val="20"/>
          <w:szCs w:val="20"/>
        </w:rPr>
        <w:t>Equity in earnings from Shurgard increased $1.1 million and $7.5 million in the three and nine months ended September 30, 2021, respectively, as compared to the same p</w:t>
      </w:r>
      <w:r>
        <w:rPr>
          <w:rFonts w:eastAsia="Times New Roman"/>
          <w:color w:val="000000"/>
          <w:sz w:val="20"/>
          <w:szCs w:val="20"/>
        </w:rPr>
        <w:t>eriods in 2020. Shurgard’s public filings and publicly reported information, including discussion of the factors that affect its earnings, can be obtained on its website, https://corporate.shurgard.eu and on the website of the Luxembourg Stock Exchange, ht</w:t>
      </w:r>
      <w:r>
        <w:rPr>
          <w:rFonts w:eastAsia="Times New Roman"/>
          <w:color w:val="000000"/>
          <w:sz w:val="20"/>
          <w:szCs w:val="20"/>
        </w:rPr>
        <w:t>tp://www.bourse.lu. Information on these websites is not incorporated by reference herein and is not a part of this Quarterly Report on Form 10-Q.</w:t>
      </w:r>
    </w:p>
    <w:p w:rsidR="00000000" w:rsidRDefault="008C69C0">
      <w:pPr>
        <w:ind w:firstLine="720"/>
        <w:jc w:val="both"/>
        <w:divId w:val="2128232552"/>
        <w:rPr>
          <w:rFonts w:eastAsia="Times New Roman"/>
        </w:rPr>
      </w:pPr>
      <w:r>
        <w:rPr>
          <w:rFonts w:eastAsia="Times New Roman"/>
          <w:color w:val="000000"/>
          <w:sz w:val="20"/>
          <w:szCs w:val="20"/>
        </w:rPr>
        <w:t xml:space="preserve">For purposes of recording our equity in earnings from Shurgard, the Euro was translated at exchange rates of </w:t>
      </w:r>
      <w:r>
        <w:rPr>
          <w:rFonts w:eastAsia="Times New Roman"/>
          <w:color w:val="000000"/>
          <w:sz w:val="20"/>
          <w:szCs w:val="20"/>
        </w:rPr>
        <w:t xml:space="preserve">approximately 1.159 U.S. Dollars per Euro at September 30, 2021 (1.226 at December 31, 2020), and average exchange rates of 1.179 and 1.168 for the three months ended September 30, 2021 and 2020, respectively, and average exchange rates of 1.196 and 1.124 </w:t>
      </w:r>
      <w:r>
        <w:rPr>
          <w:rFonts w:eastAsia="Times New Roman"/>
          <w:color w:val="000000"/>
          <w:sz w:val="20"/>
          <w:szCs w:val="20"/>
        </w:rPr>
        <w:t>for the nine months ended September 30, 2021 and 2020, respectively.</w:t>
      </w:r>
    </w:p>
    <w:p w:rsidR="00000000" w:rsidRDefault="008C69C0">
      <w:pPr>
        <w:ind w:firstLine="720"/>
        <w:jc w:val="both"/>
        <w:divId w:val="2099056687"/>
        <w:rPr>
          <w:rFonts w:eastAsia="Times New Roman"/>
        </w:rPr>
      </w:pPr>
    </w:p>
    <w:p w:rsidR="00000000" w:rsidRDefault="008C69C0">
      <w:pPr>
        <w:ind w:firstLine="720"/>
        <w:divId w:val="1828739461"/>
        <w:rPr>
          <w:rFonts w:eastAsia="Times New Roman"/>
        </w:rPr>
      </w:pPr>
    </w:p>
    <w:p w:rsidR="00000000" w:rsidRDefault="008C69C0">
      <w:pPr>
        <w:jc w:val="center"/>
        <w:divId w:val="1809783333"/>
        <w:rPr>
          <w:rFonts w:eastAsia="Times New Roman"/>
        </w:rPr>
      </w:pPr>
      <w:r>
        <w:rPr>
          <w:rFonts w:eastAsia="Times New Roman"/>
          <w:color w:val="000000"/>
          <w:sz w:val="20"/>
          <w:szCs w:val="20"/>
        </w:rPr>
        <w:t>53</w:t>
      </w:r>
    </w:p>
    <w:p w:rsidR="00000000" w:rsidRDefault="008C69C0">
      <w:pPr>
        <w:rPr>
          <w:rFonts w:eastAsia="Times New Roman"/>
        </w:rPr>
      </w:pPr>
      <w:r>
        <w:rPr>
          <w:rFonts w:eastAsia="Times New Roman"/>
        </w:rPr>
        <w:pict>
          <v:rect id="_x0000_i1079" style="width:0;height:1.5pt" o:hralign="center" o:hrstd="t" o:hr="t" fillcolor="#a0a0a0" stroked="f"/>
        </w:pict>
      </w:r>
    </w:p>
    <w:p w:rsidR="00000000" w:rsidRDefault="008C69C0">
      <w:pPr>
        <w:divId w:val="1769618920"/>
        <w:rPr>
          <w:rFonts w:eastAsia="Times New Roman"/>
        </w:rPr>
      </w:pPr>
    </w:p>
    <w:p w:rsidR="00000000" w:rsidRDefault="008C69C0">
      <w:pPr>
        <w:divId w:val="1308431820"/>
        <w:rPr>
          <w:rFonts w:eastAsia="Times New Roman"/>
        </w:rPr>
      </w:pPr>
      <w:r>
        <w:rPr>
          <w:rFonts w:eastAsia="Times New Roman"/>
          <w:b/>
          <w:bCs/>
          <w:color w:val="000000"/>
          <w:sz w:val="20"/>
          <w:szCs w:val="20"/>
        </w:rPr>
        <w:t>Analysis of items not allocated to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27281834"/>
        </w:trPr>
        <w:tc>
          <w:tcPr>
            <w:tcW w:w="50" w:type="pct"/>
            <w:vAlign w:val="center"/>
            <w:hideMark/>
          </w:tcPr>
          <w:p w:rsidR="00000000" w:rsidRDefault="008C69C0">
            <w:pPr>
              <w:rPr>
                <w:rFonts w:eastAsia="Times New Roman"/>
              </w:rPr>
            </w:pPr>
          </w:p>
        </w:tc>
        <w:tc>
          <w:tcPr>
            <w:tcW w:w="49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82728183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bl>
    <w:p w:rsidR="00000000" w:rsidRDefault="008C69C0">
      <w:pPr>
        <w:jc w:val="both"/>
        <w:rPr>
          <w:rFonts w:eastAsia="Times New Roman"/>
        </w:rPr>
      </w:pPr>
    </w:p>
    <w:p w:rsidR="00000000" w:rsidRDefault="008C69C0">
      <w:pPr>
        <w:ind w:firstLine="720"/>
        <w:jc w:val="both"/>
        <w:divId w:val="1562251169"/>
        <w:rPr>
          <w:rFonts w:eastAsia="Times New Roman"/>
        </w:rPr>
      </w:pPr>
      <w:r>
        <w:rPr>
          <w:rFonts w:eastAsia="Times New Roman"/>
          <w:b/>
          <w:bCs/>
          <w:i/>
          <w:iCs/>
          <w:color w:val="000000"/>
          <w:sz w:val="20"/>
          <w:szCs w:val="20"/>
        </w:rPr>
        <w:t>General and administrative expense:</w:t>
      </w:r>
      <w:r>
        <w:rPr>
          <w:rFonts w:eastAsia="Times New Roman"/>
          <w:color w:val="000000"/>
          <w:sz w:val="20"/>
          <w:szCs w:val="20"/>
        </w:rPr>
        <w:t xml:space="preserve"> </w:t>
      </w:r>
      <w:r>
        <w:rPr>
          <w:rFonts w:eastAsia="Times New Roman"/>
          <w:color w:val="000000"/>
          <w:sz w:val="20"/>
          <w:szCs w:val="20"/>
        </w:rPr>
        <w:t xml:space="preserve">The following table sets forth our general and administrative expense: </w:t>
      </w:r>
    </w:p>
    <w:tbl>
      <w:tblPr>
        <w:tblW w:w="5000" w:type="pct"/>
        <w:tblCellMar>
          <w:top w:w="15" w:type="dxa"/>
          <w:left w:w="15" w:type="dxa"/>
          <w:bottom w:w="15" w:type="dxa"/>
          <w:right w:w="15" w:type="dxa"/>
        </w:tblCellMar>
        <w:tblLook w:val="04A0" w:firstRow="1" w:lastRow="0" w:firstColumn="1" w:lastColumn="0" w:noHBand="0" w:noVBand="1"/>
      </w:tblPr>
      <w:tblGrid>
        <w:gridCol w:w="37"/>
        <w:gridCol w:w="2780"/>
        <w:gridCol w:w="36"/>
        <w:gridCol w:w="122"/>
        <w:gridCol w:w="697"/>
        <w:gridCol w:w="40"/>
        <w:gridCol w:w="37"/>
        <w:gridCol w:w="37"/>
        <w:gridCol w:w="37"/>
        <w:gridCol w:w="122"/>
        <w:gridCol w:w="649"/>
        <w:gridCol w:w="40"/>
        <w:gridCol w:w="36"/>
        <w:gridCol w:w="36"/>
        <w:gridCol w:w="36"/>
        <w:gridCol w:w="121"/>
        <w:gridCol w:w="650"/>
        <w:gridCol w:w="37"/>
        <w:gridCol w:w="36"/>
        <w:gridCol w:w="36"/>
        <w:gridCol w:w="36"/>
        <w:gridCol w:w="122"/>
        <w:gridCol w:w="650"/>
        <w:gridCol w:w="38"/>
        <w:gridCol w:w="37"/>
        <w:gridCol w:w="37"/>
        <w:gridCol w:w="37"/>
        <w:gridCol w:w="122"/>
        <w:gridCol w:w="649"/>
        <w:gridCol w:w="38"/>
        <w:gridCol w:w="36"/>
        <w:gridCol w:w="36"/>
        <w:gridCol w:w="36"/>
        <w:gridCol w:w="121"/>
        <w:gridCol w:w="652"/>
        <w:gridCol w:w="37"/>
      </w:tblGrid>
      <w:tr w:rsidR="00000000">
        <w:trPr>
          <w:divId w:val="1197884899"/>
        </w:trPr>
        <w:tc>
          <w:tcPr>
            <w:tcW w:w="50" w:type="pct"/>
            <w:vAlign w:val="center"/>
            <w:hideMark/>
          </w:tcPr>
          <w:p w:rsidR="00000000" w:rsidRDefault="008C69C0">
            <w:pPr>
              <w:ind w:firstLine="720"/>
              <w:jc w:val="both"/>
              <w:rPr>
                <w:rFonts w:eastAsia="Times New Roman"/>
              </w:rPr>
            </w:pPr>
          </w:p>
        </w:tc>
        <w:tc>
          <w:tcPr>
            <w:tcW w:w="171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jc w:val="both"/>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Nine Months Ended September 30,</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Change</w:t>
            </w:r>
          </w:p>
        </w:tc>
      </w:tr>
      <w:tr w:rsidR="00000000">
        <w:trPr>
          <w:divId w:val="1197884899"/>
          <w:trHeight w:val="6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8C69C0">
            <w:pPr>
              <w:spacing w:after="100"/>
              <w:jc w:val="center"/>
              <w:rPr>
                <w:rFonts w:eastAsia="Times New Roman"/>
              </w:rPr>
            </w:pPr>
            <w:r>
              <w:rPr>
                <w:rFonts w:eastAsia="Times New Roman"/>
                <w:color w:val="000000"/>
                <w:sz w:val="20"/>
                <w:szCs w:val="20"/>
              </w:rPr>
              <w:t>(Amounts in thousands)</w:t>
            </w:r>
          </w:p>
        </w:tc>
      </w:tr>
      <w:tr w:rsidR="00000000">
        <w:trPr>
          <w:divId w:val="1197884899"/>
          <w:trHeight w:val="120"/>
        </w:trPr>
        <w:tc>
          <w:tcPr>
            <w:tcW w:w="0" w:type="auto"/>
            <w:gridSpan w:val="3"/>
            <w:tcMar>
              <w:top w:w="0" w:type="dxa"/>
              <w:left w:w="20" w:type="dxa"/>
              <w:bottom w:w="0" w:type="dxa"/>
              <w:right w:w="20" w:type="dxa"/>
            </w:tcMar>
            <w:vAlign w:val="center"/>
            <w:hideMark/>
          </w:tcPr>
          <w:p w:rsidR="00000000" w:rsidRDefault="008C69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Share-based compensation expense </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9,746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5,278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30,019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11,080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18,939</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Costs of senior executives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327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2,550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2,294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256</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Development and acquisition costs</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1,857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1,620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237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5,411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8,319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(2,908)</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Tax compliance costs and taxes paid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4,433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1,711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2,722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7,879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4,740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3,139</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Legal costs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4,065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1,933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2,132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7,619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5,189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2,430</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Public company costs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760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4,940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1,769</w:t>
            </w:r>
          </w:p>
        </w:tc>
      </w:tr>
      <w:tr w:rsidR="00000000">
        <w:trPr>
          <w:divId w:val="1197884899"/>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Other costs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9,008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6,430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20,578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18,441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2,137</w:t>
            </w:r>
          </w:p>
        </w:tc>
      </w:tr>
      <w:tr w:rsidR="00000000">
        <w:trPr>
          <w:divId w:val="1197884899"/>
        </w:trPr>
        <w:tc>
          <w:tcPr>
            <w:tcW w:w="0" w:type="auto"/>
            <w:gridSpan w:val="3"/>
            <w:tcMar>
              <w:top w:w="30" w:type="dxa"/>
              <w:left w:w="327"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31,682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18,262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13,420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78,996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53,234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25,762</w:t>
            </w:r>
          </w:p>
        </w:tc>
      </w:tr>
    </w:tbl>
    <w:p w:rsidR="00000000" w:rsidRDefault="008C69C0">
      <w:pPr>
        <w:ind w:firstLine="720"/>
        <w:jc w:val="both"/>
        <w:divId w:val="799495968"/>
        <w:rPr>
          <w:rFonts w:eastAsia="Times New Roman"/>
        </w:rPr>
      </w:pPr>
      <w:r>
        <w:rPr>
          <w:rFonts w:eastAsia="Times New Roman"/>
          <w:color w:val="000000"/>
          <w:sz w:val="20"/>
          <w:szCs w:val="20"/>
        </w:rPr>
        <w:t>Share-based compensation expense includes the amortization of restricted share units and stock options granted to certain corporate employees and trustees. We corrected our prior period financial statement presentation of share-based compensation expense a</w:t>
      </w:r>
      <w:r>
        <w:rPr>
          <w:rFonts w:eastAsia="Times New Roman"/>
          <w:color w:val="000000"/>
          <w:sz w:val="20"/>
          <w:szCs w:val="20"/>
        </w:rPr>
        <w:t>nd dividends paid on RSUs between general and administrative expense and self-storage cost of operations. As a result, we revised our statement of income for the three and nine months ended September 30, 2020 with an increase in self-storage cost of operat</w:t>
      </w:r>
      <w:r>
        <w:rPr>
          <w:rFonts w:eastAsia="Times New Roman"/>
          <w:color w:val="000000"/>
          <w:sz w:val="20"/>
          <w:szCs w:val="20"/>
        </w:rPr>
        <w:t xml:space="preserve">ions of $3.1 million and $9.4 million, respectively, and a corresponding decrease to general and administrative expenses. This immaterial correction had no impact on our total expenses or net income. The correction also had no impact on the balance sheet, </w:t>
      </w:r>
      <w:r>
        <w:rPr>
          <w:rFonts w:eastAsia="Times New Roman"/>
          <w:color w:val="000000"/>
          <w:sz w:val="20"/>
          <w:szCs w:val="20"/>
        </w:rPr>
        <w:t>statements of comprehensive income, statements of equity, or cash flows as of and for the three and nine months ended September 30, 2020.</w:t>
      </w:r>
    </w:p>
    <w:p w:rsidR="00000000" w:rsidRDefault="008C69C0">
      <w:pPr>
        <w:ind w:firstLine="720"/>
        <w:jc w:val="both"/>
        <w:divId w:val="275792484"/>
        <w:rPr>
          <w:rFonts w:eastAsia="Times New Roman"/>
        </w:rPr>
      </w:pPr>
      <w:r>
        <w:rPr>
          <w:rFonts w:eastAsia="Times New Roman"/>
          <w:color w:val="000000"/>
          <w:sz w:val="20"/>
          <w:szCs w:val="20"/>
        </w:rPr>
        <w:t>Share-based compensation expense for management personnel who directly and indirectly supervise the on-site property managers, as well as those employees responsible for providing shared general corporate functions to the extent their efforts are devoted t</w:t>
      </w:r>
      <w:r>
        <w:rPr>
          <w:rFonts w:eastAsia="Times New Roman"/>
          <w:color w:val="000000"/>
          <w:sz w:val="20"/>
          <w:szCs w:val="20"/>
        </w:rPr>
        <w:t>o self-storage operations, are included as self-storage cost of operations. See “Same Store Facilities” for further information. Share-based compensation expense varies based upon the level of grants and their related vesting and amortization periods, forf</w:t>
      </w:r>
      <w:r>
        <w:rPr>
          <w:rFonts w:eastAsia="Times New Roman"/>
          <w:color w:val="000000"/>
          <w:sz w:val="20"/>
          <w:szCs w:val="20"/>
        </w:rPr>
        <w:t xml:space="preserve">eitures, as well as the Company’s common share price on the date of each grant. </w:t>
      </w:r>
    </w:p>
    <w:p w:rsidR="00000000" w:rsidRDefault="008C69C0">
      <w:pPr>
        <w:ind w:firstLine="720"/>
        <w:jc w:val="both"/>
        <w:divId w:val="318778249"/>
        <w:rPr>
          <w:rFonts w:eastAsia="Times New Roman"/>
        </w:rPr>
      </w:pPr>
      <w:r>
        <w:rPr>
          <w:rFonts w:eastAsia="Times New Roman"/>
          <w:color w:val="000000"/>
          <w:sz w:val="20"/>
          <w:szCs w:val="20"/>
        </w:rPr>
        <w:t>In July 2020, our share-based compensation plans were modified to allow immediate vesting upon retirement (“Retirement Acceleration”), and to extend the exercisability of outs</w:t>
      </w:r>
      <w:r>
        <w:rPr>
          <w:rFonts w:eastAsia="Times New Roman"/>
          <w:color w:val="000000"/>
          <w:sz w:val="20"/>
          <w:szCs w:val="20"/>
        </w:rPr>
        <w:t>tanding stock options up to a year after retirement, for currently outstanding and future grants. Employees are eligible for Retirement Acceleration if they meet certain conditions including length of service, age, notice of intent to retire, and facilitat</w:t>
      </w:r>
      <w:r>
        <w:rPr>
          <w:rFonts w:eastAsia="Times New Roman"/>
          <w:color w:val="000000"/>
          <w:sz w:val="20"/>
          <w:szCs w:val="20"/>
        </w:rPr>
        <w:t xml:space="preserve">ion of succession for their role. </w:t>
      </w:r>
    </w:p>
    <w:p w:rsidR="00000000" w:rsidRDefault="008C69C0">
      <w:pPr>
        <w:ind w:firstLine="720"/>
        <w:jc w:val="both"/>
        <w:divId w:val="997003949"/>
        <w:rPr>
          <w:rFonts w:eastAsia="Times New Roman"/>
        </w:rPr>
      </w:pPr>
      <w:r>
        <w:rPr>
          <w:rFonts w:eastAsia="Times New Roman"/>
          <w:color w:val="000000"/>
          <w:sz w:val="20"/>
          <w:szCs w:val="20"/>
        </w:rPr>
        <w:t>For the three and nine months ended September 30, 2021, share-based compensation expense increased $4.5 million and $18.9 million, respectively, as compared to the same periods in 2020, primarily due to (i) the absence of</w:t>
      </w:r>
      <w:r>
        <w:rPr>
          <w:rFonts w:eastAsia="Times New Roman"/>
          <w:color w:val="000000"/>
          <w:sz w:val="20"/>
          <w:szCs w:val="20"/>
        </w:rPr>
        <w:t xml:space="preserve"> comparable performance-based share-based compensation expense for the three and nine months ended September 30, 2020, (ii) the accelerated compensation costs recognized in the three and nine months ended September 30, 2021 associated with modifying our sh</w:t>
      </w:r>
      <w:r>
        <w:rPr>
          <w:rFonts w:eastAsia="Times New Roman"/>
          <w:color w:val="000000"/>
          <w:sz w:val="20"/>
          <w:szCs w:val="20"/>
        </w:rPr>
        <w:t>are-based compensation plans in July 2020, to allow immediate vesting upon retirement and (iii) revaluation of certain awards previously classified as a liability during the second quarter of 2021.</w:t>
      </w:r>
    </w:p>
    <w:p w:rsidR="00000000" w:rsidRDefault="008C69C0">
      <w:pPr>
        <w:ind w:firstLine="720"/>
        <w:jc w:val="both"/>
        <w:divId w:val="233661988"/>
        <w:rPr>
          <w:rFonts w:eastAsia="Times New Roman"/>
        </w:rPr>
      </w:pPr>
      <w:r>
        <w:rPr>
          <w:rFonts w:eastAsia="Times New Roman"/>
          <w:color w:val="000000"/>
          <w:sz w:val="20"/>
          <w:szCs w:val="20"/>
        </w:rPr>
        <w:t>Development and acquisition costs primarily represent inte</w:t>
      </w:r>
      <w:r>
        <w:rPr>
          <w:rFonts w:eastAsia="Times New Roman"/>
          <w:color w:val="000000"/>
          <w:sz w:val="20"/>
          <w:szCs w:val="20"/>
        </w:rPr>
        <w:t xml:space="preserve">rnal and external expenses related to our development and acquisition of real estate facilities and varies primarily based upon the level of activities. The amounts in the above table are net of $3.5 million and $10.0 million for the three and nine months </w:t>
      </w:r>
      <w:r>
        <w:rPr>
          <w:rFonts w:eastAsia="Times New Roman"/>
          <w:color w:val="000000"/>
          <w:sz w:val="20"/>
          <w:szCs w:val="20"/>
        </w:rPr>
        <w:t>ended September 30, 2021, respectively, as compared to $2.8 million and $8.9 million for the same periods in 2020, in development costs that were capitalized to newly developed and redeveloped self-storage facilities. During the nine months ended September</w:t>
      </w:r>
      <w:r>
        <w:rPr>
          <w:rFonts w:eastAsia="Times New Roman"/>
          <w:color w:val="000000"/>
          <w:sz w:val="20"/>
          <w:szCs w:val="20"/>
        </w:rPr>
        <w:t> 30, 2020, we incurred $3.2 million in costs associated with the write-off of cancelled development projects.</w:t>
      </w:r>
    </w:p>
    <w:p w:rsidR="00000000" w:rsidRDefault="008C69C0">
      <w:pPr>
        <w:ind w:firstLine="720"/>
        <w:jc w:val="both"/>
        <w:divId w:val="362903987"/>
        <w:rPr>
          <w:rFonts w:eastAsia="Times New Roman"/>
        </w:rPr>
      </w:pPr>
      <w:r>
        <w:rPr>
          <w:rFonts w:eastAsia="Times New Roman"/>
          <w:color w:val="000000"/>
          <w:sz w:val="20"/>
          <w:szCs w:val="20"/>
        </w:rPr>
        <w:t>Tax compliance costs and taxes paid include taxes paid to various state and local authorities, the costs of filing tax returns, and other costs as</w:t>
      </w:r>
      <w:r>
        <w:rPr>
          <w:rFonts w:eastAsia="Times New Roman"/>
          <w:color w:val="000000"/>
          <w:sz w:val="20"/>
          <w:szCs w:val="20"/>
        </w:rPr>
        <w:t xml:space="preserve">sociated with complying with federal and state tax laws. Such costs vary primarily based upon the tax rates and the level of our operations of the various states in which we do business. For the three and nine months ended September 30, 2021, state income </w:t>
      </w:r>
      <w:r>
        <w:rPr>
          <w:rFonts w:eastAsia="Times New Roman"/>
          <w:color w:val="000000"/>
          <w:sz w:val="20"/>
          <w:szCs w:val="20"/>
        </w:rPr>
        <w:t xml:space="preserve">tax increased $2.8 million and $3.2 million, respectively, as compared to the same </w:t>
      </w:r>
    </w:p>
    <w:p w:rsidR="00000000" w:rsidRDefault="008C69C0">
      <w:pPr>
        <w:jc w:val="center"/>
        <w:divId w:val="1671827548"/>
        <w:rPr>
          <w:rFonts w:eastAsia="Times New Roman"/>
        </w:rPr>
      </w:pPr>
      <w:r>
        <w:rPr>
          <w:rFonts w:eastAsia="Times New Roman"/>
          <w:color w:val="000000"/>
          <w:sz w:val="20"/>
          <w:szCs w:val="20"/>
        </w:rPr>
        <w:t>54</w:t>
      </w:r>
    </w:p>
    <w:p w:rsidR="00000000" w:rsidRDefault="008C69C0">
      <w:pPr>
        <w:rPr>
          <w:rFonts w:eastAsia="Times New Roman"/>
        </w:rPr>
      </w:pPr>
      <w:r>
        <w:rPr>
          <w:rFonts w:eastAsia="Times New Roman"/>
        </w:rPr>
        <w:pict>
          <v:rect id="_x0000_i1080" style="width:0;height:1.5pt" o:hralign="center" o:hrstd="t" o:hr="t" fillcolor="#a0a0a0" stroked="f"/>
        </w:pict>
      </w:r>
    </w:p>
    <w:p w:rsidR="00000000" w:rsidRDefault="008C69C0">
      <w:pPr>
        <w:divId w:val="392629240"/>
        <w:rPr>
          <w:rFonts w:eastAsia="Times New Roman"/>
        </w:rPr>
      </w:pPr>
    </w:p>
    <w:p w:rsidR="00000000" w:rsidRDefault="008C69C0">
      <w:pPr>
        <w:jc w:val="both"/>
        <w:divId w:val="1381899139"/>
        <w:rPr>
          <w:rFonts w:eastAsia="Times New Roman"/>
        </w:rPr>
      </w:pPr>
      <w:r>
        <w:rPr>
          <w:rFonts w:eastAsia="Times New Roman"/>
          <w:color w:val="000000"/>
          <w:sz w:val="20"/>
          <w:szCs w:val="20"/>
        </w:rPr>
        <w:t>periods in 2020, due to rising taxable income in certain states where there are differences between federal and state tax laws. We</w:t>
      </w:r>
      <w:r>
        <w:rPr>
          <w:rFonts w:eastAsia="Times New Roman"/>
          <w:color w:val="000000"/>
          <w:sz w:val="20"/>
          <w:szCs w:val="20"/>
        </w:rPr>
        <w:t xml:space="preserve"> expect continued increases in state income taxes through the end of 2021.</w:t>
      </w:r>
    </w:p>
    <w:p w:rsidR="00000000" w:rsidRDefault="008C69C0">
      <w:pPr>
        <w:ind w:firstLine="720"/>
        <w:jc w:val="both"/>
        <w:divId w:val="97414918"/>
        <w:rPr>
          <w:rFonts w:eastAsia="Times New Roman"/>
        </w:rPr>
      </w:pPr>
      <w:r>
        <w:rPr>
          <w:rFonts w:eastAsia="Times New Roman"/>
          <w:color w:val="000000"/>
          <w:sz w:val="20"/>
          <w:szCs w:val="20"/>
        </w:rPr>
        <w:t>Legal costs include internal personnel as well as fees paid to legal firms and other third parties with respect to general corporate legal matters and risk management, and varies ba</w:t>
      </w:r>
      <w:r>
        <w:rPr>
          <w:rFonts w:eastAsia="Times New Roman"/>
          <w:color w:val="000000"/>
          <w:sz w:val="20"/>
          <w:szCs w:val="20"/>
        </w:rPr>
        <w:t xml:space="preserve">sed upon the level of legal activity. </w:t>
      </w:r>
    </w:p>
    <w:p w:rsidR="00000000" w:rsidRDefault="008C69C0">
      <w:pPr>
        <w:ind w:firstLine="720"/>
        <w:jc w:val="both"/>
        <w:divId w:val="1895118665"/>
        <w:rPr>
          <w:rFonts w:eastAsia="Times New Roman"/>
        </w:rPr>
      </w:pPr>
      <w:r>
        <w:rPr>
          <w:rFonts w:eastAsia="Times New Roman"/>
          <w:color w:val="000000"/>
          <w:sz w:val="20"/>
          <w:szCs w:val="20"/>
        </w:rPr>
        <w:t xml:space="preserve">Public company costs represent the incremental costs of operating as a publicly-traded company, such as internal and external investor relations expenses, stock listing and transfer agent fees, Board costs, and costs </w:t>
      </w:r>
      <w:r>
        <w:rPr>
          <w:rFonts w:eastAsia="Times New Roman"/>
          <w:color w:val="000000"/>
          <w:sz w:val="20"/>
          <w:szCs w:val="20"/>
        </w:rPr>
        <w:t xml:space="preserve">associated with maintaining compliance with applicable laws and regulations, including the Dodd-Frank Wall Street Reform and Consumer Protection Act and Sarbanes-Oxley Act of 2002. </w:t>
      </w:r>
    </w:p>
    <w:p w:rsidR="00000000" w:rsidRDefault="008C69C0">
      <w:pPr>
        <w:ind w:firstLine="720"/>
        <w:jc w:val="both"/>
        <w:divId w:val="189682800"/>
        <w:rPr>
          <w:rFonts w:eastAsia="Times New Roman"/>
        </w:rPr>
      </w:pPr>
      <w:r>
        <w:rPr>
          <w:rFonts w:eastAsia="Times New Roman"/>
          <w:color w:val="000000"/>
          <w:sz w:val="20"/>
          <w:szCs w:val="20"/>
        </w:rPr>
        <w:t>Other costs represent certain professional and consulting fees, payroll, a</w:t>
      </w:r>
      <w:r>
        <w:rPr>
          <w:rFonts w:eastAsia="Times New Roman"/>
          <w:color w:val="000000"/>
          <w:sz w:val="20"/>
          <w:szCs w:val="20"/>
        </w:rPr>
        <w:t>nd overhead that are not attributable to our property operations. Such costs include nonrecurring and variable items, including $1.6 million in due diligence costs incurred in the three months ended September 30, 2020, in connection with our non-binding pr</w:t>
      </w:r>
      <w:r>
        <w:rPr>
          <w:rFonts w:eastAsia="Times New Roman"/>
          <w:color w:val="000000"/>
          <w:sz w:val="20"/>
          <w:szCs w:val="20"/>
        </w:rPr>
        <w:t xml:space="preserve">oposal, which we did not proceed with, to acquire 100% of the stapled securities of National Storage REIT. The level of these costs depends upon corporate activities and initiatives. </w:t>
      </w:r>
    </w:p>
    <w:p w:rsidR="00000000" w:rsidRDefault="008C69C0">
      <w:pPr>
        <w:ind w:firstLine="720"/>
        <w:jc w:val="both"/>
        <w:divId w:val="1582328632"/>
        <w:rPr>
          <w:rFonts w:eastAsia="Times New Roman"/>
        </w:rPr>
      </w:pPr>
      <w:r>
        <w:rPr>
          <w:rFonts w:eastAsia="Times New Roman"/>
          <w:b/>
          <w:bCs/>
          <w:i/>
          <w:iCs/>
          <w:color w:val="000000"/>
          <w:sz w:val="20"/>
          <w:szCs w:val="20"/>
        </w:rPr>
        <w:t>Interest and other income:</w:t>
      </w:r>
      <w:r>
        <w:rPr>
          <w:rFonts w:eastAsia="Times New Roman"/>
          <w:color w:val="000000"/>
          <w:sz w:val="20"/>
          <w:szCs w:val="20"/>
        </w:rPr>
        <w:t xml:space="preserve"> Interest and other income is comprised primar</w:t>
      </w:r>
      <w:r>
        <w:rPr>
          <w:rFonts w:eastAsia="Times New Roman"/>
          <w:color w:val="000000"/>
          <w:sz w:val="20"/>
          <w:szCs w:val="20"/>
        </w:rPr>
        <w:t xml:space="preserve">ily of the net income from our commercial operations, interest earned on cash balances, and trademark license fees received from Shurgard, as well as sundry other income items that are received from time to time in varying amounts. Amounts attributable to </w:t>
      </w:r>
      <w:r>
        <w:rPr>
          <w:rFonts w:eastAsia="Times New Roman"/>
          <w:color w:val="000000"/>
          <w:sz w:val="20"/>
          <w:szCs w:val="20"/>
        </w:rPr>
        <w:t>commercial operations was $2.0 million and $6.2 million in the three and nine months ended September 30, 2021, respectively, as compared to the $2.1 million and $6.4 million for the same periods of 2020. Excluding the aforementioned amounts attributable to</w:t>
      </w:r>
      <w:r>
        <w:rPr>
          <w:rFonts w:eastAsia="Times New Roman"/>
          <w:color w:val="000000"/>
          <w:sz w:val="20"/>
          <w:szCs w:val="20"/>
        </w:rPr>
        <w:t xml:space="preserve"> our commercial operations, interest and other income decreased $3.7 million and $9.4 million in the three and nine months ended September 30, 2021, respectively, as compared to the same periods in 2020. The reduction was primarily due to $3.5 million and </w:t>
      </w:r>
      <w:r>
        <w:rPr>
          <w:rFonts w:eastAsia="Times New Roman"/>
          <w:color w:val="000000"/>
          <w:sz w:val="20"/>
          <w:szCs w:val="20"/>
        </w:rPr>
        <w:t>$5.5 million in aggregate received during the three and nine months ended September 30, 2020, respectively, related to litigation settlements and the early repayment of notes receivable. Interest earned on cash balances decreased by $3.4 million from the n</w:t>
      </w:r>
      <w:r>
        <w:rPr>
          <w:rFonts w:eastAsia="Times New Roman"/>
          <w:color w:val="000000"/>
          <w:sz w:val="20"/>
          <w:szCs w:val="20"/>
        </w:rPr>
        <w:t>ine months ended September 30, 2020 to the same period in 2021, reflecting a year-over-year decrease in average interest rate as well as average cash balance on hand. The level of other interest and income items in the remainder of 2021 will be dependent u</w:t>
      </w:r>
      <w:r>
        <w:rPr>
          <w:rFonts w:eastAsia="Times New Roman"/>
          <w:color w:val="000000"/>
          <w:sz w:val="20"/>
          <w:szCs w:val="20"/>
        </w:rPr>
        <w:t>pon the level of cash balances we retain, interest rates, and the level of other income items.</w:t>
      </w:r>
    </w:p>
    <w:p w:rsidR="00000000" w:rsidRDefault="008C69C0">
      <w:pPr>
        <w:ind w:firstLine="720"/>
        <w:jc w:val="both"/>
        <w:divId w:val="2008511400"/>
        <w:rPr>
          <w:rFonts w:eastAsia="Times New Roman"/>
        </w:rPr>
      </w:pPr>
      <w:r>
        <w:rPr>
          <w:rFonts w:eastAsia="Times New Roman"/>
          <w:b/>
          <w:bCs/>
          <w:i/>
          <w:iCs/>
          <w:color w:val="000000"/>
          <w:sz w:val="20"/>
          <w:szCs w:val="20"/>
        </w:rPr>
        <w:t>Interest expense:</w:t>
      </w:r>
      <w:r>
        <w:rPr>
          <w:rFonts w:eastAsia="Times New Roman"/>
          <w:color w:val="000000"/>
          <w:sz w:val="20"/>
          <w:szCs w:val="20"/>
        </w:rPr>
        <w:t xml:space="preserve"> For the three and nine months ended September 30, 2021, we incurred $24.6 million and $63.6 million, respectively, of interest on our outstandi</w:t>
      </w:r>
      <w:r>
        <w:rPr>
          <w:rFonts w:eastAsia="Times New Roman"/>
          <w:color w:val="000000"/>
          <w:sz w:val="20"/>
          <w:szCs w:val="20"/>
        </w:rPr>
        <w:t>ng debt, as compared to $15.1 million and $44.6 million for the same periods in 2020. In determining interest expense, these amounts were offset by capitalized interest of $0.9 million and $2.6 million during the three and nine months ended September 30, 2</w:t>
      </w:r>
      <w:r>
        <w:rPr>
          <w:rFonts w:eastAsia="Times New Roman"/>
          <w:color w:val="000000"/>
          <w:sz w:val="20"/>
          <w:szCs w:val="20"/>
        </w:rPr>
        <w:t>021, respectively, associated with our development activities, as compared to $0.8 million and $2.5 million for the same periods in 2020. The increase of interest expense in the three and nine months ended September 30, 2021, as compared to the same period</w:t>
      </w:r>
      <w:r>
        <w:rPr>
          <w:rFonts w:eastAsia="Times New Roman"/>
          <w:color w:val="000000"/>
          <w:sz w:val="20"/>
          <w:szCs w:val="20"/>
        </w:rPr>
        <w:t>s in 2020, is due to our issuances of (i) $500 million of senior notes on January 19, 2021 bearing interest at an annual rate of 0.875% and maturing on February 15, 2026, (ii) $700 million, $650 million and $650 million of senior notes on April 23, 2021 be</w:t>
      </w:r>
      <w:r>
        <w:rPr>
          <w:rFonts w:eastAsia="Times New Roman"/>
          <w:color w:val="000000"/>
          <w:sz w:val="20"/>
          <w:szCs w:val="20"/>
        </w:rPr>
        <w:t>aring interest at an annual rate of SOFR +0.47% (reset quarterly), 1.85% and 2.30%, respectively, and (iii) €700 million of Euro-denominated unsecured notes on September 9, 2021 bearing interest at an annual rate of 0.500% and maturing on September 9, 2030</w:t>
      </w:r>
      <w:r>
        <w:rPr>
          <w:rFonts w:eastAsia="Times New Roman"/>
          <w:color w:val="000000"/>
          <w:sz w:val="20"/>
          <w:szCs w:val="20"/>
        </w:rPr>
        <w:t xml:space="preserve">. At September 30, 2021, we had $5.8 billion of debt outstanding, with a weighted average interest rate of approximately 1.8%. </w:t>
      </w:r>
    </w:p>
    <w:p w:rsidR="00000000" w:rsidRDefault="008C69C0">
      <w:pPr>
        <w:ind w:firstLine="720"/>
        <w:jc w:val="both"/>
        <w:divId w:val="575633186"/>
        <w:rPr>
          <w:rFonts w:eastAsia="Times New Roman"/>
        </w:rPr>
      </w:pPr>
      <w:r>
        <w:rPr>
          <w:rFonts w:eastAsia="Times New Roman"/>
          <w:b/>
          <w:bCs/>
          <w:i/>
          <w:iCs/>
          <w:color w:val="000000"/>
          <w:sz w:val="20"/>
          <w:szCs w:val="20"/>
        </w:rPr>
        <w:t>Foreign Currency Exchange Gain (Loss):</w:t>
      </w:r>
      <w:r>
        <w:rPr>
          <w:rFonts w:eastAsia="Times New Roman"/>
          <w:color w:val="000000"/>
          <w:sz w:val="20"/>
          <w:szCs w:val="20"/>
        </w:rPr>
        <w:t xml:space="preserve"> For the three and nine months ended September 30, 2021, we recorded foreign currency gain</w:t>
      </w:r>
      <w:r>
        <w:rPr>
          <w:rFonts w:eastAsia="Times New Roman"/>
          <w:color w:val="000000"/>
          <w:sz w:val="20"/>
          <w:szCs w:val="20"/>
        </w:rPr>
        <w:t>s of $40.9 million and $73.6 million, respectively, representing the changes in the U.S. Dollar equivalent of our Euro-denominated unsecured notes due to fluctuations in exchange rates. For the three and nine months ended September 30, 2020, we recorded fo</w:t>
      </w:r>
      <w:r>
        <w:rPr>
          <w:rFonts w:eastAsia="Times New Roman"/>
          <w:color w:val="000000"/>
          <w:sz w:val="20"/>
          <w:szCs w:val="20"/>
        </w:rPr>
        <w:t>reign currency translation losses of $41.9 million and $52.3 million, respectively. The Euro was translated at exchange rates of approximately 1.159 U.S. Dollars per Euro at September 30, 2021, 1.226 at December 31, 2020, 1.172 at September 30, 2020 and 1.</w:t>
      </w:r>
      <w:r>
        <w:rPr>
          <w:rFonts w:eastAsia="Times New Roman"/>
          <w:color w:val="000000"/>
          <w:sz w:val="20"/>
          <w:szCs w:val="20"/>
        </w:rPr>
        <w:t xml:space="preserve">122 at December 31, 2019. Future gains and losses on foreign currency will be dependent upon changes in the relative value of the Euro to the U.S. Dollar, and the level of Euro-denominated debt outstanding. </w:t>
      </w:r>
    </w:p>
    <w:p w:rsidR="00000000" w:rsidRDefault="008C69C0">
      <w:pPr>
        <w:ind w:firstLine="720"/>
        <w:jc w:val="both"/>
        <w:divId w:val="2053191257"/>
        <w:rPr>
          <w:rFonts w:eastAsia="Times New Roman"/>
        </w:rPr>
      </w:pPr>
      <w:r>
        <w:rPr>
          <w:rFonts w:eastAsia="Times New Roman"/>
          <w:b/>
          <w:bCs/>
          <w:i/>
          <w:iCs/>
          <w:color w:val="000000"/>
          <w:sz w:val="20"/>
          <w:szCs w:val="20"/>
        </w:rPr>
        <w:t>Gain on Sale of Real Estate:</w:t>
      </w:r>
      <w:r>
        <w:rPr>
          <w:rFonts w:eastAsia="Times New Roman"/>
          <w:color w:val="000000"/>
          <w:sz w:val="20"/>
          <w:szCs w:val="20"/>
        </w:rPr>
        <w:t xml:space="preserve"> In the three and ni</w:t>
      </w:r>
      <w:r>
        <w:rPr>
          <w:rFonts w:eastAsia="Times New Roman"/>
          <w:color w:val="000000"/>
          <w:sz w:val="20"/>
          <w:szCs w:val="20"/>
        </w:rPr>
        <w:t>ne months ended September 30, 2021, we recorded $0.3 million and $13.7 million in gains, respectively, and in the nine months ended September 30, 2020, we recorded gains totaling $1.1 million, primarily in connection with the partial or complete sale of re</w:t>
      </w:r>
      <w:r>
        <w:rPr>
          <w:rFonts w:eastAsia="Times New Roman"/>
          <w:color w:val="000000"/>
          <w:sz w:val="20"/>
          <w:szCs w:val="20"/>
        </w:rPr>
        <w:t>al estate facilities pursuant to eminent domain proceedings.</w:t>
      </w:r>
    </w:p>
    <w:p w:rsidR="00000000" w:rsidRDefault="008C69C0">
      <w:pPr>
        <w:ind w:firstLine="720"/>
        <w:jc w:val="both"/>
        <w:rPr>
          <w:rFonts w:eastAsia="Times New Roman"/>
        </w:rPr>
      </w:pPr>
      <w:r>
        <w:rPr>
          <w:rFonts w:eastAsia="Times New Roman"/>
          <w:b/>
          <w:bCs/>
          <w:i/>
          <w:iCs/>
          <w:color w:val="000000"/>
          <w:sz w:val="20"/>
          <w:szCs w:val="20"/>
        </w:rPr>
        <w:t>Net Income Allocable to Preferred Shareholders:</w:t>
      </w:r>
      <w:r>
        <w:rPr>
          <w:rFonts w:eastAsia="Times New Roman"/>
          <w:color w:val="000000"/>
          <w:sz w:val="20"/>
          <w:szCs w:val="20"/>
        </w:rPr>
        <w:t xml:space="preserve"> Net income allocable to preferred shareholders based upon distributions decreased from $53.9 million and $158.8 million in the three and nine month</w:t>
      </w:r>
      <w:r>
        <w:rPr>
          <w:rFonts w:eastAsia="Times New Roman"/>
          <w:color w:val="000000"/>
          <w:sz w:val="20"/>
          <w:szCs w:val="20"/>
        </w:rPr>
        <w:t>s ended September 30, 2020, respectively, to $46.2 million and $138.5 million in the same period in 2021. This decrease is due primarily to lower average coupon rates of recently issued preferred stock compared to recent series we have redeemed. We also al</w:t>
      </w:r>
      <w:r>
        <w:rPr>
          <w:rFonts w:eastAsia="Times New Roman"/>
          <w:color w:val="000000"/>
          <w:sz w:val="20"/>
          <w:szCs w:val="20"/>
        </w:rPr>
        <w:t xml:space="preserve">located income from our common shareholders to the holders of our preferred shares of $17.0 million in the nine months ended September 30, 2021, and $23.3 million and $38.4 million in the three and nine months ended September 30, 2020, </w:t>
      </w:r>
    </w:p>
    <w:p w:rsidR="00000000" w:rsidRDefault="008C69C0">
      <w:pPr>
        <w:jc w:val="center"/>
        <w:divId w:val="228931574"/>
        <w:rPr>
          <w:rFonts w:eastAsia="Times New Roman"/>
        </w:rPr>
      </w:pPr>
      <w:r>
        <w:rPr>
          <w:rFonts w:eastAsia="Times New Roman"/>
          <w:color w:val="000000"/>
          <w:sz w:val="20"/>
          <w:szCs w:val="20"/>
        </w:rPr>
        <w:t>55</w:t>
      </w:r>
    </w:p>
    <w:p w:rsidR="00000000" w:rsidRDefault="008C69C0">
      <w:pPr>
        <w:rPr>
          <w:rFonts w:eastAsia="Times New Roman"/>
        </w:rPr>
      </w:pPr>
      <w:r>
        <w:rPr>
          <w:rFonts w:eastAsia="Times New Roman"/>
        </w:rPr>
        <w:pict>
          <v:rect id="_x0000_i1081" style="width:0;height:1.5pt" o:hralign="center" o:hrstd="t" o:hr="t" fillcolor="#a0a0a0" stroked="f"/>
        </w:pict>
      </w:r>
    </w:p>
    <w:p w:rsidR="00000000" w:rsidRDefault="008C69C0">
      <w:pPr>
        <w:divId w:val="1514765102"/>
        <w:rPr>
          <w:rFonts w:eastAsia="Times New Roman"/>
        </w:rPr>
      </w:pPr>
    </w:p>
    <w:p w:rsidR="00000000" w:rsidRDefault="008C69C0">
      <w:pPr>
        <w:jc w:val="both"/>
        <w:rPr>
          <w:rFonts w:eastAsia="Times New Roman"/>
        </w:rPr>
      </w:pPr>
      <w:r>
        <w:rPr>
          <w:rFonts w:eastAsia="Times New Roman"/>
          <w:color w:val="000000"/>
          <w:sz w:val="20"/>
          <w:szCs w:val="20"/>
        </w:rPr>
        <w:t>respectively, in connection with the redemption of preferred securities.</w:t>
      </w:r>
      <w:r>
        <w:rPr>
          <w:rFonts w:eastAsia="Times New Roman"/>
          <w:color w:val="000000"/>
        </w:rPr>
        <w:t xml:space="preserve"> </w:t>
      </w:r>
      <w:r>
        <w:rPr>
          <w:rFonts w:eastAsia="Times New Roman"/>
          <w:color w:val="000000"/>
          <w:sz w:val="20"/>
          <w:szCs w:val="20"/>
        </w:rPr>
        <w:t>Based upon our preferred shares outstanding at September 30, 2021, our quarterly distribution to our preferred shareholders is expected to be approximately $46.1</w:t>
      </w:r>
      <w:r>
        <w:rPr>
          <w:rFonts w:eastAsia="Times New Roman"/>
          <w:color w:val="000000"/>
          <w:sz w:val="20"/>
          <w:szCs w:val="20"/>
        </w:rPr>
        <w:t xml:space="preserve"> million.</w:t>
      </w:r>
    </w:p>
    <w:p w:rsidR="00000000" w:rsidRDefault="008C69C0">
      <w:pPr>
        <w:divId w:val="795023639"/>
        <w:rPr>
          <w:rFonts w:eastAsia="Times New Roman"/>
        </w:rPr>
      </w:pPr>
      <w:r>
        <w:rPr>
          <w:rFonts w:eastAsia="Times New Roman"/>
          <w:b/>
          <w:bCs/>
          <w:i/>
          <w:iCs/>
          <w:color w:val="000000"/>
          <w:sz w:val="20"/>
          <w:szCs w:val="20"/>
        </w:rPr>
        <w:t>Liquidity and Capital Resources</w:t>
      </w:r>
    </w:p>
    <w:p w:rsidR="00000000" w:rsidRDefault="008C69C0">
      <w:pPr>
        <w:ind w:firstLine="720"/>
        <w:jc w:val="both"/>
        <w:divId w:val="177430255"/>
        <w:rPr>
          <w:rFonts w:eastAsia="Times New Roman"/>
        </w:rPr>
      </w:pPr>
      <w:r>
        <w:rPr>
          <w:rFonts w:eastAsia="Times New Roman"/>
          <w:color w:val="000000"/>
          <w:sz w:val="20"/>
          <w:szCs w:val="20"/>
        </w:rPr>
        <w:t>While operating as a REIT allows us to minimize the payment of U.S. federal corporate income tax expense, we are required to distribute at least 90% of our taxable income to our shareholders. This requirement limit</w:t>
      </w:r>
      <w:r>
        <w:rPr>
          <w:rFonts w:eastAsia="Times New Roman"/>
          <w:color w:val="000000"/>
          <w:sz w:val="20"/>
          <w:szCs w:val="20"/>
        </w:rPr>
        <w:t xml:space="preserve">s cash flow from operations that can be retained and reinvested in the business, increasing our reliance upon raising capital to fund growth. </w:t>
      </w:r>
    </w:p>
    <w:p w:rsidR="00000000" w:rsidRDefault="008C69C0">
      <w:pPr>
        <w:ind w:firstLine="720"/>
        <w:jc w:val="both"/>
        <w:divId w:val="360322256"/>
        <w:rPr>
          <w:rFonts w:eastAsia="Times New Roman"/>
        </w:rPr>
      </w:pPr>
      <w:r>
        <w:rPr>
          <w:rFonts w:eastAsia="Times New Roman"/>
          <w:color w:val="000000"/>
          <w:sz w:val="20"/>
          <w:szCs w:val="20"/>
        </w:rPr>
        <w:t>Because raising capital is important to our growth, we endeavor to maintain a strong financial profile characteri</w:t>
      </w:r>
      <w:r>
        <w:rPr>
          <w:rFonts w:eastAsia="Times New Roman"/>
          <w:color w:val="000000"/>
          <w:sz w:val="20"/>
          <w:szCs w:val="20"/>
        </w:rPr>
        <w:t>zed by strong credit metrics, including low leverage relative to our total capitalization and operating cash flows. We are one of the highest rated REITs, as rated by major rating agencies Moody’s and Standard &amp; Poor’s. Our senior debt has an “A” credit ra</w:t>
      </w:r>
      <w:r>
        <w:rPr>
          <w:rFonts w:eastAsia="Times New Roman"/>
          <w:color w:val="000000"/>
          <w:sz w:val="20"/>
          <w:szCs w:val="20"/>
        </w:rPr>
        <w:t xml:space="preserve">ting by Standard &amp; Poor’s and “A2” by Moody’s. Our credit ratings on each of our series of preferred shares are “A3” by Moody’s and “BBB+” by Standard &amp; Poor’s. Our credit profile enable us to effectively access both the public and private capital markets </w:t>
      </w:r>
      <w:r>
        <w:rPr>
          <w:rFonts w:eastAsia="Times New Roman"/>
          <w:color w:val="000000"/>
          <w:sz w:val="20"/>
          <w:szCs w:val="20"/>
        </w:rPr>
        <w:t>to raise capital.</w:t>
      </w:r>
    </w:p>
    <w:p w:rsidR="00000000" w:rsidRDefault="008C69C0">
      <w:pPr>
        <w:ind w:firstLine="720"/>
        <w:jc w:val="both"/>
        <w:divId w:val="2087652839"/>
        <w:rPr>
          <w:rFonts w:eastAsia="Times New Roman"/>
        </w:rPr>
      </w:pPr>
      <w:r>
        <w:rPr>
          <w:rFonts w:eastAsia="Times New Roman"/>
          <w:color w:val="000000"/>
          <w:sz w:val="20"/>
          <w:szCs w:val="20"/>
        </w:rPr>
        <w:t xml:space="preserve">While we must distribute our taxable income, we are nonetheless able to retain operating cash flow to the extent that our tax depreciation exceeds our maintenance capital expenditures. In recent years, we have retained approximately $200 </w:t>
      </w:r>
      <w:r>
        <w:rPr>
          <w:rFonts w:eastAsia="Times New Roman"/>
          <w:color w:val="000000"/>
          <w:sz w:val="20"/>
          <w:szCs w:val="20"/>
        </w:rPr>
        <w:t xml:space="preserve">million to $300 million per year in cash flow. </w:t>
      </w:r>
    </w:p>
    <w:p w:rsidR="00000000" w:rsidRDefault="008C69C0">
      <w:pPr>
        <w:ind w:firstLine="720"/>
        <w:jc w:val="both"/>
        <w:divId w:val="1762599216"/>
        <w:rPr>
          <w:rFonts w:eastAsia="Times New Roman"/>
        </w:rPr>
      </w:pPr>
      <w:r>
        <w:rPr>
          <w:rFonts w:eastAsia="Times New Roman"/>
          <w:color w:val="000000"/>
          <w:sz w:val="20"/>
          <w:szCs w:val="20"/>
        </w:rPr>
        <w:t>Capital needs in excess of retained cash flow are met with: (i) medium and long-term debt, (ii) preferred equity, and (iii) common equity. We select among these sources of capital based upon relative cost, availability, the desire for leverage, and conside</w:t>
      </w:r>
      <w:r>
        <w:rPr>
          <w:rFonts w:eastAsia="Times New Roman"/>
          <w:color w:val="000000"/>
          <w:sz w:val="20"/>
          <w:szCs w:val="20"/>
        </w:rPr>
        <w:t xml:space="preserve">ring potential constraints caused by certain features of capital sources, such as debt covenants. We view our line of credit, as well as any short-term bank loans, as bridge financing. </w:t>
      </w:r>
    </w:p>
    <w:p w:rsidR="00000000" w:rsidRDefault="008C69C0">
      <w:pPr>
        <w:ind w:firstLine="720"/>
        <w:jc w:val="both"/>
        <w:divId w:val="970742149"/>
        <w:rPr>
          <w:rFonts w:eastAsia="Times New Roman"/>
        </w:rPr>
      </w:pPr>
      <w:r>
        <w:rPr>
          <w:rFonts w:eastAsia="Times New Roman"/>
          <w:color w:val="000000"/>
          <w:sz w:val="20"/>
          <w:szCs w:val="20"/>
        </w:rPr>
        <w:t>We have a $500.0 million revolving line of credit which we occasionall</w:t>
      </w:r>
      <w:r>
        <w:rPr>
          <w:rFonts w:eastAsia="Times New Roman"/>
          <w:color w:val="000000"/>
          <w:sz w:val="20"/>
          <w:szCs w:val="20"/>
        </w:rPr>
        <w:t>y use as temporary “bridge” financing until we are able to raise longer term capital. As of September 30, 2021 and November 1, 2021, there were no borrowings outstanding on the revolving line of credit, however, we do have approximately $21.2 million of ou</w:t>
      </w:r>
      <w:r>
        <w:rPr>
          <w:rFonts w:eastAsia="Times New Roman"/>
          <w:color w:val="000000"/>
          <w:sz w:val="20"/>
          <w:szCs w:val="20"/>
        </w:rPr>
        <w:t xml:space="preserve">tstanding letters of credit which limits our borrowing capacity to $478.8 million. Our line of credit matures on April 19, 2024. </w:t>
      </w:r>
    </w:p>
    <w:p w:rsidR="00000000" w:rsidRDefault="008C69C0">
      <w:pPr>
        <w:ind w:firstLine="720"/>
        <w:jc w:val="both"/>
        <w:divId w:val="1442064222"/>
        <w:rPr>
          <w:rFonts w:eastAsia="Times New Roman"/>
        </w:rPr>
      </w:pPr>
      <w:r>
        <w:rPr>
          <w:rFonts w:eastAsia="Times New Roman"/>
          <w:color w:val="000000"/>
          <w:sz w:val="20"/>
          <w:szCs w:val="20"/>
        </w:rPr>
        <w:t>We believe that we have significant financial flexibility to adapt to changing conditions and opportunities. Currently, market</w:t>
      </w:r>
      <w:r>
        <w:rPr>
          <w:rFonts w:eastAsia="Times New Roman"/>
          <w:color w:val="000000"/>
          <w:sz w:val="20"/>
          <w:szCs w:val="20"/>
        </w:rPr>
        <w:t xml:space="preserve"> rates of interest for our debt, and market coupon rates for our preferred equity, are at historically low levels and we have significant access to these sources of capital. Based upon our substantial current liquidity relative to our capital requirements </w:t>
      </w:r>
      <w:r>
        <w:rPr>
          <w:rFonts w:eastAsia="Times New Roman"/>
          <w:color w:val="000000"/>
          <w:sz w:val="20"/>
          <w:szCs w:val="20"/>
        </w:rPr>
        <w:t>noted below, we would not expect any potential capital market dislocations to have a material impact upon our expected capital and growth plans over the next 12 months. However, if capital market conditions were to change significantly in the long run, our</w:t>
      </w:r>
      <w:r>
        <w:rPr>
          <w:rFonts w:eastAsia="Times New Roman"/>
          <w:color w:val="000000"/>
          <w:sz w:val="20"/>
          <w:szCs w:val="20"/>
        </w:rPr>
        <w:t xml:space="preserve"> access to or cost of debt and preferred equity capital could be negatively impacted and potentially affect future investment activities.</w:t>
      </w:r>
    </w:p>
    <w:p w:rsidR="00000000" w:rsidRDefault="008C69C0">
      <w:pPr>
        <w:ind w:firstLine="720"/>
        <w:jc w:val="both"/>
        <w:divId w:val="1679768819"/>
        <w:rPr>
          <w:rFonts w:eastAsia="Times New Roman"/>
        </w:rPr>
      </w:pPr>
      <w:r>
        <w:rPr>
          <w:rFonts w:eastAsia="Times New Roman"/>
          <w:b/>
          <w:bCs/>
          <w:i/>
          <w:iCs/>
          <w:color w:val="000000"/>
          <w:sz w:val="20"/>
          <w:szCs w:val="20"/>
        </w:rPr>
        <w:t>Liquidity and Capital Resource Analysis:</w:t>
      </w:r>
      <w:r>
        <w:rPr>
          <w:rFonts w:eastAsia="Times New Roman"/>
          <w:color w:val="000000"/>
          <w:sz w:val="20"/>
          <w:szCs w:val="20"/>
        </w:rPr>
        <w:t xml:space="preserve"> We believe that our net cash provided by our operating activities will contin</w:t>
      </w:r>
      <w:r>
        <w:rPr>
          <w:rFonts w:eastAsia="Times New Roman"/>
          <w:color w:val="000000"/>
          <w:sz w:val="20"/>
          <w:szCs w:val="20"/>
        </w:rPr>
        <w:t xml:space="preserve">ue to be sufficient to enable us to meet our ongoing requirements for interest payments on debt, maintenance capital expenditures and distributions to our shareholders for the foreseeable future. </w:t>
      </w:r>
    </w:p>
    <w:p w:rsidR="00000000" w:rsidRDefault="008C69C0">
      <w:pPr>
        <w:ind w:firstLine="720"/>
        <w:jc w:val="both"/>
        <w:divId w:val="1503469757"/>
        <w:rPr>
          <w:rFonts w:eastAsia="Times New Roman"/>
        </w:rPr>
      </w:pPr>
      <w:r>
        <w:rPr>
          <w:rFonts w:eastAsia="Times New Roman"/>
          <w:color w:val="000000"/>
          <w:sz w:val="20"/>
          <w:szCs w:val="20"/>
        </w:rPr>
        <w:t xml:space="preserve">Our expected capital resources include: (i) $958.2 million </w:t>
      </w:r>
      <w:r>
        <w:rPr>
          <w:rFonts w:eastAsia="Times New Roman"/>
          <w:color w:val="000000"/>
          <w:sz w:val="20"/>
          <w:szCs w:val="20"/>
        </w:rPr>
        <w:t>of cash as of September 30, 2021 and (ii) approximately $600.0 million of expected retained operating cash flow over the next twelve months. Retained operating cash flow represents our expected cash flow provided by operating activities, less shareholder d</w:t>
      </w:r>
      <w:r>
        <w:rPr>
          <w:rFonts w:eastAsia="Times New Roman"/>
          <w:color w:val="000000"/>
          <w:sz w:val="20"/>
          <w:szCs w:val="20"/>
        </w:rPr>
        <w:t xml:space="preserve">istributions and capital expenditures. </w:t>
      </w:r>
    </w:p>
    <w:p w:rsidR="00000000" w:rsidRDefault="008C69C0">
      <w:pPr>
        <w:ind w:firstLine="720"/>
        <w:jc w:val="both"/>
        <w:divId w:val="1993173584"/>
        <w:rPr>
          <w:rFonts w:eastAsia="Times New Roman"/>
        </w:rPr>
      </w:pPr>
      <w:r>
        <w:rPr>
          <w:rFonts w:eastAsia="Times New Roman"/>
          <w:color w:val="000000"/>
          <w:sz w:val="20"/>
          <w:szCs w:val="20"/>
        </w:rPr>
        <w:t>Our currently identified capital needs consist primarily of (i) $2.3 billion in property acquisitions currently under contract, (ii) $502.2 million of remaining spending on our current development pipeline, which wil</w:t>
      </w:r>
      <w:r>
        <w:rPr>
          <w:rFonts w:eastAsia="Times New Roman"/>
          <w:color w:val="000000"/>
          <w:sz w:val="20"/>
          <w:szCs w:val="20"/>
        </w:rPr>
        <w:t>l be incurred primarily in the next 18 to 24 months, and (iii) $502.6 million in scheduled principal repayments in 2022, including $500.0 million for our senior notes which mature on September 15, 2022. We expect our capital needs to increase over the next</w:t>
      </w:r>
      <w:r>
        <w:rPr>
          <w:rFonts w:eastAsia="Times New Roman"/>
          <w:color w:val="000000"/>
          <w:sz w:val="20"/>
          <w:szCs w:val="20"/>
        </w:rPr>
        <w:t xml:space="preserve"> year as we add projects to our development pipeline and acquire additional properties. Additional potential capital needs could result from various activities including the redemption of outstanding preferred securities, repurchases of common stock, or me</w:t>
      </w:r>
      <w:r>
        <w:rPr>
          <w:rFonts w:eastAsia="Times New Roman"/>
          <w:color w:val="000000"/>
          <w:sz w:val="20"/>
          <w:szCs w:val="20"/>
        </w:rPr>
        <w:t>rgers and acquisition activities; however, there can be no assurance of any such activities transpiring in the near or longer term.</w:t>
      </w:r>
    </w:p>
    <w:p w:rsidR="00000000" w:rsidRDefault="008C69C0">
      <w:pPr>
        <w:ind w:firstLine="720"/>
        <w:jc w:val="both"/>
        <w:divId w:val="612128596"/>
        <w:rPr>
          <w:rFonts w:eastAsia="Times New Roman"/>
        </w:rPr>
      </w:pPr>
      <w:r>
        <w:rPr>
          <w:rFonts w:eastAsia="Times New Roman"/>
          <w:color w:val="000000"/>
          <w:sz w:val="20"/>
          <w:szCs w:val="20"/>
        </w:rPr>
        <w:t>In the near term, to fund property acquisitions under contract including our $1.5 billion acquisition of All Storage portfol</w:t>
      </w:r>
      <w:r>
        <w:rPr>
          <w:rFonts w:eastAsia="Times New Roman"/>
          <w:color w:val="000000"/>
          <w:sz w:val="20"/>
          <w:szCs w:val="20"/>
        </w:rPr>
        <w:t>io, we expect to issue unsecured debt. Over the long term, to the extent that our capital needs exceed our capital resources, we believe we have a variety of possibilities to raise additional capital including issuing common or preferred securities, issuin</w:t>
      </w:r>
      <w:r>
        <w:rPr>
          <w:rFonts w:eastAsia="Times New Roman"/>
          <w:color w:val="000000"/>
          <w:sz w:val="20"/>
          <w:szCs w:val="20"/>
        </w:rPr>
        <w:t>g debt, or entering into joint venture arrangements to acquire or develop facilities.</w:t>
      </w:r>
    </w:p>
    <w:p w:rsidR="00000000" w:rsidRDefault="008C69C0">
      <w:pPr>
        <w:ind w:firstLine="720"/>
        <w:jc w:val="both"/>
        <w:divId w:val="1432622530"/>
        <w:rPr>
          <w:rFonts w:eastAsia="Times New Roman"/>
        </w:rPr>
      </w:pPr>
      <w:r>
        <w:rPr>
          <w:rFonts w:eastAsia="Times New Roman"/>
          <w:b/>
          <w:bCs/>
          <w:i/>
          <w:iCs/>
          <w:color w:val="000000"/>
          <w:sz w:val="20"/>
          <w:szCs w:val="20"/>
        </w:rPr>
        <w:t>Required Debt Repayments:</w:t>
      </w:r>
      <w:r>
        <w:rPr>
          <w:rFonts w:eastAsia="Times New Roman"/>
          <w:b/>
          <w:bCs/>
          <w:color w:val="000000"/>
          <w:sz w:val="20"/>
          <w:szCs w:val="20"/>
        </w:rPr>
        <w:t xml:space="preserve"> </w:t>
      </w:r>
      <w:r>
        <w:rPr>
          <w:rFonts w:eastAsia="Times New Roman"/>
          <w:color w:val="000000"/>
          <w:sz w:val="20"/>
          <w:szCs w:val="20"/>
        </w:rPr>
        <w:t>As of September 30, 2021, the principal outstanding on our debt totaled approximately $5.8 billion, consisting of $23.6 million of secured debt,</w:t>
      </w:r>
      <w:r>
        <w:rPr>
          <w:rFonts w:eastAsia="Times New Roman"/>
          <w:color w:val="000000"/>
          <w:sz w:val="20"/>
          <w:szCs w:val="20"/>
        </w:rPr>
        <w:t xml:space="preserve"> $1.8 billion of Euro-denominated unsecured debt </w:t>
      </w:r>
    </w:p>
    <w:p w:rsidR="00000000" w:rsidRDefault="008C69C0">
      <w:pPr>
        <w:jc w:val="center"/>
        <w:divId w:val="1328821653"/>
        <w:rPr>
          <w:rFonts w:eastAsia="Times New Roman"/>
        </w:rPr>
      </w:pPr>
      <w:r>
        <w:rPr>
          <w:rFonts w:eastAsia="Times New Roman"/>
          <w:color w:val="000000"/>
          <w:sz w:val="20"/>
          <w:szCs w:val="20"/>
        </w:rPr>
        <w:t>56</w:t>
      </w:r>
    </w:p>
    <w:p w:rsidR="00000000" w:rsidRDefault="008C69C0">
      <w:pPr>
        <w:rPr>
          <w:rFonts w:eastAsia="Times New Roman"/>
        </w:rPr>
      </w:pPr>
      <w:r>
        <w:rPr>
          <w:rFonts w:eastAsia="Times New Roman"/>
        </w:rPr>
        <w:pict>
          <v:rect id="_x0000_i1082" style="width:0;height:1.5pt" o:hralign="center" o:hrstd="t" o:hr="t" fillcolor="#a0a0a0" stroked="f"/>
        </w:pict>
      </w:r>
    </w:p>
    <w:p w:rsidR="00000000" w:rsidRDefault="008C69C0">
      <w:pPr>
        <w:divId w:val="1768649301"/>
        <w:rPr>
          <w:rFonts w:eastAsia="Times New Roman"/>
        </w:rPr>
      </w:pPr>
    </w:p>
    <w:p w:rsidR="00000000" w:rsidRDefault="008C69C0">
      <w:pPr>
        <w:jc w:val="both"/>
        <w:divId w:val="1826701606"/>
        <w:rPr>
          <w:rFonts w:eastAsia="Times New Roman"/>
        </w:rPr>
      </w:pPr>
      <w:r>
        <w:rPr>
          <w:rFonts w:eastAsia="Times New Roman"/>
          <w:color w:val="000000"/>
          <w:sz w:val="20"/>
          <w:szCs w:val="20"/>
        </w:rPr>
        <w:t>and $4.0 </w:t>
      </w:r>
      <w:r>
        <w:rPr>
          <w:rFonts w:eastAsia="Times New Roman"/>
          <w:color w:val="000000"/>
          <w:sz w:val="20"/>
          <w:szCs w:val="20"/>
        </w:rPr>
        <w:t>billion of U.S. Dollar denominated unsecured debt. Approximate principal maturities are as follows (amounts in thousands):</w:t>
      </w:r>
    </w:p>
    <w:tbl>
      <w:tblPr>
        <w:tblW w:w="5595" w:type="dxa"/>
        <w:jc w:val="center"/>
        <w:tblCellMar>
          <w:top w:w="15" w:type="dxa"/>
          <w:left w:w="15" w:type="dxa"/>
          <w:bottom w:w="15" w:type="dxa"/>
          <w:right w:w="15" w:type="dxa"/>
        </w:tblCellMar>
        <w:tblLook w:val="04A0" w:firstRow="1" w:lastRow="0" w:firstColumn="1" w:lastColumn="0" w:noHBand="0" w:noVBand="1"/>
      </w:tblPr>
      <w:tblGrid>
        <w:gridCol w:w="36"/>
        <w:gridCol w:w="4033"/>
        <w:gridCol w:w="36"/>
        <w:gridCol w:w="120"/>
        <w:gridCol w:w="1334"/>
        <w:gridCol w:w="36"/>
      </w:tblGrid>
      <w:tr w:rsidR="00000000">
        <w:trPr>
          <w:jc w:val="center"/>
        </w:trPr>
        <w:tc>
          <w:tcPr>
            <w:tcW w:w="20" w:type="dxa"/>
            <w:vAlign w:val="center"/>
            <w:hideMark/>
          </w:tcPr>
          <w:p w:rsidR="00000000" w:rsidRDefault="008C69C0">
            <w:pPr>
              <w:jc w:val="both"/>
              <w:rPr>
                <w:rFonts w:eastAsia="Times New Roman"/>
              </w:rPr>
            </w:pPr>
          </w:p>
        </w:tc>
        <w:tc>
          <w:tcPr>
            <w:tcW w:w="416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c>
          <w:tcPr>
            <w:tcW w:w="1355" w:type="dxa"/>
            <w:vAlign w:val="center"/>
            <w:hideMark/>
          </w:tcPr>
          <w:p w:rsidR="00000000" w:rsidRDefault="008C69C0">
            <w:pPr>
              <w:spacing w:after="100"/>
              <w:rPr>
                <w:rFonts w:eastAsia="Times New Roman"/>
                <w:sz w:val="20"/>
                <w:szCs w:val="20"/>
              </w:rPr>
            </w:pPr>
          </w:p>
        </w:tc>
        <w:tc>
          <w:tcPr>
            <w:tcW w:w="20" w:type="dxa"/>
            <w:vAlign w:val="center"/>
            <w:hideMark/>
          </w:tcPr>
          <w:p w:rsidR="00000000" w:rsidRDefault="008C69C0">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divId w:val="1808888340"/>
              <w:rPr>
                <w:rFonts w:eastAsia="Times New Roman"/>
              </w:rPr>
            </w:pPr>
            <w:r>
              <w:rPr>
                <w:rFonts w:eastAsia="Times New Roman"/>
                <w:color w:val="000000"/>
                <w:sz w:val="20"/>
                <w:szCs w:val="20"/>
              </w:rPr>
              <w:t>Remainder of 2021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251</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2022</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502,574</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19,219</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816,020</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280,615</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4,192,080</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8C69C0">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5,810,759</w:t>
            </w:r>
          </w:p>
        </w:tc>
      </w:tr>
    </w:tbl>
    <w:p w:rsidR="00000000" w:rsidRDefault="008C69C0">
      <w:pPr>
        <w:ind w:firstLine="720"/>
        <w:jc w:val="both"/>
        <w:divId w:val="589972435"/>
        <w:rPr>
          <w:rFonts w:eastAsia="Times New Roman"/>
        </w:rPr>
      </w:pPr>
      <w:r>
        <w:rPr>
          <w:rFonts w:eastAsia="Times New Roman"/>
          <w:color w:val="000000"/>
          <w:sz w:val="20"/>
          <w:szCs w:val="20"/>
        </w:rPr>
        <w:t>On January </w:t>
      </w:r>
      <w:r>
        <w:rPr>
          <w:rFonts w:eastAsia="Times New Roman"/>
          <w:color w:val="000000"/>
          <w:sz w:val="20"/>
          <w:szCs w:val="20"/>
        </w:rPr>
        <w:t>19, 2021, we completed a public offering of $500 million aggregate principal amount of senior notes bearing interest at an annual rate of 0.875% and maturing on February 15, 2026. On April 23, 2021, we completed a public offering of $700 million, $650 mill</w:t>
      </w:r>
      <w:r>
        <w:rPr>
          <w:rFonts w:eastAsia="Times New Roman"/>
          <w:color w:val="000000"/>
          <w:sz w:val="20"/>
          <w:szCs w:val="20"/>
        </w:rPr>
        <w:t>ion and $650 million aggregate principal amount of senior notes bearing interest at an annual rate of SOFR + 0.47%, 1.85% and 2.30%, respectively, and maturing on April 23, 2024, May 1, 2028 and May 1, 2031, respectively. On September 9, 2021, we completed</w:t>
      </w:r>
      <w:r>
        <w:rPr>
          <w:rFonts w:eastAsia="Times New Roman"/>
          <w:color w:val="000000"/>
          <w:sz w:val="20"/>
          <w:szCs w:val="20"/>
        </w:rPr>
        <w:t xml:space="preserve"> a public offering of €700.0 million aggregate principal amount of senior notes bearing interest at an annual rate of 0.500% and maturing on September 9, 2030.</w:t>
      </w:r>
    </w:p>
    <w:p w:rsidR="00000000" w:rsidRDefault="008C69C0">
      <w:pPr>
        <w:ind w:firstLine="720"/>
        <w:jc w:val="both"/>
        <w:divId w:val="304165691"/>
        <w:rPr>
          <w:rFonts w:eastAsia="Times New Roman"/>
        </w:rPr>
      </w:pPr>
      <w:r>
        <w:rPr>
          <w:rFonts w:eastAsia="Times New Roman"/>
          <w:color w:val="000000"/>
          <w:sz w:val="20"/>
          <w:szCs w:val="20"/>
        </w:rPr>
        <w:t>Our debt is well-laddered and we plan to refinance our 2022 unsecured notes when it comes due in</w:t>
      </w:r>
      <w:r>
        <w:rPr>
          <w:rFonts w:eastAsia="Times New Roman"/>
          <w:color w:val="000000"/>
          <w:sz w:val="20"/>
          <w:szCs w:val="20"/>
        </w:rPr>
        <w:t xml:space="preserve"> September 2022.</w:t>
      </w:r>
    </w:p>
    <w:p w:rsidR="00000000" w:rsidRDefault="008C69C0">
      <w:pPr>
        <w:ind w:firstLine="720"/>
        <w:jc w:val="both"/>
        <w:divId w:val="1704284193"/>
        <w:rPr>
          <w:rFonts w:eastAsia="Times New Roman"/>
        </w:rPr>
      </w:pPr>
      <w:r>
        <w:rPr>
          <w:rFonts w:eastAsia="Times New Roman"/>
          <w:b/>
          <w:bCs/>
          <w:i/>
          <w:iCs/>
          <w:color w:val="000000"/>
          <w:sz w:val="20"/>
          <w:szCs w:val="20"/>
        </w:rPr>
        <w:t>Capital Expenditure Requirements:</w:t>
      </w:r>
      <w:r>
        <w:rPr>
          <w:rFonts w:eastAsia="Times New Roman"/>
          <w:color w:val="000000"/>
          <w:sz w:val="20"/>
          <w:szCs w:val="20"/>
        </w:rPr>
        <w:t xml:space="preserve"> Capital expenditures include general maintenance, major repairs or replacements to elements of our facilities to keep our facilities in good operating condition and maintain their visual appeal. Capital ex</w:t>
      </w:r>
      <w:r>
        <w:rPr>
          <w:rFonts w:eastAsia="Times New Roman"/>
          <w:color w:val="000000"/>
          <w:sz w:val="20"/>
          <w:szCs w:val="20"/>
        </w:rPr>
        <w:t xml:space="preserve">penditures do not include costs relating to the development of new facilities or redevelopment of existing facilities to increase their available rentable square footage. </w:t>
      </w:r>
    </w:p>
    <w:p w:rsidR="00000000" w:rsidRDefault="008C69C0">
      <w:pPr>
        <w:ind w:firstLine="720"/>
        <w:jc w:val="both"/>
        <w:divId w:val="665280907"/>
        <w:rPr>
          <w:rFonts w:eastAsia="Times New Roman"/>
        </w:rPr>
      </w:pPr>
      <w:r>
        <w:rPr>
          <w:rFonts w:eastAsia="Times New Roman"/>
          <w:color w:val="000000"/>
          <w:sz w:val="20"/>
          <w:szCs w:val="20"/>
        </w:rPr>
        <w:t>Capital expenditures totaled $177.6 million in the first nine months of 2021, and ar</w:t>
      </w:r>
      <w:r>
        <w:rPr>
          <w:rFonts w:eastAsia="Times New Roman"/>
          <w:color w:val="000000"/>
          <w:sz w:val="20"/>
          <w:szCs w:val="20"/>
        </w:rPr>
        <w:t>e expected to approximate $250.0 million for the year ending December 31, 2021. In addition to standard capital repairs of building elements reaching the end of their useful lives, our capital expenditures in recent years have included incremental expendit</w:t>
      </w:r>
      <w:r>
        <w:rPr>
          <w:rFonts w:eastAsia="Times New Roman"/>
          <w:color w:val="000000"/>
          <w:sz w:val="20"/>
          <w:szCs w:val="20"/>
        </w:rPr>
        <w:t>ures to enhance the competitive position of certain of our facilities relative to local competitors pursuant to a multi-year program. Such investments include development of more pronounced, attractive, and clearly identifiable color schemes and signage, u</w:t>
      </w:r>
      <w:r>
        <w:rPr>
          <w:rFonts w:eastAsia="Times New Roman"/>
          <w:color w:val="000000"/>
          <w:sz w:val="20"/>
          <w:szCs w:val="20"/>
        </w:rPr>
        <w:t>pgrades to the configuration and layout of the offices and other customer zones to improve the customer experience. We expect to spend approximately $120 million in 2021 on this effort. In addition, we have made investments in LED lighting and the installa</w:t>
      </w:r>
      <w:r>
        <w:rPr>
          <w:rFonts w:eastAsia="Times New Roman"/>
          <w:color w:val="000000"/>
          <w:sz w:val="20"/>
          <w:szCs w:val="20"/>
        </w:rPr>
        <w:t>tion of solar panels, which are expected to approximate $36 million for the year ending December 31, 2021.</w:t>
      </w:r>
    </w:p>
    <w:p w:rsidR="00000000" w:rsidRDefault="008C69C0">
      <w:pPr>
        <w:ind w:firstLine="720"/>
        <w:jc w:val="both"/>
        <w:divId w:val="600451504"/>
        <w:rPr>
          <w:rFonts w:eastAsia="Times New Roman"/>
        </w:rPr>
      </w:pPr>
      <w:r>
        <w:rPr>
          <w:rFonts w:eastAsia="Times New Roman"/>
          <w:color w:val="000000"/>
          <w:sz w:val="20"/>
          <w:szCs w:val="20"/>
        </w:rPr>
        <w:t>We believe that these incremental investments improve customer satisfaction, the attractiveness and competitiveness of our facilities to new and exis</w:t>
      </w:r>
      <w:r>
        <w:rPr>
          <w:rFonts w:eastAsia="Times New Roman"/>
          <w:color w:val="000000"/>
          <w:sz w:val="20"/>
          <w:szCs w:val="20"/>
        </w:rPr>
        <w:t xml:space="preserve">ting customers and, in the case of LED lighting and solar panels, reduce operating costs. </w:t>
      </w:r>
    </w:p>
    <w:p w:rsidR="00000000" w:rsidRDefault="008C69C0">
      <w:pPr>
        <w:ind w:firstLine="720"/>
        <w:jc w:val="both"/>
        <w:divId w:val="1512640664"/>
        <w:rPr>
          <w:rFonts w:eastAsia="Times New Roman"/>
        </w:rPr>
      </w:pPr>
      <w:r>
        <w:rPr>
          <w:rFonts w:eastAsia="Times New Roman"/>
          <w:b/>
          <w:bCs/>
          <w:i/>
          <w:iCs/>
          <w:color w:val="000000"/>
          <w:sz w:val="20"/>
          <w:szCs w:val="20"/>
        </w:rPr>
        <w:t>Requirement to Pay Distributions:</w:t>
      </w:r>
      <w:r>
        <w:rPr>
          <w:rFonts w:eastAsia="Times New Roman"/>
          <w:color w:val="000000"/>
          <w:sz w:val="20"/>
          <w:szCs w:val="20"/>
        </w:rPr>
        <w:t xml:space="preserve"> For all periods presented herein, we have elected to be treated as a REIT, as defined in the Code. For each taxable year in which w</w:t>
      </w:r>
      <w:r>
        <w:rPr>
          <w:rFonts w:eastAsia="Times New Roman"/>
          <w:color w:val="000000"/>
          <w:sz w:val="20"/>
          <w:szCs w:val="20"/>
        </w:rPr>
        <w:t>e qualify for taxation as a REIT, we will not be subject to U.S. federal corporate income tax on our “REIT taxable income” (generally, taxable income subject to specified adjustments, including a deduction for dividends paid and excluding our net capital g</w:t>
      </w:r>
      <w:r>
        <w:rPr>
          <w:rFonts w:eastAsia="Times New Roman"/>
          <w:color w:val="000000"/>
          <w:sz w:val="20"/>
          <w:szCs w:val="20"/>
        </w:rPr>
        <w:t>ain) that is distributed to our shareholders. We believe we have met these requirements in all periods presented herein, and we expect to continue to qualify as a REIT.</w:t>
      </w:r>
      <w:r>
        <w:rPr>
          <w:rFonts w:eastAsia="Times New Roman"/>
          <w:color w:val="000000"/>
        </w:rPr>
        <w:t xml:space="preserve"> </w:t>
      </w:r>
    </w:p>
    <w:p w:rsidR="00000000" w:rsidRDefault="008C69C0">
      <w:pPr>
        <w:ind w:firstLine="720"/>
        <w:jc w:val="both"/>
        <w:divId w:val="549920810"/>
        <w:rPr>
          <w:rFonts w:eastAsia="Times New Roman"/>
        </w:rPr>
      </w:pPr>
      <w:r>
        <w:rPr>
          <w:rFonts w:eastAsia="Times New Roman"/>
          <w:color w:val="000000"/>
          <w:sz w:val="20"/>
          <w:szCs w:val="20"/>
        </w:rPr>
        <w:t>On October 27, 2021, our Board declared a regular common quarterly dividend of $2.00 p</w:t>
      </w:r>
      <w:r>
        <w:rPr>
          <w:rFonts w:eastAsia="Times New Roman"/>
          <w:color w:val="000000"/>
          <w:sz w:val="20"/>
          <w:szCs w:val="20"/>
        </w:rPr>
        <w:t xml:space="preserve">er common share totaling approximately $350 million, which will be paid at the end of December 2021. Our consistent, long-term dividend policy has been to distribute our taxable income. Future quarterly distributions with respect to the common shares will </w:t>
      </w:r>
      <w:r>
        <w:rPr>
          <w:rFonts w:eastAsia="Times New Roman"/>
          <w:color w:val="000000"/>
          <w:sz w:val="20"/>
          <w:szCs w:val="20"/>
        </w:rPr>
        <w:t xml:space="preserve">continue to be determined based upon our REIT distribution requirements after taking into consideration distributions to the preferred shareholders and will be funded with cash flows from operating activities. </w:t>
      </w:r>
    </w:p>
    <w:p w:rsidR="00000000" w:rsidRDefault="008C69C0">
      <w:pPr>
        <w:ind w:firstLine="720"/>
        <w:jc w:val="both"/>
        <w:divId w:val="2026859772"/>
        <w:rPr>
          <w:rFonts w:eastAsia="Times New Roman"/>
        </w:rPr>
      </w:pPr>
      <w:r>
        <w:rPr>
          <w:rFonts w:eastAsia="Times New Roman"/>
          <w:color w:val="000000"/>
          <w:sz w:val="20"/>
          <w:szCs w:val="20"/>
        </w:rPr>
        <w:t>The annual distribution requirement with resp</w:t>
      </w:r>
      <w:r>
        <w:rPr>
          <w:rFonts w:eastAsia="Times New Roman"/>
          <w:color w:val="000000"/>
          <w:sz w:val="20"/>
          <w:szCs w:val="20"/>
        </w:rPr>
        <w:t xml:space="preserve">ect to our Preferred Shares outstanding at September 30, 2021 is approximately $184.2 million per year. </w:t>
      </w:r>
    </w:p>
    <w:p w:rsidR="00000000" w:rsidRDefault="008C69C0">
      <w:pPr>
        <w:ind w:firstLine="720"/>
        <w:jc w:val="both"/>
        <w:divId w:val="385181361"/>
        <w:rPr>
          <w:rFonts w:eastAsia="Times New Roman"/>
        </w:rPr>
      </w:pPr>
      <w:r>
        <w:rPr>
          <w:rFonts w:eastAsia="Times New Roman"/>
          <w:color w:val="000000"/>
          <w:sz w:val="20"/>
          <w:szCs w:val="20"/>
        </w:rPr>
        <w:t xml:space="preserve">We estimate we will pay approximately $6.2 million per year in distributions to noncontrolling interests outstanding at September 30, 2021. </w:t>
      </w:r>
    </w:p>
    <w:p w:rsidR="00000000" w:rsidRDefault="008C69C0">
      <w:pPr>
        <w:ind w:firstLine="720"/>
        <w:jc w:val="both"/>
        <w:divId w:val="1098335021"/>
        <w:rPr>
          <w:rFonts w:eastAsia="Times New Roman"/>
        </w:rPr>
      </w:pPr>
      <w:r>
        <w:rPr>
          <w:rFonts w:eastAsia="Times New Roman"/>
          <w:b/>
          <w:bCs/>
          <w:i/>
          <w:iCs/>
          <w:color w:val="000000"/>
          <w:sz w:val="20"/>
          <w:szCs w:val="20"/>
        </w:rPr>
        <w:t>Real Estat</w:t>
      </w:r>
      <w:r>
        <w:rPr>
          <w:rFonts w:eastAsia="Times New Roman"/>
          <w:b/>
          <w:bCs/>
          <w:i/>
          <w:iCs/>
          <w:color w:val="000000"/>
          <w:sz w:val="20"/>
          <w:szCs w:val="20"/>
        </w:rPr>
        <w:t>e Investment Activities:</w:t>
      </w:r>
      <w:r>
        <w:rPr>
          <w:rFonts w:eastAsia="Times New Roman"/>
          <w:b/>
          <w:bCs/>
          <w:color w:val="000000"/>
          <w:sz w:val="20"/>
          <w:szCs w:val="20"/>
        </w:rPr>
        <w:t xml:space="preserve"> </w:t>
      </w:r>
      <w:r>
        <w:rPr>
          <w:rFonts w:eastAsia="Times New Roman"/>
          <w:color w:val="000000"/>
          <w:sz w:val="20"/>
          <w:szCs w:val="20"/>
        </w:rPr>
        <w:t xml:space="preserve">We continue to seek to acquire additional self-storage facilities from third parties. Subsequent to September 30, 2021, we acquired or were under contract to acquire 107 self-storage facilities for a </w:t>
      </w:r>
    </w:p>
    <w:p w:rsidR="00000000" w:rsidRDefault="008C69C0">
      <w:pPr>
        <w:jc w:val="center"/>
        <w:divId w:val="890968935"/>
        <w:rPr>
          <w:rFonts w:eastAsia="Times New Roman"/>
        </w:rPr>
      </w:pPr>
      <w:r>
        <w:rPr>
          <w:rFonts w:eastAsia="Times New Roman"/>
          <w:color w:val="000000"/>
          <w:sz w:val="20"/>
          <w:szCs w:val="20"/>
        </w:rPr>
        <w:t>57</w:t>
      </w:r>
    </w:p>
    <w:p w:rsidR="00000000" w:rsidRDefault="008C69C0">
      <w:pPr>
        <w:rPr>
          <w:rFonts w:eastAsia="Times New Roman"/>
        </w:rPr>
      </w:pPr>
      <w:r>
        <w:rPr>
          <w:rFonts w:eastAsia="Times New Roman"/>
        </w:rPr>
        <w:pict>
          <v:rect id="_x0000_i1083" style="width:0;height:1.5pt" o:hralign="center" o:hrstd="t" o:hr="t" fillcolor="#a0a0a0" stroked="f"/>
        </w:pict>
      </w:r>
    </w:p>
    <w:p w:rsidR="00000000" w:rsidRDefault="008C69C0">
      <w:pPr>
        <w:divId w:val="1530341242"/>
        <w:rPr>
          <w:rFonts w:eastAsia="Times New Roman"/>
        </w:rPr>
      </w:pPr>
    </w:p>
    <w:p w:rsidR="00000000" w:rsidRDefault="008C69C0">
      <w:pPr>
        <w:jc w:val="both"/>
        <w:divId w:val="1431118372"/>
        <w:rPr>
          <w:rFonts w:eastAsia="Times New Roman"/>
        </w:rPr>
      </w:pPr>
      <w:r>
        <w:rPr>
          <w:rFonts w:eastAsia="Times New Roman"/>
          <w:color w:val="000000"/>
          <w:sz w:val="20"/>
          <w:szCs w:val="20"/>
        </w:rPr>
        <w:t xml:space="preserve">total purchase price of $2.3 billion. 10 of these properties are under construction and expected to close as they are completed in the remainder of 2021 and 2022. </w:t>
      </w:r>
    </w:p>
    <w:p w:rsidR="00000000" w:rsidRDefault="008C69C0">
      <w:pPr>
        <w:ind w:firstLine="720"/>
        <w:jc w:val="both"/>
        <w:divId w:val="1071152230"/>
        <w:rPr>
          <w:rFonts w:eastAsia="Times New Roman"/>
        </w:rPr>
      </w:pPr>
      <w:r>
        <w:rPr>
          <w:rFonts w:eastAsia="Times New Roman"/>
          <w:color w:val="000000"/>
          <w:sz w:val="20"/>
          <w:szCs w:val="20"/>
        </w:rPr>
        <w:t>We are actively seeking to acquire additional facilities. However, future acquisition volume will depend upon whether additional owners will be motivated to market their facilities, which will in turn depend upon factors such as economic conditions and the</w:t>
      </w:r>
      <w:r>
        <w:rPr>
          <w:rFonts w:eastAsia="Times New Roman"/>
          <w:color w:val="000000"/>
          <w:sz w:val="20"/>
          <w:szCs w:val="20"/>
        </w:rPr>
        <w:t xml:space="preserve"> level of seller confidence. </w:t>
      </w:r>
    </w:p>
    <w:p w:rsidR="00000000" w:rsidRDefault="008C69C0">
      <w:pPr>
        <w:ind w:firstLine="720"/>
        <w:jc w:val="both"/>
        <w:divId w:val="232743572"/>
        <w:rPr>
          <w:rFonts w:eastAsia="Times New Roman"/>
        </w:rPr>
      </w:pPr>
      <w:r>
        <w:rPr>
          <w:rFonts w:eastAsia="Times New Roman"/>
          <w:color w:val="000000"/>
          <w:sz w:val="20"/>
          <w:szCs w:val="20"/>
        </w:rPr>
        <w:t>As of September 30, 2021, we had development and expansion projects at a total cost of approximately $730.6 million. Costs incurred through September 30, 2021 were $228.4 million, with the remaining cost to complete of $502.2 </w:t>
      </w:r>
      <w:r>
        <w:rPr>
          <w:rFonts w:eastAsia="Times New Roman"/>
          <w:color w:val="000000"/>
          <w:sz w:val="20"/>
          <w:szCs w:val="20"/>
        </w:rPr>
        <w:t>million expected to be incurred primarily in the next 18 to 24 months. Some of these projects are subject to contingencies such as entitlement approval. We expect to continue to seek to add projects to maintain and increase our robust pipeline. Our ability</w:t>
      </w:r>
      <w:r>
        <w:rPr>
          <w:rFonts w:eastAsia="Times New Roman"/>
          <w:color w:val="000000"/>
          <w:sz w:val="20"/>
          <w:szCs w:val="20"/>
        </w:rPr>
        <w:t xml:space="preserve"> to do so continues to be challenged by various constraints such as difficulty in finding projects that meet our risk-adjusted yield expectations, and challenges in obtaining building permits for self-storage facilities in certain municipalities.</w:t>
      </w:r>
    </w:p>
    <w:p w:rsidR="00000000" w:rsidRDefault="008C69C0">
      <w:pPr>
        <w:ind w:firstLine="720"/>
        <w:jc w:val="both"/>
        <w:divId w:val="1693998312"/>
        <w:rPr>
          <w:rFonts w:eastAsia="Times New Roman"/>
        </w:rPr>
      </w:pPr>
      <w:r>
        <w:rPr>
          <w:rFonts w:eastAsia="Times New Roman"/>
          <w:b/>
          <w:bCs/>
          <w:i/>
          <w:iCs/>
          <w:color w:val="000000"/>
          <w:sz w:val="20"/>
          <w:szCs w:val="20"/>
        </w:rPr>
        <w:t>Redemptio</w:t>
      </w:r>
      <w:r>
        <w:rPr>
          <w:rFonts w:eastAsia="Times New Roman"/>
          <w:b/>
          <w:bCs/>
          <w:i/>
          <w:iCs/>
          <w:color w:val="000000"/>
          <w:sz w:val="20"/>
          <w:szCs w:val="20"/>
        </w:rPr>
        <w:t>n of Preferred Securities</w:t>
      </w:r>
      <w:r>
        <w:rPr>
          <w:rFonts w:eastAsia="Times New Roman"/>
          <w:color w:val="000000"/>
          <w:sz w:val="20"/>
          <w:szCs w:val="20"/>
        </w:rPr>
        <w:t>: Historically, we have taken advantage of refinancing higher coupon preferred securities with lower coupon preferred securities. In the future, we may also elect to finance the redemption of preferred securities with proceeds from</w:t>
      </w:r>
      <w:r>
        <w:rPr>
          <w:rFonts w:eastAsia="Times New Roman"/>
          <w:color w:val="000000"/>
          <w:sz w:val="20"/>
          <w:szCs w:val="20"/>
        </w:rPr>
        <w:t xml:space="preserve"> the issuance of debt. As of November 1, 2021, our 4.900% Series E Preferred Shares ($350 million) is eligible for redemption, at our option and with 30 days’ notice. See Note 8 to our September 30, 2021 financial statements for the redemption dates of all</w:t>
      </w:r>
      <w:r>
        <w:rPr>
          <w:rFonts w:eastAsia="Times New Roman"/>
          <w:color w:val="000000"/>
          <w:sz w:val="20"/>
          <w:szCs w:val="20"/>
        </w:rPr>
        <w:t xml:space="preserve"> of our series of preferred shares. Redemption of such preferred shares will depend upon many factors, including the rate at which we could issue replacement preferred securities. None of our preferred securities are redeemable at the option of the holders</w:t>
      </w:r>
      <w:r>
        <w:rPr>
          <w:rFonts w:eastAsia="Times New Roman"/>
          <w:color w:val="000000"/>
          <w:sz w:val="20"/>
          <w:szCs w:val="20"/>
        </w:rPr>
        <w:t xml:space="preserve">. </w:t>
      </w:r>
    </w:p>
    <w:p w:rsidR="00000000" w:rsidRDefault="008C69C0">
      <w:pPr>
        <w:ind w:firstLine="720"/>
        <w:jc w:val="both"/>
        <w:divId w:val="1370494824"/>
        <w:rPr>
          <w:rFonts w:eastAsia="Times New Roman"/>
        </w:rPr>
      </w:pPr>
      <w:r>
        <w:rPr>
          <w:rFonts w:eastAsia="Times New Roman"/>
          <w:b/>
          <w:bCs/>
          <w:i/>
          <w:iCs/>
          <w:color w:val="000000"/>
          <w:sz w:val="20"/>
          <w:szCs w:val="20"/>
        </w:rPr>
        <w:t>Repurchases of Common Shares</w:t>
      </w:r>
      <w:r>
        <w:rPr>
          <w:rFonts w:eastAsia="Times New Roman"/>
          <w:color w:val="000000"/>
          <w:sz w:val="20"/>
          <w:szCs w:val="20"/>
        </w:rPr>
        <w:t>: Our Board has authorized management to repurchase up to 35,000,000 of our common shares on the open market or in privately negotiated transactions. During the three months ended September 30, 2021, we did not repurchase any</w:t>
      </w:r>
      <w:r>
        <w:rPr>
          <w:rFonts w:eastAsia="Times New Roman"/>
          <w:color w:val="000000"/>
          <w:sz w:val="20"/>
          <w:szCs w:val="20"/>
        </w:rPr>
        <w:t xml:space="preserve"> of our common shares. From the inception of the repurchase program through November 1, 2021, we have repurchased a total of 23,721,916 common shares at an aggregate cost of approximately $679.1 million. Future levels of common share repurchases will be de</w:t>
      </w:r>
      <w:r>
        <w:rPr>
          <w:rFonts w:eastAsia="Times New Roman"/>
          <w:color w:val="000000"/>
          <w:sz w:val="20"/>
          <w:szCs w:val="20"/>
        </w:rPr>
        <w:t>pendent upon our available capital, investment alternatives and the trading price of our common shares.</w:t>
      </w:r>
    </w:p>
    <w:p w:rsidR="00000000" w:rsidRDefault="008C69C0">
      <w:pPr>
        <w:jc w:val="both"/>
        <w:divId w:val="2127195419"/>
        <w:rPr>
          <w:rFonts w:eastAsia="Times New Roman"/>
        </w:rPr>
      </w:pPr>
      <w:r>
        <w:rPr>
          <w:rFonts w:eastAsia="Times New Roman"/>
          <w:b/>
          <w:bCs/>
          <w:color w:val="000000"/>
          <w:sz w:val="20"/>
          <w:szCs w:val="20"/>
        </w:rPr>
        <w:t>Contractual Obligations</w:t>
      </w:r>
    </w:p>
    <w:p w:rsidR="00000000" w:rsidRDefault="008C69C0">
      <w:pPr>
        <w:ind w:firstLine="720"/>
        <w:jc w:val="both"/>
        <w:divId w:val="1493908808"/>
        <w:rPr>
          <w:rFonts w:eastAsia="Times New Roman"/>
        </w:rPr>
      </w:pPr>
      <w:r>
        <w:rPr>
          <w:rFonts w:eastAsia="Times New Roman"/>
          <w:color w:val="000000"/>
          <w:sz w:val="20"/>
          <w:szCs w:val="20"/>
        </w:rPr>
        <w:t>Our significant contractual obligations as September 30, 2021 and their impact on our cash flows and liquidity are summarized be</w:t>
      </w:r>
      <w:r>
        <w:rPr>
          <w:rFonts w:eastAsia="Times New Roman"/>
          <w:color w:val="000000"/>
          <w:sz w:val="20"/>
          <w:szCs w:val="20"/>
        </w:rPr>
        <w:t>low for the years ending December 31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1851"/>
        <w:gridCol w:w="37"/>
        <w:gridCol w:w="111"/>
        <w:gridCol w:w="751"/>
        <w:gridCol w:w="36"/>
        <w:gridCol w:w="36"/>
        <w:gridCol w:w="36"/>
        <w:gridCol w:w="36"/>
        <w:gridCol w:w="111"/>
        <w:gridCol w:w="738"/>
        <w:gridCol w:w="36"/>
        <w:gridCol w:w="36"/>
        <w:gridCol w:w="36"/>
        <w:gridCol w:w="36"/>
        <w:gridCol w:w="110"/>
        <w:gridCol w:w="618"/>
        <w:gridCol w:w="36"/>
        <w:gridCol w:w="36"/>
        <w:gridCol w:w="36"/>
        <w:gridCol w:w="36"/>
        <w:gridCol w:w="110"/>
        <w:gridCol w:w="618"/>
        <w:gridCol w:w="36"/>
        <w:gridCol w:w="36"/>
        <w:gridCol w:w="36"/>
        <w:gridCol w:w="36"/>
        <w:gridCol w:w="110"/>
        <w:gridCol w:w="618"/>
        <w:gridCol w:w="36"/>
        <w:gridCol w:w="36"/>
        <w:gridCol w:w="36"/>
        <w:gridCol w:w="36"/>
        <w:gridCol w:w="110"/>
        <w:gridCol w:w="618"/>
        <w:gridCol w:w="36"/>
        <w:gridCol w:w="36"/>
        <w:gridCol w:w="36"/>
        <w:gridCol w:w="36"/>
        <w:gridCol w:w="111"/>
        <w:gridCol w:w="743"/>
        <w:gridCol w:w="36"/>
      </w:tblGrid>
      <w:tr w:rsidR="00000000">
        <w:trPr>
          <w:divId w:val="1962228665"/>
        </w:trPr>
        <w:tc>
          <w:tcPr>
            <w:tcW w:w="50" w:type="pct"/>
            <w:vAlign w:val="center"/>
            <w:hideMark/>
          </w:tcPr>
          <w:p w:rsidR="00000000" w:rsidRDefault="008C69C0">
            <w:pPr>
              <w:ind w:firstLine="720"/>
              <w:jc w:val="both"/>
              <w:rPr>
                <w:rFonts w:eastAsia="Times New Roman"/>
              </w:rPr>
            </w:pPr>
          </w:p>
        </w:tc>
        <w:tc>
          <w:tcPr>
            <w:tcW w:w="121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96222866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 Total</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Remainder of</w:t>
            </w:r>
          </w:p>
          <w:p w:rsidR="00000000" w:rsidRDefault="008C69C0">
            <w:pPr>
              <w:spacing w:after="100"/>
              <w:jc w:val="right"/>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2022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2023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2024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2025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18"/>
                <w:szCs w:val="18"/>
              </w:rPr>
              <w:t> Thereafter</w:t>
            </w:r>
          </w:p>
        </w:tc>
      </w:tr>
      <w:tr w:rsidR="00000000">
        <w:trPr>
          <w:divId w:val="1962228665"/>
          <w:trHeight w:val="28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1962228665"/>
        </w:trPr>
        <w:tc>
          <w:tcPr>
            <w:tcW w:w="0" w:type="auto"/>
            <w:gridSpan w:val="3"/>
            <w:tcMar>
              <w:top w:w="30" w:type="dxa"/>
              <w:left w:w="80" w:type="dxa"/>
              <w:bottom w:w="30" w:type="dxa"/>
              <w:right w:w="20" w:type="dxa"/>
            </w:tcMar>
            <w:vAlign w:val="bottom"/>
            <w:hideMark/>
          </w:tcPr>
          <w:p w:rsidR="00000000" w:rsidRDefault="008C69C0">
            <w:pPr>
              <w:spacing w:after="100"/>
              <w:ind w:hanging="90"/>
              <w:rPr>
                <w:rFonts w:eastAsia="Times New Roman"/>
              </w:rPr>
            </w:pPr>
            <w:r>
              <w:rPr>
                <w:rFonts w:eastAsia="Times New Roman"/>
                <w:color w:val="000000"/>
                <w:sz w:val="18"/>
                <w:szCs w:val="18"/>
              </w:rPr>
              <w:t>Interest and principal payments on debt (1)</w:t>
            </w: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6,412,827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24,531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596,188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103,920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897,029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357,120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4,434,039</w:t>
            </w:r>
          </w:p>
        </w:tc>
      </w:tr>
      <w:tr w:rsidR="00000000">
        <w:trPr>
          <w:divId w:val="196222866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Leases commitments (2) </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66,325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668</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3,122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2,966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2,934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2,897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53,738</w:t>
            </w:r>
          </w:p>
        </w:tc>
      </w:tr>
      <w:tr w:rsidR="00000000">
        <w:trPr>
          <w:divId w:val="196222866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Construction commitments (3)</w:t>
            </w: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134,064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38,313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93,871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1,880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w:t>
            </w:r>
          </w:p>
        </w:tc>
      </w:tr>
      <w:tr w:rsidR="00000000">
        <w:trPr>
          <w:divId w:val="1962228665"/>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18"/>
                <w:szCs w:val="18"/>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6,613,216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63,512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693,181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108,766</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899,963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360,017</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18"/>
                <w:szCs w:val="18"/>
              </w:rPr>
              <w:t>4,487,777</w:t>
            </w:r>
          </w:p>
        </w:tc>
      </w:tr>
    </w:tbl>
    <w:p w:rsidR="00000000" w:rsidRDefault="008C69C0">
      <w:pPr>
        <w:ind w:hanging="360"/>
        <w:jc w:val="both"/>
        <w:divId w:val="1397819289"/>
        <w:rPr>
          <w:rFonts w:eastAsia="Times New Roman"/>
        </w:rPr>
      </w:pPr>
      <w:r>
        <w:rPr>
          <w:rFonts w:eastAsia="Times New Roman"/>
          <w:color w:val="000000"/>
          <w:sz w:val="18"/>
          <w:szCs w:val="18"/>
        </w:rPr>
        <w:t>(1)</w:t>
      </w:r>
      <w:r>
        <w:rPr>
          <w:rFonts w:eastAsia="Times New Roman"/>
          <w:color w:val="000000"/>
          <w:sz w:val="20"/>
          <w:szCs w:val="20"/>
        </w:rPr>
        <w:t>Represents contractual principal and interest payments. Amounts with respect to certain Euro-</w:t>
      </w:r>
      <w:r>
        <w:rPr>
          <w:rFonts w:eastAsia="Times New Roman"/>
          <w:color w:val="000000"/>
          <w:sz w:val="20"/>
          <w:szCs w:val="20"/>
        </w:rPr>
        <w:t xml:space="preserve">denominated debt are based upon exchange rates at September 30, 2021. See Note 6 to our September 30, 2021 financial statements for further information. </w:t>
      </w:r>
    </w:p>
    <w:p w:rsidR="00000000" w:rsidRDefault="008C69C0">
      <w:pPr>
        <w:ind w:hanging="360"/>
        <w:jc w:val="both"/>
        <w:divId w:val="14696472"/>
        <w:rPr>
          <w:rFonts w:eastAsia="Times New Roman"/>
        </w:rPr>
      </w:pPr>
      <w:r>
        <w:rPr>
          <w:rFonts w:eastAsia="Times New Roman"/>
          <w:color w:val="000000"/>
          <w:sz w:val="20"/>
          <w:szCs w:val="20"/>
        </w:rPr>
        <w:t>(2)Represents future contractual payments on land, equipment and office space under various lease comm</w:t>
      </w:r>
      <w:r>
        <w:rPr>
          <w:rFonts w:eastAsia="Times New Roman"/>
          <w:color w:val="000000"/>
          <w:sz w:val="20"/>
          <w:szCs w:val="20"/>
        </w:rPr>
        <w:t xml:space="preserve">itments. </w:t>
      </w:r>
    </w:p>
    <w:p w:rsidR="00000000" w:rsidRDefault="008C69C0">
      <w:pPr>
        <w:ind w:hanging="360"/>
        <w:jc w:val="both"/>
        <w:divId w:val="1754007641"/>
        <w:rPr>
          <w:rFonts w:eastAsia="Times New Roman"/>
        </w:rPr>
      </w:pPr>
      <w:r>
        <w:rPr>
          <w:rFonts w:eastAsia="Times New Roman"/>
          <w:color w:val="000000"/>
          <w:sz w:val="18"/>
          <w:szCs w:val="18"/>
        </w:rPr>
        <w:t>(3)</w:t>
      </w:r>
      <w:r>
        <w:rPr>
          <w:rFonts w:eastAsia="Times New Roman"/>
          <w:color w:val="000000"/>
          <w:sz w:val="20"/>
          <w:szCs w:val="20"/>
        </w:rPr>
        <w:t>Represents future expected payments for construction under contract at September 30, 2021.</w:t>
      </w:r>
    </w:p>
    <w:p w:rsidR="00000000" w:rsidRDefault="008C69C0">
      <w:pPr>
        <w:ind w:firstLine="720"/>
        <w:jc w:val="both"/>
        <w:divId w:val="1520702502"/>
        <w:rPr>
          <w:rFonts w:eastAsia="Times New Roman"/>
        </w:rPr>
      </w:pPr>
      <w:r>
        <w:rPr>
          <w:rFonts w:eastAsia="Times New Roman"/>
          <w:color w:val="000000"/>
          <w:sz w:val="20"/>
          <w:szCs w:val="20"/>
        </w:rPr>
        <w:t>The annual distribution requirement with respect to our Preferred Shares outstanding at September 30, 2021 is approximately $184.2 million per year. Div</w:t>
      </w:r>
      <w:r>
        <w:rPr>
          <w:rFonts w:eastAsia="Times New Roman"/>
          <w:color w:val="000000"/>
          <w:sz w:val="20"/>
          <w:szCs w:val="20"/>
        </w:rPr>
        <w:t xml:space="preserve">idends are paid when and if declared by our Board and accumulate if not paid. </w:t>
      </w:r>
    </w:p>
    <w:p w:rsidR="00000000" w:rsidRDefault="008C69C0">
      <w:pPr>
        <w:ind w:firstLine="720"/>
        <w:jc w:val="both"/>
        <w:divId w:val="378943511"/>
        <w:rPr>
          <w:rFonts w:eastAsia="Times New Roman"/>
        </w:rPr>
      </w:pPr>
      <w:r>
        <w:rPr>
          <w:rFonts w:eastAsia="Times New Roman"/>
          <w:b/>
          <w:bCs/>
          <w:i/>
          <w:iCs/>
          <w:color w:val="000000"/>
          <w:sz w:val="20"/>
          <w:szCs w:val="20"/>
        </w:rPr>
        <w:t>Off-Balance Sheet Arrangements</w:t>
      </w:r>
      <w:r>
        <w:rPr>
          <w:rFonts w:eastAsia="Times New Roman"/>
          <w:color w:val="000000"/>
          <w:sz w:val="20"/>
          <w:szCs w:val="20"/>
        </w:rPr>
        <w:t>: At September 30, 2021, we had no material off-balance sheet arrangements as def</w:t>
      </w:r>
      <w:r>
        <w:rPr>
          <w:rFonts w:eastAsia="Times New Roman"/>
          <w:color w:val="000000"/>
          <w:sz w:val="20"/>
          <w:szCs w:val="20"/>
        </w:rPr>
        <w:t>ined under Regulation S-K 303(a)(4) and the instructions thereto.</w:t>
      </w:r>
    </w:p>
    <w:p w:rsidR="00000000" w:rsidRDefault="008C69C0">
      <w:pPr>
        <w:jc w:val="center"/>
        <w:divId w:val="1899778731"/>
        <w:rPr>
          <w:rFonts w:eastAsia="Times New Roman"/>
        </w:rPr>
      </w:pPr>
      <w:r>
        <w:rPr>
          <w:rFonts w:eastAsia="Times New Roman"/>
          <w:color w:val="000000"/>
          <w:sz w:val="20"/>
          <w:szCs w:val="20"/>
        </w:rPr>
        <w:t>58</w:t>
      </w:r>
    </w:p>
    <w:p w:rsidR="00000000" w:rsidRDefault="008C69C0">
      <w:pPr>
        <w:rPr>
          <w:rFonts w:eastAsia="Times New Roman"/>
        </w:rPr>
      </w:pPr>
      <w:r>
        <w:rPr>
          <w:rFonts w:eastAsia="Times New Roman"/>
        </w:rPr>
        <w:pict>
          <v:rect id="_x0000_i1084" style="width:0;height:1.5pt" o:hralign="center" o:hrstd="t" o:hr="t" fillcolor="#a0a0a0" stroked="f"/>
        </w:pict>
      </w:r>
    </w:p>
    <w:p w:rsidR="00000000" w:rsidRDefault="008C69C0">
      <w:pPr>
        <w:divId w:val="529683017"/>
        <w:rPr>
          <w:rFonts w:eastAsia="Times New Roman"/>
        </w:rPr>
      </w:pPr>
    </w:p>
    <w:p w:rsidR="00000000" w:rsidRDefault="008C69C0">
      <w:pPr>
        <w:jc w:val="both"/>
        <w:divId w:val="518008176"/>
        <w:rPr>
          <w:rFonts w:eastAsia="Times New Roman"/>
        </w:rPr>
      </w:pPr>
      <w:r>
        <w:rPr>
          <w:rFonts w:eastAsia="Times New Roman"/>
          <w:b/>
          <w:bCs/>
          <w:color w:val="000000"/>
          <w:sz w:val="20"/>
          <w:szCs w:val="20"/>
          <w:u w:val="single"/>
        </w:rPr>
        <w:t>ITEM 3.</w:t>
      </w:r>
      <w:r>
        <w:rPr>
          <w:rFonts w:eastAsia="Times New Roman"/>
          <w:b/>
          <w:bCs/>
          <w:color w:val="000000"/>
          <w:sz w:val="20"/>
          <w:szCs w:val="20"/>
        </w:rPr>
        <w:t xml:space="preserve"> </w:t>
      </w:r>
      <w:r>
        <w:rPr>
          <w:rFonts w:eastAsia="Times New Roman"/>
          <w:b/>
          <w:bCs/>
          <w:color w:val="000000"/>
          <w:sz w:val="20"/>
          <w:szCs w:val="20"/>
          <w:u w:val="single"/>
        </w:rPr>
        <w:t>Quantitative and Qualitative Disclosures about Market Risk</w:t>
      </w:r>
    </w:p>
    <w:p w:rsidR="00000000" w:rsidRDefault="008C69C0">
      <w:pPr>
        <w:ind w:firstLine="720"/>
        <w:jc w:val="both"/>
        <w:divId w:val="773014145"/>
        <w:rPr>
          <w:rFonts w:eastAsia="Times New Roman"/>
        </w:rPr>
      </w:pPr>
      <w:r>
        <w:rPr>
          <w:rFonts w:eastAsia="Times New Roman"/>
          <w:color w:val="000000"/>
          <w:sz w:val="20"/>
          <w:szCs w:val="20"/>
        </w:rPr>
        <w:t>To limit our exposure to market risk, we are capitalized primarily with preferred</w:t>
      </w:r>
      <w:r>
        <w:rPr>
          <w:rFonts w:eastAsia="Times New Roman"/>
          <w:color w:val="000000"/>
          <w:sz w:val="20"/>
          <w:szCs w:val="20"/>
        </w:rPr>
        <w:t xml:space="preserve"> and common equity. Our preferred shares are redeemable at our option generally five years after issuance, but the holder has no redemption option. Our debt is our only market-risk sensitive portion of our capital structure, which totals approximately $5.8</w:t>
      </w:r>
      <w:r>
        <w:rPr>
          <w:rFonts w:eastAsia="Times New Roman"/>
          <w:color w:val="000000"/>
          <w:sz w:val="20"/>
          <w:szCs w:val="20"/>
        </w:rPr>
        <w:t xml:space="preserve"> billion and represents 64.0% of the book value of our equity at September 30, 2021. </w:t>
      </w:r>
    </w:p>
    <w:p w:rsidR="00000000" w:rsidRDefault="008C69C0">
      <w:pPr>
        <w:ind w:firstLine="720"/>
        <w:jc w:val="both"/>
        <w:divId w:val="1548227381"/>
        <w:rPr>
          <w:rFonts w:eastAsia="Times New Roman"/>
        </w:rPr>
      </w:pPr>
      <w:r>
        <w:rPr>
          <w:rFonts w:eastAsia="Times New Roman"/>
          <w:color w:val="000000"/>
          <w:sz w:val="20"/>
          <w:szCs w:val="20"/>
        </w:rPr>
        <w:t>The fair value of our debt at September 30, 2021 is approximately $5.9 billion. The table below summarizes the annual maturities of our debt, which had a weighted average</w:t>
      </w:r>
      <w:r>
        <w:rPr>
          <w:rFonts w:eastAsia="Times New Roman"/>
          <w:color w:val="000000"/>
          <w:sz w:val="20"/>
          <w:szCs w:val="20"/>
        </w:rPr>
        <w:t xml:space="preserve"> effective rate of 1.8% at September 30, 2021. See Note 6 to our September 30, 2021 financial statements for further information regarding our debt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9"/>
        <w:gridCol w:w="561"/>
        <w:gridCol w:w="36"/>
        <w:gridCol w:w="36"/>
        <w:gridCol w:w="36"/>
        <w:gridCol w:w="36"/>
        <w:gridCol w:w="121"/>
        <w:gridCol w:w="836"/>
        <w:gridCol w:w="36"/>
        <w:gridCol w:w="36"/>
        <w:gridCol w:w="36"/>
        <w:gridCol w:w="36"/>
        <w:gridCol w:w="121"/>
        <w:gridCol w:w="818"/>
        <w:gridCol w:w="36"/>
        <w:gridCol w:w="36"/>
        <w:gridCol w:w="36"/>
        <w:gridCol w:w="36"/>
        <w:gridCol w:w="121"/>
        <w:gridCol w:w="826"/>
        <w:gridCol w:w="36"/>
        <w:gridCol w:w="36"/>
        <w:gridCol w:w="36"/>
        <w:gridCol w:w="36"/>
        <w:gridCol w:w="121"/>
        <w:gridCol w:w="826"/>
        <w:gridCol w:w="36"/>
        <w:gridCol w:w="36"/>
        <w:gridCol w:w="36"/>
        <w:gridCol w:w="36"/>
        <w:gridCol w:w="121"/>
        <w:gridCol w:w="827"/>
        <w:gridCol w:w="36"/>
        <w:gridCol w:w="36"/>
        <w:gridCol w:w="36"/>
        <w:gridCol w:w="36"/>
        <w:gridCol w:w="121"/>
        <w:gridCol w:w="840"/>
        <w:gridCol w:w="36"/>
        <w:gridCol w:w="36"/>
        <w:gridCol w:w="36"/>
        <w:gridCol w:w="36"/>
        <w:gridCol w:w="121"/>
        <w:gridCol w:w="832"/>
        <w:gridCol w:w="36"/>
      </w:tblGrid>
      <w:tr w:rsidR="00000000">
        <w:trPr>
          <w:divId w:val="875851453"/>
        </w:trPr>
        <w:tc>
          <w:tcPr>
            <w:tcW w:w="50" w:type="pct"/>
            <w:vAlign w:val="center"/>
            <w:hideMark/>
          </w:tcPr>
          <w:p w:rsidR="00000000" w:rsidRDefault="008C69C0">
            <w:pPr>
              <w:ind w:firstLine="720"/>
              <w:jc w:val="both"/>
              <w:rPr>
                <w:rFonts w:eastAsia="Times New Roman"/>
              </w:rPr>
            </w:pPr>
          </w:p>
        </w:tc>
        <w:tc>
          <w:tcPr>
            <w:tcW w:w="38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8"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2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55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875851453"/>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Remainder of</w:t>
            </w:r>
          </w:p>
          <w:p w:rsidR="00000000" w:rsidRDefault="008C69C0">
            <w:pPr>
              <w:spacing w:after="100"/>
              <w:jc w:val="right"/>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Thereafter</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C69C0">
            <w:pPr>
              <w:spacing w:after="100"/>
              <w:jc w:val="right"/>
              <w:rPr>
                <w:rFonts w:eastAsia="Times New Roman"/>
              </w:rPr>
            </w:pPr>
            <w:r>
              <w:rPr>
                <w:rFonts w:eastAsia="Times New Roman"/>
                <w:color w:val="000000"/>
                <w:sz w:val="20"/>
                <w:szCs w:val="20"/>
              </w:rPr>
              <w:t> Total</w:t>
            </w:r>
          </w:p>
        </w:tc>
      </w:tr>
      <w:tr w:rsidR="00000000">
        <w:trPr>
          <w:divId w:val="875851453"/>
          <w:trHeight w:val="120"/>
        </w:trPr>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875851453"/>
        </w:trPr>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Debt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251</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502,574</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816,020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280,615</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4,192,080</w:t>
            </w:r>
          </w:p>
        </w:tc>
        <w:tc>
          <w:tcPr>
            <w:tcW w:w="0" w:type="auto"/>
            <w:gridSpan w:val="3"/>
            <w:tcMar>
              <w:top w:w="0" w:type="dxa"/>
              <w:left w:w="20" w:type="dxa"/>
              <w:bottom w:w="0" w:type="dxa"/>
              <w:right w:w="20" w:type="dxa"/>
            </w:tcMar>
            <w:vAlign w:val="center"/>
            <w:hideMark/>
          </w:tcPr>
          <w:p w:rsidR="00000000" w:rsidRDefault="008C69C0">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8C69C0">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8C69C0">
            <w:pPr>
              <w:spacing w:after="100"/>
              <w:jc w:val="right"/>
              <w:rPr>
                <w:rFonts w:eastAsia="Times New Roman"/>
              </w:rPr>
            </w:pPr>
            <w:r>
              <w:rPr>
                <w:rFonts w:eastAsia="Times New Roman"/>
                <w:color w:val="000000"/>
                <w:sz w:val="20"/>
                <w:szCs w:val="20"/>
              </w:rPr>
              <w:t>5,810,759</w:t>
            </w:r>
          </w:p>
        </w:tc>
      </w:tr>
    </w:tbl>
    <w:p w:rsidR="00000000" w:rsidRDefault="008C69C0">
      <w:pPr>
        <w:ind w:firstLine="720"/>
        <w:jc w:val="both"/>
        <w:divId w:val="1722244834"/>
        <w:rPr>
          <w:rFonts w:eastAsia="Times New Roman"/>
        </w:rPr>
      </w:pPr>
      <w:r>
        <w:rPr>
          <w:rFonts w:eastAsia="Times New Roman"/>
          <w:color w:val="000000"/>
          <w:sz w:val="20"/>
          <w:szCs w:val="20"/>
        </w:rPr>
        <w:t>We have foreign currency exposure at September 30, 2021 related to (i) our investment in Shurgard, with</w:t>
      </w:r>
      <w:r>
        <w:rPr>
          <w:rFonts w:eastAsia="Times New Roman"/>
          <w:color w:val="000000"/>
          <w:sz w:val="20"/>
          <w:szCs w:val="20"/>
        </w:rPr>
        <w:t xml:space="preserve"> a book value of $327.9 million, and a fair value of $1.7 billion based upon the closing price of Shurgard’s stock on September 30, 2021, and (ii) €1.5 billion ($1.8 billion) of Euro-denominated unsecured notes payable. </w:t>
      </w:r>
    </w:p>
    <w:p w:rsidR="00000000" w:rsidRDefault="008C69C0">
      <w:pPr>
        <w:jc w:val="both"/>
        <w:divId w:val="887304760"/>
        <w:rPr>
          <w:rFonts w:eastAsia="Times New Roman"/>
        </w:rPr>
      </w:pPr>
      <w:r>
        <w:rPr>
          <w:rFonts w:eastAsia="Times New Roman"/>
          <w:b/>
          <w:bCs/>
          <w:color w:val="000000"/>
          <w:sz w:val="20"/>
          <w:szCs w:val="20"/>
          <w:u w:val="single"/>
        </w:rPr>
        <w:t>ITEM 4.</w:t>
      </w:r>
      <w:r>
        <w:rPr>
          <w:rFonts w:eastAsia="Times New Roman"/>
          <w:b/>
          <w:bCs/>
          <w:color w:val="000000"/>
          <w:sz w:val="20"/>
          <w:szCs w:val="20"/>
        </w:rPr>
        <w:t xml:space="preserve"> </w:t>
      </w:r>
      <w:r>
        <w:rPr>
          <w:rFonts w:eastAsia="Times New Roman"/>
          <w:b/>
          <w:bCs/>
          <w:color w:val="000000"/>
          <w:sz w:val="20"/>
          <w:szCs w:val="20"/>
          <w:u w:val="single"/>
        </w:rPr>
        <w:t>Controls and Procedures</w:t>
      </w:r>
    </w:p>
    <w:p w:rsidR="00000000" w:rsidRDefault="008C69C0">
      <w:pPr>
        <w:divId w:val="661468814"/>
        <w:rPr>
          <w:rFonts w:eastAsia="Times New Roman"/>
        </w:rPr>
      </w:pPr>
      <w:r>
        <w:rPr>
          <w:rFonts w:eastAsia="Times New Roman"/>
          <w:b/>
          <w:bCs/>
          <w:color w:val="000000"/>
          <w:sz w:val="20"/>
          <w:szCs w:val="20"/>
        </w:rPr>
        <w:t>Con</w:t>
      </w:r>
      <w:r>
        <w:rPr>
          <w:rFonts w:eastAsia="Times New Roman"/>
          <w:b/>
          <w:bCs/>
          <w:color w:val="000000"/>
          <w:sz w:val="20"/>
          <w:szCs w:val="20"/>
        </w:rPr>
        <w:t>clusion Regarding the Effectiveness of Disclosure Controls and Procedures</w:t>
      </w:r>
    </w:p>
    <w:p w:rsidR="00000000" w:rsidRDefault="008C69C0">
      <w:pPr>
        <w:ind w:firstLine="720"/>
        <w:jc w:val="both"/>
        <w:divId w:val="2112360071"/>
        <w:rPr>
          <w:rFonts w:eastAsia="Times New Roman"/>
        </w:rPr>
      </w:pPr>
      <w:r>
        <w:rPr>
          <w:rFonts w:eastAsia="Times New Roman"/>
          <w:color w:val="000000"/>
          <w:sz w:val="20"/>
          <w:szCs w:val="20"/>
        </w:rPr>
        <w:t>We maintain disclosure controls and procedures that are designed to ensure that information required to be disclosed in reports we file and submit under the Securities Exchange Act o</w:t>
      </w:r>
      <w:r>
        <w:rPr>
          <w:rFonts w:eastAsia="Times New Roman"/>
          <w:color w:val="000000"/>
          <w:sz w:val="20"/>
          <w:szCs w:val="20"/>
        </w:rPr>
        <w:t>f 1934, as amended (the “Exchange Act”) is recorded, processed, summarized and reported within the time periods specified in accordance with SEC guidelines and that such information is communicated to our management, including our Chief Executive Officer a</w:t>
      </w:r>
      <w:r>
        <w:rPr>
          <w:rFonts w:eastAsia="Times New Roman"/>
          <w:color w:val="000000"/>
          <w:sz w:val="20"/>
          <w:szCs w:val="20"/>
        </w:rPr>
        <w:t>nd Chief Financial Officer, to allow timely decisions regarding required disclosure based on the definition of “disclosure controls and procedures” in Rules 13a-15(e) and 15d-15(e) of the Exchange Act. In designing and evaluating the disclosure controls an</w:t>
      </w:r>
      <w:r>
        <w:rPr>
          <w:rFonts w:eastAsia="Times New Roman"/>
          <w:color w:val="000000"/>
          <w:sz w:val="20"/>
          <w:szCs w:val="20"/>
        </w:rPr>
        <w:t xml:space="preserve">d procedures, management recognized that any controls and procedures, no matter how well designed and operated, can provide only reasonable assurance of achieving the desired control objectives and management necessarily was required to apply its judgment </w:t>
      </w:r>
      <w:r>
        <w:rPr>
          <w:rFonts w:eastAsia="Times New Roman"/>
          <w:color w:val="000000"/>
          <w:sz w:val="20"/>
          <w:szCs w:val="20"/>
        </w:rPr>
        <w:t>in evaluating the cost-benefit relationship of possible controls and procedures in reaching that level of reasonable assurance. We also have investments in certain unconsolidated real estate entities and because we do not control these entities, our disclo</w:t>
      </w:r>
      <w:r>
        <w:rPr>
          <w:rFonts w:eastAsia="Times New Roman"/>
          <w:color w:val="000000"/>
          <w:sz w:val="20"/>
          <w:szCs w:val="20"/>
        </w:rPr>
        <w:t>sure controls and procedures with respect to such entities are substantially more limited than those we maintain with respect to our consolidated subsidiaries.</w:t>
      </w:r>
    </w:p>
    <w:p w:rsidR="00000000" w:rsidRDefault="008C69C0">
      <w:pPr>
        <w:ind w:firstLine="720"/>
        <w:jc w:val="both"/>
        <w:divId w:val="1363286392"/>
        <w:rPr>
          <w:rFonts w:eastAsia="Times New Roman"/>
        </w:rPr>
      </w:pPr>
      <w:r>
        <w:rPr>
          <w:rFonts w:eastAsia="Times New Roman"/>
          <w:color w:val="000000"/>
          <w:sz w:val="20"/>
          <w:szCs w:val="20"/>
        </w:rPr>
        <w:t>Under the supervision and with the participation of our management, including our Chief Executiv</w:t>
      </w:r>
      <w:r>
        <w:rPr>
          <w:rFonts w:eastAsia="Times New Roman"/>
          <w:color w:val="000000"/>
          <w:sz w:val="20"/>
          <w:szCs w:val="20"/>
        </w:rPr>
        <w:t>e Officer and Chief Financial Officer, we evaluated the effectiveness of our disclosure controls and procedures, as required by Exchange Act Rule 13a-15(b), as of the end of the period covered by this report. Based on that evaluation, our Chief Executive O</w:t>
      </w:r>
      <w:r>
        <w:rPr>
          <w:rFonts w:eastAsia="Times New Roman"/>
          <w:color w:val="000000"/>
          <w:sz w:val="20"/>
          <w:szCs w:val="20"/>
        </w:rPr>
        <w:t xml:space="preserve">fficer and Chief Financial Officer concluded that our disclosure controls and procedures were effective, at a reasonable assurance level. </w:t>
      </w:r>
    </w:p>
    <w:p w:rsidR="00000000" w:rsidRDefault="008C69C0">
      <w:pPr>
        <w:divId w:val="832792344"/>
        <w:rPr>
          <w:rFonts w:eastAsia="Times New Roman"/>
        </w:rPr>
      </w:pPr>
      <w:r>
        <w:rPr>
          <w:rFonts w:eastAsia="Times New Roman"/>
          <w:b/>
          <w:bCs/>
          <w:color w:val="000000"/>
          <w:sz w:val="20"/>
          <w:szCs w:val="20"/>
        </w:rPr>
        <w:t>Internal Control Over Financial Reporting</w:t>
      </w:r>
    </w:p>
    <w:p w:rsidR="00000000" w:rsidRDefault="008C69C0">
      <w:pPr>
        <w:ind w:firstLine="720"/>
        <w:jc w:val="both"/>
        <w:divId w:val="441535763"/>
        <w:rPr>
          <w:rFonts w:eastAsia="Times New Roman"/>
        </w:rPr>
      </w:pPr>
      <w:r>
        <w:rPr>
          <w:rFonts w:eastAsia="Times New Roman"/>
          <w:color w:val="000000"/>
          <w:sz w:val="20"/>
          <w:szCs w:val="20"/>
        </w:rPr>
        <w:t>There were no changes in our internal control over financial reporting duri</w:t>
      </w:r>
      <w:r>
        <w:rPr>
          <w:rFonts w:eastAsia="Times New Roman"/>
          <w:color w:val="000000"/>
          <w:sz w:val="20"/>
          <w:szCs w:val="20"/>
        </w:rPr>
        <w:t>ng the quarter ended September 30, 2021 that have materially affected, or are reasonably likely to materially affect, our internal control over financial reporting.</w:t>
      </w:r>
    </w:p>
    <w:p w:rsidR="00000000" w:rsidRDefault="008C69C0">
      <w:pPr>
        <w:jc w:val="center"/>
        <w:divId w:val="2124424511"/>
        <w:rPr>
          <w:rFonts w:eastAsia="Times New Roman"/>
        </w:rPr>
      </w:pPr>
      <w:r>
        <w:rPr>
          <w:rFonts w:eastAsia="Times New Roman"/>
          <w:color w:val="000000"/>
          <w:sz w:val="20"/>
          <w:szCs w:val="20"/>
        </w:rPr>
        <w:t>59</w:t>
      </w:r>
    </w:p>
    <w:p w:rsidR="00000000" w:rsidRDefault="008C69C0">
      <w:pPr>
        <w:rPr>
          <w:rFonts w:eastAsia="Times New Roman"/>
        </w:rPr>
      </w:pPr>
      <w:r>
        <w:rPr>
          <w:rFonts w:eastAsia="Times New Roman"/>
        </w:rPr>
        <w:pict>
          <v:rect id="_x0000_i1085" style="width:0;height:1.5pt" o:hralign="center" o:hrstd="t" o:hr="t" fillcolor="#a0a0a0" stroked="f"/>
        </w:pict>
      </w:r>
    </w:p>
    <w:p w:rsidR="00000000" w:rsidRDefault="008C69C0">
      <w:pPr>
        <w:divId w:val="1668047257"/>
        <w:rPr>
          <w:rFonts w:eastAsia="Times New Roman"/>
        </w:rPr>
      </w:pPr>
    </w:p>
    <w:p w:rsidR="00000000" w:rsidRDefault="008C69C0">
      <w:pPr>
        <w:divId w:val="1150905982"/>
        <w:rPr>
          <w:rFonts w:eastAsia="Times New Roman"/>
        </w:rPr>
      </w:pPr>
      <w:r>
        <w:rPr>
          <w:rFonts w:eastAsia="Times New Roman"/>
          <w:b/>
          <w:bCs/>
          <w:color w:val="000000"/>
          <w:sz w:val="20"/>
          <w:szCs w:val="20"/>
        </w:rPr>
        <w:t>Part II.        </w:t>
      </w:r>
      <w:r>
        <w:rPr>
          <w:rFonts w:eastAsia="Times New Roman"/>
          <w:b/>
          <w:bCs/>
          <w:color w:val="000000"/>
          <w:sz w:val="20"/>
          <w:szCs w:val="20"/>
          <w:u w:val="single"/>
        </w:rPr>
        <w:t>OTHER INFORMATION</w:t>
      </w:r>
    </w:p>
    <w:p w:rsidR="00000000" w:rsidRDefault="008C69C0">
      <w:pPr>
        <w:jc w:val="both"/>
        <w:divId w:val="60718166"/>
        <w:rPr>
          <w:rFonts w:eastAsia="Times New Roman"/>
        </w:rPr>
      </w:pPr>
      <w:r>
        <w:rPr>
          <w:rFonts w:eastAsia="Times New Roman"/>
          <w:b/>
          <w:bCs/>
          <w:color w:val="000000"/>
          <w:sz w:val="20"/>
          <w:szCs w:val="20"/>
        </w:rPr>
        <w:t>ITEM 1.    </w:t>
      </w:r>
      <w:r>
        <w:rPr>
          <w:rFonts w:eastAsia="Times New Roman"/>
          <w:b/>
          <w:bCs/>
          <w:color w:val="000000"/>
          <w:sz w:val="20"/>
          <w:szCs w:val="20"/>
          <w:u w:val="single"/>
        </w:rPr>
        <w:t>Legal Proceedings</w:t>
      </w:r>
    </w:p>
    <w:p w:rsidR="00000000" w:rsidRDefault="008C69C0">
      <w:pPr>
        <w:ind w:firstLine="720"/>
        <w:jc w:val="both"/>
        <w:divId w:val="420444077"/>
        <w:rPr>
          <w:rFonts w:eastAsia="Times New Roman"/>
        </w:rPr>
      </w:pPr>
      <w:r>
        <w:rPr>
          <w:rFonts w:eastAsia="Times New Roman"/>
          <w:color w:val="000000"/>
          <w:sz w:val="20"/>
          <w:szCs w:val="20"/>
        </w:rPr>
        <w:t>We are a party to various legal proceedings and subject to various claims and complaints; however, we believe that the likelihood of these contingencies re</w:t>
      </w:r>
      <w:r>
        <w:rPr>
          <w:rFonts w:eastAsia="Times New Roman"/>
          <w:color w:val="000000"/>
          <w:sz w:val="20"/>
          <w:szCs w:val="20"/>
        </w:rPr>
        <w:t>sulting in a material loss to the Company, either individually or in the aggregate, is remote.</w:t>
      </w:r>
    </w:p>
    <w:p w:rsidR="00000000" w:rsidRDefault="008C69C0">
      <w:pPr>
        <w:jc w:val="both"/>
        <w:divId w:val="1513765317"/>
        <w:rPr>
          <w:rFonts w:eastAsia="Times New Roman"/>
        </w:rPr>
      </w:pPr>
      <w:r>
        <w:rPr>
          <w:rFonts w:eastAsia="Times New Roman"/>
          <w:b/>
          <w:bCs/>
          <w:color w:val="000000"/>
          <w:sz w:val="20"/>
          <w:szCs w:val="20"/>
        </w:rPr>
        <w:t>ITEM 1A.    </w:t>
      </w:r>
      <w:r>
        <w:rPr>
          <w:rFonts w:eastAsia="Times New Roman"/>
          <w:b/>
          <w:bCs/>
          <w:color w:val="000000"/>
          <w:sz w:val="20"/>
          <w:szCs w:val="20"/>
          <w:u w:val="single"/>
        </w:rPr>
        <w:t>Risk Factors</w:t>
      </w:r>
    </w:p>
    <w:p w:rsidR="00000000" w:rsidRDefault="008C69C0">
      <w:pPr>
        <w:ind w:firstLine="720"/>
        <w:jc w:val="both"/>
        <w:divId w:val="1700736312"/>
        <w:rPr>
          <w:rFonts w:eastAsia="Times New Roman"/>
        </w:rPr>
      </w:pPr>
      <w:r>
        <w:rPr>
          <w:rFonts w:eastAsia="Times New Roman"/>
          <w:color w:val="000000"/>
          <w:sz w:val="20"/>
          <w:szCs w:val="20"/>
        </w:rPr>
        <w:t>In addition to the other information in this Quarterly Report on Form 10-Q, you should carefully consider the risks described in our Ann</w:t>
      </w:r>
      <w:r>
        <w:rPr>
          <w:rFonts w:eastAsia="Times New Roman"/>
          <w:color w:val="000000"/>
          <w:sz w:val="20"/>
          <w:szCs w:val="20"/>
        </w:rPr>
        <w:t>ual Report on Form 10-K filed for the year ended December 31, 2020, in Part I, Item 1A, Risk Factors, and in our other filings with the SEC. These factors may materially affect our business, financial condition and operating results. There have been no mat</w:t>
      </w:r>
      <w:r>
        <w:rPr>
          <w:rFonts w:eastAsia="Times New Roman"/>
          <w:color w:val="000000"/>
          <w:sz w:val="20"/>
          <w:szCs w:val="20"/>
        </w:rPr>
        <w:t>erial changes to the risk factors relating to the Company disclosed in our Form 10-K for the year ended December 31, 2020.</w:t>
      </w:r>
    </w:p>
    <w:p w:rsidR="00000000" w:rsidRDefault="008C69C0">
      <w:pPr>
        <w:ind w:firstLine="720"/>
        <w:jc w:val="both"/>
        <w:divId w:val="1257444972"/>
        <w:rPr>
          <w:rFonts w:eastAsia="Times New Roman"/>
        </w:rPr>
      </w:pPr>
      <w:r>
        <w:rPr>
          <w:rFonts w:eastAsia="Times New Roman"/>
          <w:color w:val="000000"/>
          <w:sz w:val="20"/>
          <w:szCs w:val="20"/>
        </w:rPr>
        <w:t>In addition, in considering the forward-looking statements contained in this Form 10-Q and elsewhere, you should refer to the qualifi</w:t>
      </w:r>
      <w:r>
        <w:rPr>
          <w:rFonts w:eastAsia="Times New Roman"/>
          <w:color w:val="000000"/>
          <w:sz w:val="20"/>
          <w:szCs w:val="20"/>
        </w:rPr>
        <w:t>cations and limitations on our forward-looking statements that are described in Forward Looking Statements at the beginning of Part I, Item 2 of this Form 10-Q.</w:t>
      </w:r>
    </w:p>
    <w:p w:rsidR="00000000" w:rsidRDefault="008C69C0">
      <w:pPr>
        <w:jc w:val="both"/>
        <w:divId w:val="1048605728"/>
        <w:rPr>
          <w:rFonts w:eastAsia="Times New Roman"/>
        </w:rPr>
      </w:pPr>
      <w:r>
        <w:rPr>
          <w:rFonts w:eastAsia="Times New Roman"/>
          <w:b/>
          <w:bCs/>
          <w:color w:val="000000"/>
          <w:sz w:val="20"/>
          <w:szCs w:val="20"/>
        </w:rPr>
        <w:t>ITEM 2.    </w:t>
      </w:r>
      <w:r>
        <w:rPr>
          <w:rFonts w:eastAsia="Times New Roman"/>
          <w:b/>
          <w:bCs/>
          <w:color w:val="000000"/>
          <w:sz w:val="20"/>
          <w:szCs w:val="20"/>
          <w:u w:val="single"/>
        </w:rPr>
        <w:t>Unregistered Sales of Equity Securities and Use of Proceeds</w:t>
      </w:r>
    </w:p>
    <w:p w:rsidR="00000000" w:rsidRDefault="008C69C0">
      <w:pPr>
        <w:jc w:val="both"/>
        <w:divId w:val="636379734"/>
        <w:rPr>
          <w:rFonts w:eastAsia="Times New Roman"/>
        </w:rPr>
      </w:pPr>
      <w:r>
        <w:rPr>
          <w:rFonts w:eastAsia="Times New Roman"/>
          <w:color w:val="000000"/>
          <w:sz w:val="20"/>
          <w:szCs w:val="20"/>
          <w:u w:val="single"/>
        </w:rPr>
        <w:t>Common Share Repurchases</w:t>
      </w:r>
    </w:p>
    <w:p w:rsidR="00000000" w:rsidRDefault="008C69C0">
      <w:pPr>
        <w:ind w:firstLine="720"/>
        <w:jc w:val="both"/>
        <w:divId w:val="566385230"/>
        <w:rPr>
          <w:rFonts w:eastAsia="Times New Roman"/>
        </w:rPr>
      </w:pPr>
      <w:r>
        <w:rPr>
          <w:rFonts w:eastAsia="Times New Roman"/>
          <w:color w:val="000000"/>
          <w:sz w:val="20"/>
          <w:szCs w:val="20"/>
        </w:rPr>
        <w:t>Our Board has authorized management to repurchase up to 35,000,000 of our common shares on the open market or in privately negotiated transactions. From the inception of the repurchase program through November 1, 2021, we have repurchased a total of 23,72</w:t>
      </w:r>
      <w:r>
        <w:rPr>
          <w:rFonts w:eastAsia="Times New Roman"/>
          <w:color w:val="000000"/>
          <w:sz w:val="20"/>
          <w:szCs w:val="20"/>
        </w:rPr>
        <w:t>1,916 common shares (all purchased prior to 2010) at an aggregate cost of approximately $679.1 million. Our common share repurchase program does not have an expiration date and there are 11,278,084 common shares that may yet be repurchased under our repurc</w:t>
      </w:r>
      <w:r>
        <w:rPr>
          <w:rFonts w:eastAsia="Times New Roman"/>
          <w:color w:val="000000"/>
          <w:sz w:val="20"/>
          <w:szCs w:val="20"/>
        </w:rPr>
        <w:t xml:space="preserve">hase program as of September 30, 2021. We have no current plans to repurchase shares; however, future levels of common share repurchases will be dependent upon our available capital, investment alternatives, and the trading price of our common shares. </w:t>
      </w:r>
    </w:p>
    <w:p w:rsidR="00000000" w:rsidRDefault="008C69C0">
      <w:pPr>
        <w:jc w:val="both"/>
        <w:divId w:val="2104646429"/>
        <w:rPr>
          <w:rFonts w:eastAsia="Times New Roman"/>
        </w:rPr>
      </w:pPr>
      <w:r>
        <w:rPr>
          <w:rFonts w:eastAsia="Times New Roman"/>
          <w:color w:val="000000"/>
          <w:sz w:val="20"/>
          <w:szCs w:val="20"/>
          <w:u w:val="single"/>
        </w:rPr>
        <w:t>Pre</w:t>
      </w:r>
      <w:r>
        <w:rPr>
          <w:rFonts w:eastAsia="Times New Roman"/>
          <w:color w:val="000000"/>
          <w:sz w:val="20"/>
          <w:szCs w:val="20"/>
          <w:u w:val="single"/>
        </w:rPr>
        <w:t>ferred Share Redemptions</w:t>
      </w:r>
    </w:p>
    <w:p w:rsidR="00000000" w:rsidRDefault="008C69C0">
      <w:pPr>
        <w:ind w:firstLine="720"/>
        <w:jc w:val="both"/>
        <w:divId w:val="136267390"/>
        <w:rPr>
          <w:rFonts w:eastAsia="Times New Roman"/>
        </w:rPr>
      </w:pPr>
      <w:r>
        <w:rPr>
          <w:rFonts w:eastAsia="Times New Roman"/>
          <w:color w:val="000000"/>
          <w:sz w:val="20"/>
          <w:szCs w:val="20"/>
        </w:rPr>
        <w:t>We redeemed, pursuant to our option to redeem such shares, 13,000,000 of our 4.950% Series D preferred shares in July 2021, at $25.00 per share.</w:t>
      </w:r>
    </w:p>
    <w:p w:rsidR="00000000" w:rsidRDefault="008C69C0">
      <w:pPr>
        <w:jc w:val="both"/>
        <w:divId w:val="2126610197"/>
        <w:rPr>
          <w:rFonts w:eastAsia="Times New Roman"/>
        </w:rPr>
      </w:pPr>
      <w:r>
        <w:rPr>
          <w:rFonts w:eastAsia="Times New Roman"/>
          <w:b/>
          <w:bCs/>
          <w:color w:val="000000"/>
          <w:sz w:val="20"/>
          <w:szCs w:val="20"/>
        </w:rPr>
        <w:t>ITEM 6.    </w:t>
      </w:r>
      <w:r>
        <w:rPr>
          <w:rFonts w:eastAsia="Times New Roman"/>
          <w:b/>
          <w:bCs/>
          <w:color w:val="000000"/>
          <w:sz w:val="20"/>
          <w:szCs w:val="20"/>
          <w:u w:val="single"/>
        </w:rPr>
        <w:t>Exhibits</w:t>
      </w:r>
    </w:p>
    <w:p w:rsidR="00000000" w:rsidRDefault="008C69C0">
      <w:pPr>
        <w:ind w:firstLine="720"/>
        <w:jc w:val="both"/>
        <w:divId w:val="1729496438"/>
        <w:rPr>
          <w:rFonts w:eastAsia="Times New Roman"/>
        </w:rPr>
      </w:pPr>
      <w:r>
        <w:rPr>
          <w:rFonts w:eastAsia="Times New Roman"/>
          <w:color w:val="000000"/>
          <w:sz w:val="20"/>
          <w:szCs w:val="20"/>
        </w:rPr>
        <w:t>Exhibits required by Item 601 of Regulation S-K are filed herewith</w:t>
      </w:r>
      <w:r>
        <w:rPr>
          <w:rFonts w:eastAsia="Times New Roman"/>
          <w:color w:val="000000"/>
          <w:sz w:val="20"/>
          <w:szCs w:val="20"/>
        </w:rPr>
        <w:t xml:space="preserve"> or incorporated herein by reference and are listed in the attached Exhibit Index which is incorporated herein by reference.</w:t>
      </w:r>
    </w:p>
    <w:p w:rsidR="00000000" w:rsidRDefault="008C69C0">
      <w:pPr>
        <w:jc w:val="center"/>
        <w:divId w:val="279072911"/>
        <w:rPr>
          <w:rFonts w:eastAsia="Times New Roman"/>
        </w:rPr>
      </w:pPr>
      <w:r>
        <w:rPr>
          <w:rFonts w:eastAsia="Times New Roman"/>
          <w:color w:val="000000"/>
          <w:sz w:val="20"/>
          <w:szCs w:val="20"/>
        </w:rPr>
        <w:t>60</w:t>
      </w:r>
    </w:p>
    <w:p w:rsidR="00000000" w:rsidRDefault="008C69C0">
      <w:pPr>
        <w:rPr>
          <w:rFonts w:eastAsia="Times New Roman"/>
        </w:rPr>
      </w:pPr>
      <w:r>
        <w:rPr>
          <w:rFonts w:eastAsia="Times New Roman"/>
        </w:rPr>
        <w:pict>
          <v:rect id="_x0000_i1086" style="width:0;height:1.5pt" o:hralign="center" o:hrstd="t" o:hr="t" fillcolor="#a0a0a0" stroked="f"/>
        </w:pict>
      </w:r>
    </w:p>
    <w:p w:rsidR="00000000" w:rsidRDefault="008C69C0">
      <w:pPr>
        <w:divId w:val="94255774"/>
        <w:rPr>
          <w:rFonts w:eastAsia="Times New Roman"/>
        </w:rPr>
      </w:pPr>
    </w:p>
    <w:p w:rsidR="00000000" w:rsidRDefault="008C69C0">
      <w:pPr>
        <w:jc w:val="center"/>
        <w:divId w:val="1738816707"/>
        <w:rPr>
          <w:rFonts w:eastAsia="Times New Roman"/>
        </w:rPr>
      </w:pPr>
      <w:r>
        <w:rPr>
          <w:rFonts w:eastAsia="Times New Roman"/>
          <w:color w:val="000000"/>
          <w:sz w:val="20"/>
          <w:szCs w:val="20"/>
        </w:rPr>
        <w:t>PUBLIC STORAGE</w:t>
      </w:r>
    </w:p>
    <w:p w:rsidR="00000000" w:rsidRDefault="008C69C0">
      <w:pPr>
        <w:jc w:val="center"/>
        <w:divId w:val="670453619"/>
        <w:rPr>
          <w:rFonts w:eastAsia="Times New Roman"/>
        </w:rPr>
      </w:pPr>
      <w:r>
        <w:rPr>
          <w:rFonts w:eastAsia="Times New Roman"/>
          <w:color w:val="000000"/>
          <w:sz w:val="20"/>
          <w:szCs w:val="20"/>
        </w:rPr>
        <w:t>INDEX TO EXHIBITS (1)</w:t>
      </w:r>
    </w:p>
    <w:p w:rsidR="00000000" w:rsidRDefault="008C69C0">
      <w:pPr>
        <w:jc w:val="center"/>
        <w:divId w:val="68698799"/>
        <w:rPr>
          <w:rFonts w:eastAsia="Times New Roman"/>
        </w:rPr>
      </w:pPr>
      <w:r>
        <w:rPr>
          <w:rFonts w:eastAsia="Times New Roman"/>
          <w:color w:val="000000"/>
          <w:sz w:val="20"/>
          <w:szCs w:val="20"/>
        </w:rPr>
        <w:t>(Items 15(a)(3) and 15(c)</w:t>
      </w:r>
    </w:p>
    <w:tbl>
      <w:tblPr>
        <w:tblW w:w="5000" w:type="pct"/>
        <w:tblCellMar>
          <w:top w:w="15" w:type="dxa"/>
          <w:left w:w="15" w:type="dxa"/>
          <w:bottom w:w="15" w:type="dxa"/>
          <w:right w:w="15" w:type="dxa"/>
        </w:tblCellMar>
        <w:tblLook w:val="04A0" w:firstRow="1" w:lastRow="0" w:firstColumn="1" w:lastColumn="0" w:noHBand="0" w:noVBand="1"/>
      </w:tblPr>
      <w:tblGrid>
        <w:gridCol w:w="82"/>
        <w:gridCol w:w="740"/>
        <w:gridCol w:w="36"/>
        <w:gridCol w:w="53"/>
        <w:gridCol w:w="7359"/>
        <w:gridCol w:w="36"/>
      </w:tblGrid>
      <w:tr w:rsidR="00000000">
        <w:trPr>
          <w:divId w:val="664280823"/>
        </w:trPr>
        <w:tc>
          <w:tcPr>
            <w:tcW w:w="50" w:type="pct"/>
            <w:vAlign w:val="center"/>
            <w:hideMark/>
          </w:tcPr>
          <w:p w:rsidR="00000000" w:rsidRDefault="008C69C0">
            <w:pPr>
              <w:jc w:val="center"/>
              <w:rPr>
                <w:rFonts w:eastAsia="Times New Roman"/>
              </w:rPr>
            </w:pPr>
          </w:p>
        </w:tc>
        <w:tc>
          <w:tcPr>
            <w:tcW w:w="452"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4437"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8C69C0">
            <w:pPr>
              <w:spacing w:after="100"/>
              <w:divId w:val="1343555558"/>
              <w:rPr>
                <w:rFonts w:eastAsia="Times New Roman"/>
              </w:rPr>
            </w:pPr>
            <w:hyperlink r:id="rId4" w:history="1">
              <w:r>
                <w:rPr>
                  <w:rStyle w:val="a3"/>
                  <w:rFonts w:eastAsia="Times New Roman"/>
                  <w:sz w:val="20"/>
                  <w:szCs w:val="20"/>
                </w:rPr>
                <w:t>Articles Supplementary for Public Storage 3.950% Cumulative Preferred Shares, Series Q. Filed as Exhibit 3.1 to the Company’s Current Report on Form 8-K dat</w:t>
              </w:r>
              <w:r>
                <w:rPr>
                  <w:rStyle w:val="a3"/>
                  <w:rFonts w:eastAsia="Times New Roman"/>
                  <w:sz w:val="20"/>
                  <w:szCs w:val="20"/>
                </w:rPr>
                <w:t>ed August 10, 2021 and incorporated by reference herein.</w:t>
              </w:r>
            </w:hyperlink>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vAlign w:val="bottom"/>
            <w:hideMark/>
          </w:tcPr>
          <w:p w:rsidR="00000000" w:rsidRDefault="008C69C0">
            <w:pPr>
              <w:spacing w:after="100"/>
              <w:divId w:val="469175091"/>
              <w:rPr>
                <w:rFonts w:eastAsia="Times New Roman"/>
              </w:rPr>
            </w:pPr>
            <w:hyperlink r:id="rId5" w:history="1">
              <w:r>
                <w:rPr>
                  <w:rStyle w:val="a3"/>
                  <w:rFonts w:eastAsia="Times New Roman"/>
                  <w:sz w:val="20"/>
                  <w:szCs w:val="20"/>
                </w:rPr>
                <w:t>Eighth Supplemental Indenture, dated as of September 9, 2021, between Public Storag</w:t>
              </w:r>
              <w:r>
                <w:rPr>
                  <w:rStyle w:val="a3"/>
                  <w:rFonts w:eastAsia="Times New Roman"/>
                  <w:sz w:val="20"/>
                  <w:szCs w:val="20"/>
                </w:rPr>
                <w:t>e and Wells Fargo Bank, National Association, as trustee, including the form of Global Note representing the Notes. Filed as Exhibit 4.2 to the Company’s Current Report on Form 8-K dated September 9, 2021 and incorporated by reference herein.</w:t>
              </w:r>
            </w:hyperlink>
            <w:hyperlink r:id="rId6" w:history="1">
              <w:r>
                <w:rPr>
                  <w:rStyle w:val="a3"/>
                  <w:rFonts w:eastAsia="Times New Roman"/>
                </w:rPr>
                <w:t xml:space="preserve"> </w:t>
              </w:r>
            </w:hyperlink>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vAlign w:val="bottom"/>
            <w:hideMark/>
          </w:tcPr>
          <w:p w:rsidR="00000000" w:rsidRDefault="008C69C0">
            <w:pPr>
              <w:spacing w:after="100"/>
              <w:divId w:val="781077739"/>
              <w:rPr>
                <w:rFonts w:eastAsia="Times New Roman"/>
              </w:rPr>
            </w:pPr>
            <w:hyperlink r:id="rId7" w:history="1">
              <w:r>
                <w:rPr>
                  <w:rStyle w:val="a3"/>
                  <w:rFonts w:eastAsia="Times New Roman"/>
                  <w:sz w:val="20"/>
                  <w:szCs w:val="20"/>
                </w:rPr>
                <w:t>Rule 13a – 14(a) Certification. Filed herewith.</w:t>
              </w:r>
            </w:hyperlink>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vAlign w:val="bottom"/>
            <w:hideMark/>
          </w:tcPr>
          <w:p w:rsidR="00000000" w:rsidRDefault="008C69C0">
            <w:pPr>
              <w:spacing w:after="100"/>
              <w:divId w:val="2121798425"/>
              <w:rPr>
                <w:rFonts w:eastAsia="Times New Roman"/>
              </w:rPr>
            </w:pPr>
            <w:hyperlink r:id="rId8" w:history="1">
              <w:r>
                <w:rPr>
                  <w:rStyle w:val="a3"/>
                  <w:rFonts w:eastAsia="Times New Roman"/>
                  <w:sz w:val="20"/>
                  <w:szCs w:val="20"/>
                </w:rPr>
                <w:t>Rule 13a – 14(a) Certification. Filed herewith.</w:t>
              </w:r>
            </w:hyperlink>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8C69C0">
            <w:pPr>
              <w:spacing w:after="100"/>
              <w:divId w:val="866987845"/>
              <w:rPr>
                <w:rFonts w:eastAsia="Times New Roman"/>
              </w:rPr>
            </w:pPr>
            <w:hyperlink r:id="rId9" w:history="1">
              <w:r>
                <w:rPr>
                  <w:rStyle w:val="a3"/>
                  <w:rFonts w:eastAsia="Times New Roman"/>
                  <w:sz w:val="20"/>
                  <w:szCs w:val="20"/>
                </w:rPr>
                <w:t>Section 1350 Certifications. Filed herewith.</w:t>
              </w:r>
            </w:hyperlink>
            <w:r>
              <w:rPr>
                <w:rFonts w:eastAsia="Times New Roman"/>
                <w:color w:val="0000FF"/>
                <w:sz w:val="20"/>
                <w:szCs w:val="20"/>
              </w:rPr>
              <w:t xml:space="preserve"> </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101 .INS</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101 .SCH</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Inline XBRL Taxonomy Extension Schema. Filed herewith.</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101 .CAL</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 xml:space="preserve">Inline XBRL Taxonomy Extension Calculation Linkbase. Filed herewith. </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101 .DEF</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Inline XBRL Taxonomy Extension Definition Linkbase. Filed herewith.</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101 .LAB</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Inline XBRL Taxonomy Extension Label Linkbase. Filed herewith.</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101 .PRE</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Inline XBRL Taxonomy Extension Presentation Link. Filed herewith.</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Cover Page Interactive Data File (formatted as inline XBRL and contained in Exhibit 101)</w:t>
            </w:r>
          </w:p>
        </w:tc>
      </w:tr>
      <w:tr w:rsidR="00000000">
        <w:trPr>
          <w:divId w:val="664280823"/>
          <w:trHeight w:val="180"/>
        </w:trPr>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sz w:val="20"/>
                <w:szCs w:val="20"/>
              </w:rPr>
            </w:pPr>
          </w:p>
        </w:tc>
      </w:tr>
      <w:tr w:rsidR="00000000">
        <w:trPr>
          <w:divId w:val="664280823"/>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_ (1) SEC</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rPr>
              <w:t>File No. 001-33519 unless otherwise indicated.</w:t>
            </w:r>
          </w:p>
        </w:tc>
      </w:tr>
    </w:tbl>
    <w:p w:rsidR="00000000" w:rsidRDefault="008C69C0">
      <w:pPr>
        <w:jc w:val="center"/>
        <w:divId w:val="2017224514"/>
        <w:rPr>
          <w:rFonts w:eastAsia="Times New Roman"/>
        </w:rPr>
      </w:pPr>
      <w:r>
        <w:rPr>
          <w:rFonts w:eastAsia="Times New Roman"/>
          <w:color w:val="000000"/>
          <w:sz w:val="20"/>
          <w:szCs w:val="20"/>
        </w:rPr>
        <w:t>61</w:t>
      </w:r>
    </w:p>
    <w:p w:rsidR="00000000" w:rsidRDefault="008C69C0">
      <w:pPr>
        <w:rPr>
          <w:rFonts w:eastAsia="Times New Roman"/>
        </w:rPr>
      </w:pPr>
      <w:r>
        <w:rPr>
          <w:rFonts w:eastAsia="Times New Roman"/>
        </w:rPr>
        <w:pict>
          <v:rect id="_x0000_i1087" style="width:0;height:1.5pt" o:hralign="center" o:hrstd="t" o:hr="t" fillcolor="#a0a0a0" stroked="f"/>
        </w:pict>
      </w:r>
    </w:p>
    <w:p w:rsidR="00000000" w:rsidRDefault="008C69C0">
      <w:pPr>
        <w:divId w:val="978654040"/>
        <w:rPr>
          <w:rFonts w:eastAsia="Times New Roman"/>
        </w:rPr>
      </w:pPr>
    </w:p>
    <w:p w:rsidR="00000000" w:rsidRDefault="008C69C0">
      <w:pPr>
        <w:jc w:val="center"/>
        <w:rPr>
          <w:rFonts w:eastAsia="Times New Roman"/>
        </w:rPr>
      </w:pPr>
      <w:r>
        <w:rPr>
          <w:rFonts w:eastAsia="Times New Roman"/>
          <w:b/>
          <w:bCs/>
          <w:color w:val="000000"/>
          <w:sz w:val="20"/>
          <w:szCs w:val="20"/>
          <w:u w:val="single"/>
        </w:rPr>
        <w:t>SIGNATURES</w:t>
      </w:r>
    </w:p>
    <w:p w:rsidR="00000000" w:rsidRDefault="008C69C0">
      <w:pPr>
        <w:ind w:firstLine="720"/>
        <w:jc w:val="both"/>
        <w:divId w:val="1311179481"/>
        <w:rPr>
          <w:rFonts w:eastAsia="Times New Roman"/>
        </w:rPr>
      </w:pPr>
      <w:r>
        <w:rPr>
          <w:rFonts w:eastAsia="Times New Roman"/>
          <w:color w:val="000000"/>
          <w:sz w:val="20"/>
          <w:szCs w:val="20"/>
        </w:rPr>
        <w:t>Pursuant to the requirement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3998"/>
        <w:gridCol w:w="36"/>
        <w:gridCol w:w="71"/>
        <w:gridCol w:w="281"/>
        <w:gridCol w:w="36"/>
        <w:gridCol w:w="69"/>
        <w:gridCol w:w="3710"/>
        <w:gridCol w:w="36"/>
      </w:tblGrid>
      <w:tr w:rsidR="00000000">
        <w:trPr>
          <w:divId w:val="1657998748"/>
        </w:trPr>
        <w:tc>
          <w:tcPr>
            <w:tcW w:w="50" w:type="pct"/>
            <w:vAlign w:val="center"/>
            <w:hideMark/>
          </w:tcPr>
          <w:p w:rsidR="00000000" w:rsidRDefault="008C69C0">
            <w:pPr>
              <w:ind w:firstLine="720"/>
              <w:jc w:val="both"/>
              <w:rPr>
                <w:rFonts w:eastAsia="Times New Roman"/>
              </w:rPr>
            </w:pPr>
          </w:p>
        </w:tc>
        <w:tc>
          <w:tcPr>
            <w:tcW w:w="2414"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179"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c>
          <w:tcPr>
            <w:tcW w:w="50" w:type="pct"/>
            <w:vAlign w:val="center"/>
            <w:hideMark/>
          </w:tcPr>
          <w:p w:rsidR="00000000" w:rsidRDefault="008C69C0">
            <w:pPr>
              <w:spacing w:after="100"/>
              <w:rPr>
                <w:rFonts w:eastAsia="Times New Roman"/>
                <w:sz w:val="20"/>
                <w:szCs w:val="20"/>
              </w:rPr>
            </w:pPr>
          </w:p>
        </w:tc>
        <w:tc>
          <w:tcPr>
            <w:tcW w:w="2240" w:type="pct"/>
            <w:vAlign w:val="center"/>
            <w:hideMark/>
          </w:tcPr>
          <w:p w:rsidR="00000000" w:rsidRDefault="008C69C0">
            <w:pPr>
              <w:spacing w:after="100"/>
              <w:rPr>
                <w:rFonts w:eastAsia="Times New Roman"/>
                <w:sz w:val="20"/>
                <w:szCs w:val="20"/>
              </w:rPr>
            </w:pPr>
          </w:p>
        </w:tc>
        <w:tc>
          <w:tcPr>
            <w:tcW w:w="5" w:type="pct"/>
            <w:vAlign w:val="center"/>
            <w:hideMark/>
          </w:tcPr>
          <w:p w:rsidR="00000000" w:rsidRDefault="008C69C0">
            <w:pPr>
              <w:spacing w:after="100"/>
              <w:rPr>
                <w:rFonts w:eastAsia="Times New Roman"/>
                <w:sz w:val="20"/>
                <w:szCs w:val="20"/>
              </w:rPr>
            </w:pPr>
          </w:p>
        </w:tc>
      </w:tr>
      <w:tr w:rsidR="00000000">
        <w:trPr>
          <w:divId w:val="165799874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8C69C0">
            <w:pPr>
              <w:spacing w:after="100"/>
              <w:ind w:hanging="630"/>
              <w:divId w:val="1271469657"/>
              <w:rPr>
                <w:rFonts w:eastAsia="Times New Roman"/>
              </w:rPr>
            </w:pPr>
            <w:r>
              <w:rPr>
                <w:rFonts w:eastAsia="Times New Roman"/>
                <w:color w:val="000000"/>
                <w:sz w:val="20"/>
                <w:szCs w:val="20"/>
              </w:rPr>
              <w:t>DATED: November 1, 2021</w:t>
            </w:r>
          </w:p>
        </w:tc>
      </w:tr>
      <w:tr w:rsidR="00000000">
        <w:trPr>
          <w:divId w:val="165799874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8C69C0">
            <w:pPr>
              <w:spacing w:after="100"/>
              <w:rPr>
                <w:rFonts w:eastAsia="Times New Roman"/>
              </w:rPr>
            </w:pPr>
            <w:r>
              <w:rPr>
                <w:rFonts w:eastAsia="Times New Roman"/>
                <w:b/>
                <w:bCs/>
                <w:color w:val="000000"/>
                <w:sz w:val="20"/>
                <w:szCs w:val="20"/>
              </w:rPr>
              <w:t>PUBLIC STORAGE</w:t>
            </w:r>
          </w:p>
        </w:tc>
      </w:tr>
      <w:tr w:rsidR="00000000">
        <w:trPr>
          <w:divId w:val="165799874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ascii="Calibri" w:eastAsia="Times New Roman" w:hAnsi="Calibri" w:cs="Calibri"/>
                <w:color w:val="000000"/>
                <w:sz w:val="22"/>
                <w:szCs w:val="22"/>
              </w:rPr>
              <w:t> </w:t>
            </w:r>
          </w:p>
        </w:tc>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 xml:space="preserve">By: </w:t>
            </w:r>
          </w:p>
        </w:tc>
        <w:tc>
          <w:tcPr>
            <w:tcW w:w="0" w:type="auto"/>
            <w:gridSpan w:val="3"/>
            <w:tcMar>
              <w:top w:w="30" w:type="dxa"/>
              <w:left w:w="20" w:type="dxa"/>
              <w:bottom w:w="30" w:type="dxa"/>
              <w:right w:w="20" w:type="dxa"/>
            </w:tcMar>
            <w:vAlign w:val="bottom"/>
            <w:hideMark/>
          </w:tcPr>
          <w:p w:rsidR="00000000" w:rsidRDefault="008C69C0">
            <w:pPr>
              <w:spacing w:after="100"/>
              <w:rPr>
                <w:rFonts w:eastAsia="Times New Roman"/>
              </w:rPr>
            </w:pPr>
            <w:r>
              <w:rPr>
                <w:rFonts w:eastAsia="Times New Roman"/>
                <w:color w:val="000000"/>
                <w:sz w:val="20"/>
                <w:szCs w:val="20"/>
                <w:u w:val="single"/>
              </w:rPr>
              <w:t xml:space="preserve">/s/ H. Thomas Boyle </w:t>
            </w:r>
          </w:p>
        </w:tc>
      </w:tr>
      <w:tr w:rsidR="00000000">
        <w:trPr>
          <w:divId w:val="1657998748"/>
        </w:trPr>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C69C0">
            <w:pPr>
              <w:spacing w:after="100"/>
              <w:rPr>
                <w:rFonts w:eastAsia="Times New Roman"/>
              </w:rPr>
            </w:pPr>
          </w:p>
        </w:tc>
        <w:tc>
          <w:tcPr>
            <w:tcW w:w="0" w:type="auto"/>
            <w:gridSpan w:val="3"/>
            <w:tcMar>
              <w:top w:w="30" w:type="dxa"/>
              <w:left w:w="20" w:type="dxa"/>
              <w:bottom w:w="30" w:type="dxa"/>
              <w:right w:w="20" w:type="dxa"/>
            </w:tcMar>
            <w:hideMark/>
          </w:tcPr>
          <w:p w:rsidR="00000000" w:rsidRDefault="008C69C0">
            <w:pPr>
              <w:spacing w:after="100"/>
              <w:rPr>
                <w:rFonts w:eastAsia="Times New Roman"/>
              </w:rPr>
            </w:pPr>
            <w:r>
              <w:rPr>
                <w:rFonts w:eastAsia="Times New Roman"/>
                <w:color w:val="000000"/>
                <w:sz w:val="20"/>
                <w:szCs w:val="20"/>
              </w:rPr>
              <w:t>H. Thomas Boyle</w:t>
            </w:r>
            <w:r>
              <w:rPr>
                <w:rFonts w:eastAsia="Times New Roman"/>
                <w:color w:val="000000"/>
                <w:sz w:val="20"/>
                <w:szCs w:val="20"/>
              </w:rPr>
              <w:br/>
              <w:t>Senior Vice President &amp; Chief Financial Officer</w:t>
            </w:r>
            <w:r>
              <w:rPr>
                <w:rFonts w:eastAsia="Times New Roman"/>
                <w:color w:val="000000"/>
                <w:sz w:val="20"/>
                <w:szCs w:val="20"/>
              </w:rPr>
              <w:br/>
            </w:r>
            <w:r>
              <w:rPr>
                <w:rFonts w:eastAsia="Times New Roman"/>
                <w:color w:val="000000"/>
                <w:sz w:val="20"/>
                <w:szCs w:val="20"/>
              </w:rPr>
              <w:t>(Principal financial officer and duly authorized officer)</w:t>
            </w:r>
          </w:p>
        </w:tc>
      </w:tr>
    </w:tbl>
    <w:p w:rsidR="00000000" w:rsidRDefault="008C69C0">
      <w:pPr>
        <w:divId w:val="635648947"/>
        <w:rPr>
          <w:rFonts w:eastAsia="Times New Roman"/>
        </w:rPr>
      </w:pPr>
    </w:p>
    <w:p w:rsidR="008C69C0" w:rsidRDefault="008C69C0">
      <w:pPr>
        <w:jc w:val="center"/>
        <w:divId w:val="1320382331"/>
        <w:rPr>
          <w:rFonts w:eastAsia="Times New Roman"/>
        </w:rPr>
      </w:pPr>
      <w:r>
        <w:rPr>
          <w:rFonts w:eastAsia="Times New Roman"/>
          <w:color w:val="000000"/>
          <w:sz w:val="20"/>
          <w:szCs w:val="20"/>
        </w:rPr>
        <w:t>62</w:t>
      </w:r>
    </w:p>
    <w:sectPr w:rsidR="008C69C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69C0"/>
    <w:rsid w:val="008C69C0"/>
  </w:rsids>
  <m:mathPr>
    <m:mathFont m:val="Cambria Math"/>
    <m:brkBin m:val="before"/>
    <m:brkBinSub m:val="--"/>
    <m:smallFrac m:val="0"/>
    <m:dispDef/>
    <m:lMargin m:val="0"/>
    <m:rMargin m:val="0"/>
    <m:defJc m:val="centerGroup"/>
    <m:wrapIndent m:val="1440"/>
    <m:intLim m:val="subSup"/>
    <m:naryLim m:val="undOvr"/>
  </m:mathPr>
  <w:attachedSchema w:val="http://www.publicstorage.com/20210930"/>
  <w:attachedSchema w:val="http://www.w3.org/1999/xlink"/>
  <w:attachedSchema w:val="http://www.xbrl.org/2003/instance"/>
  <w:attachedSchema w:val="http://xbrl.sec.gov/dei/2020-01-31"/>
  <w:attachedSchema w:val="http://xbrl.org/2006/xbrldi"/>
  <w:attachedSchema w:val="http://www.xbrl.org/2003/iso4217"/>
  <w:attachedSchema w:val="http://www.xbrl.org/2003/linkbase"/>
  <w:attachedSchema w:val="http://www.xbrl.org/2013/inlineXBRL"/>
  <w:attachedSchema w:val="http://www.xbrl.org/inlineXBRL/transformation/2020-02-12"/>
  <w:attachedSchema w:val="http://xbrl.sec.gov/country/2020-01-31"/>
  <w:attachedSchema w:val="http://fasb.org/us-gaap/2020-01-31"/>
  <w:attachedSchema w:val="http://www.sec.gov/inlineXBRL/transformation/2015-08-31"/>
  <w:attachedSchema w:val="http://www.xbrl.org/2009/utr"/>
  <w:attachedSchema w:val="http://fasb.org/srt/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85">
      <w:marLeft w:val="0"/>
      <w:marRight w:val="0"/>
      <w:marTop w:val="0"/>
      <w:marBottom w:val="240"/>
      <w:divBdr>
        <w:top w:val="none" w:sz="0" w:space="0" w:color="auto"/>
        <w:left w:val="none" w:sz="0" w:space="0" w:color="auto"/>
        <w:bottom w:val="none" w:sz="0" w:space="0" w:color="auto"/>
        <w:right w:val="none" w:sz="0" w:space="0" w:color="auto"/>
      </w:divBdr>
    </w:div>
    <w:div w:id="2897863">
      <w:marLeft w:val="0"/>
      <w:marRight w:val="0"/>
      <w:marTop w:val="0"/>
      <w:marBottom w:val="0"/>
      <w:divBdr>
        <w:top w:val="none" w:sz="0" w:space="0" w:color="auto"/>
        <w:left w:val="none" w:sz="0" w:space="0" w:color="auto"/>
        <w:bottom w:val="none" w:sz="0" w:space="0" w:color="auto"/>
        <w:right w:val="none" w:sz="0" w:space="0" w:color="auto"/>
      </w:divBdr>
      <w:divsChild>
        <w:div w:id="1922182524">
          <w:marLeft w:val="0"/>
          <w:marRight w:val="0"/>
          <w:marTop w:val="0"/>
          <w:marBottom w:val="0"/>
          <w:divBdr>
            <w:top w:val="none" w:sz="0" w:space="0" w:color="auto"/>
            <w:left w:val="none" w:sz="0" w:space="0" w:color="auto"/>
            <w:bottom w:val="none" w:sz="0" w:space="0" w:color="auto"/>
            <w:right w:val="none" w:sz="0" w:space="0" w:color="auto"/>
          </w:divBdr>
        </w:div>
      </w:divsChild>
    </w:div>
    <w:div w:id="6099987">
      <w:marLeft w:val="0"/>
      <w:marRight w:val="0"/>
      <w:marTop w:val="0"/>
      <w:marBottom w:val="240"/>
      <w:divBdr>
        <w:top w:val="none" w:sz="0" w:space="0" w:color="auto"/>
        <w:left w:val="none" w:sz="0" w:space="0" w:color="auto"/>
        <w:bottom w:val="none" w:sz="0" w:space="0" w:color="auto"/>
        <w:right w:val="none" w:sz="0" w:space="0" w:color="auto"/>
      </w:divBdr>
    </w:div>
    <w:div w:id="6107354">
      <w:marLeft w:val="0"/>
      <w:marRight w:val="0"/>
      <w:marTop w:val="0"/>
      <w:marBottom w:val="120"/>
      <w:divBdr>
        <w:top w:val="none" w:sz="0" w:space="0" w:color="auto"/>
        <w:left w:val="none" w:sz="0" w:space="0" w:color="auto"/>
        <w:bottom w:val="none" w:sz="0" w:space="0" w:color="auto"/>
        <w:right w:val="none" w:sz="0" w:space="0" w:color="auto"/>
      </w:divBdr>
    </w:div>
    <w:div w:id="10764240">
      <w:marLeft w:val="0"/>
      <w:marRight w:val="0"/>
      <w:marTop w:val="0"/>
      <w:marBottom w:val="240"/>
      <w:divBdr>
        <w:top w:val="none" w:sz="0" w:space="0" w:color="auto"/>
        <w:left w:val="none" w:sz="0" w:space="0" w:color="auto"/>
        <w:bottom w:val="none" w:sz="0" w:space="0" w:color="auto"/>
        <w:right w:val="none" w:sz="0" w:space="0" w:color="auto"/>
      </w:divBdr>
    </w:div>
    <w:div w:id="14696472">
      <w:marLeft w:val="0"/>
      <w:marRight w:val="0"/>
      <w:marTop w:val="120"/>
      <w:marBottom w:val="120"/>
      <w:divBdr>
        <w:top w:val="none" w:sz="0" w:space="0" w:color="auto"/>
        <w:left w:val="none" w:sz="0" w:space="0" w:color="auto"/>
        <w:bottom w:val="none" w:sz="0" w:space="0" w:color="auto"/>
        <w:right w:val="none" w:sz="0" w:space="0" w:color="auto"/>
      </w:divBdr>
    </w:div>
    <w:div w:id="14772374">
      <w:marLeft w:val="0"/>
      <w:marRight w:val="0"/>
      <w:marTop w:val="0"/>
      <w:marBottom w:val="0"/>
      <w:divBdr>
        <w:top w:val="none" w:sz="0" w:space="0" w:color="auto"/>
        <w:left w:val="none" w:sz="0" w:space="0" w:color="auto"/>
        <w:bottom w:val="none" w:sz="0" w:space="0" w:color="auto"/>
        <w:right w:val="none" w:sz="0" w:space="0" w:color="auto"/>
      </w:divBdr>
    </w:div>
    <w:div w:id="19010964">
      <w:marLeft w:val="0"/>
      <w:marRight w:val="0"/>
      <w:marTop w:val="0"/>
      <w:marBottom w:val="0"/>
      <w:divBdr>
        <w:top w:val="none" w:sz="0" w:space="0" w:color="auto"/>
        <w:left w:val="none" w:sz="0" w:space="0" w:color="auto"/>
        <w:bottom w:val="none" w:sz="0" w:space="0" w:color="auto"/>
        <w:right w:val="none" w:sz="0" w:space="0" w:color="auto"/>
      </w:divBdr>
      <w:divsChild>
        <w:div w:id="65803632">
          <w:marLeft w:val="0"/>
          <w:marRight w:val="0"/>
          <w:marTop w:val="0"/>
          <w:marBottom w:val="0"/>
          <w:divBdr>
            <w:top w:val="none" w:sz="0" w:space="0" w:color="auto"/>
            <w:left w:val="none" w:sz="0" w:space="0" w:color="auto"/>
            <w:bottom w:val="none" w:sz="0" w:space="0" w:color="auto"/>
            <w:right w:val="none" w:sz="0" w:space="0" w:color="auto"/>
          </w:divBdr>
        </w:div>
      </w:divsChild>
    </w:div>
    <w:div w:id="25522279">
      <w:marLeft w:val="0"/>
      <w:marRight w:val="0"/>
      <w:marTop w:val="0"/>
      <w:marBottom w:val="0"/>
      <w:divBdr>
        <w:top w:val="none" w:sz="0" w:space="0" w:color="auto"/>
        <w:left w:val="none" w:sz="0" w:space="0" w:color="auto"/>
        <w:bottom w:val="none" w:sz="0" w:space="0" w:color="auto"/>
        <w:right w:val="none" w:sz="0" w:space="0" w:color="auto"/>
      </w:divBdr>
    </w:div>
    <w:div w:id="27414395">
      <w:marLeft w:val="0"/>
      <w:marRight w:val="0"/>
      <w:marTop w:val="0"/>
      <w:marBottom w:val="240"/>
      <w:divBdr>
        <w:top w:val="none" w:sz="0" w:space="0" w:color="auto"/>
        <w:left w:val="none" w:sz="0" w:space="0" w:color="auto"/>
        <w:bottom w:val="none" w:sz="0" w:space="0" w:color="auto"/>
        <w:right w:val="none" w:sz="0" w:space="0" w:color="auto"/>
      </w:divBdr>
    </w:div>
    <w:div w:id="30695757">
      <w:marLeft w:val="0"/>
      <w:marRight w:val="0"/>
      <w:marTop w:val="0"/>
      <w:marBottom w:val="0"/>
      <w:divBdr>
        <w:top w:val="none" w:sz="0" w:space="0" w:color="auto"/>
        <w:left w:val="none" w:sz="0" w:space="0" w:color="auto"/>
        <w:bottom w:val="none" w:sz="0" w:space="0" w:color="auto"/>
        <w:right w:val="none" w:sz="0" w:space="0" w:color="auto"/>
      </w:divBdr>
      <w:divsChild>
        <w:div w:id="2124424511">
          <w:marLeft w:val="0"/>
          <w:marRight w:val="0"/>
          <w:marTop w:val="0"/>
          <w:marBottom w:val="0"/>
          <w:divBdr>
            <w:top w:val="none" w:sz="0" w:space="0" w:color="auto"/>
            <w:left w:val="none" w:sz="0" w:space="0" w:color="auto"/>
            <w:bottom w:val="none" w:sz="0" w:space="0" w:color="auto"/>
            <w:right w:val="none" w:sz="0" w:space="0" w:color="auto"/>
          </w:divBdr>
        </w:div>
      </w:divsChild>
    </w:div>
    <w:div w:id="32730639">
      <w:marLeft w:val="0"/>
      <w:marRight w:val="0"/>
      <w:marTop w:val="0"/>
      <w:marBottom w:val="0"/>
      <w:divBdr>
        <w:top w:val="none" w:sz="0" w:space="0" w:color="auto"/>
        <w:left w:val="none" w:sz="0" w:space="0" w:color="auto"/>
        <w:bottom w:val="none" w:sz="0" w:space="0" w:color="auto"/>
        <w:right w:val="none" w:sz="0" w:space="0" w:color="auto"/>
      </w:divBdr>
      <w:divsChild>
        <w:div w:id="1530341242">
          <w:marLeft w:val="0"/>
          <w:marRight w:val="0"/>
          <w:marTop w:val="0"/>
          <w:marBottom w:val="0"/>
          <w:divBdr>
            <w:top w:val="none" w:sz="0" w:space="0" w:color="auto"/>
            <w:left w:val="none" w:sz="0" w:space="0" w:color="auto"/>
            <w:bottom w:val="none" w:sz="0" w:space="0" w:color="auto"/>
            <w:right w:val="none" w:sz="0" w:space="0" w:color="auto"/>
          </w:divBdr>
        </w:div>
      </w:divsChild>
    </w:div>
    <w:div w:id="48498944">
      <w:marLeft w:val="0"/>
      <w:marRight w:val="0"/>
      <w:marTop w:val="240"/>
      <w:marBottom w:val="240"/>
      <w:divBdr>
        <w:top w:val="none" w:sz="0" w:space="0" w:color="auto"/>
        <w:left w:val="none" w:sz="0" w:space="0" w:color="auto"/>
        <w:bottom w:val="none" w:sz="0" w:space="0" w:color="auto"/>
        <w:right w:val="none" w:sz="0" w:space="0" w:color="auto"/>
      </w:divBdr>
    </w:div>
    <w:div w:id="49884547">
      <w:marLeft w:val="0"/>
      <w:marRight w:val="0"/>
      <w:marTop w:val="0"/>
      <w:marBottom w:val="0"/>
      <w:divBdr>
        <w:top w:val="none" w:sz="0" w:space="0" w:color="auto"/>
        <w:left w:val="none" w:sz="0" w:space="0" w:color="auto"/>
        <w:bottom w:val="none" w:sz="0" w:space="0" w:color="auto"/>
        <w:right w:val="none" w:sz="0" w:space="0" w:color="auto"/>
      </w:divBdr>
    </w:div>
    <w:div w:id="55278207">
      <w:marLeft w:val="0"/>
      <w:marRight w:val="0"/>
      <w:marTop w:val="0"/>
      <w:marBottom w:val="240"/>
      <w:divBdr>
        <w:top w:val="none" w:sz="0" w:space="0" w:color="auto"/>
        <w:left w:val="none" w:sz="0" w:space="0" w:color="auto"/>
        <w:bottom w:val="none" w:sz="0" w:space="0" w:color="auto"/>
        <w:right w:val="none" w:sz="0" w:space="0" w:color="auto"/>
      </w:divBdr>
    </w:div>
    <w:div w:id="60718166">
      <w:marLeft w:val="0"/>
      <w:marRight w:val="0"/>
      <w:marTop w:val="240"/>
      <w:marBottom w:val="0"/>
      <w:divBdr>
        <w:top w:val="none" w:sz="0" w:space="0" w:color="auto"/>
        <w:left w:val="none" w:sz="0" w:space="0" w:color="auto"/>
        <w:bottom w:val="none" w:sz="0" w:space="0" w:color="auto"/>
        <w:right w:val="none" w:sz="0" w:space="0" w:color="auto"/>
      </w:divBdr>
    </w:div>
    <w:div w:id="61880590">
      <w:marLeft w:val="0"/>
      <w:marRight w:val="0"/>
      <w:marTop w:val="0"/>
      <w:marBottom w:val="240"/>
      <w:divBdr>
        <w:top w:val="none" w:sz="0" w:space="0" w:color="auto"/>
        <w:left w:val="none" w:sz="0" w:space="0" w:color="auto"/>
        <w:bottom w:val="none" w:sz="0" w:space="0" w:color="auto"/>
        <w:right w:val="none" w:sz="0" w:space="0" w:color="auto"/>
      </w:divBdr>
    </w:div>
    <w:div w:id="62682677">
      <w:marLeft w:val="0"/>
      <w:marRight w:val="0"/>
      <w:marTop w:val="0"/>
      <w:marBottom w:val="0"/>
      <w:divBdr>
        <w:top w:val="none" w:sz="0" w:space="0" w:color="auto"/>
        <w:left w:val="none" w:sz="0" w:space="0" w:color="auto"/>
        <w:bottom w:val="none" w:sz="0" w:space="0" w:color="auto"/>
        <w:right w:val="none" w:sz="0" w:space="0" w:color="auto"/>
      </w:divBdr>
      <w:divsChild>
        <w:div w:id="1809783333">
          <w:marLeft w:val="0"/>
          <w:marRight w:val="0"/>
          <w:marTop w:val="0"/>
          <w:marBottom w:val="0"/>
          <w:divBdr>
            <w:top w:val="none" w:sz="0" w:space="0" w:color="auto"/>
            <w:left w:val="none" w:sz="0" w:space="0" w:color="auto"/>
            <w:bottom w:val="none" w:sz="0" w:space="0" w:color="auto"/>
            <w:right w:val="none" w:sz="0" w:space="0" w:color="auto"/>
          </w:divBdr>
        </w:div>
      </w:divsChild>
    </w:div>
    <w:div w:id="64765182">
      <w:marLeft w:val="0"/>
      <w:marRight w:val="0"/>
      <w:marTop w:val="240"/>
      <w:marBottom w:val="240"/>
      <w:divBdr>
        <w:top w:val="none" w:sz="0" w:space="0" w:color="auto"/>
        <w:left w:val="none" w:sz="0" w:space="0" w:color="auto"/>
        <w:bottom w:val="none" w:sz="0" w:space="0" w:color="auto"/>
        <w:right w:val="none" w:sz="0" w:space="0" w:color="auto"/>
      </w:divBdr>
    </w:div>
    <w:div w:id="64957253">
      <w:marLeft w:val="0"/>
      <w:marRight w:val="0"/>
      <w:marTop w:val="0"/>
      <w:marBottom w:val="0"/>
      <w:divBdr>
        <w:top w:val="none" w:sz="0" w:space="0" w:color="auto"/>
        <w:left w:val="none" w:sz="0" w:space="0" w:color="auto"/>
        <w:bottom w:val="none" w:sz="0" w:space="0" w:color="auto"/>
        <w:right w:val="none" w:sz="0" w:space="0" w:color="auto"/>
      </w:divBdr>
      <w:divsChild>
        <w:div w:id="2143233800">
          <w:marLeft w:val="0"/>
          <w:marRight w:val="0"/>
          <w:marTop w:val="0"/>
          <w:marBottom w:val="0"/>
          <w:divBdr>
            <w:top w:val="none" w:sz="0" w:space="0" w:color="auto"/>
            <w:left w:val="none" w:sz="0" w:space="0" w:color="auto"/>
            <w:bottom w:val="none" w:sz="0" w:space="0" w:color="auto"/>
            <w:right w:val="none" w:sz="0" w:space="0" w:color="auto"/>
          </w:divBdr>
        </w:div>
      </w:divsChild>
    </w:div>
    <w:div w:id="68698799">
      <w:marLeft w:val="0"/>
      <w:marRight w:val="0"/>
      <w:marTop w:val="240"/>
      <w:marBottom w:val="0"/>
      <w:divBdr>
        <w:top w:val="none" w:sz="0" w:space="0" w:color="auto"/>
        <w:left w:val="none" w:sz="0" w:space="0" w:color="auto"/>
        <w:bottom w:val="none" w:sz="0" w:space="0" w:color="auto"/>
        <w:right w:val="none" w:sz="0" w:space="0" w:color="auto"/>
      </w:divBdr>
    </w:div>
    <w:div w:id="68813800">
      <w:marLeft w:val="0"/>
      <w:marRight w:val="0"/>
      <w:marTop w:val="0"/>
      <w:marBottom w:val="240"/>
      <w:divBdr>
        <w:top w:val="none" w:sz="0" w:space="0" w:color="auto"/>
        <w:left w:val="none" w:sz="0" w:space="0" w:color="auto"/>
        <w:bottom w:val="none" w:sz="0" w:space="0" w:color="auto"/>
        <w:right w:val="none" w:sz="0" w:space="0" w:color="auto"/>
      </w:divBdr>
    </w:div>
    <w:div w:id="73361877">
      <w:marLeft w:val="0"/>
      <w:marRight w:val="0"/>
      <w:marTop w:val="0"/>
      <w:marBottom w:val="0"/>
      <w:divBdr>
        <w:top w:val="none" w:sz="0" w:space="0" w:color="auto"/>
        <w:left w:val="none" w:sz="0" w:space="0" w:color="auto"/>
        <w:bottom w:val="none" w:sz="0" w:space="0" w:color="auto"/>
        <w:right w:val="none" w:sz="0" w:space="0" w:color="auto"/>
      </w:divBdr>
      <w:divsChild>
        <w:div w:id="2017224514">
          <w:marLeft w:val="0"/>
          <w:marRight w:val="0"/>
          <w:marTop w:val="0"/>
          <w:marBottom w:val="0"/>
          <w:divBdr>
            <w:top w:val="none" w:sz="0" w:space="0" w:color="auto"/>
            <w:left w:val="none" w:sz="0" w:space="0" w:color="auto"/>
            <w:bottom w:val="none" w:sz="0" w:space="0" w:color="auto"/>
            <w:right w:val="none" w:sz="0" w:space="0" w:color="auto"/>
          </w:divBdr>
        </w:div>
      </w:divsChild>
    </w:div>
    <w:div w:id="75132991">
      <w:marLeft w:val="0"/>
      <w:marRight w:val="0"/>
      <w:marTop w:val="0"/>
      <w:marBottom w:val="120"/>
      <w:divBdr>
        <w:top w:val="none" w:sz="0" w:space="0" w:color="auto"/>
        <w:left w:val="none" w:sz="0" w:space="0" w:color="auto"/>
        <w:bottom w:val="none" w:sz="0" w:space="0" w:color="auto"/>
        <w:right w:val="none" w:sz="0" w:space="0" w:color="auto"/>
      </w:divBdr>
    </w:div>
    <w:div w:id="94592154">
      <w:marLeft w:val="0"/>
      <w:marRight w:val="0"/>
      <w:marTop w:val="0"/>
      <w:marBottom w:val="0"/>
      <w:divBdr>
        <w:top w:val="none" w:sz="0" w:space="0" w:color="auto"/>
        <w:left w:val="none" w:sz="0" w:space="0" w:color="auto"/>
        <w:bottom w:val="none" w:sz="0" w:space="0" w:color="auto"/>
        <w:right w:val="none" w:sz="0" w:space="0" w:color="auto"/>
      </w:divBdr>
    </w:div>
    <w:div w:id="94833079">
      <w:marLeft w:val="0"/>
      <w:marRight w:val="0"/>
      <w:marTop w:val="0"/>
      <w:marBottom w:val="0"/>
      <w:divBdr>
        <w:top w:val="none" w:sz="0" w:space="0" w:color="auto"/>
        <w:left w:val="none" w:sz="0" w:space="0" w:color="auto"/>
        <w:bottom w:val="none" w:sz="0" w:space="0" w:color="auto"/>
        <w:right w:val="none" w:sz="0" w:space="0" w:color="auto"/>
      </w:divBdr>
    </w:div>
    <w:div w:id="97414918">
      <w:marLeft w:val="0"/>
      <w:marRight w:val="0"/>
      <w:marTop w:val="0"/>
      <w:marBottom w:val="240"/>
      <w:divBdr>
        <w:top w:val="none" w:sz="0" w:space="0" w:color="auto"/>
        <w:left w:val="none" w:sz="0" w:space="0" w:color="auto"/>
        <w:bottom w:val="none" w:sz="0" w:space="0" w:color="auto"/>
        <w:right w:val="none" w:sz="0" w:space="0" w:color="auto"/>
      </w:divBdr>
    </w:div>
    <w:div w:id="112599356">
      <w:marLeft w:val="0"/>
      <w:marRight w:val="0"/>
      <w:marTop w:val="0"/>
      <w:marBottom w:val="240"/>
      <w:divBdr>
        <w:top w:val="none" w:sz="0" w:space="0" w:color="auto"/>
        <w:left w:val="none" w:sz="0" w:space="0" w:color="auto"/>
        <w:bottom w:val="none" w:sz="0" w:space="0" w:color="auto"/>
        <w:right w:val="none" w:sz="0" w:space="0" w:color="auto"/>
      </w:divBdr>
    </w:div>
    <w:div w:id="114179449">
      <w:marLeft w:val="0"/>
      <w:marRight w:val="0"/>
      <w:marTop w:val="0"/>
      <w:marBottom w:val="0"/>
      <w:divBdr>
        <w:top w:val="none" w:sz="0" w:space="0" w:color="auto"/>
        <w:left w:val="none" w:sz="0" w:space="0" w:color="auto"/>
        <w:bottom w:val="none" w:sz="0" w:space="0" w:color="auto"/>
        <w:right w:val="none" w:sz="0" w:space="0" w:color="auto"/>
      </w:divBdr>
      <w:divsChild>
        <w:div w:id="1528443961">
          <w:marLeft w:val="0"/>
          <w:marRight w:val="0"/>
          <w:marTop w:val="0"/>
          <w:marBottom w:val="0"/>
          <w:divBdr>
            <w:top w:val="none" w:sz="0" w:space="0" w:color="auto"/>
            <w:left w:val="none" w:sz="0" w:space="0" w:color="auto"/>
            <w:bottom w:val="none" w:sz="0" w:space="0" w:color="auto"/>
            <w:right w:val="none" w:sz="0" w:space="0" w:color="auto"/>
          </w:divBdr>
        </w:div>
      </w:divsChild>
    </w:div>
    <w:div w:id="115343590">
      <w:marLeft w:val="0"/>
      <w:marRight w:val="0"/>
      <w:marTop w:val="0"/>
      <w:marBottom w:val="240"/>
      <w:divBdr>
        <w:top w:val="none" w:sz="0" w:space="0" w:color="auto"/>
        <w:left w:val="none" w:sz="0" w:space="0" w:color="auto"/>
        <w:bottom w:val="none" w:sz="0" w:space="0" w:color="auto"/>
        <w:right w:val="none" w:sz="0" w:space="0" w:color="auto"/>
      </w:divBdr>
    </w:div>
    <w:div w:id="117455806">
      <w:marLeft w:val="0"/>
      <w:marRight w:val="0"/>
      <w:marTop w:val="0"/>
      <w:marBottom w:val="0"/>
      <w:divBdr>
        <w:top w:val="none" w:sz="0" w:space="0" w:color="auto"/>
        <w:left w:val="none" w:sz="0" w:space="0" w:color="auto"/>
        <w:bottom w:val="none" w:sz="0" w:space="0" w:color="auto"/>
        <w:right w:val="none" w:sz="0" w:space="0" w:color="auto"/>
      </w:divBdr>
      <w:divsChild>
        <w:div w:id="653873581">
          <w:marLeft w:val="0"/>
          <w:marRight w:val="0"/>
          <w:marTop w:val="0"/>
          <w:marBottom w:val="0"/>
          <w:divBdr>
            <w:top w:val="none" w:sz="0" w:space="0" w:color="auto"/>
            <w:left w:val="none" w:sz="0" w:space="0" w:color="auto"/>
            <w:bottom w:val="none" w:sz="0" w:space="0" w:color="auto"/>
            <w:right w:val="none" w:sz="0" w:space="0" w:color="auto"/>
          </w:divBdr>
        </w:div>
      </w:divsChild>
    </w:div>
    <w:div w:id="117458149">
      <w:marLeft w:val="0"/>
      <w:marRight w:val="0"/>
      <w:marTop w:val="120"/>
      <w:marBottom w:val="240"/>
      <w:divBdr>
        <w:top w:val="none" w:sz="0" w:space="0" w:color="auto"/>
        <w:left w:val="none" w:sz="0" w:space="0" w:color="auto"/>
        <w:bottom w:val="none" w:sz="0" w:space="0" w:color="auto"/>
        <w:right w:val="none" w:sz="0" w:space="0" w:color="auto"/>
      </w:divBdr>
    </w:div>
    <w:div w:id="117602649">
      <w:marLeft w:val="0"/>
      <w:marRight w:val="0"/>
      <w:marTop w:val="0"/>
      <w:marBottom w:val="240"/>
      <w:divBdr>
        <w:top w:val="none" w:sz="0" w:space="0" w:color="auto"/>
        <w:left w:val="none" w:sz="0" w:space="0" w:color="auto"/>
        <w:bottom w:val="none" w:sz="0" w:space="0" w:color="auto"/>
        <w:right w:val="none" w:sz="0" w:space="0" w:color="auto"/>
      </w:divBdr>
    </w:div>
    <w:div w:id="120346261">
      <w:marLeft w:val="0"/>
      <w:marRight w:val="0"/>
      <w:marTop w:val="0"/>
      <w:marBottom w:val="0"/>
      <w:divBdr>
        <w:top w:val="none" w:sz="0" w:space="0" w:color="auto"/>
        <w:left w:val="none" w:sz="0" w:space="0" w:color="auto"/>
        <w:bottom w:val="none" w:sz="0" w:space="0" w:color="auto"/>
        <w:right w:val="none" w:sz="0" w:space="0" w:color="auto"/>
      </w:divBdr>
    </w:div>
    <w:div w:id="121848964">
      <w:marLeft w:val="0"/>
      <w:marRight w:val="0"/>
      <w:marTop w:val="0"/>
      <w:marBottom w:val="240"/>
      <w:divBdr>
        <w:top w:val="none" w:sz="0" w:space="0" w:color="auto"/>
        <w:left w:val="none" w:sz="0" w:space="0" w:color="auto"/>
        <w:bottom w:val="none" w:sz="0" w:space="0" w:color="auto"/>
        <w:right w:val="none" w:sz="0" w:space="0" w:color="auto"/>
      </w:divBdr>
    </w:div>
    <w:div w:id="121970012">
      <w:marLeft w:val="0"/>
      <w:marRight w:val="0"/>
      <w:marTop w:val="0"/>
      <w:marBottom w:val="240"/>
      <w:divBdr>
        <w:top w:val="none" w:sz="0" w:space="0" w:color="auto"/>
        <w:left w:val="none" w:sz="0" w:space="0" w:color="auto"/>
        <w:bottom w:val="none" w:sz="0" w:space="0" w:color="auto"/>
        <w:right w:val="none" w:sz="0" w:space="0" w:color="auto"/>
      </w:divBdr>
    </w:div>
    <w:div w:id="123351692">
      <w:marLeft w:val="0"/>
      <w:marRight w:val="0"/>
      <w:marTop w:val="0"/>
      <w:marBottom w:val="0"/>
      <w:divBdr>
        <w:top w:val="none" w:sz="0" w:space="0" w:color="auto"/>
        <w:left w:val="none" w:sz="0" w:space="0" w:color="auto"/>
        <w:bottom w:val="none" w:sz="0" w:space="0" w:color="auto"/>
        <w:right w:val="none" w:sz="0" w:space="0" w:color="auto"/>
      </w:divBdr>
      <w:divsChild>
        <w:div w:id="992484311">
          <w:marLeft w:val="0"/>
          <w:marRight w:val="0"/>
          <w:marTop w:val="0"/>
          <w:marBottom w:val="0"/>
          <w:divBdr>
            <w:top w:val="none" w:sz="0" w:space="0" w:color="auto"/>
            <w:left w:val="none" w:sz="0" w:space="0" w:color="auto"/>
            <w:bottom w:val="none" w:sz="0" w:space="0" w:color="auto"/>
            <w:right w:val="none" w:sz="0" w:space="0" w:color="auto"/>
          </w:divBdr>
        </w:div>
      </w:divsChild>
    </w:div>
    <w:div w:id="126093513">
      <w:marLeft w:val="0"/>
      <w:marRight w:val="0"/>
      <w:marTop w:val="0"/>
      <w:marBottom w:val="240"/>
      <w:divBdr>
        <w:top w:val="none" w:sz="0" w:space="0" w:color="auto"/>
        <w:left w:val="none" w:sz="0" w:space="0" w:color="auto"/>
        <w:bottom w:val="none" w:sz="0" w:space="0" w:color="auto"/>
        <w:right w:val="none" w:sz="0" w:space="0" w:color="auto"/>
      </w:divBdr>
    </w:div>
    <w:div w:id="126363047">
      <w:marLeft w:val="0"/>
      <w:marRight w:val="0"/>
      <w:marTop w:val="0"/>
      <w:marBottom w:val="0"/>
      <w:divBdr>
        <w:top w:val="none" w:sz="0" w:space="0" w:color="auto"/>
        <w:left w:val="none" w:sz="0" w:space="0" w:color="auto"/>
        <w:bottom w:val="none" w:sz="0" w:space="0" w:color="auto"/>
        <w:right w:val="none" w:sz="0" w:space="0" w:color="auto"/>
      </w:divBdr>
      <w:divsChild>
        <w:div w:id="1282810496">
          <w:marLeft w:val="0"/>
          <w:marRight w:val="0"/>
          <w:marTop w:val="0"/>
          <w:marBottom w:val="0"/>
          <w:divBdr>
            <w:top w:val="none" w:sz="0" w:space="0" w:color="auto"/>
            <w:left w:val="none" w:sz="0" w:space="0" w:color="auto"/>
            <w:bottom w:val="none" w:sz="0" w:space="0" w:color="auto"/>
            <w:right w:val="none" w:sz="0" w:space="0" w:color="auto"/>
          </w:divBdr>
        </w:div>
      </w:divsChild>
    </w:div>
    <w:div w:id="128741565">
      <w:marLeft w:val="0"/>
      <w:marRight w:val="0"/>
      <w:marTop w:val="0"/>
      <w:marBottom w:val="120"/>
      <w:divBdr>
        <w:top w:val="none" w:sz="0" w:space="0" w:color="auto"/>
        <w:left w:val="none" w:sz="0" w:space="0" w:color="auto"/>
        <w:bottom w:val="none" w:sz="0" w:space="0" w:color="auto"/>
        <w:right w:val="none" w:sz="0" w:space="0" w:color="auto"/>
      </w:divBdr>
    </w:div>
    <w:div w:id="135148144">
      <w:marLeft w:val="0"/>
      <w:marRight w:val="0"/>
      <w:marTop w:val="0"/>
      <w:marBottom w:val="0"/>
      <w:divBdr>
        <w:top w:val="none" w:sz="0" w:space="0" w:color="auto"/>
        <w:left w:val="none" w:sz="0" w:space="0" w:color="auto"/>
        <w:bottom w:val="none" w:sz="0" w:space="0" w:color="auto"/>
        <w:right w:val="none" w:sz="0" w:space="0" w:color="auto"/>
      </w:divBdr>
      <w:divsChild>
        <w:div w:id="183205877">
          <w:marLeft w:val="0"/>
          <w:marRight w:val="0"/>
          <w:marTop w:val="0"/>
          <w:marBottom w:val="0"/>
          <w:divBdr>
            <w:top w:val="none" w:sz="0" w:space="0" w:color="auto"/>
            <w:left w:val="none" w:sz="0" w:space="0" w:color="auto"/>
            <w:bottom w:val="none" w:sz="0" w:space="0" w:color="auto"/>
            <w:right w:val="none" w:sz="0" w:space="0" w:color="auto"/>
          </w:divBdr>
        </w:div>
      </w:divsChild>
    </w:div>
    <w:div w:id="136267390">
      <w:marLeft w:val="0"/>
      <w:marRight w:val="0"/>
      <w:marTop w:val="240"/>
      <w:marBottom w:val="0"/>
      <w:divBdr>
        <w:top w:val="none" w:sz="0" w:space="0" w:color="auto"/>
        <w:left w:val="none" w:sz="0" w:space="0" w:color="auto"/>
        <w:bottom w:val="none" w:sz="0" w:space="0" w:color="auto"/>
        <w:right w:val="none" w:sz="0" w:space="0" w:color="auto"/>
      </w:divBdr>
    </w:div>
    <w:div w:id="138421657">
      <w:marLeft w:val="0"/>
      <w:marRight w:val="0"/>
      <w:marTop w:val="240"/>
      <w:marBottom w:val="0"/>
      <w:divBdr>
        <w:top w:val="none" w:sz="0" w:space="0" w:color="auto"/>
        <w:left w:val="none" w:sz="0" w:space="0" w:color="auto"/>
        <w:bottom w:val="none" w:sz="0" w:space="0" w:color="auto"/>
        <w:right w:val="none" w:sz="0" w:space="0" w:color="auto"/>
      </w:divBdr>
    </w:div>
    <w:div w:id="141508195">
      <w:marLeft w:val="0"/>
      <w:marRight w:val="0"/>
      <w:marTop w:val="0"/>
      <w:marBottom w:val="0"/>
      <w:divBdr>
        <w:top w:val="none" w:sz="0" w:space="0" w:color="auto"/>
        <w:left w:val="none" w:sz="0" w:space="0" w:color="auto"/>
        <w:bottom w:val="none" w:sz="0" w:space="0" w:color="auto"/>
        <w:right w:val="none" w:sz="0" w:space="0" w:color="auto"/>
      </w:divBdr>
      <w:divsChild>
        <w:div w:id="558398686">
          <w:marLeft w:val="0"/>
          <w:marRight w:val="0"/>
          <w:marTop w:val="0"/>
          <w:marBottom w:val="0"/>
          <w:divBdr>
            <w:top w:val="none" w:sz="0" w:space="0" w:color="auto"/>
            <w:left w:val="none" w:sz="0" w:space="0" w:color="auto"/>
            <w:bottom w:val="none" w:sz="0" w:space="0" w:color="auto"/>
            <w:right w:val="none" w:sz="0" w:space="0" w:color="auto"/>
          </w:divBdr>
        </w:div>
      </w:divsChild>
    </w:div>
    <w:div w:id="144932160">
      <w:marLeft w:val="0"/>
      <w:marRight w:val="0"/>
      <w:marTop w:val="0"/>
      <w:marBottom w:val="240"/>
      <w:divBdr>
        <w:top w:val="none" w:sz="0" w:space="0" w:color="auto"/>
        <w:left w:val="none" w:sz="0" w:space="0" w:color="auto"/>
        <w:bottom w:val="none" w:sz="0" w:space="0" w:color="auto"/>
        <w:right w:val="none" w:sz="0" w:space="0" w:color="auto"/>
      </w:divBdr>
    </w:div>
    <w:div w:id="145442349">
      <w:marLeft w:val="0"/>
      <w:marRight w:val="0"/>
      <w:marTop w:val="0"/>
      <w:marBottom w:val="0"/>
      <w:divBdr>
        <w:top w:val="none" w:sz="0" w:space="0" w:color="auto"/>
        <w:left w:val="none" w:sz="0" w:space="0" w:color="auto"/>
        <w:bottom w:val="none" w:sz="0" w:space="0" w:color="auto"/>
        <w:right w:val="none" w:sz="0" w:space="0" w:color="auto"/>
      </w:divBdr>
      <w:divsChild>
        <w:div w:id="1668434679">
          <w:marLeft w:val="0"/>
          <w:marRight w:val="0"/>
          <w:marTop w:val="0"/>
          <w:marBottom w:val="0"/>
          <w:divBdr>
            <w:top w:val="none" w:sz="0" w:space="0" w:color="auto"/>
            <w:left w:val="none" w:sz="0" w:space="0" w:color="auto"/>
            <w:bottom w:val="none" w:sz="0" w:space="0" w:color="auto"/>
            <w:right w:val="none" w:sz="0" w:space="0" w:color="auto"/>
          </w:divBdr>
        </w:div>
      </w:divsChild>
    </w:div>
    <w:div w:id="147861929">
      <w:marLeft w:val="0"/>
      <w:marRight w:val="0"/>
      <w:marTop w:val="0"/>
      <w:marBottom w:val="0"/>
      <w:divBdr>
        <w:top w:val="none" w:sz="0" w:space="0" w:color="auto"/>
        <w:left w:val="none" w:sz="0" w:space="0" w:color="auto"/>
        <w:bottom w:val="none" w:sz="0" w:space="0" w:color="auto"/>
        <w:right w:val="none" w:sz="0" w:space="0" w:color="auto"/>
      </w:divBdr>
    </w:div>
    <w:div w:id="149906875">
      <w:marLeft w:val="0"/>
      <w:marRight w:val="0"/>
      <w:marTop w:val="0"/>
      <w:marBottom w:val="240"/>
      <w:divBdr>
        <w:top w:val="none" w:sz="0" w:space="0" w:color="auto"/>
        <w:left w:val="none" w:sz="0" w:space="0" w:color="auto"/>
        <w:bottom w:val="none" w:sz="0" w:space="0" w:color="auto"/>
        <w:right w:val="none" w:sz="0" w:space="0" w:color="auto"/>
      </w:divBdr>
    </w:div>
    <w:div w:id="152792791">
      <w:marLeft w:val="0"/>
      <w:marRight w:val="0"/>
      <w:marTop w:val="0"/>
      <w:marBottom w:val="240"/>
      <w:divBdr>
        <w:top w:val="none" w:sz="0" w:space="0" w:color="auto"/>
        <w:left w:val="none" w:sz="0" w:space="0" w:color="auto"/>
        <w:bottom w:val="none" w:sz="0" w:space="0" w:color="auto"/>
        <w:right w:val="none" w:sz="0" w:space="0" w:color="auto"/>
      </w:divBdr>
    </w:div>
    <w:div w:id="152796931">
      <w:marLeft w:val="0"/>
      <w:marRight w:val="0"/>
      <w:marTop w:val="0"/>
      <w:marBottom w:val="0"/>
      <w:divBdr>
        <w:top w:val="none" w:sz="0" w:space="0" w:color="auto"/>
        <w:left w:val="none" w:sz="0" w:space="0" w:color="auto"/>
        <w:bottom w:val="none" w:sz="0" w:space="0" w:color="auto"/>
        <w:right w:val="none" w:sz="0" w:space="0" w:color="auto"/>
      </w:divBdr>
      <w:divsChild>
        <w:div w:id="555699175">
          <w:marLeft w:val="0"/>
          <w:marRight w:val="0"/>
          <w:marTop w:val="0"/>
          <w:marBottom w:val="0"/>
          <w:divBdr>
            <w:top w:val="none" w:sz="0" w:space="0" w:color="auto"/>
            <w:left w:val="none" w:sz="0" w:space="0" w:color="auto"/>
            <w:bottom w:val="none" w:sz="0" w:space="0" w:color="auto"/>
            <w:right w:val="none" w:sz="0" w:space="0" w:color="auto"/>
          </w:divBdr>
        </w:div>
      </w:divsChild>
    </w:div>
    <w:div w:id="157308573">
      <w:marLeft w:val="0"/>
      <w:marRight w:val="0"/>
      <w:marTop w:val="0"/>
      <w:marBottom w:val="120"/>
      <w:divBdr>
        <w:top w:val="none" w:sz="0" w:space="0" w:color="auto"/>
        <w:left w:val="none" w:sz="0" w:space="0" w:color="auto"/>
        <w:bottom w:val="none" w:sz="0" w:space="0" w:color="auto"/>
        <w:right w:val="none" w:sz="0" w:space="0" w:color="auto"/>
      </w:divBdr>
    </w:div>
    <w:div w:id="169754744">
      <w:marLeft w:val="0"/>
      <w:marRight w:val="0"/>
      <w:marTop w:val="0"/>
      <w:marBottom w:val="240"/>
      <w:divBdr>
        <w:top w:val="none" w:sz="0" w:space="0" w:color="auto"/>
        <w:left w:val="none" w:sz="0" w:space="0" w:color="auto"/>
        <w:bottom w:val="none" w:sz="0" w:space="0" w:color="auto"/>
        <w:right w:val="none" w:sz="0" w:space="0" w:color="auto"/>
      </w:divBdr>
    </w:div>
    <w:div w:id="170608762">
      <w:marLeft w:val="0"/>
      <w:marRight w:val="0"/>
      <w:marTop w:val="0"/>
      <w:marBottom w:val="240"/>
      <w:divBdr>
        <w:top w:val="none" w:sz="0" w:space="0" w:color="auto"/>
        <w:left w:val="none" w:sz="0" w:space="0" w:color="auto"/>
        <w:bottom w:val="none" w:sz="0" w:space="0" w:color="auto"/>
        <w:right w:val="none" w:sz="0" w:space="0" w:color="auto"/>
      </w:divBdr>
    </w:div>
    <w:div w:id="170996801">
      <w:marLeft w:val="0"/>
      <w:marRight w:val="0"/>
      <w:marTop w:val="0"/>
      <w:marBottom w:val="0"/>
      <w:divBdr>
        <w:top w:val="none" w:sz="0" w:space="0" w:color="auto"/>
        <w:left w:val="none" w:sz="0" w:space="0" w:color="auto"/>
        <w:bottom w:val="none" w:sz="0" w:space="0" w:color="auto"/>
        <w:right w:val="none" w:sz="0" w:space="0" w:color="auto"/>
      </w:divBdr>
    </w:div>
    <w:div w:id="171536237">
      <w:marLeft w:val="0"/>
      <w:marRight w:val="0"/>
      <w:marTop w:val="0"/>
      <w:marBottom w:val="240"/>
      <w:divBdr>
        <w:top w:val="none" w:sz="0" w:space="0" w:color="auto"/>
        <w:left w:val="none" w:sz="0" w:space="0" w:color="auto"/>
        <w:bottom w:val="none" w:sz="0" w:space="0" w:color="auto"/>
        <w:right w:val="none" w:sz="0" w:space="0" w:color="auto"/>
      </w:divBdr>
    </w:div>
    <w:div w:id="176235872">
      <w:marLeft w:val="0"/>
      <w:marRight w:val="0"/>
      <w:marTop w:val="0"/>
      <w:marBottom w:val="240"/>
      <w:divBdr>
        <w:top w:val="none" w:sz="0" w:space="0" w:color="auto"/>
        <w:left w:val="none" w:sz="0" w:space="0" w:color="auto"/>
        <w:bottom w:val="none" w:sz="0" w:space="0" w:color="auto"/>
        <w:right w:val="none" w:sz="0" w:space="0" w:color="auto"/>
      </w:divBdr>
    </w:div>
    <w:div w:id="177430255">
      <w:marLeft w:val="0"/>
      <w:marRight w:val="0"/>
      <w:marTop w:val="0"/>
      <w:marBottom w:val="240"/>
      <w:divBdr>
        <w:top w:val="none" w:sz="0" w:space="0" w:color="auto"/>
        <w:left w:val="none" w:sz="0" w:space="0" w:color="auto"/>
        <w:bottom w:val="none" w:sz="0" w:space="0" w:color="auto"/>
        <w:right w:val="none" w:sz="0" w:space="0" w:color="auto"/>
      </w:divBdr>
    </w:div>
    <w:div w:id="178128887">
      <w:marLeft w:val="0"/>
      <w:marRight w:val="0"/>
      <w:marTop w:val="0"/>
      <w:marBottom w:val="240"/>
      <w:divBdr>
        <w:top w:val="none" w:sz="0" w:space="0" w:color="auto"/>
        <w:left w:val="none" w:sz="0" w:space="0" w:color="auto"/>
        <w:bottom w:val="none" w:sz="0" w:space="0" w:color="auto"/>
        <w:right w:val="none" w:sz="0" w:space="0" w:color="auto"/>
      </w:divBdr>
    </w:div>
    <w:div w:id="182015514">
      <w:marLeft w:val="0"/>
      <w:marRight w:val="0"/>
      <w:marTop w:val="0"/>
      <w:marBottom w:val="240"/>
      <w:divBdr>
        <w:top w:val="none" w:sz="0" w:space="0" w:color="auto"/>
        <w:left w:val="none" w:sz="0" w:space="0" w:color="auto"/>
        <w:bottom w:val="none" w:sz="0" w:space="0" w:color="auto"/>
        <w:right w:val="none" w:sz="0" w:space="0" w:color="auto"/>
      </w:divBdr>
    </w:div>
    <w:div w:id="185169927">
      <w:marLeft w:val="0"/>
      <w:marRight w:val="0"/>
      <w:marTop w:val="0"/>
      <w:marBottom w:val="120"/>
      <w:divBdr>
        <w:top w:val="none" w:sz="0" w:space="0" w:color="auto"/>
        <w:left w:val="none" w:sz="0" w:space="0" w:color="auto"/>
        <w:bottom w:val="none" w:sz="0" w:space="0" w:color="auto"/>
        <w:right w:val="none" w:sz="0" w:space="0" w:color="auto"/>
      </w:divBdr>
    </w:div>
    <w:div w:id="189682800">
      <w:marLeft w:val="0"/>
      <w:marRight w:val="0"/>
      <w:marTop w:val="0"/>
      <w:marBottom w:val="240"/>
      <w:divBdr>
        <w:top w:val="none" w:sz="0" w:space="0" w:color="auto"/>
        <w:left w:val="none" w:sz="0" w:space="0" w:color="auto"/>
        <w:bottom w:val="none" w:sz="0" w:space="0" w:color="auto"/>
        <w:right w:val="none" w:sz="0" w:space="0" w:color="auto"/>
      </w:divBdr>
    </w:div>
    <w:div w:id="192503150">
      <w:marLeft w:val="0"/>
      <w:marRight w:val="0"/>
      <w:marTop w:val="0"/>
      <w:marBottom w:val="200"/>
      <w:divBdr>
        <w:top w:val="none" w:sz="0" w:space="0" w:color="auto"/>
        <w:left w:val="none" w:sz="0" w:space="0" w:color="auto"/>
        <w:bottom w:val="none" w:sz="0" w:space="0" w:color="auto"/>
        <w:right w:val="none" w:sz="0" w:space="0" w:color="auto"/>
      </w:divBdr>
    </w:div>
    <w:div w:id="202644973">
      <w:marLeft w:val="0"/>
      <w:marRight w:val="0"/>
      <w:marTop w:val="0"/>
      <w:marBottom w:val="240"/>
      <w:divBdr>
        <w:top w:val="none" w:sz="0" w:space="0" w:color="auto"/>
        <w:left w:val="none" w:sz="0" w:space="0" w:color="auto"/>
        <w:bottom w:val="none" w:sz="0" w:space="0" w:color="auto"/>
        <w:right w:val="none" w:sz="0" w:space="0" w:color="auto"/>
      </w:divBdr>
    </w:div>
    <w:div w:id="220409180">
      <w:marLeft w:val="0"/>
      <w:marRight w:val="0"/>
      <w:marTop w:val="0"/>
      <w:marBottom w:val="120"/>
      <w:divBdr>
        <w:top w:val="none" w:sz="0" w:space="0" w:color="auto"/>
        <w:left w:val="none" w:sz="0" w:space="0" w:color="auto"/>
        <w:bottom w:val="none" w:sz="0" w:space="0" w:color="auto"/>
        <w:right w:val="none" w:sz="0" w:space="0" w:color="auto"/>
      </w:divBdr>
    </w:div>
    <w:div w:id="221714154">
      <w:marLeft w:val="0"/>
      <w:marRight w:val="0"/>
      <w:marTop w:val="0"/>
      <w:marBottom w:val="240"/>
      <w:divBdr>
        <w:top w:val="none" w:sz="0" w:space="0" w:color="auto"/>
        <w:left w:val="none" w:sz="0" w:space="0" w:color="auto"/>
        <w:bottom w:val="none" w:sz="0" w:space="0" w:color="auto"/>
        <w:right w:val="none" w:sz="0" w:space="0" w:color="auto"/>
      </w:divBdr>
    </w:div>
    <w:div w:id="232660903">
      <w:marLeft w:val="0"/>
      <w:marRight w:val="0"/>
      <w:marTop w:val="0"/>
      <w:marBottom w:val="240"/>
      <w:divBdr>
        <w:top w:val="none" w:sz="0" w:space="0" w:color="auto"/>
        <w:left w:val="none" w:sz="0" w:space="0" w:color="auto"/>
        <w:bottom w:val="none" w:sz="0" w:space="0" w:color="auto"/>
        <w:right w:val="none" w:sz="0" w:space="0" w:color="auto"/>
      </w:divBdr>
    </w:div>
    <w:div w:id="232743572">
      <w:marLeft w:val="0"/>
      <w:marRight w:val="0"/>
      <w:marTop w:val="0"/>
      <w:marBottom w:val="240"/>
      <w:divBdr>
        <w:top w:val="none" w:sz="0" w:space="0" w:color="auto"/>
        <w:left w:val="none" w:sz="0" w:space="0" w:color="auto"/>
        <w:bottom w:val="none" w:sz="0" w:space="0" w:color="auto"/>
        <w:right w:val="none" w:sz="0" w:space="0" w:color="auto"/>
      </w:divBdr>
    </w:div>
    <w:div w:id="233661988">
      <w:marLeft w:val="0"/>
      <w:marRight w:val="0"/>
      <w:marTop w:val="0"/>
      <w:marBottom w:val="240"/>
      <w:divBdr>
        <w:top w:val="none" w:sz="0" w:space="0" w:color="auto"/>
        <w:left w:val="none" w:sz="0" w:space="0" w:color="auto"/>
        <w:bottom w:val="none" w:sz="0" w:space="0" w:color="auto"/>
        <w:right w:val="none" w:sz="0" w:space="0" w:color="auto"/>
      </w:divBdr>
    </w:div>
    <w:div w:id="238909660">
      <w:marLeft w:val="0"/>
      <w:marRight w:val="0"/>
      <w:marTop w:val="0"/>
      <w:marBottom w:val="240"/>
      <w:divBdr>
        <w:top w:val="none" w:sz="0" w:space="0" w:color="auto"/>
        <w:left w:val="none" w:sz="0" w:space="0" w:color="auto"/>
        <w:bottom w:val="none" w:sz="0" w:space="0" w:color="auto"/>
        <w:right w:val="none" w:sz="0" w:space="0" w:color="auto"/>
      </w:divBdr>
    </w:div>
    <w:div w:id="240022589">
      <w:marLeft w:val="0"/>
      <w:marRight w:val="0"/>
      <w:marTop w:val="0"/>
      <w:marBottom w:val="0"/>
      <w:divBdr>
        <w:top w:val="none" w:sz="0" w:space="0" w:color="auto"/>
        <w:left w:val="none" w:sz="0" w:space="0" w:color="auto"/>
        <w:bottom w:val="none" w:sz="0" w:space="0" w:color="auto"/>
        <w:right w:val="none" w:sz="0" w:space="0" w:color="auto"/>
      </w:divBdr>
      <w:divsChild>
        <w:div w:id="268395430">
          <w:marLeft w:val="0"/>
          <w:marRight w:val="0"/>
          <w:marTop w:val="0"/>
          <w:marBottom w:val="0"/>
          <w:divBdr>
            <w:top w:val="none" w:sz="0" w:space="0" w:color="auto"/>
            <w:left w:val="none" w:sz="0" w:space="0" w:color="auto"/>
            <w:bottom w:val="none" w:sz="0" w:space="0" w:color="auto"/>
            <w:right w:val="none" w:sz="0" w:space="0" w:color="auto"/>
          </w:divBdr>
        </w:div>
      </w:divsChild>
    </w:div>
    <w:div w:id="243926414">
      <w:marLeft w:val="0"/>
      <w:marRight w:val="0"/>
      <w:marTop w:val="0"/>
      <w:marBottom w:val="240"/>
      <w:divBdr>
        <w:top w:val="none" w:sz="0" w:space="0" w:color="auto"/>
        <w:left w:val="none" w:sz="0" w:space="0" w:color="auto"/>
        <w:bottom w:val="none" w:sz="0" w:space="0" w:color="auto"/>
        <w:right w:val="none" w:sz="0" w:space="0" w:color="auto"/>
      </w:divBdr>
    </w:div>
    <w:div w:id="249850791">
      <w:marLeft w:val="0"/>
      <w:marRight w:val="0"/>
      <w:marTop w:val="0"/>
      <w:marBottom w:val="0"/>
      <w:divBdr>
        <w:top w:val="none" w:sz="0" w:space="0" w:color="auto"/>
        <w:left w:val="none" w:sz="0" w:space="0" w:color="auto"/>
        <w:bottom w:val="none" w:sz="0" w:space="0" w:color="auto"/>
        <w:right w:val="none" w:sz="0" w:space="0" w:color="auto"/>
      </w:divBdr>
    </w:div>
    <w:div w:id="255210496">
      <w:marLeft w:val="0"/>
      <w:marRight w:val="0"/>
      <w:marTop w:val="0"/>
      <w:marBottom w:val="0"/>
      <w:divBdr>
        <w:top w:val="none" w:sz="0" w:space="0" w:color="auto"/>
        <w:left w:val="none" w:sz="0" w:space="0" w:color="auto"/>
        <w:bottom w:val="none" w:sz="0" w:space="0" w:color="auto"/>
        <w:right w:val="none" w:sz="0" w:space="0" w:color="auto"/>
      </w:divBdr>
    </w:div>
    <w:div w:id="255525096">
      <w:marLeft w:val="0"/>
      <w:marRight w:val="0"/>
      <w:marTop w:val="240"/>
      <w:marBottom w:val="240"/>
      <w:divBdr>
        <w:top w:val="none" w:sz="0" w:space="0" w:color="auto"/>
        <w:left w:val="none" w:sz="0" w:space="0" w:color="auto"/>
        <w:bottom w:val="none" w:sz="0" w:space="0" w:color="auto"/>
        <w:right w:val="none" w:sz="0" w:space="0" w:color="auto"/>
      </w:divBdr>
    </w:div>
    <w:div w:id="255673672">
      <w:marLeft w:val="0"/>
      <w:marRight w:val="0"/>
      <w:marTop w:val="0"/>
      <w:marBottom w:val="0"/>
      <w:divBdr>
        <w:top w:val="none" w:sz="0" w:space="0" w:color="auto"/>
        <w:left w:val="none" w:sz="0" w:space="0" w:color="auto"/>
        <w:bottom w:val="none" w:sz="0" w:space="0" w:color="auto"/>
        <w:right w:val="none" w:sz="0" w:space="0" w:color="auto"/>
      </w:divBdr>
      <w:divsChild>
        <w:div w:id="1171486562">
          <w:marLeft w:val="0"/>
          <w:marRight w:val="0"/>
          <w:marTop w:val="0"/>
          <w:marBottom w:val="0"/>
          <w:divBdr>
            <w:top w:val="none" w:sz="0" w:space="0" w:color="auto"/>
            <w:left w:val="none" w:sz="0" w:space="0" w:color="auto"/>
            <w:bottom w:val="none" w:sz="0" w:space="0" w:color="auto"/>
            <w:right w:val="none" w:sz="0" w:space="0" w:color="auto"/>
          </w:divBdr>
        </w:div>
      </w:divsChild>
    </w:div>
    <w:div w:id="260991181">
      <w:marLeft w:val="0"/>
      <w:marRight w:val="0"/>
      <w:marTop w:val="0"/>
      <w:marBottom w:val="240"/>
      <w:divBdr>
        <w:top w:val="none" w:sz="0" w:space="0" w:color="auto"/>
        <w:left w:val="none" w:sz="0" w:space="0" w:color="auto"/>
        <w:bottom w:val="none" w:sz="0" w:space="0" w:color="auto"/>
        <w:right w:val="none" w:sz="0" w:space="0" w:color="auto"/>
      </w:divBdr>
    </w:div>
    <w:div w:id="266039220">
      <w:marLeft w:val="0"/>
      <w:marRight w:val="0"/>
      <w:marTop w:val="0"/>
      <w:marBottom w:val="0"/>
      <w:divBdr>
        <w:top w:val="none" w:sz="0" w:space="0" w:color="auto"/>
        <w:left w:val="none" w:sz="0" w:space="0" w:color="auto"/>
        <w:bottom w:val="none" w:sz="0" w:space="0" w:color="auto"/>
        <w:right w:val="none" w:sz="0" w:space="0" w:color="auto"/>
      </w:divBdr>
      <w:divsChild>
        <w:div w:id="712463486">
          <w:marLeft w:val="0"/>
          <w:marRight w:val="0"/>
          <w:marTop w:val="0"/>
          <w:marBottom w:val="0"/>
          <w:divBdr>
            <w:top w:val="none" w:sz="0" w:space="0" w:color="auto"/>
            <w:left w:val="none" w:sz="0" w:space="0" w:color="auto"/>
            <w:bottom w:val="none" w:sz="0" w:space="0" w:color="auto"/>
            <w:right w:val="none" w:sz="0" w:space="0" w:color="auto"/>
          </w:divBdr>
        </w:div>
      </w:divsChild>
    </w:div>
    <w:div w:id="266087665">
      <w:marLeft w:val="0"/>
      <w:marRight w:val="0"/>
      <w:marTop w:val="0"/>
      <w:marBottom w:val="240"/>
      <w:divBdr>
        <w:top w:val="none" w:sz="0" w:space="0" w:color="auto"/>
        <w:left w:val="none" w:sz="0" w:space="0" w:color="auto"/>
        <w:bottom w:val="none" w:sz="0" w:space="0" w:color="auto"/>
        <w:right w:val="none" w:sz="0" w:space="0" w:color="auto"/>
      </w:divBdr>
    </w:div>
    <w:div w:id="267591629">
      <w:marLeft w:val="0"/>
      <w:marRight w:val="0"/>
      <w:marTop w:val="0"/>
      <w:marBottom w:val="240"/>
      <w:divBdr>
        <w:top w:val="none" w:sz="0" w:space="0" w:color="auto"/>
        <w:left w:val="none" w:sz="0" w:space="0" w:color="auto"/>
        <w:bottom w:val="none" w:sz="0" w:space="0" w:color="auto"/>
        <w:right w:val="none" w:sz="0" w:space="0" w:color="auto"/>
      </w:divBdr>
    </w:div>
    <w:div w:id="275792484">
      <w:marLeft w:val="0"/>
      <w:marRight w:val="0"/>
      <w:marTop w:val="240"/>
      <w:marBottom w:val="240"/>
      <w:divBdr>
        <w:top w:val="none" w:sz="0" w:space="0" w:color="auto"/>
        <w:left w:val="none" w:sz="0" w:space="0" w:color="auto"/>
        <w:bottom w:val="none" w:sz="0" w:space="0" w:color="auto"/>
        <w:right w:val="none" w:sz="0" w:space="0" w:color="auto"/>
      </w:divBdr>
    </w:div>
    <w:div w:id="280192024">
      <w:marLeft w:val="0"/>
      <w:marRight w:val="0"/>
      <w:marTop w:val="240"/>
      <w:marBottom w:val="0"/>
      <w:divBdr>
        <w:top w:val="none" w:sz="0" w:space="0" w:color="auto"/>
        <w:left w:val="none" w:sz="0" w:space="0" w:color="auto"/>
        <w:bottom w:val="none" w:sz="0" w:space="0" w:color="auto"/>
        <w:right w:val="none" w:sz="0" w:space="0" w:color="auto"/>
      </w:divBdr>
    </w:div>
    <w:div w:id="284233184">
      <w:marLeft w:val="0"/>
      <w:marRight w:val="0"/>
      <w:marTop w:val="0"/>
      <w:marBottom w:val="0"/>
      <w:divBdr>
        <w:top w:val="none" w:sz="0" w:space="0" w:color="auto"/>
        <w:left w:val="none" w:sz="0" w:space="0" w:color="auto"/>
        <w:bottom w:val="none" w:sz="0" w:space="0" w:color="auto"/>
        <w:right w:val="none" w:sz="0" w:space="0" w:color="auto"/>
      </w:divBdr>
    </w:div>
    <w:div w:id="286621245">
      <w:marLeft w:val="0"/>
      <w:marRight w:val="0"/>
      <w:marTop w:val="0"/>
      <w:marBottom w:val="240"/>
      <w:divBdr>
        <w:top w:val="none" w:sz="0" w:space="0" w:color="auto"/>
        <w:left w:val="none" w:sz="0" w:space="0" w:color="auto"/>
        <w:bottom w:val="none" w:sz="0" w:space="0" w:color="auto"/>
        <w:right w:val="none" w:sz="0" w:space="0" w:color="auto"/>
      </w:divBdr>
    </w:div>
    <w:div w:id="287587688">
      <w:marLeft w:val="0"/>
      <w:marRight w:val="0"/>
      <w:marTop w:val="0"/>
      <w:marBottom w:val="0"/>
      <w:divBdr>
        <w:top w:val="none" w:sz="0" w:space="0" w:color="auto"/>
        <w:left w:val="none" w:sz="0" w:space="0" w:color="auto"/>
        <w:bottom w:val="none" w:sz="0" w:space="0" w:color="auto"/>
        <w:right w:val="none" w:sz="0" w:space="0" w:color="auto"/>
      </w:divBdr>
    </w:div>
    <w:div w:id="288168334">
      <w:marLeft w:val="0"/>
      <w:marRight w:val="0"/>
      <w:marTop w:val="240"/>
      <w:marBottom w:val="240"/>
      <w:divBdr>
        <w:top w:val="none" w:sz="0" w:space="0" w:color="auto"/>
        <w:left w:val="none" w:sz="0" w:space="0" w:color="auto"/>
        <w:bottom w:val="none" w:sz="0" w:space="0" w:color="auto"/>
        <w:right w:val="none" w:sz="0" w:space="0" w:color="auto"/>
      </w:divBdr>
    </w:div>
    <w:div w:id="291787139">
      <w:marLeft w:val="0"/>
      <w:marRight w:val="0"/>
      <w:marTop w:val="0"/>
      <w:marBottom w:val="0"/>
      <w:divBdr>
        <w:top w:val="none" w:sz="0" w:space="0" w:color="auto"/>
        <w:left w:val="none" w:sz="0" w:space="0" w:color="auto"/>
        <w:bottom w:val="none" w:sz="0" w:space="0" w:color="auto"/>
        <w:right w:val="none" w:sz="0" w:space="0" w:color="auto"/>
      </w:divBdr>
    </w:div>
    <w:div w:id="300306654">
      <w:marLeft w:val="0"/>
      <w:marRight w:val="0"/>
      <w:marTop w:val="0"/>
      <w:marBottom w:val="240"/>
      <w:divBdr>
        <w:top w:val="none" w:sz="0" w:space="0" w:color="auto"/>
        <w:left w:val="none" w:sz="0" w:space="0" w:color="auto"/>
        <w:bottom w:val="none" w:sz="0" w:space="0" w:color="auto"/>
        <w:right w:val="none" w:sz="0" w:space="0" w:color="auto"/>
      </w:divBdr>
    </w:div>
    <w:div w:id="304165691">
      <w:marLeft w:val="0"/>
      <w:marRight w:val="0"/>
      <w:marTop w:val="240"/>
      <w:marBottom w:val="240"/>
      <w:divBdr>
        <w:top w:val="none" w:sz="0" w:space="0" w:color="auto"/>
        <w:left w:val="none" w:sz="0" w:space="0" w:color="auto"/>
        <w:bottom w:val="none" w:sz="0" w:space="0" w:color="auto"/>
        <w:right w:val="none" w:sz="0" w:space="0" w:color="auto"/>
      </w:divBdr>
    </w:div>
    <w:div w:id="305475840">
      <w:marLeft w:val="0"/>
      <w:marRight w:val="0"/>
      <w:marTop w:val="0"/>
      <w:marBottom w:val="240"/>
      <w:divBdr>
        <w:top w:val="none" w:sz="0" w:space="0" w:color="auto"/>
        <w:left w:val="none" w:sz="0" w:space="0" w:color="auto"/>
        <w:bottom w:val="none" w:sz="0" w:space="0" w:color="auto"/>
        <w:right w:val="none" w:sz="0" w:space="0" w:color="auto"/>
      </w:divBdr>
    </w:div>
    <w:div w:id="305739092">
      <w:marLeft w:val="0"/>
      <w:marRight w:val="0"/>
      <w:marTop w:val="240"/>
      <w:marBottom w:val="240"/>
      <w:divBdr>
        <w:top w:val="none" w:sz="0" w:space="0" w:color="auto"/>
        <w:left w:val="none" w:sz="0" w:space="0" w:color="auto"/>
        <w:bottom w:val="none" w:sz="0" w:space="0" w:color="auto"/>
        <w:right w:val="none" w:sz="0" w:space="0" w:color="auto"/>
      </w:divBdr>
    </w:div>
    <w:div w:id="307630500">
      <w:marLeft w:val="0"/>
      <w:marRight w:val="0"/>
      <w:marTop w:val="240"/>
      <w:marBottom w:val="240"/>
      <w:divBdr>
        <w:top w:val="none" w:sz="0" w:space="0" w:color="auto"/>
        <w:left w:val="none" w:sz="0" w:space="0" w:color="auto"/>
        <w:bottom w:val="none" w:sz="0" w:space="0" w:color="auto"/>
        <w:right w:val="none" w:sz="0" w:space="0" w:color="auto"/>
      </w:divBdr>
    </w:div>
    <w:div w:id="314720239">
      <w:marLeft w:val="0"/>
      <w:marRight w:val="0"/>
      <w:marTop w:val="0"/>
      <w:marBottom w:val="240"/>
      <w:divBdr>
        <w:top w:val="none" w:sz="0" w:space="0" w:color="auto"/>
        <w:left w:val="none" w:sz="0" w:space="0" w:color="auto"/>
        <w:bottom w:val="none" w:sz="0" w:space="0" w:color="auto"/>
        <w:right w:val="none" w:sz="0" w:space="0" w:color="auto"/>
      </w:divBdr>
    </w:div>
    <w:div w:id="318778249">
      <w:marLeft w:val="0"/>
      <w:marRight w:val="0"/>
      <w:marTop w:val="0"/>
      <w:marBottom w:val="240"/>
      <w:divBdr>
        <w:top w:val="none" w:sz="0" w:space="0" w:color="auto"/>
        <w:left w:val="none" w:sz="0" w:space="0" w:color="auto"/>
        <w:bottom w:val="none" w:sz="0" w:space="0" w:color="auto"/>
        <w:right w:val="none" w:sz="0" w:space="0" w:color="auto"/>
      </w:divBdr>
    </w:div>
    <w:div w:id="319190259">
      <w:marLeft w:val="0"/>
      <w:marRight w:val="0"/>
      <w:marTop w:val="0"/>
      <w:marBottom w:val="240"/>
      <w:divBdr>
        <w:top w:val="none" w:sz="0" w:space="0" w:color="auto"/>
        <w:left w:val="none" w:sz="0" w:space="0" w:color="auto"/>
        <w:bottom w:val="none" w:sz="0" w:space="0" w:color="auto"/>
        <w:right w:val="none" w:sz="0" w:space="0" w:color="auto"/>
      </w:divBdr>
    </w:div>
    <w:div w:id="321473729">
      <w:marLeft w:val="0"/>
      <w:marRight w:val="0"/>
      <w:marTop w:val="0"/>
      <w:marBottom w:val="240"/>
      <w:divBdr>
        <w:top w:val="none" w:sz="0" w:space="0" w:color="auto"/>
        <w:left w:val="none" w:sz="0" w:space="0" w:color="auto"/>
        <w:bottom w:val="none" w:sz="0" w:space="0" w:color="auto"/>
        <w:right w:val="none" w:sz="0" w:space="0" w:color="auto"/>
      </w:divBdr>
    </w:div>
    <w:div w:id="321854953">
      <w:marLeft w:val="0"/>
      <w:marRight w:val="0"/>
      <w:marTop w:val="0"/>
      <w:marBottom w:val="0"/>
      <w:divBdr>
        <w:top w:val="none" w:sz="0" w:space="0" w:color="auto"/>
        <w:left w:val="none" w:sz="0" w:space="0" w:color="auto"/>
        <w:bottom w:val="none" w:sz="0" w:space="0" w:color="auto"/>
        <w:right w:val="none" w:sz="0" w:space="0" w:color="auto"/>
      </w:divBdr>
      <w:divsChild>
        <w:div w:id="1699626592">
          <w:marLeft w:val="0"/>
          <w:marRight w:val="0"/>
          <w:marTop w:val="0"/>
          <w:marBottom w:val="0"/>
          <w:divBdr>
            <w:top w:val="none" w:sz="0" w:space="0" w:color="auto"/>
            <w:left w:val="none" w:sz="0" w:space="0" w:color="auto"/>
            <w:bottom w:val="none" w:sz="0" w:space="0" w:color="auto"/>
            <w:right w:val="none" w:sz="0" w:space="0" w:color="auto"/>
          </w:divBdr>
        </w:div>
      </w:divsChild>
    </w:div>
    <w:div w:id="328293513">
      <w:marLeft w:val="0"/>
      <w:marRight w:val="0"/>
      <w:marTop w:val="0"/>
      <w:marBottom w:val="0"/>
      <w:divBdr>
        <w:top w:val="none" w:sz="0" w:space="0" w:color="auto"/>
        <w:left w:val="none" w:sz="0" w:space="0" w:color="auto"/>
        <w:bottom w:val="none" w:sz="0" w:space="0" w:color="auto"/>
        <w:right w:val="none" w:sz="0" w:space="0" w:color="auto"/>
      </w:divBdr>
    </w:div>
    <w:div w:id="341783588">
      <w:marLeft w:val="0"/>
      <w:marRight w:val="0"/>
      <w:marTop w:val="0"/>
      <w:marBottom w:val="0"/>
      <w:divBdr>
        <w:top w:val="none" w:sz="0" w:space="0" w:color="auto"/>
        <w:left w:val="none" w:sz="0" w:space="0" w:color="auto"/>
        <w:bottom w:val="none" w:sz="0" w:space="0" w:color="auto"/>
        <w:right w:val="none" w:sz="0" w:space="0" w:color="auto"/>
      </w:divBdr>
    </w:div>
    <w:div w:id="348027091">
      <w:marLeft w:val="0"/>
      <w:marRight w:val="0"/>
      <w:marTop w:val="0"/>
      <w:marBottom w:val="240"/>
      <w:divBdr>
        <w:top w:val="none" w:sz="0" w:space="0" w:color="auto"/>
        <w:left w:val="none" w:sz="0" w:space="0" w:color="auto"/>
        <w:bottom w:val="none" w:sz="0" w:space="0" w:color="auto"/>
        <w:right w:val="none" w:sz="0" w:space="0" w:color="auto"/>
      </w:divBdr>
    </w:div>
    <w:div w:id="348995923">
      <w:marLeft w:val="0"/>
      <w:marRight w:val="0"/>
      <w:marTop w:val="0"/>
      <w:marBottom w:val="0"/>
      <w:divBdr>
        <w:top w:val="none" w:sz="0" w:space="0" w:color="auto"/>
        <w:left w:val="none" w:sz="0" w:space="0" w:color="auto"/>
        <w:bottom w:val="none" w:sz="0" w:space="0" w:color="auto"/>
        <w:right w:val="none" w:sz="0" w:space="0" w:color="auto"/>
      </w:divBdr>
      <w:divsChild>
        <w:div w:id="1899778731">
          <w:marLeft w:val="0"/>
          <w:marRight w:val="0"/>
          <w:marTop w:val="0"/>
          <w:marBottom w:val="0"/>
          <w:divBdr>
            <w:top w:val="none" w:sz="0" w:space="0" w:color="auto"/>
            <w:left w:val="none" w:sz="0" w:space="0" w:color="auto"/>
            <w:bottom w:val="none" w:sz="0" w:space="0" w:color="auto"/>
            <w:right w:val="none" w:sz="0" w:space="0" w:color="auto"/>
          </w:divBdr>
        </w:div>
      </w:divsChild>
    </w:div>
    <w:div w:id="355353566">
      <w:marLeft w:val="0"/>
      <w:marRight w:val="0"/>
      <w:marTop w:val="0"/>
      <w:marBottom w:val="240"/>
      <w:divBdr>
        <w:top w:val="none" w:sz="0" w:space="0" w:color="auto"/>
        <w:left w:val="none" w:sz="0" w:space="0" w:color="auto"/>
        <w:bottom w:val="none" w:sz="0" w:space="0" w:color="auto"/>
        <w:right w:val="none" w:sz="0" w:space="0" w:color="auto"/>
      </w:divBdr>
    </w:div>
    <w:div w:id="357854351">
      <w:marLeft w:val="0"/>
      <w:marRight w:val="0"/>
      <w:marTop w:val="0"/>
      <w:marBottom w:val="240"/>
      <w:divBdr>
        <w:top w:val="none" w:sz="0" w:space="0" w:color="auto"/>
        <w:left w:val="none" w:sz="0" w:space="0" w:color="auto"/>
        <w:bottom w:val="none" w:sz="0" w:space="0" w:color="auto"/>
        <w:right w:val="none" w:sz="0" w:space="0" w:color="auto"/>
      </w:divBdr>
    </w:div>
    <w:div w:id="359554035">
      <w:marLeft w:val="0"/>
      <w:marRight w:val="0"/>
      <w:marTop w:val="0"/>
      <w:marBottom w:val="0"/>
      <w:divBdr>
        <w:top w:val="none" w:sz="0" w:space="0" w:color="auto"/>
        <w:left w:val="none" w:sz="0" w:space="0" w:color="auto"/>
        <w:bottom w:val="none" w:sz="0" w:space="0" w:color="auto"/>
        <w:right w:val="none" w:sz="0" w:space="0" w:color="auto"/>
      </w:divBdr>
    </w:div>
    <w:div w:id="360322256">
      <w:marLeft w:val="0"/>
      <w:marRight w:val="0"/>
      <w:marTop w:val="0"/>
      <w:marBottom w:val="240"/>
      <w:divBdr>
        <w:top w:val="none" w:sz="0" w:space="0" w:color="auto"/>
        <w:left w:val="none" w:sz="0" w:space="0" w:color="auto"/>
        <w:bottom w:val="none" w:sz="0" w:space="0" w:color="auto"/>
        <w:right w:val="none" w:sz="0" w:space="0" w:color="auto"/>
      </w:divBdr>
    </w:div>
    <w:div w:id="362903987">
      <w:marLeft w:val="0"/>
      <w:marRight w:val="0"/>
      <w:marTop w:val="0"/>
      <w:marBottom w:val="240"/>
      <w:divBdr>
        <w:top w:val="none" w:sz="0" w:space="0" w:color="auto"/>
        <w:left w:val="none" w:sz="0" w:space="0" w:color="auto"/>
        <w:bottom w:val="none" w:sz="0" w:space="0" w:color="auto"/>
        <w:right w:val="none" w:sz="0" w:space="0" w:color="auto"/>
      </w:divBdr>
    </w:div>
    <w:div w:id="374163541">
      <w:marLeft w:val="0"/>
      <w:marRight w:val="0"/>
      <w:marTop w:val="120"/>
      <w:marBottom w:val="0"/>
      <w:divBdr>
        <w:top w:val="none" w:sz="0" w:space="0" w:color="auto"/>
        <w:left w:val="none" w:sz="0" w:space="0" w:color="auto"/>
        <w:bottom w:val="none" w:sz="0" w:space="0" w:color="auto"/>
        <w:right w:val="none" w:sz="0" w:space="0" w:color="auto"/>
      </w:divBdr>
    </w:div>
    <w:div w:id="375012048">
      <w:marLeft w:val="0"/>
      <w:marRight w:val="0"/>
      <w:marTop w:val="0"/>
      <w:marBottom w:val="0"/>
      <w:divBdr>
        <w:top w:val="none" w:sz="0" w:space="0" w:color="auto"/>
        <w:left w:val="none" w:sz="0" w:space="0" w:color="auto"/>
        <w:bottom w:val="none" w:sz="0" w:space="0" w:color="auto"/>
        <w:right w:val="none" w:sz="0" w:space="0" w:color="auto"/>
      </w:divBdr>
      <w:divsChild>
        <w:div w:id="1769618920">
          <w:marLeft w:val="0"/>
          <w:marRight w:val="0"/>
          <w:marTop w:val="0"/>
          <w:marBottom w:val="0"/>
          <w:divBdr>
            <w:top w:val="none" w:sz="0" w:space="0" w:color="auto"/>
            <w:left w:val="none" w:sz="0" w:space="0" w:color="auto"/>
            <w:bottom w:val="none" w:sz="0" w:space="0" w:color="auto"/>
            <w:right w:val="none" w:sz="0" w:space="0" w:color="auto"/>
          </w:divBdr>
        </w:div>
      </w:divsChild>
    </w:div>
    <w:div w:id="376049445">
      <w:marLeft w:val="0"/>
      <w:marRight w:val="0"/>
      <w:marTop w:val="0"/>
      <w:marBottom w:val="0"/>
      <w:divBdr>
        <w:top w:val="none" w:sz="0" w:space="0" w:color="auto"/>
        <w:left w:val="none" w:sz="0" w:space="0" w:color="auto"/>
        <w:bottom w:val="none" w:sz="0" w:space="0" w:color="auto"/>
        <w:right w:val="none" w:sz="0" w:space="0" w:color="auto"/>
      </w:divBdr>
    </w:div>
    <w:div w:id="378095706">
      <w:marLeft w:val="0"/>
      <w:marRight w:val="0"/>
      <w:marTop w:val="0"/>
      <w:marBottom w:val="0"/>
      <w:divBdr>
        <w:top w:val="none" w:sz="0" w:space="0" w:color="auto"/>
        <w:left w:val="none" w:sz="0" w:space="0" w:color="auto"/>
        <w:bottom w:val="none" w:sz="0" w:space="0" w:color="auto"/>
        <w:right w:val="none" w:sz="0" w:space="0" w:color="auto"/>
      </w:divBdr>
    </w:div>
    <w:div w:id="378943511">
      <w:marLeft w:val="0"/>
      <w:marRight w:val="0"/>
      <w:marTop w:val="240"/>
      <w:marBottom w:val="240"/>
      <w:divBdr>
        <w:top w:val="none" w:sz="0" w:space="0" w:color="auto"/>
        <w:left w:val="none" w:sz="0" w:space="0" w:color="auto"/>
        <w:bottom w:val="none" w:sz="0" w:space="0" w:color="auto"/>
        <w:right w:val="none" w:sz="0" w:space="0" w:color="auto"/>
      </w:divBdr>
    </w:div>
    <w:div w:id="385181361">
      <w:marLeft w:val="0"/>
      <w:marRight w:val="0"/>
      <w:marTop w:val="0"/>
      <w:marBottom w:val="240"/>
      <w:divBdr>
        <w:top w:val="none" w:sz="0" w:space="0" w:color="auto"/>
        <w:left w:val="none" w:sz="0" w:space="0" w:color="auto"/>
        <w:bottom w:val="none" w:sz="0" w:space="0" w:color="auto"/>
        <w:right w:val="none" w:sz="0" w:space="0" w:color="auto"/>
      </w:divBdr>
    </w:div>
    <w:div w:id="386490735">
      <w:marLeft w:val="0"/>
      <w:marRight w:val="0"/>
      <w:marTop w:val="0"/>
      <w:marBottom w:val="240"/>
      <w:divBdr>
        <w:top w:val="none" w:sz="0" w:space="0" w:color="auto"/>
        <w:left w:val="none" w:sz="0" w:space="0" w:color="auto"/>
        <w:bottom w:val="none" w:sz="0" w:space="0" w:color="auto"/>
        <w:right w:val="none" w:sz="0" w:space="0" w:color="auto"/>
      </w:divBdr>
    </w:div>
    <w:div w:id="397870871">
      <w:marLeft w:val="0"/>
      <w:marRight w:val="0"/>
      <w:marTop w:val="0"/>
      <w:marBottom w:val="120"/>
      <w:divBdr>
        <w:top w:val="none" w:sz="0" w:space="0" w:color="auto"/>
        <w:left w:val="none" w:sz="0" w:space="0" w:color="auto"/>
        <w:bottom w:val="none" w:sz="0" w:space="0" w:color="auto"/>
        <w:right w:val="none" w:sz="0" w:space="0" w:color="auto"/>
      </w:divBdr>
    </w:div>
    <w:div w:id="397898176">
      <w:marLeft w:val="0"/>
      <w:marRight w:val="0"/>
      <w:marTop w:val="0"/>
      <w:marBottom w:val="120"/>
      <w:divBdr>
        <w:top w:val="none" w:sz="0" w:space="0" w:color="auto"/>
        <w:left w:val="none" w:sz="0" w:space="0" w:color="auto"/>
        <w:bottom w:val="none" w:sz="0" w:space="0" w:color="auto"/>
        <w:right w:val="none" w:sz="0" w:space="0" w:color="auto"/>
      </w:divBdr>
    </w:div>
    <w:div w:id="411464052">
      <w:marLeft w:val="0"/>
      <w:marRight w:val="0"/>
      <w:marTop w:val="0"/>
      <w:marBottom w:val="240"/>
      <w:divBdr>
        <w:top w:val="none" w:sz="0" w:space="0" w:color="auto"/>
        <w:left w:val="none" w:sz="0" w:space="0" w:color="auto"/>
        <w:bottom w:val="none" w:sz="0" w:space="0" w:color="auto"/>
        <w:right w:val="none" w:sz="0" w:space="0" w:color="auto"/>
      </w:divBdr>
    </w:div>
    <w:div w:id="412047220">
      <w:marLeft w:val="0"/>
      <w:marRight w:val="0"/>
      <w:marTop w:val="0"/>
      <w:marBottom w:val="240"/>
      <w:divBdr>
        <w:top w:val="none" w:sz="0" w:space="0" w:color="auto"/>
        <w:left w:val="none" w:sz="0" w:space="0" w:color="auto"/>
        <w:bottom w:val="none" w:sz="0" w:space="0" w:color="auto"/>
        <w:right w:val="none" w:sz="0" w:space="0" w:color="auto"/>
      </w:divBdr>
    </w:div>
    <w:div w:id="420444077">
      <w:marLeft w:val="0"/>
      <w:marRight w:val="0"/>
      <w:marTop w:val="240"/>
      <w:marBottom w:val="0"/>
      <w:divBdr>
        <w:top w:val="none" w:sz="0" w:space="0" w:color="auto"/>
        <w:left w:val="none" w:sz="0" w:space="0" w:color="auto"/>
        <w:bottom w:val="none" w:sz="0" w:space="0" w:color="auto"/>
        <w:right w:val="none" w:sz="0" w:space="0" w:color="auto"/>
      </w:divBdr>
    </w:div>
    <w:div w:id="423768437">
      <w:marLeft w:val="0"/>
      <w:marRight w:val="0"/>
      <w:marTop w:val="0"/>
      <w:marBottom w:val="120"/>
      <w:divBdr>
        <w:top w:val="none" w:sz="0" w:space="0" w:color="auto"/>
        <w:left w:val="none" w:sz="0" w:space="0" w:color="auto"/>
        <w:bottom w:val="none" w:sz="0" w:space="0" w:color="auto"/>
        <w:right w:val="none" w:sz="0" w:space="0" w:color="auto"/>
      </w:divBdr>
    </w:div>
    <w:div w:id="430050896">
      <w:marLeft w:val="0"/>
      <w:marRight w:val="0"/>
      <w:marTop w:val="0"/>
      <w:marBottom w:val="240"/>
      <w:divBdr>
        <w:top w:val="none" w:sz="0" w:space="0" w:color="auto"/>
        <w:left w:val="none" w:sz="0" w:space="0" w:color="auto"/>
        <w:bottom w:val="none" w:sz="0" w:space="0" w:color="auto"/>
        <w:right w:val="none" w:sz="0" w:space="0" w:color="auto"/>
      </w:divBdr>
    </w:div>
    <w:div w:id="433062831">
      <w:marLeft w:val="0"/>
      <w:marRight w:val="0"/>
      <w:marTop w:val="0"/>
      <w:marBottom w:val="20"/>
      <w:divBdr>
        <w:top w:val="none" w:sz="0" w:space="0" w:color="auto"/>
        <w:left w:val="none" w:sz="0" w:space="0" w:color="auto"/>
        <w:bottom w:val="none" w:sz="0" w:space="0" w:color="auto"/>
        <w:right w:val="none" w:sz="0" w:space="0" w:color="auto"/>
      </w:divBdr>
    </w:div>
    <w:div w:id="434518881">
      <w:marLeft w:val="0"/>
      <w:marRight w:val="0"/>
      <w:marTop w:val="0"/>
      <w:marBottom w:val="0"/>
      <w:divBdr>
        <w:top w:val="none" w:sz="0" w:space="0" w:color="auto"/>
        <w:left w:val="none" w:sz="0" w:space="0" w:color="auto"/>
        <w:bottom w:val="none" w:sz="0" w:space="0" w:color="auto"/>
        <w:right w:val="none" w:sz="0" w:space="0" w:color="auto"/>
      </w:divBdr>
    </w:div>
    <w:div w:id="435634411">
      <w:marLeft w:val="0"/>
      <w:marRight w:val="0"/>
      <w:marTop w:val="0"/>
      <w:marBottom w:val="0"/>
      <w:divBdr>
        <w:top w:val="none" w:sz="0" w:space="0" w:color="auto"/>
        <w:left w:val="none" w:sz="0" w:space="0" w:color="auto"/>
        <w:bottom w:val="none" w:sz="0" w:space="0" w:color="auto"/>
        <w:right w:val="none" w:sz="0" w:space="0" w:color="auto"/>
      </w:divBdr>
      <w:divsChild>
        <w:div w:id="1959339131">
          <w:marLeft w:val="0"/>
          <w:marRight w:val="0"/>
          <w:marTop w:val="0"/>
          <w:marBottom w:val="0"/>
          <w:divBdr>
            <w:top w:val="none" w:sz="0" w:space="0" w:color="auto"/>
            <w:left w:val="none" w:sz="0" w:space="0" w:color="auto"/>
            <w:bottom w:val="none" w:sz="0" w:space="0" w:color="auto"/>
            <w:right w:val="none" w:sz="0" w:space="0" w:color="auto"/>
          </w:divBdr>
        </w:div>
      </w:divsChild>
    </w:div>
    <w:div w:id="441153280">
      <w:marLeft w:val="0"/>
      <w:marRight w:val="0"/>
      <w:marTop w:val="0"/>
      <w:marBottom w:val="0"/>
      <w:divBdr>
        <w:top w:val="none" w:sz="0" w:space="0" w:color="auto"/>
        <w:left w:val="none" w:sz="0" w:space="0" w:color="auto"/>
        <w:bottom w:val="none" w:sz="0" w:space="0" w:color="auto"/>
        <w:right w:val="none" w:sz="0" w:space="0" w:color="auto"/>
      </w:divBdr>
      <w:divsChild>
        <w:div w:id="1265068821">
          <w:marLeft w:val="0"/>
          <w:marRight w:val="0"/>
          <w:marTop w:val="0"/>
          <w:marBottom w:val="0"/>
          <w:divBdr>
            <w:top w:val="none" w:sz="0" w:space="0" w:color="auto"/>
            <w:left w:val="none" w:sz="0" w:space="0" w:color="auto"/>
            <w:bottom w:val="none" w:sz="0" w:space="0" w:color="auto"/>
            <w:right w:val="none" w:sz="0" w:space="0" w:color="auto"/>
          </w:divBdr>
        </w:div>
      </w:divsChild>
    </w:div>
    <w:div w:id="441535763">
      <w:marLeft w:val="0"/>
      <w:marRight w:val="0"/>
      <w:marTop w:val="0"/>
      <w:marBottom w:val="240"/>
      <w:divBdr>
        <w:top w:val="none" w:sz="0" w:space="0" w:color="auto"/>
        <w:left w:val="none" w:sz="0" w:space="0" w:color="auto"/>
        <w:bottom w:val="none" w:sz="0" w:space="0" w:color="auto"/>
        <w:right w:val="none" w:sz="0" w:space="0" w:color="auto"/>
      </w:divBdr>
    </w:div>
    <w:div w:id="443695433">
      <w:marLeft w:val="0"/>
      <w:marRight w:val="0"/>
      <w:marTop w:val="0"/>
      <w:marBottom w:val="240"/>
      <w:divBdr>
        <w:top w:val="none" w:sz="0" w:space="0" w:color="auto"/>
        <w:left w:val="none" w:sz="0" w:space="0" w:color="auto"/>
        <w:bottom w:val="none" w:sz="0" w:space="0" w:color="auto"/>
        <w:right w:val="none" w:sz="0" w:space="0" w:color="auto"/>
      </w:divBdr>
    </w:div>
    <w:div w:id="448939162">
      <w:marLeft w:val="0"/>
      <w:marRight w:val="0"/>
      <w:marTop w:val="0"/>
      <w:marBottom w:val="0"/>
      <w:divBdr>
        <w:top w:val="none" w:sz="0" w:space="0" w:color="auto"/>
        <w:left w:val="none" w:sz="0" w:space="0" w:color="auto"/>
        <w:bottom w:val="none" w:sz="0" w:space="0" w:color="auto"/>
        <w:right w:val="none" w:sz="0" w:space="0" w:color="auto"/>
      </w:divBdr>
      <w:divsChild>
        <w:div w:id="141241668">
          <w:marLeft w:val="0"/>
          <w:marRight w:val="0"/>
          <w:marTop w:val="0"/>
          <w:marBottom w:val="0"/>
          <w:divBdr>
            <w:top w:val="none" w:sz="0" w:space="0" w:color="auto"/>
            <w:left w:val="none" w:sz="0" w:space="0" w:color="auto"/>
            <w:bottom w:val="none" w:sz="0" w:space="0" w:color="auto"/>
            <w:right w:val="none" w:sz="0" w:space="0" w:color="auto"/>
          </w:divBdr>
        </w:div>
      </w:divsChild>
    </w:div>
    <w:div w:id="450786483">
      <w:marLeft w:val="0"/>
      <w:marRight w:val="0"/>
      <w:marTop w:val="0"/>
      <w:marBottom w:val="240"/>
      <w:divBdr>
        <w:top w:val="none" w:sz="0" w:space="0" w:color="auto"/>
        <w:left w:val="none" w:sz="0" w:space="0" w:color="auto"/>
        <w:bottom w:val="none" w:sz="0" w:space="0" w:color="auto"/>
        <w:right w:val="none" w:sz="0" w:space="0" w:color="auto"/>
      </w:divBdr>
    </w:div>
    <w:div w:id="459147739">
      <w:marLeft w:val="0"/>
      <w:marRight w:val="0"/>
      <w:marTop w:val="0"/>
      <w:marBottom w:val="240"/>
      <w:divBdr>
        <w:top w:val="none" w:sz="0" w:space="0" w:color="auto"/>
        <w:left w:val="none" w:sz="0" w:space="0" w:color="auto"/>
        <w:bottom w:val="none" w:sz="0" w:space="0" w:color="auto"/>
        <w:right w:val="none" w:sz="0" w:space="0" w:color="auto"/>
      </w:divBdr>
    </w:div>
    <w:div w:id="462774600">
      <w:marLeft w:val="0"/>
      <w:marRight w:val="0"/>
      <w:marTop w:val="0"/>
      <w:marBottom w:val="240"/>
      <w:divBdr>
        <w:top w:val="none" w:sz="0" w:space="0" w:color="auto"/>
        <w:left w:val="none" w:sz="0" w:space="0" w:color="auto"/>
        <w:bottom w:val="none" w:sz="0" w:space="0" w:color="auto"/>
        <w:right w:val="none" w:sz="0" w:space="0" w:color="auto"/>
      </w:divBdr>
    </w:div>
    <w:div w:id="467555990">
      <w:marLeft w:val="0"/>
      <w:marRight w:val="0"/>
      <w:marTop w:val="0"/>
      <w:marBottom w:val="0"/>
      <w:divBdr>
        <w:top w:val="none" w:sz="0" w:space="0" w:color="auto"/>
        <w:left w:val="none" w:sz="0" w:space="0" w:color="auto"/>
        <w:bottom w:val="none" w:sz="0" w:space="0" w:color="auto"/>
        <w:right w:val="none" w:sz="0" w:space="0" w:color="auto"/>
      </w:divBdr>
    </w:div>
    <w:div w:id="468134253">
      <w:marLeft w:val="0"/>
      <w:marRight w:val="0"/>
      <w:marTop w:val="0"/>
      <w:marBottom w:val="240"/>
      <w:divBdr>
        <w:top w:val="none" w:sz="0" w:space="0" w:color="auto"/>
        <w:left w:val="none" w:sz="0" w:space="0" w:color="auto"/>
        <w:bottom w:val="none" w:sz="0" w:space="0" w:color="auto"/>
        <w:right w:val="none" w:sz="0" w:space="0" w:color="auto"/>
      </w:divBdr>
    </w:div>
    <w:div w:id="470054570">
      <w:marLeft w:val="0"/>
      <w:marRight w:val="0"/>
      <w:marTop w:val="0"/>
      <w:marBottom w:val="240"/>
      <w:divBdr>
        <w:top w:val="none" w:sz="0" w:space="0" w:color="auto"/>
        <w:left w:val="none" w:sz="0" w:space="0" w:color="auto"/>
        <w:bottom w:val="none" w:sz="0" w:space="0" w:color="auto"/>
        <w:right w:val="none" w:sz="0" w:space="0" w:color="auto"/>
      </w:divBdr>
    </w:div>
    <w:div w:id="475991524">
      <w:marLeft w:val="0"/>
      <w:marRight w:val="0"/>
      <w:marTop w:val="240"/>
      <w:marBottom w:val="240"/>
      <w:divBdr>
        <w:top w:val="none" w:sz="0" w:space="0" w:color="auto"/>
        <w:left w:val="none" w:sz="0" w:space="0" w:color="auto"/>
        <w:bottom w:val="none" w:sz="0" w:space="0" w:color="auto"/>
        <w:right w:val="none" w:sz="0" w:space="0" w:color="auto"/>
      </w:divBdr>
    </w:div>
    <w:div w:id="483858493">
      <w:marLeft w:val="0"/>
      <w:marRight w:val="0"/>
      <w:marTop w:val="0"/>
      <w:marBottom w:val="240"/>
      <w:divBdr>
        <w:top w:val="none" w:sz="0" w:space="0" w:color="auto"/>
        <w:left w:val="none" w:sz="0" w:space="0" w:color="auto"/>
        <w:bottom w:val="none" w:sz="0" w:space="0" w:color="auto"/>
        <w:right w:val="none" w:sz="0" w:space="0" w:color="auto"/>
      </w:divBdr>
    </w:div>
    <w:div w:id="493762375">
      <w:marLeft w:val="0"/>
      <w:marRight w:val="0"/>
      <w:marTop w:val="0"/>
      <w:marBottom w:val="0"/>
      <w:divBdr>
        <w:top w:val="none" w:sz="0" w:space="0" w:color="auto"/>
        <w:left w:val="none" w:sz="0" w:space="0" w:color="auto"/>
        <w:bottom w:val="none" w:sz="0" w:space="0" w:color="auto"/>
        <w:right w:val="none" w:sz="0" w:space="0" w:color="auto"/>
      </w:divBdr>
    </w:div>
    <w:div w:id="496846945">
      <w:marLeft w:val="0"/>
      <w:marRight w:val="0"/>
      <w:marTop w:val="0"/>
      <w:marBottom w:val="240"/>
      <w:divBdr>
        <w:top w:val="none" w:sz="0" w:space="0" w:color="auto"/>
        <w:left w:val="none" w:sz="0" w:space="0" w:color="auto"/>
        <w:bottom w:val="none" w:sz="0" w:space="0" w:color="auto"/>
        <w:right w:val="none" w:sz="0" w:space="0" w:color="auto"/>
      </w:divBdr>
    </w:div>
    <w:div w:id="500437982">
      <w:marLeft w:val="0"/>
      <w:marRight w:val="0"/>
      <w:marTop w:val="0"/>
      <w:marBottom w:val="240"/>
      <w:divBdr>
        <w:top w:val="none" w:sz="0" w:space="0" w:color="auto"/>
        <w:left w:val="none" w:sz="0" w:space="0" w:color="auto"/>
        <w:bottom w:val="none" w:sz="0" w:space="0" w:color="auto"/>
        <w:right w:val="none" w:sz="0" w:space="0" w:color="auto"/>
      </w:divBdr>
    </w:div>
    <w:div w:id="500438182">
      <w:marLeft w:val="0"/>
      <w:marRight w:val="0"/>
      <w:marTop w:val="0"/>
      <w:marBottom w:val="240"/>
      <w:divBdr>
        <w:top w:val="none" w:sz="0" w:space="0" w:color="auto"/>
        <w:left w:val="none" w:sz="0" w:space="0" w:color="auto"/>
        <w:bottom w:val="none" w:sz="0" w:space="0" w:color="auto"/>
        <w:right w:val="none" w:sz="0" w:space="0" w:color="auto"/>
      </w:divBdr>
    </w:div>
    <w:div w:id="508327968">
      <w:marLeft w:val="0"/>
      <w:marRight w:val="0"/>
      <w:marTop w:val="0"/>
      <w:marBottom w:val="0"/>
      <w:divBdr>
        <w:top w:val="none" w:sz="0" w:space="0" w:color="auto"/>
        <w:left w:val="none" w:sz="0" w:space="0" w:color="auto"/>
        <w:bottom w:val="none" w:sz="0" w:space="0" w:color="auto"/>
        <w:right w:val="none" w:sz="0" w:space="0" w:color="auto"/>
      </w:divBdr>
    </w:div>
    <w:div w:id="515265053">
      <w:marLeft w:val="0"/>
      <w:marRight w:val="0"/>
      <w:marTop w:val="0"/>
      <w:marBottom w:val="120"/>
      <w:divBdr>
        <w:top w:val="none" w:sz="0" w:space="0" w:color="auto"/>
        <w:left w:val="none" w:sz="0" w:space="0" w:color="auto"/>
        <w:bottom w:val="none" w:sz="0" w:space="0" w:color="auto"/>
        <w:right w:val="none" w:sz="0" w:space="0" w:color="auto"/>
      </w:divBdr>
    </w:div>
    <w:div w:id="516771754">
      <w:marLeft w:val="0"/>
      <w:marRight w:val="0"/>
      <w:marTop w:val="0"/>
      <w:marBottom w:val="240"/>
      <w:divBdr>
        <w:top w:val="none" w:sz="0" w:space="0" w:color="auto"/>
        <w:left w:val="none" w:sz="0" w:space="0" w:color="auto"/>
        <w:bottom w:val="none" w:sz="0" w:space="0" w:color="auto"/>
        <w:right w:val="none" w:sz="0" w:space="0" w:color="auto"/>
      </w:divBdr>
    </w:div>
    <w:div w:id="518008176">
      <w:marLeft w:val="0"/>
      <w:marRight w:val="0"/>
      <w:marTop w:val="0"/>
      <w:marBottom w:val="240"/>
      <w:divBdr>
        <w:top w:val="none" w:sz="0" w:space="0" w:color="auto"/>
        <w:left w:val="none" w:sz="0" w:space="0" w:color="auto"/>
        <w:bottom w:val="none" w:sz="0" w:space="0" w:color="auto"/>
        <w:right w:val="none" w:sz="0" w:space="0" w:color="auto"/>
      </w:divBdr>
    </w:div>
    <w:div w:id="521282690">
      <w:marLeft w:val="0"/>
      <w:marRight w:val="0"/>
      <w:marTop w:val="0"/>
      <w:marBottom w:val="240"/>
      <w:divBdr>
        <w:top w:val="none" w:sz="0" w:space="0" w:color="auto"/>
        <w:left w:val="none" w:sz="0" w:space="0" w:color="auto"/>
        <w:bottom w:val="none" w:sz="0" w:space="0" w:color="auto"/>
        <w:right w:val="none" w:sz="0" w:space="0" w:color="auto"/>
      </w:divBdr>
    </w:div>
    <w:div w:id="528957308">
      <w:marLeft w:val="0"/>
      <w:marRight w:val="0"/>
      <w:marTop w:val="0"/>
      <w:marBottom w:val="240"/>
      <w:divBdr>
        <w:top w:val="none" w:sz="0" w:space="0" w:color="auto"/>
        <w:left w:val="none" w:sz="0" w:space="0" w:color="auto"/>
        <w:bottom w:val="none" w:sz="0" w:space="0" w:color="auto"/>
        <w:right w:val="none" w:sz="0" w:space="0" w:color="auto"/>
      </w:divBdr>
    </w:div>
    <w:div w:id="537086222">
      <w:marLeft w:val="0"/>
      <w:marRight w:val="0"/>
      <w:marTop w:val="0"/>
      <w:marBottom w:val="0"/>
      <w:divBdr>
        <w:top w:val="none" w:sz="0" w:space="0" w:color="auto"/>
        <w:left w:val="none" w:sz="0" w:space="0" w:color="auto"/>
        <w:bottom w:val="none" w:sz="0" w:space="0" w:color="auto"/>
        <w:right w:val="none" w:sz="0" w:space="0" w:color="auto"/>
      </w:divBdr>
    </w:div>
    <w:div w:id="542061012">
      <w:marLeft w:val="0"/>
      <w:marRight w:val="0"/>
      <w:marTop w:val="0"/>
      <w:marBottom w:val="0"/>
      <w:divBdr>
        <w:top w:val="none" w:sz="0" w:space="0" w:color="auto"/>
        <w:left w:val="none" w:sz="0" w:space="0" w:color="auto"/>
        <w:bottom w:val="none" w:sz="0" w:space="0" w:color="auto"/>
        <w:right w:val="none" w:sz="0" w:space="0" w:color="auto"/>
      </w:divBdr>
    </w:div>
    <w:div w:id="543372923">
      <w:marLeft w:val="0"/>
      <w:marRight w:val="0"/>
      <w:marTop w:val="0"/>
      <w:marBottom w:val="240"/>
      <w:divBdr>
        <w:top w:val="none" w:sz="0" w:space="0" w:color="auto"/>
        <w:left w:val="none" w:sz="0" w:space="0" w:color="auto"/>
        <w:bottom w:val="none" w:sz="0" w:space="0" w:color="auto"/>
        <w:right w:val="none" w:sz="0" w:space="0" w:color="auto"/>
      </w:divBdr>
    </w:div>
    <w:div w:id="549920810">
      <w:marLeft w:val="0"/>
      <w:marRight w:val="0"/>
      <w:marTop w:val="0"/>
      <w:marBottom w:val="240"/>
      <w:divBdr>
        <w:top w:val="none" w:sz="0" w:space="0" w:color="auto"/>
        <w:left w:val="none" w:sz="0" w:space="0" w:color="auto"/>
        <w:bottom w:val="none" w:sz="0" w:space="0" w:color="auto"/>
        <w:right w:val="none" w:sz="0" w:space="0" w:color="auto"/>
      </w:divBdr>
    </w:div>
    <w:div w:id="553002332">
      <w:marLeft w:val="0"/>
      <w:marRight w:val="0"/>
      <w:marTop w:val="0"/>
      <w:marBottom w:val="0"/>
      <w:divBdr>
        <w:top w:val="none" w:sz="0" w:space="0" w:color="auto"/>
        <w:left w:val="none" w:sz="0" w:space="0" w:color="auto"/>
        <w:bottom w:val="none" w:sz="0" w:space="0" w:color="auto"/>
        <w:right w:val="none" w:sz="0" w:space="0" w:color="auto"/>
      </w:divBdr>
    </w:div>
    <w:div w:id="556860995">
      <w:marLeft w:val="0"/>
      <w:marRight w:val="0"/>
      <w:marTop w:val="0"/>
      <w:marBottom w:val="0"/>
      <w:divBdr>
        <w:top w:val="none" w:sz="0" w:space="0" w:color="auto"/>
        <w:left w:val="none" w:sz="0" w:space="0" w:color="auto"/>
        <w:bottom w:val="none" w:sz="0" w:space="0" w:color="auto"/>
        <w:right w:val="none" w:sz="0" w:space="0" w:color="auto"/>
      </w:divBdr>
    </w:div>
    <w:div w:id="562763073">
      <w:marLeft w:val="0"/>
      <w:marRight w:val="0"/>
      <w:marTop w:val="0"/>
      <w:marBottom w:val="240"/>
      <w:divBdr>
        <w:top w:val="none" w:sz="0" w:space="0" w:color="auto"/>
        <w:left w:val="none" w:sz="0" w:space="0" w:color="auto"/>
        <w:bottom w:val="none" w:sz="0" w:space="0" w:color="auto"/>
        <w:right w:val="none" w:sz="0" w:space="0" w:color="auto"/>
      </w:divBdr>
    </w:div>
    <w:div w:id="563569623">
      <w:marLeft w:val="0"/>
      <w:marRight w:val="0"/>
      <w:marTop w:val="0"/>
      <w:marBottom w:val="240"/>
      <w:divBdr>
        <w:top w:val="none" w:sz="0" w:space="0" w:color="auto"/>
        <w:left w:val="none" w:sz="0" w:space="0" w:color="auto"/>
        <w:bottom w:val="none" w:sz="0" w:space="0" w:color="auto"/>
        <w:right w:val="none" w:sz="0" w:space="0" w:color="auto"/>
      </w:divBdr>
    </w:div>
    <w:div w:id="566385230">
      <w:marLeft w:val="0"/>
      <w:marRight w:val="0"/>
      <w:marTop w:val="240"/>
      <w:marBottom w:val="0"/>
      <w:divBdr>
        <w:top w:val="none" w:sz="0" w:space="0" w:color="auto"/>
        <w:left w:val="none" w:sz="0" w:space="0" w:color="auto"/>
        <w:bottom w:val="none" w:sz="0" w:space="0" w:color="auto"/>
        <w:right w:val="none" w:sz="0" w:space="0" w:color="auto"/>
      </w:divBdr>
    </w:div>
    <w:div w:id="568341715">
      <w:marLeft w:val="0"/>
      <w:marRight w:val="0"/>
      <w:marTop w:val="0"/>
      <w:marBottom w:val="240"/>
      <w:divBdr>
        <w:top w:val="none" w:sz="0" w:space="0" w:color="auto"/>
        <w:left w:val="none" w:sz="0" w:space="0" w:color="auto"/>
        <w:bottom w:val="none" w:sz="0" w:space="0" w:color="auto"/>
        <w:right w:val="none" w:sz="0" w:space="0" w:color="auto"/>
      </w:divBdr>
    </w:div>
    <w:div w:id="575285687">
      <w:marLeft w:val="0"/>
      <w:marRight w:val="0"/>
      <w:marTop w:val="0"/>
      <w:marBottom w:val="240"/>
      <w:divBdr>
        <w:top w:val="none" w:sz="0" w:space="0" w:color="auto"/>
        <w:left w:val="none" w:sz="0" w:space="0" w:color="auto"/>
        <w:bottom w:val="none" w:sz="0" w:space="0" w:color="auto"/>
        <w:right w:val="none" w:sz="0" w:space="0" w:color="auto"/>
      </w:divBdr>
    </w:div>
    <w:div w:id="575633186">
      <w:marLeft w:val="0"/>
      <w:marRight w:val="0"/>
      <w:marTop w:val="0"/>
      <w:marBottom w:val="240"/>
      <w:divBdr>
        <w:top w:val="none" w:sz="0" w:space="0" w:color="auto"/>
        <w:left w:val="none" w:sz="0" w:space="0" w:color="auto"/>
        <w:bottom w:val="none" w:sz="0" w:space="0" w:color="auto"/>
        <w:right w:val="none" w:sz="0" w:space="0" w:color="auto"/>
      </w:divBdr>
    </w:div>
    <w:div w:id="579487765">
      <w:marLeft w:val="0"/>
      <w:marRight w:val="0"/>
      <w:marTop w:val="0"/>
      <w:marBottom w:val="240"/>
      <w:divBdr>
        <w:top w:val="none" w:sz="0" w:space="0" w:color="auto"/>
        <w:left w:val="none" w:sz="0" w:space="0" w:color="auto"/>
        <w:bottom w:val="none" w:sz="0" w:space="0" w:color="auto"/>
        <w:right w:val="none" w:sz="0" w:space="0" w:color="auto"/>
      </w:divBdr>
    </w:div>
    <w:div w:id="583683099">
      <w:marLeft w:val="0"/>
      <w:marRight w:val="0"/>
      <w:marTop w:val="0"/>
      <w:marBottom w:val="200"/>
      <w:divBdr>
        <w:top w:val="none" w:sz="0" w:space="0" w:color="auto"/>
        <w:left w:val="none" w:sz="0" w:space="0" w:color="auto"/>
        <w:bottom w:val="none" w:sz="0" w:space="0" w:color="auto"/>
        <w:right w:val="none" w:sz="0" w:space="0" w:color="auto"/>
      </w:divBdr>
    </w:div>
    <w:div w:id="585111752">
      <w:marLeft w:val="0"/>
      <w:marRight w:val="0"/>
      <w:marTop w:val="0"/>
      <w:marBottom w:val="0"/>
      <w:divBdr>
        <w:top w:val="none" w:sz="0" w:space="0" w:color="auto"/>
        <w:left w:val="none" w:sz="0" w:space="0" w:color="auto"/>
        <w:bottom w:val="none" w:sz="0" w:space="0" w:color="auto"/>
        <w:right w:val="none" w:sz="0" w:space="0" w:color="auto"/>
      </w:divBdr>
      <w:divsChild>
        <w:div w:id="1441342147">
          <w:marLeft w:val="0"/>
          <w:marRight w:val="0"/>
          <w:marTop w:val="0"/>
          <w:marBottom w:val="0"/>
          <w:divBdr>
            <w:top w:val="none" w:sz="0" w:space="0" w:color="auto"/>
            <w:left w:val="none" w:sz="0" w:space="0" w:color="auto"/>
            <w:bottom w:val="none" w:sz="0" w:space="0" w:color="auto"/>
            <w:right w:val="none" w:sz="0" w:space="0" w:color="auto"/>
          </w:divBdr>
        </w:div>
      </w:divsChild>
    </w:div>
    <w:div w:id="589972435">
      <w:marLeft w:val="0"/>
      <w:marRight w:val="0"/>
      <w:marTop w:val="240"/>
      <w:marBottom w:val="240"/>
      <w:divBdr>
        <w:top w:val="none" w:sz="0" w:space="0" w:color="auto"/>
        <w:left w:val="none" w:sz="0" w:space="0" w:color="auto"/>
        <w:bottom w:val="none" w:sz="0" w:space="0" w:color="auto"/>
        <w:right w:val="none" w:sz="0" w:space="0" w:color="auto"/>
      </w:divBdr>
    </w:div>
    <w:div w:id="590747969">
      <w:marLeft w:val="0"/>
      <w:marRight w:val="0"/>
      <w:marTop w:val="0"/>
      <w:marBottom w:val="240"/>
      <w:divBdr>
        <w:top w:val="none" w:sz="0" w:space="0" w:color="auto"/>
        <w:left w:val="none" w:sz="0" w:space="0" w:color="auto"/>
        <w:bottom w:val="none" w:sz="0" w:space="0" w:color="auto"/>
        <w:right w:val="none" w:sz="0" w:space="0" w:color="auto"/>
      </w:divBdr>
    </w:div>
    <w:div w:id="591397244">
      <w:marLeft w:val="0"/>
      <w:marRight w:val="0"/>
      <w:marTop w:val="0"/>
      <w:marBottom w:val="240"/>
      <w:divBdr>
        <w:top w:val="none" w:sz="0" w:space="0" w:color="auto"/>
        <w:left w:val="none" w:sz="0" w:space="0" w:color="auto"/>
        <w:bottom w:val="none" w:sz="0" w:space="0" w:color="auto"/>
        <w:right w:val="none" w:sz="0" w:space="0" w:color="auto"/>
      </w:divBdr>
    </w:div>
    <w:div w:id="592979166">
      <w:marLeft w:val="0"/>
      <w:marRight w:val="0"/>
      <w:marTop w:val="0"/>
      <w:marBottom w:val="0"/>
      <w:divBdr>
        <w:top w:val="none" w:sz="0" w:space="0" w:color="auto"/>
        <w:left w:val="none" w:sz="0" w:space="0" w:color="auto"/>
        <w:bottom w:val="none" w:sz="0" w:space="0" w:color="auto"/>
        <w:right w:val="none" w:sz="0" w:space="0" w:color="auto"/>
      </w:divBdr>
      <w:divsChild>
        <w:div w:id="6373091">
          <w:marLeft w:val="0"/>
          <w:marRight w:val="0"/>
          <w:marTop w:val="0"/>
          <w:marBottom w:val="0"/>
          <w:divBdr>
            <w:top w:val="none" w:sz="0" w:space="0" w:color="auto"/>
            <w:left w:val="none" w:sz="0" w:space="0" w:color="auto"/>
            <w:bottom w:val="none" w:sz="0" w:space="0" w:color="auto"/>
            <w:right w:val="none" w:sz="0" w:space="0" w:color="auto"/>
          </w:divBdr>
        </w:div>
      </w:divsChild>
    </w:div>
    <w:div w:id="593317927">
      <w:marLeft w:val="0"/>
      <w:marRight w:val="0"/>
      <w:marTop w:val="120"/>
      <w:marBottom w:val="0"/>
      <w:divBdr>
        <w:top w:val="none" w:sz="0" w:space="0" w:color="auto"/>
        <w:left w:val="none" w:sz="0" w:space="0" w:color="auto"/>
        <w:bottom w:val="none" w:sz="0" w:space="0" w:color="auto"/>
        <w:right w:val="none" w:sz="0" w:space="0" w:color="auto"/>
      </w:divBdr>
    </w:div>
    <w:div w:id="594169123">
      <w:marLeft w:val="0"/>
      <w:marRight w:val="0"/>
      <w:marTop w:val="0"/>
      <w:marBottom w:val="240"/>
      <w:divBdr>
        <w:top w:val="none" w:sz="0" w:space="0" w:color="auto"/>
        <w:left w:val="none" w:sz="0" w:space="0" w:color="auto"/>
        <w:bottom w:val="none" w:sz="0" w:space="0" w:color="auto"/>
        <w:right w:val="none" w:sz="0" w:space="0" w:color="auto"/>
      </w:divBdr>
    </w:div>
    <w:div w:id="598028961">
      <w:marLeft w:val="0"/>
      <w:marRight w:val="0"/>
      <w:marTop w:val="0"/>
      <w:marBottom w:val="120"/>
      <w:divBdr>
        <w:top w:val="none" w:sz="0" w:space="0" w:color="auto"/>
        <w:left w:val="none" w:sz="0" w:space="0" w:color="auto"/>
        <w:bottom w:val="none" w:sz="0" w:space="0" w:color="auto"/>
        <w:right w:val="none" w:sz="0" w:space="0" w:color="auto"/>
      </w:divBdr>
    </w:div>
    <w:div w:id="599534526">
      <w:marLeft w:val="0"/>
      <w:marRight w:val="0"/>
      <w:marTop w:val="240"/>
      <w:marBottom w:val="240"/>
      <w:divBdr>
        <w:top w:val="none" w:sz="0" w:space="0" w:color="auto"/>
        <w:left w:val="none" w:sz="0" w:space="0" w:color="auto"/>
        <w:bottom w:val="none" w:sz="0" w:space="0" w:color="auto"/>
        <w:right w:val="none" w:sz="0" w:space="0" w:color="auto"/>
      </w:divBdr>
    </w:div>
    <w:div w:id="600451504">
      <w:marLeft w:val="0"/>
      <w:marRight w:val="0"/>
      <w:marTop w:val="0"/>
      <w:marBottom w:val="240"/>
      <w:divBdr>
        <w:top w:val="none" w:sz="0" w:space="0" w:color="auto"/>
        <w:left w:val="none" w:sz="0" w:space="0" w:color="auto"/>
        <w:bottom w:val="none" w:sz="0" w:space="0" w:color="auto"/>
        <w:right w:val="none" w:sz="0" w:space="0" w:color="auto"/>
      </w:divBdr>
    </w:div>
    <w:div w:id="600646267">
      <w:marLeft w:val="0"/>
      <w:marRight w:val="0"/>
      <w:marTop w:val="0"/>
      <w:marBottom w:val="0"/>
      <w:divBdr>
        <w:top w:val="none" w:sz="0" w:space="0" w:color="auto"/>
        <w:left w:val="none" w:sz="0" w:space="0" w:color="auto"/>
        <w:bottom w:val="none" w:sz="0" w:space="0" w:color="auto"/>
        <w:right w:val="none" w:sz="0" w:space="0" w:color="auto"/>
      </w:divBdr>
    </w:div>
    <w:div w:id="601449088">
      <w:marLeft w:val="0"/>
      <w:marRight w:val="0"/>
      <w:marTop w:val="0"/>
      <w:marBottom w:val="0"/>
      <w:divBdr>
        <w:top w:val="none" w:sz="0" w:space="0" w:color="auto"/>
        <w:left w:val="none" w:sz="0" w:space="0" w:color="auto"/>
        <w:bottom w:val="none" w:sz="0" w:space="0" w:color="auto"/>
        <w:right w:val="none" w:sz="0" w:space="0" w:color="auto"/>
      </w:divBdr>
      <w:divsChild>
        <w:div w:id="1567063900">
          <w:marLeft w:val="0"/>
          <w:marRight w:val="0"/>
          <w:marTop w:val="0"/>
          <w:marBottom w:val="0"/>
          <w:divBdr>
            <w:top w:val="none" w:sz="0" w:space="0" w:color="auto"/>
            <w:left w:val="none" w:sz="0" w:space="0" w:color="auto"/>
            <w:bottom w:val="none" w:sz="0" w:space="0" w:color="auto"/>
            <w:right w:val="none" w:sz="0" w:space="0" w:color="auto"/>
          </w:divBdr>
        </w:div>
      </w:divsChild>
    </w:div>
    <w:div w:id="604651388">
      <w:marLeft w:val="0"/>
      <w:marRight w:val="0"/>
      <w:marTop w:val="0"/>
      <w:marBottom w:val="240"/>
      <w:divBdr>
        <w:top w:val="none" w:sz="0" w:space="0" w:color="auto"/>
        <w:left w:val="none" w:sz="0" w:space="0" w:color="auto"/>
        <w:bottom w:val="none" w:sz="0" w:space="0" w:color="auto"/>
        <w:right w:val="none" w:sz="0" w:space="0" w:color="auto"/>
      </w:divBdr>
    </w:div>
    <w:div w:id="612128596">
      <w:marLeft w:val="0"/>
      <w:marRight w:val="0"/>
      <w:marTop w:val="0"/>
      <w:marBottom w:val="240"/>
      <w:divBdr>
        <w:top w:val="none" w:sz="0" w:space="0" w:color="auto"/>
        <w:left w:val="none" w:sz="0" w:space="0" w:color="auto"/>
        <w:bottom w:val="none" w:sz="0" w:space="0" w:color="auto"/>
        <w:right w:val="none" w:sz="0" w:space="0" w:color="auto"/>
      </w:divBdr>
    </w:div>
    <w:div w:id="612323132">
      <w:marLeft w:val="0"/>
      <w:marRight w:val="0"/>
      <w:marTop w:val="0"/>
      <w:marBottom w:val="0"/>
      <w:divBdr>
        <w:top w:val="none" w:sz="0" w:space="0" w:color="auto"/>
        <w:left w:val="none" w:sz="0" w:space="0" w:color="auto"/>
        <w:bottom w:val="none" w:sz="0" w:space="0" w:color="auto"/>
        <w:right w:val="none" w:sz="0" w:space="0" w:color="auto"/>
      </w:divBdr>
      <w:divsChild>
        <w:div w:id="392629240">
          <w:marLeft w:val="0"/>
          <w:marRight w:val="0"/>
          <w:marTop w:val="0"/>
          <w:marBottom w:val="0"/>
          <w:divBdr>
            <w:top w:val="none" w:sz="0" w:space="0" w:color="auto"/>
            <w:left w:val="none" w:sz="0" w:space="0" w:color="auto"/>
            <w:bottom w:val="none" w:sz="0" w:space="0" w:color="auto"/>
            <w:right w:val="none" w:sz="0" w:space="0" w:color="auto"/>
          </w:divBdr>
        </w:div>
      </w:divsChild>
    </w:div>
    <w:div w:id="613558970">
      <w:marLeft w:val="0"/>
      <w:marRight w:val="0"/>
      <w:marTop w:val="0"/>
      <w:marBottom w:val="120"/>
      <w:divBdr>
        <w:top w:val="none" w:sz="0" w:space="0" w:color="auto"/>
        <w:left w:val="none" w:sz="0" w:space="0" w:color="auto"/>
        <w:bottom w:val="none" w:sz="0" w:space="0" w:color="auto"/>
        <w:right w:val="none" w:sz="0" w:space="0" w:color="auto"/>
      </w:divBdr>
    </w:div>
    <w:div w:id="615914654">
      <w:marLeft w:val="0"/>
      <w:marRight w:val="0"/>
      <w:marTop w:val="0"/>
      <w:marBottom w:val="0"/>
      <w:divBdr>
        <w:top w:val="none" w:sz="0" w:space="0" w:color="auto"/>
        <w:left w:val="none" w:sz="0" w:space="0" w:color="auto"/>
        <w:bottom w:val="none" w:sz="0" w:space="0" w:color="auto"/>
        <w:right w:val="none" w:sz="0" w:space="0" w:color="auto"/>
      </w:divBdr>
      <w:divsChild>
        <w:div w:id="578247637">
          <w:marLeft w:val="0"/>
          <w:marRight w:val="0"/>
          <w:marTop w:val="0"/>
          <w:marBottom w:val="0"/>
          <w:divBdr>
            <w:top w:val="none" w:sz="0" w:space="0" w:color="auto"/>
            <w:left w:val="none" w:sz="0" w:space="0" w:color="auto"/>
            <w:bottom w:val="none" w:sz="0" w:space="0" w:color="auto"/>
            <w:right w:val="none" w:sz="0" w:space="0" w:color="auto"/>
          </w:divBdr>
        </w:div>
      </w:divsChild>
    </w:div>
    <w:div w:id="620258940">
      <w:marLeft w:val="0"/>
      <w:marRight w:val="0"/>
      <w:marTop w:val="0"/>
      <w:marBottom w:val="240"/>
      <w:divBdr>
        <w:top w:val="none" w:sz="0" w:space="0" w:color="auto"/>
        <w:left w:val="none" w:sz="0" w:space="0" w:color="auto"/>
        <w:bottom w:val="none" w:sz="0" w:space="0" w:color="auto"/>
        <w:right w:val="none" w:sz="0" w:space="0" w:color="auto"/>
      </w:divBdr>
    </w:div>
    <w:div w:id="629021015">
      <w:marLeft w:val="0"/>
      <w:marRight w:val="0"/>
      <w:marTop w:val="0"/>
      <w:marBottom w:val="0"/>
      <w:divBdr>
        <w:top w:val="none" w:sz="0" w:space="0" w:color="auto"/>
        <w:left w:val="none" w:sz="0" w:space="0" w:color="auto"/>
        <w:bottom w:val="none" w:sz="0" w:space="0" w:color="auto"/>
        <w:right w:val="none" w:sz="0" w:space="0" w:color="auto"/>
      </w:divBdr>
    </w:div>
    <w:div w:id="635648947">
      <w:marLeft w:val="0"/>
      <w:marRight w:val="0"/>
      <w:marTop w:val="0"/>
      <w:marBottom w:val="0"/>
      <w:divBdr>
        <w:top w:val="none" w:sz="0" w:space="0" w:color="auto"/>
        <w:left w:val="none" w:sz="0" w:space="0" w:color="auto"/>
        <w:bottom w:val="none" w:sz="0" w:space="0" w:color="auto"/>
        <w:right w:val="none" w:sz="0" w:space="0" w:color="auto"/>
      </w:divBdr>
    </w:div>
    <w:div w:id="636379734">
      <w:marLeft w:val="0"/>
      <w:marRight w:val="0"/>
      <w:marTop w:val="240"/>
      <w:marBottom w:val="0"/>
      <w:divBdr>
        <w:top w:val="none" w:sz="0" w:space="0" w:color="auto"/>
        <w:left w:val="none" w:sz="0" w:space="0" w:color="auto"/>
        <w:bottom w:val="none" w:sz="0" w:space="0" w:color="auto"/>
        <w:right w:val="none" w:sz="0" w:space="0" w:color="auto"/>
      </w:divBdr>
    </w:div>
    <w:div w:id="640575871">
      <w:marLeft w:val="0"/>
      <w:marRight w:val="0"/>
      <w:marTop w:val="0"/>
      <w:marBottom w:val="0"/>
      <w:divBdr>
        <w:top w:val="none" w:sz="0" w:space="0" w:color="auto"/>
        <w:left w:val="none" w:sz="0" w:space="0" w:color="auto"/>
        <w:bottom w:val="none" w:sz="0" w:space="0" w:color="auto"/>
        <w:right w:val="none" w:sz="0" w:space="0" w:color="auto"/>
      </w:divBdr>
    </w:div>
    <w:div w:id="641814782">
      <w:marLeft w:val="0"/>
      <w:marRight w:val="0"/>
      <w:marTop w:val="0"/>
      <w:marBottom w:val="120"/>
      <w:divBdr>
        <w:top w:val="none" w:sz="0" w:space="0" w:color="auto"/>
        <w:left w:val="none" w:sz="0" w:space="0" w:color="auto"/>
        <w:bottom w:val="none" w:sz="0" w:space="0" w:color="auto"/>
        <w:right w:val="none" w:sz="0" w:space="0" w:color="auto"/>
      </w:divBdr>
    </w:div>
    <w:div w:id="646781294">
      <w:marLeft w:val="0"/>
      <w:marRight w:val="0"/>
      <w:marTop w:val="0"/>
      <w:marBottom w:val="240"/>
      <w:divBdr>
        <w:top w:val="none" w:sz="0" w:space="0" w:color="auto"/>
        <w:left w:val="none" w:sz="0" w:space="0" w:color="auto"/>
        <w:bottom w:val="none" w:sz="0" w:space="0" w:color="auto"/>
        <w:right w:val="none" w:sz="0" w:space="0" w:color="auto"/>
      </w:divBdr>
    </w:div>
    <w:div w:id="648096721">
      <w:marLeft w:val="0"/>
      <w:marRight w:val="0"/>
      <w:marTop w:val="0"/>
      <w:marBottom w:val="240"/>
      <w:divBdr>
        <w:top w:val="none" w:sz="0" w:space="0" w:color="auto"/>
        <w:left w:val="none" w:sz="0" w:space="0" w:color="auto"/>
        <w:bottom w:val="none" w:sz="0" w:space="0" w:color="auto"/>
        <w:right w:val="none" w:sz="0" w:space="0" w:color="auto"/>
      </w:divBdr>
    </w:div>
    <w:div w:id="650401291">
      <w:marLeft w:val="0"/>
      <w:marRight w:val="0"/>
      <w:marTop w:val="0"/>
      <w:marBottom w:val="0"/>
      <w:divBdr>
        <w:top w:val="none" w:sz="0" w:space="0" w:color="auto"/>
        <w:left w:val="none" w:sz="0" w:space="0" w:color="auto"/>
        <w:bottom w:val="none" w:sz="0" w:space="0" w:color="auto"/>
        <w:right w:val="none" w:sz="0" w:space="0" w:color="auto"/>
      </w:divBdr>
      <w:divsChild>
        <w:div w:id="1671827548">
          <w:marLeft w:val="0"/>
          <w:marRight w:val="0"/>
          <w:marTop w:val="0"/>
          <w:marBottom w:val="0"/>
          <w:divBdr>
            <w:top w:val="none" w:sz="0" w:space="0" w:color="auto"/>
            <w:left w:val="none" w:sz="0" w:space="0" w:color="auto"/>
            <w:bottom w:val="none" w:sz="0" w:space="0" w:color="auto"/>
            <w:right w:val="none" w:sz="0" w:space="0" w:color="auto"/>
          </w:divBdr>
        </w:div>
      </w:divsChild>
    </w:div>
    <w:div w:id="650447647">
      <w:marLeft w:val="0"/>
      <w:marRight w:val="0"/>
      <w:marTop w:val="0"/>
      <w:marBottom w:val="0"/>
      <w:divBdr>
        <w:top w:val="none" w:sz="0" w:space="0" w:color="auto"/>
        <w:left w:val="none" w:sz="0" w:space="0" w:color="auto"/>
        <w:bottom w:val="none" w:sz="0" w:space="0" w:color="auto"/>
        <w:right w:val="none" w:sz="0" w:space="0" w:color="auto"/>
      </w:divBdr>
    </w:div>
    <w:div w:id="653989714">
      <w:marLeft w:val="0"/>
      <w:marRight w:val="0"/>
      <w:marTop w:val="120"/>
      <w:marBottom w:val="240"/>
      <w:divBdr>
        <w:top w:val="none" w:sz="0" w:space="0" w:color="auto"/>
        <w:left w:val="none" w:sz="0" w:space="0" w:color="auto"/>
        <w:bottom w:val="none" w:sz="0" w:space="0" w:color="auto"/>
        <w:right w:val="none" w:sz="0" w:space="0" w:color="auto"/>
      </w:divBdr>
    </w:div>
    <w:div w:id="656494753">
      <w:marLeft w:val="0"/>
      <w:marRight w:val="0"/>
      <w:marTop w:val="0"/>
      <w:marBottom w:val="240"/>
      <w:divBdr>
        <w:top w:val="none" w:sz="0" w:space="0" w:color="auto"/>
        <w:left w:val="none" w:sz="0" w:space="0" w:color="auto"/>
        <w:bottom w:val="none" w:sz="0" w:space="0" w:color="auto"/>
        <w:right w:val="none" w:sz="0" w:space="0" w:color="auto"/>
      </w:divBdr>
    </w:div>
    <w:div w:id="656959168">
      <w:marLeft w:val="0"/>
      <w:marRight w:val="0"/>
      <w:marTop w:val="240"/>
      <w:marBottom w:val="240"/>
      <w:divBdr>
        <w:top w:val="none" w:sz="0" w:space="0" w:color="auto"/>
        <w:left w:val="none" w:sz="0" w:space="0" w:color="auto"/>
        <w:bottom w:val="none" w:sz="0" w:space="0" w:color="auto"/>
        <w:right w:val="none" w:sz="0" w:space="0" w:color="auto"/>
      </w:divBdr>
    </w:div>
    <w:div w:id="659236794">
      <w:marLeft w:val="0"/>
      <w:marRight w:val="0"/>
      <w:marTop w:val="0"/>
      <w:marBottom w:val="240"/>
      <w:divBdr>
        <w:top w:val="none" w:sz="0" w:space="0" w:color="auto"/>
        <w:left w:val="none" w:sz="0" w:space="0" w:color="auto"/>
        <w:bottom w:val="none" w:sz="0" w:space="0" w:color="auto"/>
        <w:right w:val="none" w:sz="0" w:space="0" w:color="auto"/>
      </w:divBdr>
    </w:div>
    <w:div w:id="660041486">
      <w:marLeft w:val="0"/>
      <w:marRight w:val="0"/>
      <w:marTop w:val="0"/>
      <w:marBottom w:val="240"/>
      <w:divBdr>
        <w:top w:val="none" w:sz="0" w:space="0" w:color="auto"/>
        <w:left w:val="none" w:sz="0" w:space="0" w:color="auto"/>
        <w:bottom w:val="none" w:sz="0" w:space="0" w:color="auto"/>
        <w:right w:val="none" w:sz="0" w:space="0" w:color="auto"/>
      </w:divBdr>
    </w:div>
    <w:div w:id="661468814">
      <w:marLeft w:val="0"/>
      <w:marRight w:val="0"/>
      <w:marTop w:val="0"/>
      <w:marBottom w:val="240"/>
      <w:divBdr>
        <w:top w:val="none" w:sz="0" w:space="0" w:color="auto"/>
        <w:left w:val="none" w:sz="0" w:space="0" w:color="auto"/>
        <w:bottom w:val="none" w:sz="0" w:space="0" w:color="auto"/>
        <w:right w:val="none" w:sz="0" w:space="0" w:color="auto"/>
      </w:divBdr>
    </w:div>
    <w:div w:id="663053682">
      <w:marLeft w:val="0"/>
      <w:marRight w:val="0"/>
      <w:marTop w:val="0"/>
      <w:marBottom w:val="150"/>
      <w:divBdr>
        <w:top w:val="none" w:sz="0" w:space="0" w:color="auto"/>
        <w:left w:val="none" w:sz="0" w:space="0" w:color="auto"/>
        <w:bottom w:val="none" w:sz="0" w:space="0" w:color="auto"/>
        <w:right w:val="none" w:sz="0" w:space="0" w:color="auto"/>
      </w:divBdr>
    </w:div>
    <w:div w:id="664280823">
      <w:marLeft w:val="0"/>
      <w:marRight w:val="0"/>
      <w:marTop w:val="240"/>
      <w:marBottom w:val="0"/>
      <w:divBdr>
        <w:top w:val="none" w:sz="0" w:space="0" w:color="auto"/>
        <w:left w:val="none" w:sz="0" w:space="0" w:color="auto"/>
        <w:bottom w:val="none" w:sz="0" w:space="0" w:color="auto"/>
        <w:right w:val="none" w:sz="0" w:space="0" w:color="auto"/>
      </w:divBdr>
      <w:divsChild>
        <w:div w:id="1343555558">
          <w:marLeft w:val="0"/>
          <w:marRight w:val="0"/>
          <w:marTop w:val="0"/>
          <w:marBottom w:val="0"/>
          <w:divBdr>
            <w:top w:val="none" w:sz="0" w:space="0" w:color="auto"/>
            <w:left w:val="none" w:sz="0" w:space="0" w:color="auto"/>
            <w:bottom w:val="none" w:sz="0" w:space="0" w:color="auto"/>
            <w:right w:val="none" w:sz="0" w:space="0" w:color="auto"/>
          </w:divBdr>
        </w:div>
        <w:div w:id="469175091">
          <w:marLeft w:val="0"/>
          <w:marRight w:val="0"/>
          <w:marTop w:val="0"/>
          <w:marBottom w:val="0"/>
          <w:divBdr>
            <w:top w:val="none" w:sz="0" w:space="0" w:color="auto"/>
            <w:left w:val="none" w:sz="0" w:space="0" w:color="auto"/>
            <w:bottom w:val="none" w:sz="0" w:space="0" w:color="auto"/>
            <w:right w:val="none" w:sz="0" w:space="0" w:color="auto"/>
          </w:divBdr>
        </w:div>
        <w:div w:id="781077739">
          <w:marLeft w:val="0"/>
          <w:marRight w:val="0"/>
          <w:marTop w:val="0"/>
          <w:marBottom w:val="0"/>
          <w:divBdr>
            <w:top w:val="none" w:sz="0" w:space="0" w:color="auto"/>
            <w:left w:val="none" w:sz="0" w:space="0" w:color="auto"/>
            <w:bottom w:val="none" w:sz="0" w:space="0" w:color="auto"/>
            <w:right w:val="none" w:sz="0" w:space="0" w:color="auto"/>
          </w:divBdr>
        </w:div>
        <w:div w:id="2121798425">
          <w:marLeft w:val="0"/>
          <w:marRight w:val="0"/>
          <w:marTop w:val="0"/>
          <w:marBottom w:val="0"/>
          <w:divBdr>
            <w:top w:val="none" w:sz="0" w:space="0" w:color="auto"/>
            <w:left w:val="none" w:sz="0" w:space="0" w:color="auto"/>
            <w:bottom w:val="none" w:sz="0" w:space="0" w:color="auto"/>
            <w:right w:val="none" w:sz="0" w:space="0" w:color="auto"/>
          </w:divBdr>
        </w:div>
        <w:div w:id="866987845">
          <w:marLeft w:val="0"/>
          <w:marRight w:val="0"/>
          <w:marTop w:val="0"/>
          <w:marBottom w:val="0"/>
          <w:divBdr>
            <w:top w:val="none" w:sz="0" w:space="0" w:color="auto"/>
            <w:left w:val="none" w:sz="0" w:space="0" w:color="auto"/>
            <w:bottom w:val="none" w:sz="0" w:space="0" w:color="auto"/>
            <w:right w:val="none" w:sz="0" w:space="0" w:color="auto"/>
          </w:divBdr>
        </w:div>
      </w:divsChild>
    </w:div>
    <w:div w:id="665280907">
      <w:marLeft w:val="0"/>
      <w:marRight w:val="0"/>
      <w:marTop w:val="0"/>
      <w:marBottom w:val="240"/>
      <w:divBdr>
        <w:top w:val="none" w:sz="0" w:space="0" w:color="auto"/>
        <w:left w:val="none" w:sz="0" w:space="0" w:color="auto"/>
        <w:bottom w:val="none" w:sz="0" w:space="0" w:color="auto"/>
        <w:right w:val="none" w:sz="0" w:space="0" w:color="auto"/>
      </w:divBdr>
    </w:div>
    <w:div w:id="670453619">
      <w:marLeft w:val="0"/>
      <w:marRight w:val="0"/>
      <w:marTop w:val="240"/>
      <w:marBottom w:val="0"/>
      <w:divBdr>
        <w:top w:val="none" w:sz="0" w:space="0" w:color="auto"/>
        <w:left w:val="none" w:sz="0" w:space="0" w:color="auto"/>
        <w:bottom w:val="none" w:sz="0" w:space="0" w:color="auto"/>
        <w:right w:val="none" w:sz="0" w:space="0" w:color="auto"/>
      </w:divBdr>
    </w:div>
    <w:div w:id="674693963">
      <w:marLeft w:val="0"/>
      <w:marRight w:val="0"/>
      <w:marTop w:val="0"/>
      <w:marBottom w:val="0"/>
      <w:divBdr>
        <w:top w:val="none" w:sz="0" w:space="0" w:color="auto"/>
        <w:left w:val="none" w:sz="0" w:space="0" w:color="auto"/>
        <w:bottom w:val="none" w:sz="0" w:space="0" w:color="auto"/>
        <w:right w:val="none" w:sz="0" w:space="0" w:color="auto"/>
      </w:divBdr>
      <w:divsChild>
        <w:div w:id="971327667">
          <w:marLeft w:val="0"/>
          <w:marRight w:val="0"/>
          <w:marTop w:val="0"/>
          <w:marBottom w:val="0"/>
          <w:divBdr>
            <w:top w:val="none" w:sz="0" w:space="0" w:color="auto"/>
            <w:left w:val="none" w:sz="0" w:space="0" w:color="auto"/>
            <w:bottom w:val="none" w:sz="0" w:space="0" w:color="auto"/>
            <w:right w:val="none" w:sz="0" w:space="0" w:color="auto"/>
          </w:divBdr>
        </w:div>
      </w:divsChild>
    </w:div>
    <w:div w:id="675302381">
      <w:marLeft w:val="0"/>
      <w:marRight w:val="0"/>
      <w:marTop w:val="120"/>
      <w:marBottom w:val="0"/>
      <w:divBdr>
        <w:top w:val="none" w:sz="0" w:space="0" w:color="auto"/>
        <w:left w:val="none" w:sz="0" w:space="0" w:color="auto"/>
        <w:bottom w:val="none" w:sz="0" w:space="0" w:color="auto"/>
        <w:right w:val="none" w:sz="0" w:space="0" w:color="auto"/>
      </w:divBdr>
    </w:div>
    <w:div w:id="675615117">
      <w:marLeft w:val="0"/>
      <w:marRight w:val="0"/>
      <w:marTop w:val="0"/>
      <w:marBottom w:val="240"/>
      <w:divBdr>
        <w:top w:val="none" w:sz="0" w:space="0" w:color="auto"/>
        <w:left w:val="none" w:sz="0" w:space="0" w:color="auto"/>
        <w:bottom w:val="none" w:sz="0" w:space="0" w:color="auto"/>
        <w:right w:val="none" w:sz="0" w:space="0" w:color="auto"/>
      </w:divBdr>
    </w:div>
    <w:div w:id="675838929">
      <w:marLeft w:val="0"/>
      <w:marRight w:val="0"/>
      <w:marTop w:val="0"/>
      <w:marBottom w:val="240"/>
      <w:divBdr>
        <w:top w:val="none" w:sz="0" w:space="0" w:color="auto"/>
        <w:left w:val="none" w:sz="0" w:space="0" w:color="auto"/>
        <w:bottom w:val="none" w:sz="0" w:space="0" w:color="auto"/>
        <w:right w:val="none" w:sz="0" w:space="0" w:color="auto"/>
      </w:divBdr>
    </w:div>
    <w:div w:id="679551065">
      <w:marLeft w:val="0"/>
      <w:marRight w:val="0"/>
      <w:marTop w:val="0"/>
      <w:marBottom w:val="0"/>
      <w:divBdr>
        <w:top w:val="none" w:sz="0" w:space="0" w:color="auto"/>
        <w:left w:val="none" w:sz="0" w:space="0" w:color="auto"/>
        <w:bottom w:val="none" w:sz="0" w:space="0" w:color="auto"/>
        <w:right w:val="none" w:sz="0" w:space="0" w:color="auto"/>
      </w:divBdr>
      <w:divsChild>
        <w:div w:id="279072911">
          <w:marLeft w:val="0"/>
          <w:marRight w:val="0"/>
          <w:marTop w:val="0"/>
          <w:marBottom w:val="0"/>
          <w:divBdr>
            <w:top w:val="none" w:sz="0" w:space="0" w:color="auto"/>
            <w:left w:val="none" w:sz="0" w:space="0" w:color="auto"/>
            <w:bottom w:val="none" w:sz="0" w:space="0" w:color="auto"/>
            <w:right w:val="none" w:sz="0" w:space="0" w:color="auto"/>
          </w:divBdr>
        </w:div>
      </w:divsChild>
    </w:div>
    <w:div w:id="679889033">
      <w:marLeft w:val="0"/>
      <w:marRight w:val="0"/>
      <w:marTop w:val="0"/>
      <w:marBottom w:val="0"/>
      <w:divBdr>
        <w:top w:val="none" w:sz="0" w:space="0" w:color="auto"/>
        <w:left w:val="none" w:sz="0" w:space="0" w:color="auto"/>
        <w:bottom w:val="none" w:sz="0" w:space="0" w:color="auto"/>
        <w:right w:val="none" w:sz="0" w:space="0" w:color="auto"/>
      </w:divBdr>
    </w:div>
    <w:div w:id="685792241">
      <w:marLeft w:val="0"/>
      <w:marRight w:val="0"/>
      <w:marTop w:val="0"/>
      <w:marBottom w:val="120"/>
      <w:divBdr>
        <w:top w:val="none" w:sz="0" w:space="0" w:color="auto"/>
        <w:left w:val="none" w:sz="0" w:space="0" w:color="auto"/>
        <w:bottom w:val="none" w:sz="0" w:space="0" w:color="auto"/>
        <w:right w:val="none" w:sz="0" w:space="0" w:color="auto"/>
      </w:divBdr>
    </w:div>
    <w:div w:id="690839299">
      <w:marLeft w:val="0"/>
      <w:marRight w:val="0"/>
      <w:marTop w:val="0"/>
      <w:marBottom w:val="240"/>
      <w:divBdr>
        <w:top w:val="none" w:sz="0" w:space="0" w:color="auto"/>
        <w:left w:val="none" w:sz="0" w:space="0" w:color="auto"/>
        <w:bottom w:val="none" w:sz="0" w:space="0" w:color="auto"/>
        <w:right w:val="none" w:sz="0" w:space="0" w:color="auto"/>
      </w:divBdr>
    </w:div>
    <w:div w:id="695228880">
      <w:marLeft w:val="0"/>
      <w:marRight w:val="0"/>
      <w:marTop w:val="0"/>
      <w:marBottom w:val="0"/>
      <w:divBdr>
        <w:top w:val="none" w:sz="0" w:space="0" w:color="auto"/>
        <w:left w:val="none" w:sz="0" w:space="0" w:color="auto"/>
        <w:bottom w:val="none" w:sz="0" w:space="0" w:color="auto"/>
        <w:right w:val="none" w:sz="0" w:space="0" w:color="auto"/>
      </w:divBdr>
      <w:divsChild>
        <w:div w:id="1769232555">
          <w:marLeft w:val="0"/>
          <w:marRight w:val="0"/>
          <w:marTop w:val="0"/>
          <w:marBottom w:val="0"/>
          <w:divBdr>
            <w:top w:val="none" w:sz="0" w:space="0" w:color="auto"/>
            <w:left w:val="none" w:sz="0" w:space="0" w:color="auto"/>
            <w:bottom w:val="none" w:sz="0" w:space="0" w:color="auto"/>
            <w:right w:val="none" w:sz="0" w:space="0" w:color="auto"/>
          </w:divBdr>
        </w:div>
      </w:divsChild>
    </w:div>
    <w:div w:id="698704949">
      <w:marLeft w:val="0"/>
      <w:marRight w:val="0"/>
      <w:marTop w:val="0"/>
      <w:marBottom w:val="0"/>
      <w:divBdr>
        <w:top w:val="none" w:sz="0" w:space="0" w:color="auto"/>
        <w:left w:val="none" w:sz="0" w:space="0" w:color="auto"/>
        <w:bottom w:val="none" w:sz="0" w:space="0" w:color="auto"/>
        <w:right w:val="none" w:sz="0" w:space="0" w:color="auto"/>
      </w:divBdr>
      <w:divsChild>
        <w:div w:id="1722515375">
          <w:marLeft w:val="0"/>
          <w:marRight w:val="0"/>
          <w:marTop w:val="0"/>
          <w:marBottom w:val="0"/>
          <w:divBdr>
            <w:top w:val="none" w:sz="0" w:space="0" w:color="auto"/>
            <w:left w:val="none" w:sz="0" w:space="0" w:color="auto"/>
            <w:bottom w:val="none" w:sz="0" w:space="0" w:color="auto"/>
            <w:right w:val="none" w:sz="0" w:space="0" w:color="auto"/>
          </w:divBdr>
        </w:div>
        <w:div w:id="2093156709">
          <w:marLeft w:val="0"/>
          <w:marRight w:val="0"/>
          <w:marTop w:val="0"/>
          <w:marBottom w:val="0"/>
          <w:divBdr>
            <w:top w:val="none" w:sz="0" w:space="0" w:color="auto"/>
            <w:left w:val="none" w:sz="0" w:space="0" w:color="auto"/>
            <w:bottom w:val="none" w:sz="0" w:space="0" w:color="auto"/>
            <w:right w:val="none" w:sz="0" w:space="0" w:color="auto"/>
          </w:divBdr>
        </w:div>
      </w:divsChild>
    </w:div>
    <w:div w:id="703484370">
      <w:marLeft w:val="0"/>
      <w:marRight w:val="0"/>
      <w:marTop w:val="0"/>
      <w:marBottom w:val="240"/>
      <w:divBdr>
        <w:top w:val="none" w:sz="0" w:space="0" w:color="auto"/>
        <w:left w:val="none" w:sz="0" w:space="0" w:color="auto"/>
        <w:bottom w:val="none" w:sz="0" w:space="0" w:color="auto"/>
        <w:right w:val="none" w:sz="0" w:space="0" w:color="auto"/>
      </w:divBdr>
    </w:div>
    <w:div w:id="705444488">
      <w:marLeft w:val="0"/>
      <w:marRight w:val="0"/>
      <w:marTop w:val="0"/>
      <w:marBottom w:val="0"/>
      <w:divBdr>
        <w:top w:val="none" w:sz="0" w:space="0" w:color="auto"/>
        <w:left w:val="none" w:sz="0" w:space="0" w:color="auto"/>
        <w:bottom w:val="none" w:sz="0" w:space="0" w:color="auto"/>
        <w:right w:val="none" w:sz="0" w:space="0" w:color="auto"/>
      </w:divBdr>
      <w:divsChild>
        <w:div w:id="302127537">
          <w:marLeft w:val="0"/>
          <w:marRight w:val="0"/>
          <w:marTop w:val="0"/>
          <w:marBottom w:val="0"/>
          <w:divBdr>
            <w:top w:val="none" w:sz="0" w:space="0" w:color="auto"/>
            <w:left w:val="none" w:sz="0" w:space="0" w:color="auto"/>
            <w:bottom w:val="none" w:sz="0" w:space="0" w:color="auto"/>
            <w:right w:val="none" w:sz="0" w:space="0" w:color="auto"/>
          </w:divBdr>
        </w:div>
      </w:divsChild>
    </w:div>
    <w:div w:id="714433036">
      <w:marLeft w:val="0"/>
      <w:marRight w:val="0"/>
      <w:marTop w:val="0"/>
      <w:marBottom w:val="120"/>
      <w:divBdr>
        <w:top w:val="none" w:sz="0" w:space="0" w:color="auto"/>
        <w:left w:val="none" w:sz="0" w:space="0" w:color="auto"/>
        <w:bottom w:val="none" w:sz="0" w:space="0" w:color="auto"/>
        <w:right w:val="none" w:sz="0" w:space="0" w:color="auto"/>
      </w:divBdr>
    </w:div>
    <w:div w:id="715858858">
      <w:marLeft w:val="0"/>
      <w:marRight w:val="0"/>
      <w:marTop w:val="240"/>
      <w:marBottom w:val="240"/>
      <w:divBdr>
        <w:top w:val="none" w:sz="0" w:space="0" w:color="auto"/>
        <w:left w:val="none" w:sz="0" w:space="0" w:color="auto"/>
        <w:bottom w:val="none" w:sz="0" w:space="0" w:color="auto"/>
        <w:right w:val="none" w:sz="0" w:space="0" w:color="auto"/>
      </w:divBdr>
    </w:div>
    <w:div w:id="717511228">
      <w:marLeft w:val="0"/>
      <w:marRight w:val="0"/>
      <w:marTop w:val="0"/>
      <w:marBottom w:val="0"/>
      <w:divBdr>
        <w:top w:val="none" w:sz="0" w:space="0" w:color="auto"/>
        <w:left w:val="none" w:sz="0" w:space="0" w:color="auto"/>
        <w:bottom w:val="none" w:sz="0" w:space="0" w:color="auto"/>
        <w:right w:val="none" w:sz="0" w:space="0" w:color="auto"/>
      </w:divBdr>
      <w:divsChild>
        <w:div w:id="1578517103">
          <w:marLeft w:val="0"/>
          <w:marRight w:val="0"/>
          <w:marTop w:val="0"/>
          <w:marBottom w:val="0"/>
          <w:divBdr>
            <w:top w:val="none" w:sz="0" w:space="0" w:color="auto"/>
            <w:left w:val="none" w:sz="0" w:space="0" w:color="auto"/>
            <w:bottom w:val="none" w:sz="0" w:space="0" w:color="auto"/>
            <w:right w:val="none" w:sz="0" w:space="0" w:color="auto"/>
          </w:divBdr>
        </w:div>
        <w:div w:id="677733954">
          <w:marLeft w:val="0"/>
          <w:marRight w:val="0"/>
          <w:marTop w:val="0"/>
          <w:marBottom w:val="0"/>
          <w:divBdr>
            <w:top w:val="none" w:sz="0" w:space="0" w:color="auto"/>
            <w:left w:val="none" w:sz="0" w:space="0" w:color="auto"/>
            <w:bottom w:val="none" w:sz="0" w:space="0" w:color="auto"/>
            <w:right w:val="none" w:sz="0" w:space="0" w:color="auto"/>
          </w:divBdr>
        </w:div>
        <w:div w:id="519051697">
          <w:marLeft w:val="0"/>
          <w:marRight w:val="0"/>
          <w:marTop w:val="0"/>
          <w:marBottom w:val="0"/>
          <w:divBdr>
            <w:top w:val="none" w:sz="0" w:space="0" w:color="auto"/>
            <w:left w:val="none" w:sz="0" w:space="0" w:color="auto"/>
            <w:bottom w:val="none" w:sz="0" w:space="0" w:color="auto"/>
            <w:right w:val="none" w:sz="0" w:space="0" w:color="auto"/>
          </w:divBdr>
        </w:div>
        <w:div w:id="457720785">
          <w:marLeft w:val="0"/>
          <w:marRight w:val="0"/>
          <w:marTop w:val="0"/>
          <w:marBottom w:val="0"/>
          <w:divBdr>
            <w:top w:val="none" w:sz="0" w:space="0" w:color="auto"/>
            <w:left w:val="none" w:sz="0" w:space="0" w:color="auto"/>
            <w:bottom w:val="none" w:sz="0" w:space="0" w:color="auto"/>
            <w:right w:val="none" w:sz="0" w:space="0" w:color="auto"/>
          </w:divBdr>
        </w:div>
        <w:div w:id="936521286">
          <w:marLeft w:val="0"/>
          <w:marRight w:val="0"/>
          <w:marTop w:val="0"/>
          <w:marBottom w:val="0"/>
          <w:divBdr>
            <w:top w:val="none" w:sz="0" w:space="0" w:color="auto"/>
            <w:left w:val="none" w:sz="0" w:space="0" w:color="auto"/>
            <w:bottom w:val="none" w:sz="0" w:space="0" w:color="auto"/>
            <w:right w:val="none" w:sz="0" w:space="0" w:color="auto"/>
          </w:divBdr>
        </w:div>
        <w:div w:id="1219172209">
          <w:marLeft w:val="0"/>
          <w:marRight w:val="0"/>
          <w:marTop w:val="0"/>
          <w:marBottom w:val="0"/>
          <w:divBdr>
            <w:top w:val="none" w:sz="0" w:space="0" w:color="auto"/>
            <w:left w:val="none" w:sz="0" w:space="0" w:color="auto"/>
            <w:bottom w:val="none" w:sz="0" w:space="0" w:color="auto"/>
            <w:right w:val="none" w:sz="0" w:space="0" w:color="auto"/>
          </w:divBdr>
        </w:div>
        <w:div w:id="1482037397">
          <w:marLeft w:val="0"/>
          <w:marRight w:val="0"/>
          <w:marTop w:val="0"/>
          <w:marBottom w:val="0"/>
          <w:divBdr>
            <w:top w:val="none" w:sz="0" w:space="0" w:color="auto"/>
            <w:left w:val="none" w:sz="0" w:space="0" w:color="auto"/>
            <w:bottom w:val="none" w:sz="0" w:space="0" w:color="auto"/>
            <w:right w:val="none" w:sz="0" w:space="0" w:color="auto"/>
          </w:divBdr>
        </w:div>
        <w:div w:id="334189565">
          <w:marLeft w:val="0"/>
          <w:marRight w:val="0"/>
          <w:marTop w:val="0"/>
          <w:marBottom w:val="0"/>
          <w:divBdr>
            <w:top w:val="none" w:sz="0" w:space="0" w:color="auto"/>
            <w:left w:val="none" w:sz="0" w:space="0" w:color="auto"/>
            <w:bottom w:val="none" w:sz="0" w:space="0" w:color="auto"/>
            <w:right w:val="none" w:sz="0" w:space="0" w:color="auto"/>
          </w:divBdr>
        </w:div>
        <w:div w:id="689572801">
          <w:marLeft w:val="0"/>
          <w:marRight w:val="0"/>
          <w:marTop w:val="0"/>
          <w:marBottom w:val="0"/>
          <w:divBdr>
            <w:top w:val="none" w:sz="0" w:space="0" w:color="auto"/>
            <w:left w:val="none" w:sz="0" w:space="0" w:color="auto"/>
            <w:bottom w:val="none" w:sz="0" w:space="0" w:color="auto"/>
            <w:right w:val="none" w:sz="0" w:space="0" w:color="auto"/>
          </w:divBdr>
        </w:div>
        <w:div w:id="2054690879">
          <w:marLeft w:val="0"/>
          <w:marRight w:val="0"/>
          <w:marTop w:val="0"/>
          <w:marBottom w:val="0"/>
          <w:divBdr>
            <w:top w:val="none" w:sz="0" w:space="0" w:color="auto"/>
            <w:left w:val="none" w:sz="0" w:space="0" w:color="auto"/>
            <w:bottom w:val="none" w:sz="0" w:space="0" w:color="auto"/>
            <w:right w:val="none" w:sz="0" w:space="0" w:color="auto"/>
          </w:divBdr>
        </w:div>
        <w:div w:id="641815923">
          <w:marLeft w:val="0"/>
          <w:marRight w:val="0"/>
          <w:marTop w:val="0"/>
          <w:marBottom w:val="0"/>
          <w:divBdr>
            <w:top w:val="none" w:sz="0" w:space="0" w:color="auto"/>
            <w:left w:val="none" w:sz="0" w:space="0" w:color="auto"/>
            <w:bottom w:val="none" w:sz="0" w:space="0" w:color="auto"/>
            <w:right w:val="none" w:sz="0" w:space="0" w:color="auto"/>
          </w:divBdr>
        </w:div>
        <w:div w:id="998651088">
          <w:marLeft w:val="0"/>
          <w:marRight w:val="0"/>
          <w:marTop w:val="0"/>
          <w:marBottom w:val="0"/>
          <w:divBdr>
            <w:top w:val="none" w:sz="0" w:space="0" w:color="auto"/>
            <w:left w:val="none" w:sz="0" w:space="0" w:color="auto"/>
            <w:bottom w:val="none" w:sz="0" w:space="0" w:color="auto"/>
            <w:right w:val="none" w:sz="0" w:space="0" w:color="auto"/>
          </w:divBdr>
        </w:div>
        <w:div w:id="925846558">
          <w:marLeft w:val="0"/>
          <w:marRight w:val="0"/>
          <w:marTop w:val="0"/>
          <w:marBottom w:val="0"/>
          <w:divBdr>
            <w:top w:val="none" w:sz="0" w:space="0" w:color="auto"/>
            <w:left w:val="none" w:sz="0" w:space="0" w:color="auto"/>
            <w:bottom w:val="none" w:sz="0" w:space="0" w:color="auto"/>
            <w:right w:val="none" w:sz="0" w:space="0" w:color="auto"/>
          </w:divBdr>
        </w:div>
        <w:div w:id="696391625">
          <w:marLeft w:val="0"/>
          <w:marRight w:val="0"/>
          <w:marTop w:val="0"/>
          <w:marBottom w:val="0"/>
          <w:divBdr>
            <w:top w:val="none" w:sz="0" w:space="0" w:color="auto"/>
            <w:left w:val="none" w:sz="0" w:space="0" w:color="auto"/>
            <w:bottom w:val="none" w:sz="0" w:space="0" w:color="auto"/>
            <w:right w:val="none" w:sz="0" w:space="0" w:color="auto"/>
          </w:divBdr>
        </w:div>
        <w:div w:id="112407031">
          <w:marLeft w:val="0"/>
          <w:marRight w:val="0"/>
          <w:marTop w:val="0"/>
          <w:marBottom w:val="0"/>
          <w:divBdr>
            <w:top w:val="none" w:sz="0" w:space="0" w:color="auto"/>
            <w:left w:val="none" w:sz="0" w:space="0" w:color="auto"/>
            <w:bottom w:val="none" w:sz="0" w:space="0" w:color="auto"/>
            <w:right w:val="none" w:sz="0" w:space="0" w:color="auto"/>
          </w:divBdr>
        </w:div>
        <w:div w:id="2010867851">
          <w:marLeft w:val="0"/>
          <w:marRight w:val="0"/>
          <w:marTop w:val="0"/>
          <w:marBottom w:val="0"/>
          <w:divBdr>
            <w:top w:val="none" w:sz="0" w:space="0" w:color="auto"/>
            <w:left w:val="none" w:sz="0" w:space="0" w:color="auto"/>
            <w:bottom w:val="none" w:sz="0" w:space="0" w:color="auto"/>
            <w:right w:val="none" w:sz="0" w:space="0" w:color="auto"/>
          </w:divBdr>
        </w:div>
        <w:div w:id="1021903534">
          <w:marLeft w:val="0"/>
          <w:marRight w:val="0"/>
          <w:marTop w:val="0"/>
          <w:marBottom w:val="0"/>
          <w:divBdr>
            <w:top w:val="none" w:sz="0" w:space="0" w:color="auto"/>
            <w:left w:val="none" w:sz="0" w:space="0" w:color="auto"/>
            <w:bottom w:val="none" w:sz="0" w:space="0" w:color="auto"/>
            <w:right w:val="none" w:sz="0" w:space="0" w:color="auto"/>
          </w:divBdr>
        </w:div>
        <w:div w:id="1503006135">
          <w:marLeft w:val="0"/>
          <w:marRight w:val="0"/>
          <w:marTop w:val="0"/>
          <w:marBottom w:val="0"/>
          <w:divBdr>
            <w:top w:val="none" w:sz="0" w:space="0" w:color="auto"/>
            <w:left w:val="none" w:sz="0" w:space="0" w:color="auto"/>
            <w:bottom w:val="none" w:sz="0" w:space="0" w:color="auto"/>
            <w:right w:val="none" w:sz="0" w:space="0" w:color="auto"/>
          </w:divBdr>
        </w:div>
        <w:div w:id="661078722">
          <w:marLeft w:val="0"/>
          <w:marRight w:val="0"/>
          <w:marTop w:val="0"/>
          <w:marBottom w:val="0"/>
          <w:divBdr>
            <w:top w:val="none" w:sz="0" w:space="0" w:color="auto"/>
            <w:left w:val="none" w:sz="0" w:space="0" w:color="auto"/>
            <w:bottom w:val="none" w:sz="0" w:space="0" w:color="auto"/>
            <w:right w:val="none" w:sz="0" w:space="0" w:color="auto"/>
          </w:divBdr>
        </w:div>
        <w:div w:id="964196972">
          <w:marLeft w:val="0"/>
          <w:marRight w:val="0"/>
          <w:marTop w:val="0"/>
          <w:marBottom w:val="0"/>
          <w:divBdr>
            <w:top w:val="none" w:sz="0" w:space="0" w:color="auto"/>
            <w:left w:val="none" w:sz="0" w:space="0" w:color="auto"/>
            <w:bottom w:val="none" w:sz="0" w:space="0" w:color="auto"/>
            <w:right w:val="none" w:sz="0" w:space="0" w:color="auto"/>
          </w:divBdr>
        </w:div>
        <w:div w:id="1045181976">
          <w:marLeft w:val="0"/>
          <w:marRight w:val="0"/>
          <w:marTop w:val="0"/>
          <w:marBottom w:val="0"/>
          <w:divBdr>
            <w:top w:val="none" w:sz="0" w:space="0" w:color="auto"/>
            <w:left w:val="none" w:sz="0" w:space="0" w:color="auto"/>
            <w:bottom w:val="none" w:sz="0" w:space="0" w:color="auto"/>
            <w:right w:val="none" w:sz="0" w:space="0" w:color="auto"/>
          </w:divBdr>
        </w:div>
        <w:div w:id="1225872352">
          <w:marLeft w:val="0"/>
          <w:marRight w:val="0"/>
          <w:marTop w:val="0"/>
          <w:marBottom w:val="0"/>
          <w:divBdr>
            <w:top w:val="none" w:sz="0" w:space="0" w:color="auto"/>
            <w:left w:val="none" w:sz="0" w:space="0" w:color="auto"/>
            <w:bottom w:val="none" w:sz="0" w:space="0" w:color="auto"/>
            <w:right w:val="none" w:sz="0" w:space="0" w:color="auto"/>
          </w:divBdr>
        </w:div>
      </w:divsChild>
    </w:div>
    <w:div w:id="718699772">
      <w:marLeft w:val="0"/>
      <w:marRight w:val="0"/>
      <w:marTop w:val="0"/>
      <w:marBottom w:val="240"/>
      <w:divBdr>
        <w:top w:val="none" w:sz="0" w:space="0" w:color="auto"/>
        <w:left w:val="none" w:sz="0" w:space="0" w:color="auto"/>
        <w:bottom w:val="none" w:sz="0" w:space="0" w:color="auto"/>
        <w:right w:val="none" w:sz="0" w:space="0" w:color="auto"/>
      </w:divBdr>
    </w:div>
    <w:div w:id="718748980">
      <w:marLeft w:val="0"/>
      <w:marRight w:val="0"/>
      <w:marTop w:val="0"/>
      <w:marBottom w:val="240"/>
      <w:divBdr>
        <w:top w:val="none" w:sz="0" w:space="0" w:color="auto"/>
        <w:left w:val="none" w:sz="0" w:space="0" w:color="auto"/>
        <w:bottom w:val="none" w:sz="0" w:space="0" w:color="auto"/>
        <w:right w:val="none" w:sz="0" w:space="0" w:color="auto"/>
      </w:divBdr>
    </w:div>
    <w:div w:id="719672617">
      <w:marLeft w:val="0"/>
      <w:marRight w:val="0"/>
      <w:marTop w:val="240"/>
      <w:marBottom w:val="240"/>
      <w:divBdr>
        <w:top w:val="none" w:sz="0" w:space="0" w:color="auto"/>
        <w:left w:val="none" w:sz="0" w:space="0" w:color="auto"/>
        <w:bottom w:val="none" w:sz="0" w:space="0" w:color="auto"/>
        <w:right w:val="none" w:sz="0" w:space="0" w:color="auto"/>
      </w:divBdr>
    </w:div>
    <w:div w:id="721488641">
      <w:marLeft w:val="0"/>
      <w:marRight w:val="0"/>
      <w:marTop w:val="0"/>
      <w:marBottom w:val="200"/>
      <w:divBdr>
        <w:top w:val="none" w:sz="0" w:space="0" w:color="auto"/>
        <w:left w:val="none" w:sz="0" w:space="0" w:color="auto"/>
        <w:bottom w:val="none" w:sz="0" w:space="0" w:color="auto"/>
        <w:right w:val="none" w:sz="0" w:space="0" w:color="auto"/>
      </w:divBdr>
    </w:div>
    <w:div w:id="724525521">
      <w:marLeft w:val="0"/>
      <w:marRight w:val="0"/>
      <w:marTop w:val="0"/>
      <w:marBottom w:val="0"/>
      <w:divBdr>
        <w:top w:val="none" w:sz="0" w:space="0" w:color="auto"/>
        <w:left w:val="none" w:sz="0" w:space="0" w:color="auto"/>
        <w:bottom w:val="none" w:sz="0" w:space="0" w:color="auto"/>
        <w:right w:val="none" w:sz="0" w:space="0" w:color="auto"/>
      </w:divBdr>
    </w:div>
    <w:div w:id="728460931">
      <w:marLeft w:val="0"/>
      <w:marRight w:val="0"/>
      <w:marTop w:val="0"/>
      <w:marBottom w:val="240"/>
      <w:divBdr>
        <w:top w:val="none" w:sz="0" w:space="0" w:color="auto"/>
        <w:left w:val="none" w:sz="0" w:space="0" w:color="auto"/>
        <w:bottom w:val="none" w:sz="0" w:space="0" w:color="auto"/>
        <w:right w:val="none" w:sz="0" w:space="0" w:color="auto"/>
      </w:divBdr>
    </w:div>
    <w:div w:id="728648024">
      <w:marLeft w:val="0"/>
      <w:marRight w:val="0"/>
      <w:marTop w:val="240"/>
      <w:marBottom w:val="0"/>
      <w:divBdr>
        <w:top w:val="none" w:sz="0" w:space="0" w:color="auto"/>
        <w:left w:val="none" w:sz="0" w:space="0" w:color="auto"/>
        <w:bottom w:val="none" w:sz="0" w:space="0" w:color="auto"/>
        <w:right w:val="none" w:sz="0" w:space="0" w:color="auto"/>
      </w:divBdr>
    </w:div>
    <w:div w:id="732199353">
      <w:marLeft w:val="0"/>
      <w:marRight w:val="0"/>
      <w:marTop w:val="0"/>
      <w:marBottom w:val="240"/>
      <w:divBdr>
        <w:top w:val="none" w:sz="0" w:space="0" w:color="auto"/>
        <w:left w:val="none" w:sz="0" w:space="0" w:color="auto"/>
        <w:bottom w:val="none" w:sz="0" w:space="0" w:color="auto"/>
        <w:right w:val="none" w:sz="0" w:space="0" w:color="auto"/>
      </w:divBdr>
    </w:div>
    <w:div w:id="734670802">
      <w:marLeft w:val="0"/>
      <w:marRight w:val="0"/>
      <w:marTop w:val="0"/>
      <w:marBottom w:val="240"/>
      <w:divBdr>
        <w:top w:val="none" w:sz="0" w:space="0" w:color="auto"/>
        <w:left w:val="none" w:sz="0" w:space="0" w:color="auto"/>
        <w:bottom w:val="none" w:sz="0" w:space="0" w:color="auto"/>
        <w:right w:val="none" w:sz="0" w:space="0" w:color="auto"/>
      </w:divBdr>
    </w:div>
    <w:div w:id="739715248">
      <w:marLeft w:val="0"/>
      <w:marRight w:val="0"/>
      <w:marTop w:val="0"/>
      <w:marBottom w:val="240"/>
      <w:divBdr>
        <w:top w:val="none" w:sz="0" w:space="0" w:color="auto"/>
        <w:left w:val="none" w:sz="0" w:space="0" w:color="auto"/>
        <w:bottom w:val="none" w:sz="0" w:space="0" w:color="auto"/>
        <w:right w:val="none" w:sz="0" w:space="0" w:color="auto"/>
      </w:divBdr>
    </w:div>
    <w:div w:id="741758960">
      <w:marLeft w:val="0"/>
      <w:marRight w:val="0"/>
      <w:marTop w:val="0"/>
      <w:marBottom w:val="0"/>
      <w:divBdr>
        <w:top w:val="none" w:sz="0" w:space="0" w:color="auto"/>
        <w:left w:val="none" w:sz="0" w:space="0" w:color="auto"/>
        <w:bottom w:val="none" w:sz="0" w:space="0" w:color="auto"/>
        <w:right w:val="none" w:sz="0" w:space="0" w:color="auto"/>
      </w:divBdr>
    </w:div>
    <w:div w:id="741873627">
      <w:marLeft w:val="0"/>
      <w:marRight w:val="0"/>
      <w:marTop w:val="0"/>
      <w:marBottom w:val="200"/>
      <w:divBdr>
        <w:top w:val="none" w:sz="0" w:space="0" w:color="auto"/>
        <w:left w:val="none" w:sz="0" w:space="0" w:color="auto"/>
        <w:bottom w:val="none" w:sz="0" w:space="0" w:color="auto"/>
        <w:right w:val="none" w:sz="0" w:space="0" w:color="auto"/>
      </w:divBdr>
    </w:div>
    <w:div w:id="743143687">
      <w:marLeft w:val="0"/>
      <w:marRight w:val="0"/>
      <w:marTop w:val="0"/>
      <w:marBottom w:val="0"/>
      <w:divBdr>
        <w:top w:val="none" w:sz="0" w:space="0" w:color="auto"/>
        <w:left w:val="none" w:sz="0" w:space="0" w:color="auto"/>
        <w:bottom w:val="none" w:sz="0" w:space="0" w:color="auto"/>
        <w:right w:val="none" w:sz="0" w:space="0" w:color="auto"/>
      </w:divBdr>
      <w:divsChild>
        <w:div w:id="87242030">
          <w:marLeft w:val="0"/>
          <w:marRight w:val="0"/>
          <w:marTop w:val="0"/>
          <w:marBottom w:val="0"/>
          <w:divBdr>
            <w:top w:val="none" w:sz="0" w:space="0" w:color="auto"/>
            <w:left w:val="none" w:sz="0" w:space="0" w:color="auto"/>
            <w:bottom w:val="none" w:sz="0" w:space="0" w:color="auto"/>
            <w:right w:val="none" w:sz="0" w:space="0" w:color="auto"/>
          </w:divBdr>
        </w:div>
      </w:divsChild>
    </w:div>
    <w:div w:id="745613414">
      <w:marLeft w:val="0"/>
      <w:marRight w:val="0"/>
      <w:marTop w:val="0"/>
      <w:marBottom w:val="240"/>
      <w:divBdr>
        <w:top w:val="none" w:sz="0" w:space="0" w:color="auto"/>
        <w:left w:val="none" w:sz="0" w:space="0" w:color="auto"/>
        <w:bottom w:val="none" w:sz="0" w:space="0" w:color="auto"/>
        <w:right w:val="none" w:sz="0" w:space="0" w:color="auto"/>
      </w:divBdr>
    </w:div>
    <w:div w:id="746221009">
      <w:marLeft w:val="0"/>
      <w:marRight w:val="0"/>
      <w:marTop w:val="0"/>
      <w:marBottom w:val="0"/>
      <w:divBdr>
        <w:top w:val="none" w:sz="0" w:space="0" w:color="auto"/>
        <w:left w:val="none" w:sz="0" w:space="0" w:color="auto"/>
        <w:bottom w:val="none" w:sz="0" w:space="0" w:color="auto"/>
        <w:right w:val="none" w:sz="0" w:space="0" w:color="auto"/>
      </w:divBdr>
      <w:divsChild>
        <w:div w:id="780685514">
          <w:marLeft w:val="0"/>
          <w:marRight w:val="0"/>
          <w:marTop w:val="0"/>
          <w:marBottom w:val="0"/>
          <w:divBdr>
            <w:top w:val="none" w:sz="0" w:space="0" w:color="auto"/>
            <w:left w:val="none" w:sz="0" w:space="0" w:color="auto"/>
            <w:bottom w:val="none" w:sz="0" w:space="0" w:color="auto"/>
            <w:right w:val="none" w:sz="0" w:space="0" w:color="auto"/>
          </w:divBdr>
        </w:div>
        <w:div w:id="1757557523">
          <w:marLeft w:val="0"/>
          <w:marRight w:val="0"/>
          <w:marTop w:val="0"/>
          <w:marBottom w:val="0"/>
          <w:divBdr>
            <w:top w:val="none" w:sz="0" w:space="0" w:color="auto"/>
            <w:left w:val="none" w:sz="0" w:space="0" w:color="auto"/>
            <w:bottom w:val="none" w:sz="0" w:space="0" w:color="auto"/>
            <w:right w:val="none" w:sz="0" w:space="0" w:color="auto"/>
          </w:divBdr>
        </w:div>
        <w:div w:id="2094664602">
          <w:marLeft w:val="0"/>
          <w:marRight w:val="0"/>
          <w:marTop w:val="0"/>
          <w:marBottom w:val="0"/>
          <w:divBdr>
            <w:top w:val="none" w:sz="0" w:space="0" w:color="auto"/>
            <w:left w:val="none" w:sz="0" w:space="0" w:color="auto"/>
            <w:bottom w:val="none" w:sz="0" w:space="0" w:color="auto"/>
            <w:right w:val="none" w:sz="0" w:space="0" w:color="auto"/>
          </w:divBdr>
        </w:div>
        <w:div w:id="497311815">
          <w:marLeft w:val="0"/>
          <w:marRight w:val="0"/>
          <w:marTop w:val="0"/>
          <w:marBottom w:val="0"/>
          <w:divBdr>
            <w:top w:val="none" w:sz="0" w:space="0" w:color="auto"/>
            <w:left w:val="none" w:sz="0" w:space="0" w:color="auto"/>
            <w:bottom w:val="none" w:sz="0" w:space="0" w:color="auto"/>
            <w:right w:val="none" w:sz="0" w:space="0" w:color="auto"/>
          </w:divBdr>
        </w:div>
      </w:divsChild>
    </w:div>
    <w:div w:id="748309567">
      <w:marLeft w:val="0"/>
      <w:marRight w:val="0"/>
      <w:marTop w:val="0"/>
      <w:marBottom w:val="240"/>
      <w:divBdr>
        <w:top w:val="none" w:sz="0" w:space="0" w:color="auto"/>
        <w:left w:val="none" w:sz="0" w:space="0" w:color="auto"/>
        <w:bottom w:val="none" w:sz="0" w:space="0" w:color="auto"/>
        <w:right w:val="none" w:sz="0" w:space="0" w:color="auto"/>
      </w:divBdr>
    </w:div>
    <w:div w:id="752967233">
      <w:marLeft w:val="0"/>
      <w:marRight w:val="0"/>
      <w:marTop w:val="0"/>
      <w:marBottom w:val="240"/>
      <w:divBdr>
        <w:top w:val="none" w:sz="0" w:space="0" w:color="auto"/>
        <w:left w:val="none" w:sz="0" w:space="0" w:color="auto"/>
        <w:bottom w:val="none" w:sz="0" w:space="0" w:color="auto"/>
        <w:right w:val="none" w:sz="0" w:space="0" w:color="auto"/>
      </w:divBdr>
    </w:div>
    <w:div w:id="753284260">
      <w:marLeft w:val="0"/>
      <w:marRight w:val="0"/>
      <w:marTop w:val="0"/>
      <w:marBottom w:val="0"/>
      <w:divBdr>
        <w:top w:val="none" w:sz="0" w:space="0" w:color="auto"/>
        <w:left w:val="none" w:sz="0" w:space="0" w:color="auto"/>
        <w:bottom w:val="none" w:sz="0" w:space="0" w:color="auto"/>
        <w:right w:val="none" w:sz="0" w:space="0" w:color="auto"/>
      </w:divBdr>
      <w:divsChild>
        <w:div w:id="276717462">
          <w:marLeft w:val="0"/>
          <w:marRight w:val="0"/>
          <w:marTop w:val="0"/>
          <w:marBottom w:val="0"/>
          <w:divBdr>
            <w:top w:val="none" w:sz="0" w:space="0" w:color="auto"/>
            <w:left w:val="none" w:sz="0" w:space="0" w:color="auto"/>
            <w:bottom w:val="none" w:sz="0" w:space="0" w:color="auto"/>
            <w:right w:val="none" w:sz="0" w:space="0" w:color="auto"/>
          </w:divBdr>
        </w:div>
      </w:divsChild>
    </w:div>
    <w:div w:id="757486471">
      <w:marLeft w:val="0"/>
      <w:marRight w:val="0"/>
      <w:marTop w:val="0"/>
      <w:marBottom w:val="240"/>
      <w:divBdr>
        <w:top w:val="none" w:sz="0" w:space="0" w:color="auto"/>
        <w:left w:val="none" w:sz="0" w:space="0" w:color="auto"/>
        <w:bottom w:val="none" w:sz="0" w:space="0" w:color="auto"/>
        <w:right w:val="none" w:sz="0" w:space="0" w:color="auto"/>
      </w:divBdr>
    </w:div>
    <w:div w:id="758715623">
      <w:marLeft w:val="0"/>
      <w:marRight w:val="0"/>
      <w:marTop w:val="0"/>
      <w:marBottom w:val="240"/>
      <w:divBdr>
        <w:top w:val="none" w:sz="0" w:space="0" w:color="auto"/>
        <w:left w:val="none" w:sz="0" w:space="0" w:color="auto"/>
        <w:bottom w:val="none" w:sz="0" w:space="0" w:color="auto"/>
        <w:right w:val="none" w:sz="0" w:space="0" w:color="auto"/>
      </w:divBdr>
    </w:div>
    <w:div w:id="758797100">
      <w:marLeft w:val="0"/>
      <w:marRight w:val="0"/>
      <w:marTop w:val="0"/>
      <w:marBottom w:val="0"/>
      <w:divBdr>
        <w:top w:val="none" w:sz="0" w:space="0" w:color="auto"/>
        <w:left w:val="none" w:sz="0" w:space="0" w:color="auto"/>
        <w:bottom w:val="none" w:sz="0" w:space="0" w:color="auto"/>
        <w:right w:val="none" w:sz="0" w:space="0" w:color="auto"/>
      </w:divBdr>
      <w:divsChild>
        <w:div w:id="1128864197">
          <w:marLeft w:val="0"/>
          <w:marRight w:val="0"/>
          <w:marTop w:val="0"/>
          <w:marBottom w:val="0"/>
          <w:divBdr>
            <w:top w:val="none" w:sz="0" w:space="0" w:color="auto"/>
            <w:left w:val="none" w:sz="0" w:space="0" w:color="auto"/>
            <w:bottom w:val="none" w:sz="0" w:space="0" w:color="auto"/>
            <w:right w:val="none" w:sz="0" w:space="0" w:color="auto"/>
          </w:divBdr>
        </w:div>
      </w:divsChild>
    </w:div>
    <w:div w:id="761298459">
      <w:marLeft w:val="0"/>
      <w:marRight w:val="0"/>
      <w:marTop w:val="240"/>
      <w:marBottom w:val="240"/>
      <w:divBdr>
        <w:top w:val="none" w:sz="0" w:space="0" w:color="auto"/>
        <w:left w:val="none" w:sz="0" w:space="0" w:color="auto"/>
        <w:bottom w:val="none" w:sz="0" w:space="0" w:color="auto"/>
        <w:right w:val="none" w:sz="0" w:space="0" w:color="auto"/>
      </w:divBdr>
    </w:div>
    <w:div w:id="761802330">
      <w:marLeft w:val="0"/>
      <w:marRight w:val="0"/>
      <w:marTop w:val="240"/>
      <w:marBottom w:val="240"/>
      <w:divBdr>
        <w:top w:val="none" w:sz="0" w:space="0" w:color="auto"/>
        <w:left w:val="none" w:sz="0" w:space="0" w:color="auto"/>
        <w:bottom w:val="none" w:sz="0" w:space="0" w:color="auto"/>
        <w:right w:val="none" w:sz="0" w:space="0" w:color="auto"/>
      </w:divBdr>
    </w:div>
    <w:div w:id="766190239">
      <w:marLeft w:val="0"/>
      <w:marRight w:val="0"/>
      <w:marTop w:val="0"/>
      <w:marBottom w:val="0"/>
      <w:divBdr>
        <w:top w:val="none" w:sz="0" w:space="0" w:color="auto"/>
        <w:left w:val="none" w:sz="0" w:space="0" w:color="auto"/>
        <w:bottom w:val="none" w:sz="0" w:space="0" w:color="auto"/>
        <w:right w:val="none" w:sz="0" w:space="0" w:color="auto"/>
      </w:divBdr>
    </w:div>
    <w:div w:id="766268575">
      <w:marLeft w:val="0"/>
      <w:marRight w:val="0"/>
      <w:marTop w:val="0"/>
      <w:marBottom w:val="0"/>
      <w:divBdr>
        <w:top w:val="none" w:sz="0" w:space="0" w:color="auto"/>
        <w:left w:val="none" w:sz="0" w:space="0" w:color="auto"/>
        <w:bottom w:val="none" w:sz="0" w:space="0" w:color="auto"/>
        <w:right w:val="none" w:sz="0" w:space="0" w:color="auto"/>
      </w:divBdr>
    </w:div>
    <w:div w:id="768430045">
      <w:marLeft w:val="0"/>
      <w:marRight w:val="0"/>
      <w:marTop w:val="0"/>
      <w:marBottom w:val="240"/>
      <w:divBdr>
        <w:top w:val="none" w:sz="0" w:space="0" w:color="auto"/>
        <w:left w:val="none" w:sz="0" w:space="0" w:color="auto"/>
        <w:bottom w:val="none" w:sz="0" w:space="0" w:color="auto"/>
        <w:right w:val="none" w:sz="0" w:space="0" w:color="auto"/>
      </w:divBdr>
    </w:div>
    <w:div w:id="772360541">
      <w:marLeft w:val="0"/>
      <w:marRight w:val="0"/>
      <w:marTop w:val="0"/>
      <w:marBottom w:val="0"/>
      <w:divBdr>
        <w:top w:val="none" w:sz="0" w:space="0" w:color="auto"/>
        <w:left w:val="none" w:sz="0" w:space="0" w:color="auto"/>
        <w:bottom w:val="none" w:sz="0" w:space="0" w:color="auto"/>
        <w:right w:val="none" w:sz="0" w:space="0" w:color="auto"/>
      </w:divBdr>
    </w:div>
    <w:div w:id="773014145">
      <w:marLeft w:val="0"/>
      <w:marRight w:val="0"/>
      <w:marTop w:val="0"/>
      <w:marBottom w:val="240"/>
      <w:divBdr>
        <w:top w:val="none" w:sz="0" w:space="0" w:color="auto"/>
        <w:left w:val="none" w:sz="0" w:space="0" w:color="auto"/>
        <w:bottom w:val="none" w:sz="0" w:space="0" w:color="auto"/>
        <w:right w:val="none" w:sz="0" w:space="0" w:color="auto"/>
      </w:divBdr>
    </w:div>
    <w:div w:id="774593767">
      <w:marLeft w:val="0"/>
      <w:marRight w:val="0"/>
      <w:marTop w:val="0"/>
      <w:marBottom w:val="240"/>
      <w:divBdr>
        <w:top w:val="none" w:sz="0" w:space="0" w:color="auto"/>
        <w:left w:val="none" w:sz="0" w:space="0" w:color="auto"/>
        <w:bottom w:val="none" w:sz="0" w:space="0" w:color="auto"/>
        <w:right w:val="none" w:sz="0" w:space="0" w:color="auto"/>
      </w:divBdr>
    </w:div>
    <w:div w:id="775058015">
      <w:marLeft w:val="0"/>
      <w:marRight w:val="0"/>
      <w:marTop w:val="0"/>
      <w:marBottom w:val="240"/>
      <w:divBdr>
        <w:top w:val="none" w:sz="0" w:space="0" w:color="auto"/>
        <w:left w:val="none" w:sz="0" w:space="0" w:color="auto"/>
        <w:bottom w:val="none" w:sz="0" w:space="0" w:color="auto"/>
        <w:right w:val="none" w:sz="0" w:space="0" w:color="auto"/>
      </w:divBdr>
    </w:div>
    <w:div w:id="777455501">
      <w:marLeft w:val="0"/>
      <w:marRight w:val="0"/>
      <w:marTop w:val="0"/>
      <w:marBottom w:val="240"/>
      <w:divBdr>
        <w:top w:val="none" w:sz="0" w:space="0" w:color="auto"/>
        <w:left w:val="none" w:sz="0" w:space="0" w:color="auto"/>
        <w:bottom w:val="none" w:sz="0" w:space="0" w:color="auto"/>
        <w:right w:val="none" w:sz="0" w:space="0" w:color="auto"/>
      </w:divBdr>
    </w:div>
    <w:div w:id="780994468">
      <w:marLeft w:val="0"/>
      <w:marRight w:val="0"/>
      <w:marTop w:val="0"/>
      <w:marBottom w:val="0"/>
      <w:divBdr>
        <w:top w:val="none" w:sz="0" w:space="0" w:color="auto"/>
        <w:left w:val="none" w:sz="0" w:space="0" w:color="auto"/>
        <w:bottom w:val="none" w:sz="0" w:space="0" w:color="auto"/>
        <w:right w:val="none" w:sz="0" w:space="0" w:color="auto"/>
      </w:divBdr>
    </w:div>
    <w:div w:id="790629251">
      <w:marLeft w:val="0"/>
      <w:marRight w:val="0"/>
      <w:marTop w:val="0"/>
      <w:marBottom w:val="240"/>
      <w:divBdr>
        <w:top w:val="none" w:sz="0" w:space="0" w:color="auto"/>
        <w:left w:val="none" w:sz="0" w:space="0" w:color="auto"/>
        <w:bottom w:val="none" w:sz="0" w:space="0" w:color="auto"/>
        <w:right w:val="none" w:sz="0" w:space="0" w:color="auto"/>
      </w:divBdr>
    </w:div>
    <w:div w:id="791679088">
      <w:marLeft w:val="0"/>
      <w:marRight w:val="0"/>
      <w:marTop w:val="0"/>
      <w:marBottom w:val="240"/>
      <w:divBdr>
        <w:top w:val="none" w:sz="0" w:space="0" w:color="auto"/>
        <w:left w:val="none" w:sz="0" w:space="0" w:color="auto"/>
        <w:bottom w:val="none" w:sz="0" w:space="0" w:color="auto"/>
        <w:right w:val="none" w:sz="0" w:space="0" w:color="auto"/>
      </w:divBdr>
    </w:div>
    <w:div w:id="795023639">
      <w:marLeft w:val="0"/>
      <w:marRight w:val="0"/>
      <w:marTop w:val="240"/>
      <w:marBottom w:val="240"/>
      <w:divBdr>
        <w:top w:val="none" w:sz="0" w:space="0" w:color="auto"/>
        <w:left w:val="none" w:sz="0" w:space="0" w:color="auto"/>
        <w:bottom w:val="none" w:sz="0" w:space="0" w:color="auto"/>
        <w:right w:val="none" w:sz="0" w:space="0" w:color="auto"/>
      </w:divBdr>
    </w:div>
    <w:div w:id="797920436">
      <w:marLeft w:val="0"/>
      <w:marRight w:val="0"/>
      <w:marTop w:val="240"/>
      <w:marBottom w:val="240"/>
      <w:divBdr>
        <w:top w:val="none" w:sz="0" w:space="0" w:color="auto"/>
        <w:left w:val="none" w:sz="0" w:space="0" w:color="auto"/>
        <w:bottom w:val="none" w:sz="0" w:space="0" w:color="auto"/>
        <w:right w:val="none" w:sz="0" w:space="0" w:color="auto"/>
      </w:divBdr>
    </w:div>
    <w:div w:id="799495968">
      <w:marLeft w:val="0"/>
      <w:marRight w:val="0"/>
      <w:marTop w:val="240"/>
      <w:marBottom w:val="240"/>
      <w:divBdr>
        <w:top w:val="none" w:sz="0" w:space="0" w:color="auto"/>
        <w:left w:val="none" w:sz="0" w:space="0" w:color="auto"/>
        <w:bottom w:val="none" w:sz="0" w:space="0" w:color="auto"/>
        <w:right w:val="none" w:sz="0" w:space="0" w:color="auto"/>
      </w:divBdr>
    </w:div>
    <w:div w:id="802966548">
      <w:marLeft w:val="0"/>
      <w:marRight w:val="0"/>
      <w:marTop w:val="0"/>
      <w:marBottom w:val="120"/>
      <w:divBdr>
        <w:top w:val="none" w:sz="0" w:space="0" w:color="auto"/>
        <w:left w:val="none" w:sz="0" w:space="0" w:color="auto"/>
        <w:bottom w:val="none" w:sz="0" w:space="0" w:color="auto"/>
        <w:right w:val="none" w:sz="0" w:space="0" w:color="auto"/>
      </w:divBdr>
    </w:div>
    <w:div w:id="819075819">
      <w:marLeft w:val="0"/>
      <w:marRight w:val="0"/>
      <w:marTop w:val="0"/>
      <w:marBottom w:val="240"/>
      <w:divBdr>
        <w:top w:val="none" w:sz="0" w:space="0" w:color="auto"/>
        <w:left w:val="none" w:sz="0" w:space="0" w:color="auto"/>
        <w:bottom w:val="none" w:sz="0" w:space="0" w:color="auto"/>
        <w:right w:val="none" w:sz="0" w:space="0" w:color="auto"/>
      </w:divBdr>
    </w:div>
    <w:div w:id="819228543">
      <w:marLeft w:val="0"/>
      <w:marRight w:val="0"/>
      <w:marTop w:val="0"/>
      <w:marBottom w:val="0"/>
      <w:divBdr>
        <w:top w:val="none" w:sz="0" w:space="0" w:color="auto"/>
        <w:left w:val="none" w:sz="0" w:space="0" w:color="auto"/>
        <w:bottom w:val="none" w:sz="0" w:space="0" w:color="auto"/>
        <w:right w:val="none" w:sz="0" w:space="0" w:color="auto"/>
      </w:divBdr>
      <w:divsChild>
        <w:div w:id="1275746235">
          <w:marLeft w:val="0"/>
          <w:marRight w:val="0"/>
          <w:marTop w:val="0"/>
          <w:marBottom w:val="0"/>
          <w:divBdr>
            <w:top w:val="none" w:sz="0" w:space="0" w:color="auto"/>
            <w:left w:val="none" w:sz="0" w:space="0" w:color="auto"/>
            <w:bottom w:val="none" w:sz="0" w:space="0" w:color="auto"/>
            <w:right w:val="none" w:sz="0" w:space="0" w:color="auto"/>
          </w:divBdr>
        </w:div>
      </w:divsChild>
    </w:div>
    <w:div w:id="819273753">
      <w:marLeft w:val="0"/>
      <w:marRight w:val="0"/>
      <w:marTop w:val="0"/>
      <w:marBottom w:val="240"/>
      <w:divBdr>
        <w:top w:val="none" w:sz="0" w:space="0" w:color="auto"/>
        <w:left w:val="none" w:sz="0" w:space="0" w:color="auto"/>
        <w:bottom w:val="none" w:sz="0" w:space="0" w:color="auto"/>
        <w:right w:val="none" w:sz="0" w:space="0" w:color="auto"/>
      </w:divBdr>
    </w:div>
    <w:div w:id="821308925">
      <w:marLeft w:val="0"/>
      <w:marRight w:val="0"/>
      <w:marTop w:val="0"/>
      <w:marBottom w:val="240"/>
      <w:divBdr>
        <w:top w:val="none" w:sz="0" w:space="0" w:color="auto"/>
        <w:left w:val="none" w:sz="0" w:space="0" w:color="auto"/>
        <w:bottom w:val="none" w:sz="0" w:space="0" w:color="auto"/>
        <w:right w:val="none" w:sz="0" w:space="0" w:color="auto"/>
      </w:divBdr>
    </w:div>
    <w:div w:id="826286154">
      <w:marLeft w:val="0"/>
      <w:marRight w:val="0"/>
      <w:marTop w:val="0"/>
      <w:marBottom w:val="240"/>
      <w:divBdr>
        <w:top w:val="none" w:sz="0" w:space="0" w:color="auto"/>
        <w:left w:val="none" w:sz="0" w:space="0" w:color="auto"/>
        <w:bottom w:val="none" w:sz="0" w:space="0" w:color="auto"/>
        <w:right w:val="none" w:sz="0" w:space="0" w:color="auto"/>
      </w:divBdr>
    </w:div>
    <w:div w:id="826900365">
      <w:marLeft w:val="0"/>
      <w:marRight w:val="0"/>
      <w:marTop w:val="0"/>
      <w:marBottom w:val="240"/>
      <w:divBdr>
        <w:top w:val="none" w:sz="0" w:space="0" w:color="auto"/>
        <w:left w:val="none" w:sz="0" w:space="0" w:color="auto"/>
        <w:bottom w:val="none" w:sz="0" w:space="0" w:color="auto"/>
        <w:right w:val="none" w:sz="0" w:space="0" w:color="auto"/>
      </w:divBdr>
    </w:div>
    <w:div w:id="832792344">
      <w:marLeft w:val="0"/>
      <w:marRight w:val="0"/>
      <w:marTop w:val="0"/>
      <w:marBottom w:val="240"/>
      <w:divBdr>
        <w:top w:val="none" w:sz="0" w:space="0" w:color="auto"/>
        <w:left w:val="none" w:sz="0" w:space="0" w:color="auto"/>
        <w:bottom w:val="none" w:sz="0" w:space="0" w:color="auto"/>
        <w:right w:val="none" w:sz="0" w:space="0" w:color="auto"/>
      </w:divBdr>
    </w:div>
    <w:div w:id="836190994">
      <w:marLeft w:val="0"/>
      <w:marRight w:val="0"/>
      <w:marTop w:val="0"/>
      <w:marBottom w:val="0"/>
      <w:divBdr>
        <w:top w:val="none" w:sz="0" w:space="0" w:color="auto"/>
        <w:left w:val="none" w:sz="0" w:space="0" w:color="auto"/>
        <w:bottom w:val="none" w:sz="0" w:space="0" w:color="auto"/>
        <w:right w:val="none" w:sz="0" w:space="0" w:color="auto"/>
      </w:divBdr>
      <w:divsChild>
        <w:div w:id="1680421946">
          <w:marLeft w:val="0"/>
          <w:marRight w:val="0"/>
          <w:marTop w:val="0"/>
          <w:marBottom w:val="0"/>
          <w:divBdr>
            <w:top w:val="none" w:sz="0" w:space="0" w:color="auto"/>
            <w:left w:val="none" w:sz="0" w:space="0" w:color="auto"/>
            <w:bottom w:val="none" w:sz="0" w:space="0" w:color="auto"/>
            <w:right w:val="none" w:sz="0" w:space="0" w:color="auto"/>
          </w:divBdr>
        </w:div>
      </w:divsChild>
    </w:div>
    <w:div w:id="836967475">
      <w:marLeft w:val="0"/>
      <w:marRight w:val="0"/>
      <w:marTop w:val="0"/>
      <w:marBottom w:val="240"/>
      <w:divBdr>
        <w:top w:val="none" w:sz="0" w:space="0" w:color="auto"/>
        <w:left w:val="none" w:sz="0" w:space="0" w:color="auto"/>
        <w:bottom w:val="none" w:sz="0" w:space="0" w:color="auto"/>
        <w:right w:val="none" w:sz="0" w:space="0" w:color="auto"/>
      </w:divBdr>
    </w:div>
    <w:div w:id="840006238">
      <w:marLeft w:val="0"/>
      <w:marRight w:val="0"/>
      <w:marTop w:val="120"/>
      <w:marBottom w:val="240"/>
      <w:divBdr>
        <w:top w:val="none" w:sz="0" w:space="0" w:color="auto"/>
        <w:left w:val="none" w:sz="0" w:space="0" w:color="auto"/>
        <w:bottom w:val="none" w:sz="0" w:space="0" w:color="auto"/>
        <w:right w:val="none" w:sz="0" w:space="0" w:color="auto"/>
      </w:divBdr>
    </w:div>
    <w:div w:id="844979649">
      <w:marLeft w:val="0"/>
      <w:marRight w:val="0"/>
      <w:marTop w:val="240"/>
      <w:marBottom w:val="240"/>
      <w:divBdr>
        <w:top w:val="none" w:sz="0" w:space="0" w:color="auto"/>
        <w:left w:val="none" w:sz="0" w:space="0" w:color="auto"/>
        <w:bottom w:val="none" w:sz="0" w:space="0" w:color="auto"/>
        <w:right w:val="none" w:sz="0" w:space="0" w:color="auto"/>
      </w:divBdr>
    </w:div>
    <w:div w:id="854541647">
      <w:marLeft w:val="0"/>
      <w:marRight w:val="0"/>
      <w:marTop w:val="240"/>
      <w:marBottom w:val="240"/>
      <w:divBdr>
        <w:top w:val="none" w:sz="0" w:space="0" w:color="auto"/>
        <w:left w:val="none" w:sz="0" w:space="0" w:color="auto"/>
        <w:bottom w:val="none" w:sz="0" w:space="0" w:color="auto"/>
        <w:right w:val="none" w:sz="0" w:space="0" w:color="auto"/>
      </w:divBdr>
    </w:div>
    <w:div w:id="856891587">
      <w:marLeft w:val="0"/>
      <w:marRight w:val="0"/>
      <w:marTop w:val="0"/>
      <w:marBottom w:val="240"/>
      <w:divBdr>
        <w:top w:val="none" w:sz="0" w:space="0" w:color="auto"/>
        <w:left w:val="none" w:sz="0" w:space="0" w:color="auto"/>
        <w:bottom w:val="none" w:sz="0" w:space="0" w:color="auto"/>
        <w:right w:val="none" w:sz="0" w:space="0" w:color="auto"/>
      </w:divBdr>
    </w:div>
    <w:div w:id="863789358">
      <w:marLeft w:val="0"/>
      <w:marRight w:val="0"/>
      <w:marTop w:val="0"/>
      <w:marBottom w:val="0"/>
      <w:divBdr>
        <w:top w:val="none" w:sz="0" w:space="0" w:color="auto"/>
        <w:left w:val="none" w:sz="0" w:space="0" w:color="auto"/>
        <w:bottom w:val="none" w:sz="0" w:space="0" w:color="auto"/>
        <w:right w:val="none" w:sz="0" w:space="0" w:color="auto"/>
      </w:divBdr>
      <w:divsChild>
        <w:div w:id="173805260">
          <w:marLeft w:val="0"/>
          <w:marRight w:val="0"/>
          <w:marTop w:val="0"/>
          <w:marBottom w:val="0"/>
          <w:divBdr>
            <w:top w:val="none" w:sz="0" w:space="0" w:color="auto"/>
            <w:left w:val="none" w:sz="0" w:space="0" w:color="auto"/>
            <w:bottom w:val="none" w:sz="0" w:space="0" w:color="auto"/>
            <w:right w:val="none" w:sz="0" w:space="0" w:color="auto"/>
          </w:divBdr>
        </w:div>
      </w:divsChild>
    </w:div>
    <w:div w:id="872033590">
      <w:marLeft w:val="0"/>
      <w:marRight w:val="0"/>
      <w:marTop w:val="0"/>
      <w:marBottom w:val="240"/>
      <w:divBdr>
        <w:top w:val="none" w:sz="0" w:space="0" w:color="auto"/>
        <w:left w:val="none" w:sz="0" w:space="0" w:color="auto"/>
        <w:bottom w:val="none" w:sz="0" w:space="0" w:color="auto"/>
        <w:right w:val="none" w:sz="0" w:space="0" w:color="auto"/>
      </w:divBdr>
    </w:div>
    <w:div w:id="874119567">
      <w:marLeft w:val="0"/>
      <w:marRight w:val="0"/>
      <w:marTop w:val="0"/>
      <w:marBottom w:val="0"/>
      <w:divBdr>
        <w:top w:val="none" w:sz="0" w:space="0" w:color="auto"/>
        <w:left w:val="none" w:sz="0" w:space="0" w:color="auto"/>
        <w:bottom w:val="none" w:sz="0" w:space="0" w:color="auto"/>
        <w:right w:val="none" w:sz="0" w:space="0" w:color="auto"/>
      </w:divBdr>
      <w:divsChild>
        <w:div w:id="1968898803">
          <w:marLeft w:val="0"/>
          <w:marRight w:val="0"/>
          <w:marTop w:val="0"/>
          <w:marBottom w:val="0"/>
          <w:divBdr>
            <w:top w:val="none" w:sz="0" w:space="0" w:color="auto"/>
            <w:left w:val="none" w:sz="0" w:space="0" w:color="auto"/>
            <w:bottom w:val="none" w:sz="0" w:space="0" w:color="auto"/>
            <w:right w:val="none" w:sz="0" w:space="0" w:color="auto"/>
          </w:divBdr>
        </w:div>
      </w:divsChild>
    </w:div>
    <w:div w:id="875851453">
      <w:marLeft w:val="0"/>
      <w:marRight w:val="0"/>
      <w:marTop w:val="0"/>
      <w:marBottom w:val="240"/>
      <w:divBdr>
        <w:top w:val="none" w:sz="0" w:space="0" w:color="auto"/>
        <w:left w:val="none" w:sz="0" w:space="0" w:color="auto"/>
        <w:bottom w:val="none" w:sz="0" w:space="0" w:color="auto"/>
        <w:right w:val="none" w:sz="0" w:space="0" w:color="auto"/>
      </w:divBdr>
    </w:div>
    <w:div w:id="879517655">
      <w:marLeft w:val="0"/>
      <w:marRight w:val="0"/>
      <w:marTop w:val="0"/>
      <w:marBottom w:val="0"/>
      <w:divBdr>
        <w:top w:val="none" w:sz="0" w:space="0" w:color="auto"/>
        <w:left w:val="none" w:sz="0" w:space="0" w:color="auto"/>
        <w:bottom w:val="none" w:sz="0" w:space="0" w:color="auto"/>
        <w:right w:val="none" w:sz="0" w:space="0" w:color="auto"/>
      </w:divBdr>
    </w:div>
    <w:div w:id="883443563">
      <w:marLeft w:val="0"/>
      <w:marRight w:val="0"/>
      <w:marTop w:val="0"/>
      <w:marBottom w:val="240"/>
      <w:divBdr>
        <w:top w:val="none" w:sz="0" w:space="0" w:color="auto"/>
        <w:left w:val="none" w:sz="0" w:space="0" w:color="auto"/>
        <w:bottom w:val="none" w:sz="0" w:space="0" w:color="auto"/>
        <w:right w:val="none" w:sz="0" w:space="0" w:color="auto"/>
      </w:divBdr>
    </w:div>
    <w:div w:id="884802472">
      <w:marLeft w:val="0"/>
      <w:marRight w:val="0"/>
      <w:marTop w:val="240"/>
      <w:marBottom w:val="240"/>
      <w:divBdr>
        <w:top w:val="none" w:sz="0" w:space="0" w:color="auto"/>
        <w:left w:val="none" w:sz="0" w:space="0" w:color="auto"/>
        <w:bottom w:val="none" w:sz="0" w:space="0" w:color="auto"/>
        <w:right w:val="none" w:sz="0" w:space="0" w:color="auto"/>
      </w:divBdr>
    </w:div>
    <w:div w:id="887304760">
      <w:marLeft w:val="0"/>
      <w:marRight w:val="0"/>
      <w:marTop w:val="240"/>
      <w:marBottom w:val="240"/>
      <w:divBdr>
        <w:top w:val="none" w:sz="0" w:space="0" w:color="auto"/>
        <w:left w:val="none" w:sz="0" w:space="0" w:color="auto"/>
        <w:bottom w:val="none" w:sz="0" w:space="0" w:color="auto"/>
        <w:right w:val="none" w:sz="0" w:space="0" w:color="auto"/>
      </w:divBdr>
    </w:div>
    <w:div w:id="889000763">
      <w:marLeft w:val="0"/>
      <w:marRight w:val="0"/>
      <w:marTop w:val="0"/>
      <w:marBottom w:val="0"/>
      <w:divBdr>
        <w:top w:val="none" w:sz="0" w:space="0" w:color="auto"/>
        <w:left w:val="none" w:sz="0" w:space="0" w:color="auto"/>
        <w:bottom w:val="none" w:sz="0" w:space="0" w:color="auto"/>
        <w:right w:val="none" w:sz="0" w:space="0" w:color="auto"/>
      </w:divBdr>
      <w:divsChild>
        <w:div w:id="978654040">
          <w:marLeft w:val="0"/>
          <w:marRight w:val="0"/>
          <w:marTop w:val="0"/>
          <w:marBottom w:val="0"/>
          <w:divBdr>
            <w:top w:val="none" w:sz="0" w:space="0" w:color="auto"/>
            <w:left w:val="none" w:sz="0" w:space="0" w:color="auto"/>
            <w:bottom w:val="none" w:sz="0" w:space="0" w:color="auto"/>
            <w:right w:val="none" w:sz="0" w:space="0" w:color="auto"/>
          </w:divBdr>
        </w:div>
      </w:divsChild>
    </w:div>
    <w:div w:id="890699782">
      <w:marLeft w:val="0"/>
      <w:marRight w:val="0"/>
      <w:marTop w:val="0"/>
      <w:marBottom w:val="240"/>
      <w:divBdr>
        <w:top w:val="none" w:sz="0" w:space="0" w:color="auto"/>
        <w:left w:val="none" w:sz="0" w:space="0" w:color="auto"/>
        <w:bottom w:val="none" w:sz="0" w:space="0" w:color="auto"/>
        <w:right w:val="none" w:sz="0" w:space="0" w:color="auto"/>
      </w:divBdr>
    </w:div>
    <w:div w:id="891037563">
      <w:marLeft w:val="0"/>
      <w:marRight w:val="0"/>
      <w:marTop w:val="0"/>
      <w:marBottom w:val="240"/>
      <w:divBdr>
        <w:top w:val="none" w:sz="0" w:space="0" w:color="auto"/>
        <w:left w:val="none" w:sz="0" w:space="0" w:color="auto"/>
        <w:bottom w:val="none" w:sz="0" w:space="0" w:color="auto"/>
        <w:right w:val="none" w:sz="0" w:space="0" w:color="auto"/>
      </w:divBdr>
    </w:div>
    <w:div w:id="892037280">
      <w:marLeft w:val="0"/>
      <w:marRight w:val="0"/>
      <w:marTop w:val="0"/>
      <w:marBottom w:val="240"/>
      <w:divBdr>
        <w:top w:val="none" w:sz="0" w:space="0" w:color="auto"/>
        <w:left w:val="none" w:sz="0" w:space="0" w:color="auto"/>
        <w:bottom w:val="none" w:sz="0" w:space="0" w:color="auto"/>
        <w:right w:val="none" w:sz="0" w:space="0" w:color="auto"/>
      </w:divBdr>
    </w:div>
    <w:div w:id="895748164">
      <w:marLeft w:val="0"/>
      <w:marRight w:val="0"/>
      <w:marTop w:val="0"/>
      <w:marBottom w:val="0"/>
      <w:divBdr>
        <w:top w:val="none" w:sz="0" w:space="0" w:color="auto"/>
        <w:left w:val="none" w:sz="0" w:space="0" w:color="auto"/>
        <w:bottom w:val="none" w:sz="0" w:space="0" w:color="auto"/>
        <w:right w:val="none" w:sz="0" w:space="0" w:color="auto"/>
      </w:divBdr>
      <w:divsChild>
        <w:div w:id="1331325424">
          <w:marLeft w:val="0"/>
          <w:marRight w:val="0"/>
          <w:marTop w:val="0"/>
          <w:marBottom w:val="0"/>
          <w:divBdr>
            <w:top w:val="none" w:sz="0" w:space="0" w:color="auto"/>
            <w:left w:val="none" w:sz="0" w:space="0" w:color="auto"/>
            <w:bottom w:val="none" w:sz="0" w:space="0" w:color="auto"/>
            <w:right w:val="none" w:sz="0" w:space="0" w:color="auto"/>
          </w:divBdr>
        </w:div>
      </w:divsChild>
    </w:div>
    <w:div w:id="896748989">
      <w:marLeft w:val="0"/>
      <w:marRight w:val="0"/>
      <w:marTop w:val="0"/>
      <w:marBottom w:val="0"/>
      <w:divBdr>
        <w:top w:val="none" w:sz="0" w:space="0" w:color="auto"/>
        <w:left w:val="none" w:sz="0" w:space="0" w:color="auto"/>
        <w:bottom w:val="none" w:sz="0" w:space="0" w:color="auto"/>
        <w:right w:val="none" w:sz="0" w:space="0" w:color="auto"/>
      </w:divBdr>
      <w:divsChild>
        <w:div w:id="154225747">
          <w:marLeft w:val="0"/>
          <w:marRight w:val="0"/>
          <w:marTop w:val="0"/>
          <w:marBottom w:val="0"/>
          <w:divBdr>
            <w:top w:val="none" w:sz="0" w:space="0" w:color="auto"/>
            <w:left w:val="none" w:sz="0" w:space="0" w:color="auto"/>
            <w:bottom w:val="none" w:sz="0" w:space="0" w:color="auto"/>
            <w:right w:val="none" w:sz="0" w:space="0" w:color="auto"/>
          </w:divBdr>
        </w:div>
      </w:divsChild>
    </w:div>
    <w:div w:id="897864446">
      <w:marLeft w:val="0"/>
      <w:marRight w:val="0"/>
      <w:marTop w:val="0"/>
      <w:marBottom w:val="240"/>
      <w:divBdr>
        <w:top w:val="none" w:sz="0" w:space="0" w:color="auto"/>
        <w:left w:val="none" w:sz="0" w:space="0" w:color="auto"/>
        <w:bottom w:val="none" w:sz="0" w:space="0" w:color="auto"/>
        <w:right w:val="none" w:sz="0" w:space="0" w:color="auto"/>
      </w:divBdr>
    </w:div>
    <w:div w:id="908883842">
      <w:marLeft w:val="0"/>
      <w:marRight w:val="0"/>
      <w:marTop w:val="0"/>
      <w:marBottom w:val="0"/>
      <w:divBdr>
        <w:top w:val="none" w:sz="0" w:space="0" w:color="auto"/>
        <w:left w:val="none" w:sz="0" w:space="0" w:color="auto"/>
        <w:bottom w:val="none" w:sz="0" w:space="0" w:color="auto"/>
        <w:right w:val="none" w:sz="0" w:space="0" w:color="auto"/>
      </w:divBdr>
    </w:div>
    <w:div w:id="912854254">
      <w:marLeft w:val="0"/>
      <w:marRight w:val="0"/>
      <w:marTop w:val="0"/>
      <w:marBottom w:val="120"/>
      <w:divBdr>
        <w:top w:val="none" w:sz="0" w:space="0" w:color="auto"/>
        <w:left w:val="none" w:sz="0" w:space="0" w:color="auto"/>
        <w:bottom w:val="none" w:sz="0" w:space="0" w:color="auto"/>
        <w:right w:val="none" w:sz="0" w:space="0" w:color="auto"/>
      </w:divBdr>
    </w:div>
    <w:div w:id="919019933">
      <w:marLeft w:val="0"/>
      <w:marRight w:val="0"/>
      <w:marTop w:val="0"/>
      <w:marBottom w:val="0"/>
      <w:divBdr>
        <w:top w:val="none" w:sz="0" w:space="0" w:color="auto"/>
        <w:left w:val="none" w:sz="0" w:space="0" w:color="auto"/>
        <w:bottom w:val="none" w:sz="0" w:space="0" w:color="auto"/>
        <w:right w:val="none" w:sz="0" w:space="0" w:color="auto"/>
      </w:divBdr>
    </w:div>
    <w:div w:id="923994970">
      <w:marLeft w:val="0"/>
      <w:marRight w:val="0"/>
      <w:marTop w:val="0"/>
      <w:marBottom w:val="240"/>
      <w:divBdr>
        <w:top w:val="none" w:sz="0" w:space="0" w:color="auto"/>
        <w:left w:val="none" w:sz="0" w:space="0" w:color="auto"/>
        <w:bottom w:val="none" w:sz="0" w:space="0" w:color="auto"/>
        <w:right w:val="none" w:sz="0" w:space="0" w:color="auto"/>
      </w:divBdr>
    </w:div>
    <w:div w:id="925774145">
      <w:marLeft w:val="0"/>
      <w:marRight w:val="0"/>
      <w:marTop w:val="0"/>
      <w:marBottom w:val="120"/>
      <w:divBdr>
        <w:top w:val="none" w:sz="0" w:space="0" w:color="auto"/>
        <w:left w:val="none" w:sz="0" w:space="0" w:color="auto"/>
        <w:bottom w:val="none" w:sz="0" w:space="0" w:color="auto"/>
        <w:right w:val="none" w:sz="0" w:space="0" w:color="auto"/>
      </w:divBdr>
    </w:div>
    <w:div w:id="935282226">
      <w:marLeft w:val="0"/>
      <w:marRight w:val="0"/>
      <w:marTop w:val="0"/>
      <w:marBottom w:val="0"/>
      <w:divBdr>
        <w:top w:val="none" w:sz="0" w:space="0" w:color="auto"/>
        <w:left w:val="none" w:sz="0" w:space="0" w:color="auto"/>
        <w:bottom w:val="none" w:sz="0" w:space="0" w:color="auto"/>
        <w:right w:val="none" w:sz="0" w:space="0" w:color="auto"/>
      </w:divBdr>
    </w:div>
    <w:div w:id="938487956">
      <w:marLeft w:val="0"/>
      <w:marRight w:val="0"/>
      <w:marTop w:val="240"/>
      <w:marBottom w:val="240"/>
      <w:divBdr>
        <w:top w:val="none" w:sz="0" w:space="0" w:color="auto"/>
        <w:left w:val="none" w:sz="0" w:space="0" w:color="auto"/>
        <w:bottom w:val="none" w:sz="0" w:space="0" w:color="auto"/>
        <w:right w:val="none" w:sz="0" w:space="0" w:color="auto"/>
      </w:divBdr>
    </w:div>
    <w:div w:id="954411837">
      <w:marLeft w:val="0"/>
      <w:marRight w:val="0"/>
      <w:marTop w:val="0"/>
      <w:marBottom w:val="0"/>
      <w:divBdr>
        <w:top w:val="none" w:sz="0" w:space="0" w:color="auto"/>
        <w:left w:val="none" w:sz="0" w:space="0" w:color="auto"/>
        <w:bottom w:val="none" w:sz="0" w:space="0" w:color="auto"/>
        <w:right w:val="none" w:sz="0" w:space="0" w:color="auto"/>
      </w:divBdr>
      <w:divsChild>
        <w:div w:id="1328821653">
          <w:marLeft w:val="0"/>
          <w:marRight w:val="0"/>
          <w:marTop w:val="0"/>
          <w:marBottom w:val="0"/>
          <w:divBdr>
            <w:top w:val="none" w:sz="0" w:space="0" w:color="auto"/>
            <w:left w:val="none" w:sz="0" w:space="0" w:color="auto"/>
            <w:bottom w:val="none" w:sz="0" w:space="0" w:color="auto"/>
            <w:right w:val="none" w:sz="0" w:space="0" w:color="auto"/>
          </w:divBdr>
        </w:div>
      </w:divsChild>
    </w:div>
    <w:div w:id="956137421">
      <w:marLeft w:val="0"/>
      <w:marRight w:val="0"/>
      <w:marTop w:val="0"/>
      <w:marBottom w:val="120"/>
      <w:divBdr>
        <w:top w:val="none" w:sz="0" w:space="0" w:color="auto"/>
        <w:left w:val="none" w:sz="0" w:space="0" w:color="auto"/>
        <w:bottom w:val="none" w:sz="0" w:space="0" w:color="auto"/>
        <w:right w:val="none" w:sz="0" w:space="0" w:color="auto"/>
      </w:divBdr>
    </w:div>
    <w:div w:id="958219547">
      <w:marLeft w:val="0"/>
      <w:marRight w:val="0"/>
      <w:marTop w:val="0"/>
      <w:marBottom w:val="0"/>
      <w:divBdr>
        <w:top w:val="none" w:sz="0" w:space="0" w:color="auto"/>
        <w:left w:val="none" w:sz="0" w:space="0" w:color="auto"/>
        <w:bottom w:val="none" w:sz="0" w:space="0" w:color="auto"/>
        <w:right w:val="none" w:sz="0" w:space="0" w:color="auto"/>
      </w:divBdr>
    </w:div>
    <w:div w:id="959532718">
      <w:marLeft w:val="0"/>
      <w:marRight w:val="0"/>
      <w:marTop w:val="0"/>
      <w:marBottom w:val="0"/>
      <w:divBdr>
        <w:top w:val="none" w:sz="0" w:space="0" w:color="auto"/>
        <w:left w:val="none" w:sz="0" w:space="0" w:color="auto"/>
        <w:bottom w:val="none" w:sz="0" w:space="0" w:color="auto"/>
        <w:right w:val="none" w:sz="0" w:space="0" w:color="auto"/>
      </w:divBdr>
    </w:div>
    <w:div w:id="960920667">
      <w:marLeft w:val="0"/>
      <w:marRight w:val="0"/>
      <w:marTop w:val="0"/>
      <w:marBottom w:val="240"/>
      <w:divBdr>
        <w:top w:val="none" w:sz="0" w:space="0" w:color="auto"/>
        <w:left w:val="none" w:sz="0" w:space="0" w:color="auto"/>
        <w:bottom w:val="none" w:sz="0" w:space="0" w:color="auto"/>
        <w:right w:val="none" w:sz="0" w:space="0" w:color="auto"/>
      </w:divBdr>
    </w:div>
    <w:div w:id="967466246">
      <w:marLeft w:val="0"/>
      <w:marRight w:val="0"/>
      <w:marTop w:val="240"/>
      <w:marBottom w:val="240"/>
      <w:divBdr>
        <w:top w:val="none" w:sz="0" w:space="0" w:color="auto"/>
        <w:left w:val="none" w:sz="0" w:space="0" w:color="auto"/>
        <w:bottom w:val="none" w:sz="0" w:space="0" w:color="auto"/>
        <w:right w:val="none" w:sz="0" w:space="0" w:color="auto"/>
      </w:divBdr>
    </w:div>
    <w:div w:id="970742149">
      <w:marLeft w:val="0"/>
      <w:marRight w:val="0"/>
      <w:marTop w:val="0"/>
      <w:marBottom w:val="240"/>
      <w:divBdr>
        <w:top w:val="none" w:sz="0" w:space="0" w:color="auto"/>
        <w:left w:val="none" w:sz="0" w:space="0" w:color="auto"/>
        <w:bottom w:val="none" w:sz="0" w:space="0" w:color="auto"/>
        <w:right w:val="none" w:sz="0" w:space="0" w:color="auto"/>
      </w:divBdr>
    </w:div>
    <w:div w:id="978193611">
      <w:marLeft w:val="0"/>
      <w:marRight w:val="0"/>
      <w:marTop w:val="0"/>
      <w:marBottom w:val="200"/>
      <w:divBdr>
        <w:top w:val="none" w:sz="0" w:space="0" w:color="auto"/>
        <w:left w:val="none" w:sz="0" w:space="0" w:color="auto"/>
        <w:bottom w:val="none" w:sz="0" w:space="0" w:color="auto"/>
        <w:right w:val="none" w:sz="0" w:space="0" w:color="auto"/>
      </w:divBdr>
    </w:div>
    <w:div w:id="980309263">
      <w:marLeft w:val="0"/>
      <w:marRight w:val="0"/>
      <w:marTop w:val="0"/>
      <w:marBottom w:val="240"/>
      <w:divBdr>
        <w:top w:val="none" w:sz="0" w:space="0" w:color="auto"/>
        <w:left w:val="none" w:sz="0" w:space="0" w:color="auto"/>
        <w:bottom w:val="none" w:sz="0" w:space="0" w:color="auto"/>
        <w:right w:val="none" w:sz="0" w:space="0" w:color="auto"/>
      </w:divBdr>
    </w:div>
    <w:div w:id="983897903">
      <w:marLeft w:val="0"/>
      <w:marRight w:val="0"/>
      <w:marTop w:val="0"/>
      <w:marBottom w:val="120"/>
      <w:divBdr>
        <w:top w:val="none" w:sz="0" w:space="0" w:color="auto"/>
        <w:left w:val="none" w:sz="0" w:space="0" w:color="auto"/>
        <w:bottom w:val="none" w:sz="0" w:space="0" w:color="auto"/>
        <w:right w:val="none" w:sz="0" w:space="0" w:color="auto"/>
      </w:divBdr>
    </w:div>
    <w:div w:id="987787702">
      <w:marLeft w:val="0"/>
      <w:marRight w:val="0"/>
      <w:marTop w:val="0"/>
      <w:marBottom w:val="240"/>
      <w:divBdr>
        <w:top w:val="none" w:sz="0" w:space="0" w:color="auto"/>
        <w:left w:val="none" w:sz="0" w:space="0" w:color="auto"/>
        <w:bottom w:val="none" w:sz="0" w:space="0" w:color="auto"/>
        <w:right w:val="none" w:sz="0" w:space="0" w:color="auto"/>
      </w:divBdr>
    </w:div>
    <w:div w:id="991325024">
      <w:marLeft w:val="0"/>
      <w:marRight w:val="0"/>
      <w:marTop w:val="0"/>
      <w:marBottom w:val="240"/>
      <w:divBdr>
        <w:top w:val="none" w:sz="0" w:space="0" w:color="auto"/>
        <w:left w:val="none" w:sz="0" w:space="0" w:color="auto"/>
        <w:bottom w:val="none" w:sz="0" w:space="0" w:color="auto"/>
        <w:right w:val="none" w:sz="0" w:space="0" w:color="auto"/>
      </w:divBdr>
    </w:div>
    <w:div w:id="993296304">
      <w:marLeft w:val="0"/>
      <w:marRight w:val="0"/>
      <w:marTop w:val="120"/>
      <w:marBottom w:val="0"/>
      <w:divBdr>
        <w:top w:val="none" w:sz="0" w:space="0" w:color="auto"/>
        <w:left w:val="none" w:sz="0" w:space="0" w:color="auto"/>
        <w:bottom w:val="none" w:sz="0" w:space="0" w:color="auto"/>
        <w:right w:val="none" w:sz="0" w:space="0" w:color="auto"/>
      </w:divBdr>
    </w:div>
    <w:div w:id="997003949">
      <w:marLeft w:val="0"/>
      <w:marRight w:val="0"/>
      <w:marTop w:val="0"/>
      <w:marBottom w:val="240"/>
      <w:divBdr>
        <w:top w:val="none" w:sz="0" w:space="0" w:color="auto"/>
        <w:left w:val="none" w:sz="0" w:space="0" w:color="auto"/>
        <w:bottom w:val="none" w:sz="0" w:space="0" w:color="auto"/>
        <w:right w:val="none" w:sz="0" w:space="0" w:color="auto"/>
      </w:divBdr>
    </w:div>
    <w:div w:id="998072537">
      <w:marLeft w:val="0"/>
      <w:marRight w:val="0"/>
      <w:marTop w:val="0"/>
      <w:marBottom w:val="240"/>
      <w:divBdr>
        <w:top w:val="none" w:sz="0" w:space="0" w:color="auto"/>
        <w:left w:val="none" w:sz="0" w:space="0" w:color="auto"/>
        <w:bottom w:val="none" w:sz="0" w:space="0" w:color="auto"/>
        <w:right w:val="none" w:sz="0" w:space="0" w:color="auto"/>
      </w:divBdr>
    </w:div>
    <w:div w:id="998461746">
      <w:marLeft w:val="0"/>
      <w:marRight w:val="0"/>
      <w:marTop w:val="0"/>
      <w:marBottom w:val="240"/>
      <w:divBdr>
        <w:top w:val="none" w:sz="0" w:space="0" w:color="auto"/>
        <w:left w:val="none" w:sz="0" w:space="0" w:color="auto"/>
        <w:bottom w:val="none" w:sz="0" w:space="0" w:color="auto"/>
        <w:right w:val="none" w:sz="0" w:space="0" w:color="auto"/>
      </w:divBdr>
    </w:div>
    <w:div w:id="1004478712">
      <w:marLeft w:val="0"/>
      <w:marRight w:val="0"/>
      <w:marTop w:val="240"/>
      <w:marBottom w:val="240"/>
      <w:divBdr>
        <w:top w:val="none" w:sz="0" w:space="0" w:color="auto"/>
        <w:left w:val="none" w:sz="0" w:space="0" w:color="auto"/>
        <w:bottom w:val="none" w:sz="0" w:space="0" w:color="auto"/>
        <w:right w:val="none" w:sz="0" w:space="0" w:color="auto"/>
      </w:divBdr>
    </w:div>
    <w:div w:id="1009327736">
      <w:marLeft w:val="0"/>
      <w:marRight w:val="0"/>
      <w:marTop w:val="0"/>
      <w:marBottom w:val="0"/>
      <w:divBdr>
        <w:top w:val="none" w:sz="0" w:space="0" w:color="auto"/>
        <w:left w:val="none" w:sz="0" w:space="0" w:color="auto"/>
        <w:bottom w:val="none" w:sz="0" w:space="0" w:color="auto"/>
        <w:right w:val="none" w:sz="0" w:space="0" w:color="auto"/>
      </w:divBdr>
      <w:divsChild>
        <w:div w:id="1828783022">
          <w:marLeft w:val="0"/>
          <w:marRight w:val="0"/>
          <w:marTop w:val="0"/>
          <w:marBottom w:val="0"/>
          <w:divBdr>
            <w:top w:val="none" w:sz="0" w:space="0" w:color="auto"/>
            <w:left w:val="none" w:sz="0" w:space="0" w:color="auto"/>
            <w:bottom w:val="none" w:sz="0" w:space="0" w:color="auto"/>
            <w:right w:val="none" w:sz="0" w:space="0" w:color="auto"/>
          </w:divBdr>
        </w:div>
      </w:divsChild>
    </w:div>
    <w:div w:id="1010913063">
      <w:marLeft w:val="0"/>
      <w:marRight w:val="0"/>
      <w:marTop w:val="0"/>
      <w:marBottom w:val="0"/>
      <w:divBdr>
        <w:top w:val="none" w:sz="0" w:space="0" w:color="auto"/>
        <w:left w:val="none" w:sz="0" w:space="0" w:color="auto"/>
        <w:bottom w:val="none" w:sz="0" w:space="0" w:color="auto"/>
        <w:right w:val="none" w:sz="0" w:space="0" w:color="auto"/>
      </w:divBdr>
      <w:divsChild>
        <w:div w:id="1514765102">
          <w:marLeft w:val="0"/>
          <w:marRight w:val="0"/>
          <w:marTop w:val="0"/>
          <w:marBottom w:val="0"/>
          <w:divBdr>
            <w:top w:val="none" w:sz="0" w:space="0" w:color="auto"/>
            <w:left w:val="none" w:sz="0" w:space="0" w:color="auto"/>
            <w:bottom w:val="none" w:sz="0" w:space="0" w:color="auto"/>
            <w:right w:val="none" w:sz="0" w:space="0" w:color="auto"/>
          </w:divBdr>
        </w:div>
      </w:divsChild>
    </w:div>
    <w:div w:id="1028411334">
      <w:marLeft w:val="0"/>
      <w:marRight w:val="0"/>
      <w:marTop w:val="0"/>
      <w:marBottom w:val="240"/>
      <w:divBdr>
        <w:top w:val="none" w:sz="0" w:space="0" w:color="auto"/>
        <w:left w:val="none" w:sz="0" w:space="0" w:color="auto"/>
        <w:bottom w:val="none" w:sz="0" w:space="0" w:color="auto"/>
        <w:right w:val="none" w:sz="0" w:space="0" w:color="auto"/>
      </w:divBdr>
    </w:div>
    <w:div w:id="1031029487">
      <w:marLeft w:val="0"/>
      <w:marRight w:val="0"/>
      <w:marTop w:val="0"/>
      <w:marBottom w:val="0"/>
      <w:divBdr>
        <w:top w:val="none" w:sz="0" w:space="0" w:color="auto"/>
        <w:left w:val="none" w:sz="0" w:space="0" w:color="auto"/>
        <w:bottom w:val="none" w:sz="0" w:space="0" w:color="auto"/>
        <w:right w:val="none" w:sz="0" w:space="0" w:color="auto"/>
      </w:divBdr>
      <w:divsChild>
        <w:div w:id="128938117">
          <w:marLeft w:val="0"/>
          <w:marRight w:val="0"/>
          <w:marTop w:val="0"/>
          <w:marBottom w:val="0"/>
          <w:divBdr>
            <w:top w:val="none" w:sz="0" w:space="0" w:color="auto"/>
            <w:left w:val="none" w:sz="0" w:space="0" w:color="auto"/>
            <w:bottom w:val="none" w:sz="0" w:space="0" w:color="auto"/>
            <w:right w:val="none" w:sz="0" w:space="0" w:color="auto"/>
          </w:divBdr>
        </w:div>
      </w:divsChild>
    </w:div>
    <w:div w:id="1031685667">
      <w:marLeft w:val="0"/>
      <w:marRight w:val="0"/>
      <w:marTop w:val="0"/>
      <w:marBottom w:val="240"/>
      <w:divBdr>
        <w:top w:val="none" w:sz="0" w:space="0" w:color="auto"/>
        <w:left w:val="none" w:sz="0" w:space="0" w:color="auto"/>
        <w:bottom w:val="none" w:sz="0" w:space="0" w:color="auto"/>
        <w:right w:val="none" w:sz="0" w:space="0" w:color="auto"/>
      </w:divBdr>
    </w:div>
    <w:div w:id="1036661121">
      <w:marLeft w:val="0"/>
      <w:marRight w:val="0"/>
      <w:marTop w:val="0"/>
      <w:marBottom w:val="240"/>
      <w:divBdr>
        <w:top w:val="none" w:sz="0" w:space="0" w:color="auto"/>
        <w:left w:val="none" w:sz="0" w:space="0" w:color="auto"/>
        <w:bottom w:val="none" w:sz="0" w:space="0" w:color="auto"/>
        <w:right w:val="none" w:sz="0" w:space="0" w:color="auto"/>
      </w:divBdr>
    </w:div>
    <w:div w:id="1042829035">
      <w:marLeft w:val="0"/>
      <w:marRight w:val="0"/>
      <w:marTop w:val="0"/>
      <w:marBottom w:val="0"/>
      <w:divBdr>
        <w:top w:val="none" w:sz="0" w:space="0" w:color="auto"/>
        <w:left w:val="none" w:sz="0" w:space="0" w:color="auto"/>
        <w:bottom w:val="none" w:sz="0" w:space="0" w:color="auto"/>
        <w:right w:val="none" w:sz="0" w:space="0" w:color="auto"/>
      </w:divBdr>
    </w:div>
    <w:div w:id="1043747150">
      <w:marLeft w:val="0"/>
      <w:marRight w:val="0"/>
      <w:marTop w:val="0"/>
      <w:marBottom w:val="240"/>
      <w:divBdr>
        <w:top w:val="none" w:sz="0" w:space="0" w:color="auto"/>
        <w:left w:val="none" w:sz="0" w:space="0" w:color="auto"/>
        <w:bottom w:val="none" w:sz="0" w:space="0" w:color="auto"/>
        <w:right w:val="none" w:sz="0" w:space="0" w:color="auto"/>
      </w:divBdr>
    </w:div>
    <w:div w:id="1044404887">
      <w:marLeft w:val="0"/>
      <w:marRight w:val="0"/>
      <w:marTop w:val="0"/>
      <w:marBottom w:val="0"/>
      <w:divBdr>
        <w:top w:val="none" w:sz="0" w:space="0" w:color="auto"/>
        <w:left w:val="none" w:sz="0" w:space="0" w:color="auto"/>
        <w:bottom w:val="none" w:sz="0" w:space="0" w:color="auto"/>
        <w:right w:val="none" w:sz="0" w:space="0" w:color="auto"/>
      </w:divBdr>
    </w:div>
    <w:div w:id="1047949069">
      <w:marLeft w:val="0"/>
      <w:marRight w:val="0"/>
      <w:marTop w:val="0"/>
      <w:marBottom w:val="0"/>
      <w:divBdr>
        <w:top w:val="none" w:sz="0" w:space="0" w:color="auto"/>
        <w:left w:val="none" w:sz="0" w:space="0" w:color="auto"/>
        <w:bottom w:val="none" w:sz="0" w:space="0" w:color="auto"/>
        <w:right w:val="none" w:sz="0" w:space="0" w:color="auto"/>
      </w:divBdr>
    </w:div>
    <w:div w:id="1048605728">
      <w:marLeft w:val="0"/>
      <w:marRight w:val="0"/>
      <w:marTop w:val="240"/>
      <w:marBottom w:val="0"/>
      <w:divBdr>
        <w:top w:val="none" w:sz="0" w:space="0" w:color="auto"/>
        <w:left w:val="none" w:sz="0" w:space="0" w:color="auto"/>
        <w:bottom w:val="none" w:sz="0" w:space="0" w:color="auto"/>
        <w:right w:val="none" w:sz="0" w:space="0" w:color="auto"/>
      </w:divBdr>
    </w:div>
    <w:div w:id="1050618045">
      <w:marLeft w:val="0"/>
      <w:marRight w:val="0"/>
      <w:marTop w:val="0"/>
      <w:marBottom w:val="240"/>
      <w:divBdr>
        <w:top w:val="none" w:sz="0" w:space="0" w:color="auto"/>
        <w:left w:val="none" w:sz="0" w:space="0" w:color="auto"/>
        <w:bottom w:val="none" w:sz="0" w:space="0" w:color="auto"/>
        <w:right w:val="none" w:sz="0" w:space="0" w:color="auto"/>
      </w:divBdr>
    </w:div>
    <w:div w:id="1051270462">
      <w:marLeft w:val="0"/>
      <w:marRight w:val="0"/>
      <w:marTop w:val="0"/>
      <w:marBottom w:val="240"/>
      <w:divBdr>
        <w:top w:val="none" w:sz="0" w:space="0" w:color="auto"/>
        <w:left w:val="none" w:sz="0" w:space="0" w:color="auto"/>
        <w:bottom w:val="none" w:sz="0" w:space="0" w:color="auto"/>
        <w:right w:val="none" w:sz="0" w:space="0" w:color="auto"/>
      </w:divBdr>
    </w:div>
    <w:div w:id="1054811025">
      <w:marLeft w:val="0"/>
      <w:marRight w:val="0"/>
      <w:marTop w:val="0"/>
      <w:marBottom w:val="240"/>
      <w:divBdr>
        <w:top w:val="none" w:sz="0" w:space="0" w:color="auto"/>
        <w:left w:val="none" w:sz="0" w:space="0" w:color="auto"/>
        <w:bottom w:val="none" w:sz="0" w:space="0" w:color="auto"/>
        <w:right w:val="none" w:sz="0" w:space="0" w:color="auto"/>
      </w:divBdr>
    </w:div>
    <w:div w:id="1055472324">
      <w:marLeft w:val="0"/>
      <w:marRight w:val="0"/>
      <w:marTop w:val="0"/>
      <w:marBottom w:val="0"/>
      <w:divBdr>
        <w:top w:val="none" w:sz="0" w:space="0" w:color="auto"/>
        <w:left w:val="none" w:sz="0" w:space="0" w:color="auto"/>
        <w:bottom w:val="none" w:sz="0" w:space="0" w:color="auto"/>
        <w:right w:val="none" w:sz="0" w:space="0" w:color="auto"/>
      </w:divBdr>
      <w:divsChild>
        <w:div w:id="2071465483">
          <w:marLeft w:val="0"/>
          <w:marRight w:val="0"/>
          <w:marTop w:val="0"/>
          <w:marBottom w:val="0"/>
          <w:divBdr>
            <w:top w:val="none" w:sz="0" w:space="0" w:color="auto"/>
            <w:left w:val="none" w:sz="0" w:space="0" w:color="auto"/>
            <w:bottom w:val="none" w:sz="0" w:space="0" w:color="auto"/>
            <w:right w:val="none" w:sz="0" w:space="0" w:color="auto"/>
          </w:divBdr>
        </w:div>
      </w:divsChild>
    </w:div>
    <w:div w:id="1055659064">
      <w:marLeft w:val="0"/>
      <w:marRight w:val="0"/>
      <w:marTop w:val="0"/>
      <w:marBottom w:val="240"/>
      <w:divBdr>
        <w:top w:val="none" w:sz="0" w:space="0" w:color="auto"/>
        <w:left w:val="none" w:sz="0" w:space="0" w:color="auto"/>
        <w:bottom w:val="none" w:sz="0" w:space="0" w:color="auto"/>
        <w:right w:val="none" w:sz="0" w:space="0" w:color="auto"/>
      </w:divBdr>
    </w:div>
    <w:div w:id="1061758503">
      <w:marLeft w:val="0"/>
      <w:marRight w:val="0"/>
      <w:marTop w:val="0"/>
      <w:marBottom w:val="120"/>
      <w:divBdr>
        <w:top w:val="none" w:sz="0" w:space="0" w:color="auto"/>
        <w:left w:val="none" w:sz="0" w:space="0" w:color="auto"/>
        <w:bottom w:val="none" w:sz="0" w:space="0" w:color="auto"/>
        <w:right w:val="none" w:sz="0" w:space="0" w:color="auto"/>
      </w:divBdr>
    </w:div>
    <w:div w:id="1062872072">
      <w:marLeft w:val="0"/>
      <w:marRight w:val="0"/>
      <w:marTop w:val="0"/>
      <w:marBottom w:val="0"/>
      <w:divBdr>
        <w:top w:val="none" w:sz="0" w:space="0" w:color="auto"/>
        <w:left w:val="none" w:sz="0" w:space="0" w:color="auto"/>
        <w:bottom w:val="none" w:sz="0" w:space="0" w:color="auto"/>
        <w:right w:val="none" w:sz="0" w:space="0" w:color="auto"/>
      </w:divBdr>
      <w:divsChild>
        <w:div w:id="1877038765">
          <w:marLeft w:val="0"/>
          <w:marRight w:val="0"/>
          <w:marTop w:val="0"/>
          <w:marBottom w:val="0"/>
          <w:divBdr>
            <w:top w:val="none" w:sz="0" w:space="0" w:color="auto"/>
            <w:left w:val="none" w:sz="0" w:space="0" w:color="auto"/>
            <w:bottom w:val="none" w:sz="0" w:space="0" w:color="auto"/>
            <w:right w:val="none" w:sz="0" w:space="0" w:color="auto"/>
          </w:divBdr>
        </w:div>
      </w:divsChild>
    </w:div>
    <w:div w:id="1071152230">
      <w:marLeft w:val="0"/>
      <w:marRight w:val="0"/>
      <w:marTop w:val="0"/>
      <w:marBottom w:val="240"/>
      <w:divBdr>
        <w:top w:val="none" w:sz="0" w:space="0" w:color="auto"/>
        <w:left w:val="none" w:sz="0" w:space="0" w:color="auto"/>
        <w:bottom w:val="none" w:sz="0" w:space="0" w:color="auto"/>
        <w:right w:val="none" w:sz="0" w:space="0" w:color="auto"/>
      </w:divBdr>
    </w:div>
    <w:div w:id="1079714832">
      <w:marLeft w:val="0"/>
      <w:marRight w:val="0"/>
      <w:marTop w:val="0"/>
      <w:marBottom w:val="0"/>
      <w:divBdr>
        <w:top w:val="none" w:sz="0" w:space="0" w:color="auto"/>
        <w:left w:val="none" w:sz="0" w:space="0" w:color="auto"/>
        <w:bottom w:val="none" w:sz="0" w:space="0" w:color="auto"/>
        <w:right w:val="none" w:sz="0" w:space="0" w:color="auto"/>
      </w:divBdr>
    </w:div>
    <w:div w:id="1080100535">
      <w:marLeft w:val="0"/>
      <w:marRight w:val="0"/>
      <w:marTop w:val="0"/>
      <w:marBottom w:val="120"/>
      <w:divBdr>
        <w:top w:val="none" w:sz="0" w:space="0" w:color="auto"/>
        <w:left w:val="none" w:sz="0" w:space="0" w:color="auto"/>
        <w:bottom w:val="none" w:sz="0" w:space="0" w:color="auto"/>
        <w:right w:val="none" w:sz="0" w:space="0" w:color="auto"/>
      </w:divBdr>
    </w:div>
    <w:div w:id="1081829071">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sChild>
        <w:div w:id="1548374557">
          <w:marLeft w:val="0"/>
          <w:marRight w:val="0"/>
          <w:marTop w:val="0"/>
          <w:marBottom w:val="0"/>
          <w:divBdr>
            <w:top w:val="none" w:sz="0" w:space="0" w:color="auto"/>
            <w:left w:val="none" w:sz="0" w:space="0" w:color="auto"/>
            <w:bottom w:val="none" w:sz="0" w:space="0" w:color="auto"/>
            <w:right w:val="none" w:sz="0" w:space="0" w:color="auto"/>
          </w:divBdr>
        </w:div>
      </w:divsChild>
    </w:div>
    <w:div w:id="1089161211">
      <w:marLeft w:val="0"/>
      <w:marRight w:val="0"/>
      <w:marTop w:val="120"/>
      <w:marBottom w:val="240"/>
      <w:divBdr>
        <w:top w:val="none" w:sz="0" w:space="0" w:color="auto"/>
        <w:left w:val="none" w:sz="0" w:space="0" w:color="auto"/>
        <w:bottom w:val="none" w:sz="0" w:space="0" w:color="auto"/>
        <w:right w:val="none" w:sz="0" w:space="0" w:color="auto"/>
      </w:divBdr>
    </w:div>
    <w:div w:id="1096906733">
      <w:marLeft w:val="0"/>
      <w:marRight w:val="0"/>
      <w:marTop w:val="0"/>
      <w:marBottom w:val="0"/>
      <w:divBdr>
        <w:top w:val="none" w:sz="0" w:space="0" w:color="auto"/>
        <w:left w:val="none" w:sz="0" w:space="0" w:color="auto"/>
        <w:bottom w:val="none" w:sz="0" w:space="0" w:color="auto"/>
        <w:right w:val="none" w:sz="0" w:space="0" w:color="auto"/>
      </w:divBdr>
      <w:divsChild>
        <w:div w:id="1760053632">
          <w:marLeft w:val="0"/>
          <w:marRight w:val="0"/>
          <w:marTop w:val="0"/>
          <w:marBottom w:val="0"/>
          <w:divBdr>
            <w:top w:val="none" w:sz="0" w:space="0" w:color="auto"/>
            <w:left w:val="none" w:sz="0" w:space="0" w:color="auto"/>
            <w:bottom w:val="none" w:sz="0" w:space="0" w:color="auto"/>
            <w:right w:val="none" w:sz="0" w:space="0" w:color="auto"/>
          </w:divBdr>
        </w:div>
      </w:divsChild>
    </w:div>
    <w:div w:id="1098335021">
      <w:marLeft w:val="0"/>
      <w:marRight w:val="0"/>
      <w:marTop w:val="0"/>
      <w:marBottom w:val="240"/>
      <w:divBdr>
        <w:top w:val="none" w:sz="0" w:space="0" w:color="auto"/>
        <w:left w:val="none" w:sz="0" w:space="0" w:color="auto"/>
        <w:bottom w:val="none" w:sz="0" w:space="0" w:color="auto"/>
        <w:right w:val="none" w:sz="0" w:space="0" w:color="auto"/>
      </w:divBdr>
    </w:div>
    <w:div w:id="1103577662">
      <w:marLeft w:val="0"/>
      <w:marRight w:val="0"/>
      <w:marTop w:val="0"/>
      <w:marBottom w:val="0"/>
      <w:divBdr>
        <w:top w:val="none" w:sz="0" w:space="0" w:color="auto"/>
        <w:left w:val="none" w:sz="0" w:space="0" w:color="auto"/>
        <w:bottom w:val="none" w:sz="0" w:space="0" w:color="auto"/>
        <w:right w:val="none" w:sz="0" w:space="0" w:color="auto"/>
      </w:divBdr>
    </w:div>
    <w:div w:id="1104493462">
      <w:marLeft w:val="0"/>
      <w:marRight w:val="0"/>
      <w:marTop w:val="0"/>
      <w:marBottom w:val="240"/>
      <w:divBdr>
        <w:top w:val="none" w:sz="0" w:space="0" w:color="auto"/>
        <w:left w:val="none" w:sz="0" w:space="0" w:color="auto"/>
        <w:bottom w:val="none" w:sz="0" w:space="0" w:color="auto"/>
        <w:right w:val="none" w:sz="0" w:space="0" w:color="auto"/>
      </w:divBdr>
    </w:div>
    <w:div w:id="1108743516">
      <w:marLeft w:val="0"/>
      <w:marRight w:val="0"/>
      <w:marTop w:val="0"/>
      <w:marBottom w:val="0"/>
      <w:divBdr>
        <w:top w:val="none" w:sz="0" w:space="0" w:color="auto"/>
        <w:left w:val="none" w:sz="0" w:space="0" w:color="auto"/>
        <w:bottom w:val="none" w:sz="0" w:space="0" w:color="auto"/>
        <w:right w:val="none" w:sz="0" w:space="0" w:color="auto"/>
      </w:divBdr>
    </w:div>
    <w:div w:id="1118648580">
      <w:marLeft w:val="0"/>
      <w:marRight w:val="0"/>
      <w:marTop w:val="0"/>
      <w:marBottom w:val="240"/>
      <w:divBdr>
        <w:top w:val="none" w:sz="0" w:space="0" w:color="auto"/>
        <w:left w:val="none" w:sz="0" w:space="0" w:color="auto"/>
        <w:bottom w:val="none" w:sz="0" w:space="0" w:color="auto"/>
        <w:right w:val="none" w:sz="0" w:space="0" w:color="auto"/>
      </w:divBdr>
    </w:div>
    <w:div w:id="1119228658">
      <w:marLeft w:val="0"/>
      <w:marRight w:val="0"/>
      <w:marTop w:val="0"/>
      <w:marBottom w:val="0"/>
      <w:divBdr>
        <w:top w:val="none" w:sz="0" w:space="0" w:color="auto"/>
        <w:left w:val="none" w:sz="0" w:space="0" w:color="auto"/>
        <w:bottom w:val="none" w:sz="0" w:space="0" w:color="auto"/>
        <w:right w:val="none" w:sz="0" w:space="0" w:color="auto"/>
      </w:divBdr>
      <w:divsChild>
        <w:div w:id="640231508">
          <w:marLeft w:val="0"/>
          <w:marRight w:val="0"/>
          <w:marTop w:val="0"/>
          <w:marBottom w:val="0"/>
          <w:divBdr>
            <w:top w:val="none" w:sz="0" w:space="0" w:color="auto"/>
            <w:left w:val="none" w:sz="0" w:space="0" w:color="auto"/>
            <w:bottom w:val="none" w:sz="0" w:space="0" w:color="auto"/>
            <w:right w:val="none" w:sz="0" w:space="0" w:color="auto"/>
          </w:divBdr>
        </w:div>
      </w:divsChild>
    </w:div>
    <w:div w:id="1123886927">
      <w:marLeft w:val="0"/>
      <w:marRight w:val="0"/>
      <w:marTop w:val="0"/>
      <w:marBottom w:val="240"/>
      <w:divBdr>
        <w:top w:val="none" w:sz="0" w:space="0" w:color="auto"/>
        <w:left w:val="none" w:sz="0" w:space="0" w:color="auto"/>
        <w:bottom w:val="none" w:sz="0" w:space="0" w:color="auto"/>
        <w:right w:val="none" w:sz="0" w:space="0" w:color="auto"/>
      </w:divBdr>
    </w:div>
    <w:div w:id="1127236186">
      <w:marLeft w:val="0"/>
      <w:marRight w:val="0"/>
      <w:marTop w:val="0"/>
      <w:marBottom w:val="240"/>
      <w:divBdr>
        <w:top w:val="none" w:sz="0" w:space="0" w:color="auto"/>
        <w:left w:val="none" w:sz="0" w:space="0" w:color="auto"/>
        <w:bottom w:val="none" w:sz="0" w:space="0" w:color="auto"/>
        <w:right w:val="none" w:sz="0" w:space="0" w:color="auto"/>
      </w:divBdr>
    </w:div>
    <w:div w:id="1128470219">
      <w:marLeft w:val="0"/>
      <w:marRight w:val="0"/>
      <w:marTop w:val="0"/>
      <w:marBottom w:val="120"/>
      <w:divBdr>
        <w:top w:val="none" w:sz="0" w:space="0" w:color="auto"/>
        <w:left w:val="none" w:sz="0" w:space="0" w:color="auto"/>
        <w:bottom w:val="none" w:sz="0" w:space="0" w:color="auto"/>
        <w:right w:val="none" w:sz="0" w:space="0" w:color="auto"/>
      </w:divBdr>
    </w:div>
    <w:div w:id="1134056101">
      <w:marLeft w:val="0"/>
      <w:marRight w:val="0"/>
      <w:marTop w:val="0"/>
      <w:marBottom w:val="120"/>
      <w:divBdr>
        <w:top w:val="none" w:sz="0" w:space="0" w:color="auto"/>
        <w:left w:val="none" w:sz="0" w:space="0" w:color="auto"/>
        <w:bottom w:val="none" w:sz="0" w:space="0" w:color="auto"/>
        <w:right w:val="none" w:sz="0" w:space="0" w:color="auto"/>
      </w:divBdr>
    </w:div>
    <w:div w:id="1135566514">
      <w:marLeft w:val="0"/>
      <w:marRight w:val="0"/>
      <w:marTop w:val="0"/>
      <w:marBottom w:val="240"/>
      <w:divBdr>
        <w:top w:val="none" w:sz="0" w:space="0" w:color="auto"/>
        <w:left w:val="none" w:sz="0" w:space="0" w:color="auto"/>
        <w:bottom w:val="none" w:sz="0" w:space="0" w:color="auto"/>
        <w:right w:val="none" w:sz="0" w:space="0" w:color="auto"/>
      </w:divBdr>
    </w:div>
    <w:div w:id="1145776703">
      <w:marLeft w:val="0"/>
      <w:marRight w:val="0"/>
      <w:marTop w:val="0"/>
      <w:marBottom w:val="0"/>
      <w:divBdr>
        <w:top w:val="none" w:sz="0" w:space="0" w:color="auto"/>
        <w:left w:val="none" w:sz="0" w:space="0" w:color="auto"/>
        <w:bottom w:val="none" w:sz="0" w:space="0" w:color="auto"/>
        <w:right w:val="none" w:sz="0" w:space="0" w:color="auto"/>
      </w:divBdr>
      <w:divsChild>
        <w:div w:id="933784859">
          <w:marLeft w:val="0"/>
          <w:marRight w:val="0"/>
          <w:marTop w:val="0"/>
          <w:marBottom w:val="0"/>
          <w:divBdr>
            <w:top w:val="none" w:sz="0" w:space="0" w:color="auto"/>
            <w:left w:val="none" w:sz="0" w:space="0" w:color="auto"/>
            <w:bottom w:val="none" w:sz="0" w:space="0" w:color="auto"/>
            <w:right w:val="none" w:sz="0" w:space="0" w:color="auto"/>
          </w:divBdr>
        </w:div>
      </w:divsChild>
    </w:div>
    <w:div w:id="1147480848">
      <w:marLeft w:val="0"/>
      <w:marRight w:val="0"/>
      <w:marTop w:val="0"/>
      <w:marBottom w:val="0"/>
      <w:divBdr>
        <w:top w:val="none" w:sz="0" w:space="0" w:color="auto"/>
        <w:left w:val="none" w:sz="0" w:space="0" w:color="auto"/>
        <w:bottom w:val="none" w:sz="0" w:space="0" w:color="auto"/>
        <w:right w:val="none" w:sz="0" w:space="0" w:color="auto"/>
      </w:divBdr>
      <w:divsChild>
        <w:div w:id="71198585">
          <w:marLeft w:val="0"/>
          <w:marRight w:val="0"/>
          <w:marTop w:val="0"/>
          <w:marBottom w:val="0"/>
          <w:divBdr>
            <w:top w:val="none" w:sz="0" w:space="0" w:color="auto"/>
            <w:left w:val="none" w:sz="0" w:space="0" w:color="auto"/>
            <w:bottom w:val="none" w:sz="0" w:space="0" w:color="auto"/>
            <w:right w:val="none" w:sz="0" w:space="0" w:color="auto"/>
          </w:divBdr>
        </w:div>
      </w:divsChild>
    </w:div>
    <w:div w:id="1149593104">
      <w:marLeft w:val="0"/>
      <w:marRight w:val="0"/>
      <w:marTop w:val="0"/>
      <w:marBottom w:val="240"/>
      <w:divBdr>
        <w:top w:val="none" w:sz="0" w:space="0" w:color="auto"/>
        <w:left w:val="none" w:sz="0" w:space="0" w:color="auto"/>
        <w:bottom w:val="none" w:sz="0" w:space="0" w:color="auto"/>
        <w:right w:val="none" w:sz="0" w:space="0" w:color="auto"/>
      </w:divBdr>
    </w:div>
    <w:div w:id="1150705303">
      <w:marLeft w:val="0"/>
      <w:marRight w:val="0"/>
      <w:marTop w:val="0"/>
      <w:marBottom w:val="240"/>
      <w:divBdr>
        <w:top w:val="none" w:sz="0" w:space="0" w:color="auto"/>
        <w:left w:val="none" w:sz="0" w:space="0" w:color="auto"/>
        <w:bottom w:val="none" w:sz="0" w:space="0" w:color="auto"/>
        <w:right w:val="none" w:sz="0" w:space="0" w:color="auto"/>
      </w:divBdr>
    </w:div>
    <w:div w:id="1150905982">
      <w:marLeft w:val="0"/>
      <w:marRight w:val="0"/>
      <w:marTop w:val="0"/>
      <w:marBottom w:val="0"/>
      <w:divBdr>
        <w:top w:val="none" w:sz="0" w:space="0" w:color="auto"/>
        <w:left w:val="none" w:sz="0" w:space="0" w:color="auto"/>
        <w:bottom w:val="none" w:sz="0" w:space="0" w:color="auto"/>
        <w:right w:val="none" w:sz="0" w:space="0" w:color="auto"/>
      </w:divBdr>
    </w:div>
    <w:div w:id="1154032195">
      <w:marLeft w:val="0"/>
      <w:marRight w:val="0"/>
      <w:marTop w:val="0"/>
      <w:marBottom w:val="240"/>
      <w:divBdr>
        <w:top w:val="none" w:sz="0" w:space="0" w:color="auto"/>
        <w:left w:val="none" w:sz="0" w:space="0" w:color="auto"/>
        <w:bottom w:val="none" w:sz="0" w:space="0" w:color="auto"/>
        <w:right w:val="none" w:sz="0" w:space="0" w:color="auto"/>
      </w:divBdr>
    </w:div>
    <w:div w:id="1157460158">
      <w:marLeft w:val="0"/>
      <w:marRight w:val="0"/>
      <w:marTop w:val="0"/>
      <w:marBottom w:val="0"/>
      <w:divBdr>
        <w:top w:val="none" w:sz="0" w:space="0" w:color="auto"/>
        <w:left w:val="none" w:sz="0" w:space="0" w:color="auto"/>
        <w:bottom w:val="none" w:sz="0" w:space="0" w:color="auto"/>
        <w:right w:val="none" w:sz="0" w:space="0" w:color="auto"/>
      </w:divBdr>
    </w:div>
    <w:div w:id="1164394238">
      <w:marLeft w:val="0"/>
      <w:marRight w:val="0"/>
      <w:marTop w:val="0"/>
      <w:marBottom w:val="240"/>
      <w:divBdr>
        <w:top w:val="none" w:sz="0" w:space="0" w:color="auto"/>
        <w:left w:val="none" w:sz="0" w:space="0" w:color="auto"/>
        <w:bottom w:val="none" w:sz="0" w:space="0" w:color="auto"/>
        <w:right w:val="none" w:sz="0" w:space="0" w:color="auto"/>
      </w:divBdr>
    </w:div>
    <w:div w:id="1166556602">
      <w:marLeft w:val="0"/>
      <w:marRight w:val="0"/>
      <w:marTop w:val="240"/>
      <w:marBottom w:val="240"/>
      <w:divBdr>
        <w:top w:val="none" w:sz="0" w:space="0" w:color="auto"/>
        <w:left w:val="none" w:sz="0" w:space="0" w:color="auto"/>
        <w:bottom w:val="none" w:sz="0" w:space="0" w:color="auto"/>
        <w:right w:val="none" w:sz="0" w:space="0" w:color="auto"/>
      </w:divBdr>
    </w:div>
    <w:div w:id="1167987295">
      <w:marLeft w:val="0"/>
      <w:marRight w:val="0"/>
      <w:marTop w:val="0"/>
      <w:marBottom w:val="0"/>
      <w:divBdr>
        <w:top w:val="none" w:sz="0" w:space="0" w:color="auto"/>
        <w:left w:val="none" w:sz="0" w:space="0" w:color="auto"/>
        <w:bottom w:val="none" w:sz="0" w:space="0" w:color="auto"/>
        <w:right w:val="none" w:sz="0" w:space="0" w:color="auto"/>
      </w:divBdr>
      <w:divsChild>
        <w:div w:id="1035229208">
          <w:marLeft w:val="0"/>
          <w:marRight w:val="0"/>
          <w:marTop w:val="0"/>
          <w:marBottom w:val="0"/>
          <w:divBdr>
            <w:top w:val="none" w:sz="0" w:space="0" w:color="auto"/>
            <w:left w:val="none" w:sz="0" w:space="0" w:color="auto"/>
            <w:bottom w:val="none" w:sz="0" w:space="0" w:color="auto"/>
            <w:right w:val="none" w:sz="0" w:space="0" w:color="auto"/>
          </w:divBdr>
        </w:div>
      </w:divsChild>
    </w:div>
    <w:div w:id="1168591425">
      <w:marLeft w:val="0"/>
      <w:marRight w:val="0"/>
      <w:marTop w:val="0"/>
      <w:marBottom w:val="0"/>
      <w:divBdr>
        <w:top w:val="none" w:sz="0" w:space="0" w:color="auto"/>
        <w:left w:val="none" w:sz="0" w:space="0" w:color="auto"/>
        <w:bottom w:val="none" w:sz="0" w:space="0" w:color="auto"/>
        <w:right w:val="none" w:sz="0" w:space="0" w:color="auto"/>
      </w:divBdr>
    </w:div>
    <w:div w:id="1173688586">
      <w:marLeft w:val="0"/>
      <w:marRight w:val="0"/>
      <w:marTop w:val="0"/>
      <w:marBottom w:val="240"/>
      <w:divBdr>
        <w:top w:val="none" w:sz="0" w:space="0" w:color="auto"/>
        <w:left w:val="none" w:sz="0" w:space="0" w:color="auto"/>
        <w:bottom w:val="none" w:sz="0" w:space="0" w:color="auto"/>
        <w:right w:val="none" w:sz="0" w:space="0" w:color="auto"/>
      </w:divBdr>
    </w:div>
    <w:div w:id="1174145011">
      <w:marLeft w:val="0"/>
      <w:marRight w:val="0"/>
      <w:marTop w:val="0"/>
      <w:marBottom w:val="200"/>
      <w:divBdr>
        <w:top w:val="none" w:sz="0" w:space="0" w:color="auto"/>
        <w:left w:val="none" w:sz="0" w:space="0" w:color="auto"/>
        <w:bottom w:val="none" w:sz="0" w:space="0" w:color="auto"/>
        <w:right w:val="none" w:sz="0" w:space="0" w:color="auto"/>
      </w:divBdr>
    </w:div>
    <w:div w:id="1174765281">
      <w:marLeft w:val="0"/>
      <w:marRight w:val="0"/>
      <w:marTop w:val="0"/>
      <w:marBottom w:val="0"/>
      <w:divBdr>
        <w:top w:val="none" w:sz="0" w:space="0" w:color="auto"/>
        <w:left w:val="none" w:sz="0" w:space="0" w:color="auto"/>
        <w:bottom w:val="none" w:sz="0" w:space="0" w:color="auto"/>
        <w:right w:val="none" w:sz="0" w:space="0" w:color="auto"/>
      </w:divBdr>
      <w:divsChild>
        <w:div w:id="1271006123">
          <w:marLeft w:val="0"/>
          <w:marRight w:val="0"/>
          <w:marTop w:val="0"/>
          <w:marBottom w:val="0"/>
          <w:divBdr>
            <w:top w:val="none" w:sz="0" w:space="0" w:color="auto"/>
            <w:left w:val="none" w:sz="0" w:space="0" w:color="auto"/>
            <w:bottom w:val="none" w:sz="0" w:space="0" w:color="auto"/>
            <w:right w:val="none" w:sz="0" w:space="0" w:color="auto"/>
          </w:divBdr>
        </w:div>
      </w:divsChild>
    </w:div>
    <w:div w:id="1183276275">
      <w:marLeft w:val="0"/>
      <w:marRight w:val="0"/>
      <w:marTop w:val="0"/>
      <w:marBottom w:val="0"/>
      <w:divBdr>
        <w:top w:val="none" w:sz="0" w:space="0" w:color="auto"/>
        <w:left w:val="none" w:sz="0" w:space="0" w:color="auto"/>
        <w:bottom w:val="none" w:sz="0" w:space="0" w:color="auto"/>
        <w:right w:val="none" w:sz="0" w:space="0" w:color="auto"/>
      </w:divBdr>
      <w:divsChild>
        <w:div w:id="1416512882">
          <w:marLeft w:val="0"/>
          <w:marRight w:val="0"/>
          <w:marTop w:val="0"/>
          <w:marBottom w:val="0"/>
          <w:divBdr>
            <w:top w:val="none" w:sz="0" w:space="0" w:color="auto"/>
            <w:left w:val="none" w:sz="0" w:space="0" w:color="auto"/>
            <w:bottom w:val="none" w:sz="0" w:space="0" w:color="auto"/>
            <w:right w:val="none" w:sz="0" w:space="0" w:color="auto"/>
          </w:divBdr>
        </w:div>
      </w:divsChild>
    </w:div>
    <w:div w:id="1186139076">
      <w:marLeft w:val="0"/>
      <w:marRight w:val="0"/>
      <w:marTop w:val="0"/>
      <w:marBottom w:val="240"/>
      <w:divBdr>
        <w:top w:val="none" w:sz="0" w:space="0" w:color="auto"/>
        <w:left w:val="none" w:sz="0" w:space="0" w:color="auto"/>
        <w:bottom w:val="none" w:sz="0" w:space="0" w:color="auto"/>
        <w:right w:val="none" w:sz="0" w:space="0" w:color="auto"/>
      </w:divBdr>
    </w:div>
    <w:div w:id="1191066191">
      <w:marLeft w:val="0"/>
      <w:marRight w:val="0"/>
      <w:marTop w:val="0"/>
      <w:marBottom w:val="240"/>
      <w:divBdr>
        <w:top w:val="none" w:sz="0" w:space="0" w:color="auto"/>
        <w:left w:val="none" w:sz="0" w:space="0" w:color="auto"/>
        <w:bottom w:val="none" w:sz="0" w:space="0" w:color="auto"/>
        <w:right w:val="none" w:sz="0" w:space="0" w:color="auto"/>
      </w:divBdr>
    </w:div>
    <w:div w:id="1195580722">
      <w:marLeft w:val="0"/>
      <w:marRight w:val="0"/>
      <w:marTop w:val="0"/>
      <w:marBottom w:val="240"/>
      <w:divBdr>
        <w:top w:val="none" w:sz="0" w:space="0" w:color="auto"/>
        <w:left w:val="none" w:sz="0" w:space="0" w:color="auto"/>
        <w:bottom w:val="none" w:sz="0" w:space="0" w:color="auto"/>
        <w:right w:val="none" w:sz="0" w:space="0" w:color="auto"/>
      </w:divBdr>
    </w:div>
    <w:div w:id="1197884899">
      <w:marLeft w:val="0"/>
      <w:marRight w:val="0"/>
      <w:marTop w:val="0"/>
      <w:marBottom w:val="0"/>
      <w:divBdr>
        <w:top w:val="none" w:sz="0" w:space="0" w:color="auto"/>
        <w:left w:val="none" w:sz="0" w:space="0" w:color="auto"/>
        <w:bottom w:val="none" w:sz="0" w:space="0" w:color="auto"/>
        <w:right w:val="none" w:sz="0" w:space="0" w:color="auto"/>
      </w:divBdr>
    </w:div>
    <w:div w:id="1204831537">
      <w:marLeft w:val="0"/>
      <w:marRight w:val="0"/>
      <w:marTop w:val="120"/>
      <w:marBottom w:val="240"/>
      <w:divBdr>
        <w:top w:val="none" w:sz="0" w:space="0" w:color="auto"/>
        <w:left w:val="none" w:sz="0" w:space="0" w:color="auto"/>
        <w:bottom w:val="none" w:sz="0" w:space="0" w:color="auto"/>
        <w:right w:val="none" w:sz="0" w:space="0" w:color="auto"/>
      </w:divBdr>
    </w:div>
    <w:div w:id="1206866879">
      <w:marLeft w:val="0"/>
      <w:marRight w:val="0"/>
      <w:marTop w:val="0"/>
      <w:marBottom w:val="240"/>
      <w:divBdr>
        <w:top w:val="none" w:sz="0" w:space="0" w:color="auto"/>
        <w:left w:val="none" w:sz="0" w:space="0" w:color="auto"/>
        <w:bottom w:val="none" w:sz="0" w:space="0" w:color="auto"/>
        <w:right w:val="none" w:sz="0" w:space="0" w:color="auto"/>
      </w:divBdr>
    </w:div>
    <w:div w:id="1211725864">
      <w:marLeft w:val="0"/>
      <w:marRight w:val="0"/>
      <w:marTop w:val="0"/>
      <w:marBottom w:val="240"/>
      <w:divBdr>
        <w:top w:val="none" w:sz="0" w:space="0" w:color="auto"/>
        <w:left w:val="none" w:sz="0" w:space="0" w:color="auto"/>
        <w:bottom w:val="none" w:sz="0" w:space="0" w:color="auto"/>
        <w:right w:val="none" w:sz="0" w:space="0" w:color="auto"/>
      </w:divBdr>
    </w:div>
    <w:div w:id="1212883246">
      <w:marLeft w:val="0"/>
      <w:marRight w:val="0"/>
      <w:marTop w:val="0"/>
      <w:marBottom w:val="120"/>
      <w:divBdr>
        <w:top w:val="none" w:sz="0" w:space="0" w:color="auto"/>
        <w:left w:val="none" w:sz="0" w:space="0" w:color="auto"/>
        <w:bottom w:val="none" w:sz="0" w:space="0" w:color="auto"/>
        <w:right w:val="none" w:sz="0" w:space="0" w:color="auto"/>
      </w:divBdr>
    </w:div>
    <w:div w:id="1213613090">
      <w:marLeft w:val="0"/>
      <w:marRight w:val="0"/>
      <w:marTop w:val="0"/>
      <w:marBottom w:val="240"/>
      <w:divBdr>
        <w:top w:val="none" w:sz="0" w:space="0" w:color="auto"/>
        <w:left w:val="none" w:sz="0" w:space="0" w:color="auto"/>
        <w:bottom w:val="none" w:sz="0" w:space="0" w:color="auto"/>
        <w:right w:val="none" w:sz="0" w:space="0" w:color="auto"/>
      </w:divBdr>
    </w:div>
    <w:div w:id="1214847769">
      <w:marLeft w:val="0"/>
      <w:marRight w:val="0"/>
      <w:marTop w:val="240"/>
      <w:marBottom w:val="240"/>
      <w:divBdr>
        <w:top w:val="none" w:sz="0" w:space="0" w:color="auto"/>
        <w:left w:val="none" w:sz="0" w:space="0" w:color="auto"/>
        <w:bottom w:val="none" w:sz="0" w:space="0" w:color="auto"/>
        <w:right w:val="none" w:sz="0" w:space="0" w:color="auto"/>
      </w:divBdr>
    </w:div>
    <w:div w:id="1217666902">
      <w:marLeft w:val="0"/>
      <w:marRight w:val="0"/>
      <w:marTop w:val="0"/>
      <w:marBottom w:val="240"/>
      <w:divBdr>
        <w:top w:val="none" w:sz="0" w:space="0" w:color="auto"/>
        <w:left w:val="none" w:sz="0" w:space="0" w:color="auto"/>
        <w:bottom w:val="none" w:sz="0" w:space="0" w:color="auto"/>
        <w:right w:val="none" w:sz="0" w:space="0" w:color="auto"/>
      </w:divBdr>
    </w:div>
    <w:div w:id="1219055017">
      <w:marLeft w:val="0"/>
      <w:marRight w:val="0"/>
      <w:marTop w:val="0"/>
      <w:marBottom w:val="240"/>
      <w:divBdr>
        <w:top w:val="none" w:sz="0" w:space="0" w:color="auto"/>
        <w:left w:val="none" w:sz="0" w:space="0" w:color="auto"/>
        <w:bottom w:val="none" w:sz="0" w:space="0" w:color="auto"/>
        <w:right w:val="none" w:sz="0" w:space="0" w:color="auto"/>
      </w:divBdr>
    </w:div>
    <w:div w:id="1225678696">
      <w:marLeft w:val="0"/>
      <w:marRight w:val="0"/>
      <w:marTop w:val="0"/>
      <w:marBottom w:val="240"/>
      <w:divBdr>
        <w:top w:val="none" w:sz="0" w:space="0" w:color="auto"/>
        <w:left w:val="none" w:sz="0" w:space="0" w:color="auto"/>
        <w:bottom w:val="none" w:sz="0" w:space="0" w:color="auto"/>
        <w:right w:val="none" w:sz="0" w:space="0" w:color="auto"/>
      </w:divBdr>
    </w:div>
    <w:div w:id="1227838014">
      <w:marLeft w:val="0"/>
      <w:marRight w:val="0"/>
      <w:marTop w:val="0"/>
      <w:marBottom w:val="0"/>
      <w:divBdr>
        <w:top w:val="none" w:sz="0" w:space="0" w:color="auto"/>
        <w:left w:val="none" w:sz="0" w:space="0" w:color="auto"/>
        <w:bottom w:val="none" w:sz="0" w:space="0" w:color="auto"/>
        <w:right w:val="none" w:sz="0" w:space="0" w:color="auto"/>
      </w:divBdr>
      <w:divsChild>
        <w:div w:id="1668047257">
          <w:marLeft w:val="0"/>
          <w:marRight w:val="0"/>
          <w:marTop w:val="0"/>
          <w:marBottom w:val="0"/>
          <w:divBdr>
            <w:top w:val="none" w:sz="0" w:space="0" w:color="auto"/>
            <w:left w:val="none" w:sz="0" w:space="0" w:color="auto"/>
            <w:bottom w:val="none" w:sz="0" w:space="0" w:color="auto"/>
            <w:right w:val="none" w:sz="0" w:space="0" w:color="auto"/>
          </w:divBdr>
        </w:div>
      </w:divsChild>
    </w:div>
    <w:div w:id="1233850436">
      <w:marLeft w:val="0"/>
      <w:marRight w:val="0"/>
      <w:marTop w:val="0"/>
      <w:marBottom w:val="0"/>
      <w:divBdr>
        <w:top w:val="none" w:sz="0" w:space="0" w:color="auto"/>
        <w:left w:val="none" w:sz="0" w:space="0" w:color="auto"/>
        <w:bottom w:val="none" w:sz="0" w:space="0" w:color="auto"/>
        <w:right w:val="none" w:sz="0" w:space="0" w:color="auto"/>
      </w:divBdr>
      <w:divsChild>
        <w:div w:id="2074043918">
          <w:marLeft w:val="0"/>
          <w:marRight w:val="0"/>
          <w:marTop w:val="0"/>
          <w:marBottom w:val="0"/>
          <w:divBdr>
            <w:top w:val="none" w:sz="0" w:space="0" w:color="auto"/>
            <w:left w:val="none" w:sz="0" w:space="0" w:color="auto"/>
            <w:bottom w:val="none" w:sz="0" w:space="0" w:color="auto"/>
            <w:right w:val="none" w:sz="0" w:space="0" w:color="auto"/>
          </w:divBdr>
        </w:div>
      </w:divsChild>
    </w:div>
    <w:div w:id="1237130086">
      <w:marLeft w:val="0"/>
      <w:marRight w:val="0"/>
      <w:marTop w:val="0"/>
      <w:marBottom w:val="0"/>
      <w:divBdr>
        <w:top w:val="none" w:sz="0" w:space="0" w:color="auto"/>
        <w:left w:val="none" w:sz="0" w:space="0" w:color="auto"/>
        <w:bottom w:val="none" w:sz="0" w:space="0" w:color="auto"/>
        <w:right w:val="none" w:sz="0" w:space="0" w:color="auto"/>
      </w:divBdr>
      <w:divsChild>
        <w:div w:id="1866167029">
          <w:marLeft w:val="0"/>
          <w:marRight w:val="0"/>
          <w:marTop w:val="0"/>
          <w:marBottom w:val="0"/>
          <w:divBdr>
            <w:top w:val="none" w:sz="0" w:space="0" w:color="auto"/>
            <w:left w:val="none" w:sz="0" w:space="0" w:color="auto"/>
            <w:bottom w:val="none" w:sz="0" w:space="0" w:color="auto"/>
            <w:right w:val="none" w:sz="0" w:space="0" w:color="auto"/>
          </w:divBdr>
        </w:div>
      </w:divsChild>
    </w:div>
    <w:div w:id="1240095105">
      <w:marLeft w:val="0"/>
      <w:marRight w:val="0"/>
      <w:marTop w:val="0"/>
      <w:marBottom w:val="0"/>
      <w:divBdr>
        <w:top w:val="none" w:sz="0" w:space="0" w:color="auto"/>
        <w:left w:val="none" w:sz="0" w:space="0" w:color="auto"/>
        <w:bottom w:val="none" w:sz="0" w:space="0" w:color="auto"/>
        <w:right w:val="none" w:sz="0" w:space="0" w:color="auto"/>
      </w:divBdr>
      <w:divsChild>
        <w:div w:id="890968935">
          <w:marLeft w:val="0"/>
          <w:marRight w:val="0"/>
          <w:marTop w:val="0"/>
          <w:marBottom w:val="0"/>
          <w:divBdr>
            <w:top w:val="none" w:sz="0" w:space="0" w:color="auto"/>
            <w:left w:val="none" w:sz="0" w:space="0" w:color="auto"/>
            <w:bottom w:val="none" w:sz="0" w:space="0" w:color="auto"/>
            <w:right w:val="none" w:sz="0" w:space="0" w:color="auto"/>
          </w:divBdr>
        </w:div>
      </w:divsChild>
    </w:div>
    <w:div w:id="1241864282">
      <w:marLeft w:val="0"/>
      <w:marRight w:val="0"/>
      <w:marTop w:val="0"/>
      <w:marBottom w:val="0"/>
      <w:divBdr>
        <w:top w:val="none" w:sz="0" w:space="0" w:color="auto"/>
        <w:left w:val="none" w:sz="0" w:space="0" w:color="auto"/>
        <w:bottom w:val="none" w:sz="0" w:space="0" w:color="auto"/>
        <w:right w:val="none" w:sz="0" w:space="0" w:color="auto"/>
      </w:divBdr>
      <w:divsChild>
        <w:div w:id="529683017">
          <w:marLeft w:val="0"/>
          <w:marRight w:val="0"/>
          <w:marTop w:val="0"/>
          <w:marBottom w:val="0"/>
          <w:divBdr>
            <w:top w:val="none" w:sz="0" w:space="0" w:color="auto"/>
            <w:left w:val="none" w:sz="0" w:space="0" w:color="auto"/>
            <w:bottom w:val="none" w:sz="0" w:space="0" w:color="auto"/>
            <w:right w:val="none" w:sz="0" w:space="0" w:color="auto"/>
          </w:divBdr>
        </w:div>
      </w:divsChild>
    </w:div>
    <w:div w:id="1245801061">
      <w:marLeft w:val="0"/>
      <w:marRight w:val="0"/>
      <w:marTop w:val="0"/>
      <w:marBottom w:val="120"/>
      <w:divBdr>
        <w:top w:val="none" w:sz="0" w:space="0" w:color="auto"/>
        <w:left w:val="none" w:sz="0" w:space="0" w:color="auto"/>
        <w:bottom w:val="none" w:sz="0" w:space="0" w:color="auto"/>
        <w:right w:val="none" w:sz="0" w:space="0" w:color="auto"/>
      </w:divBdr>
    </w:div>
    <w:div w:id="1246915888">
      <w:marLeft w:val="0"/>
      <w:marRight w:val="0"/>
      <w:marTop w:val="0"/>
      <w:marBottom w:val="240"/>
      <w:divBdr>
        <w:top w:val="none" w:sz="0" w:space="0" w:color="auto"/>
        <w:left w:val="none" w:sz="0" w:space="0" w:color="auto"/>
        <w:bottom w:val="none" w:sz="0" w:space="0" w:color="auto"/>
        <w:right w:val="none" w:sz="0" w:space="0" w:color="auto"/>
      </w:divBdr>
    </w:div>
    <w:div w:id="1247613616">
      <w:marLeft w:val="0"/>
      <w:marRight w:val="0"/>
      <w:marTop w:val="240"/>
      <w:marBottom w:val="240"/>
      <w:divBdr>
        <w:top w:val="none" w:sz="0" w:space="0" w:color="auto"/>
        <w:left w:val="none" w:sz="0" w:space="0" w:color="auto"/>
        <w:bottom w:val="none" w:sz="0" w:space="0" w:color="auto"/>
        <w:right w:val="none" w:sz="0" w:space="0" w:color="auto"/>
      </w:divBdr>
    </w:div>
    <w:div w:id="1249315307">
      <w:marLeft w:val="0"/>
      <w:marRight w:val="0"/>
      <w:marTop w:val="0"/>
      <w:marBottom w:val="240"/>
      <w:divBdr>
        <w:top w:val="none" w:sz="0" w:space="0" w:color="auto"/>
        <w:left w:val="none" w:sz="0" w:space="0" w:color="auto"/>
        <w:bottom w:val="none" w:sz="0" w:space="0" w:color="auto"/>
        <w:right w:val="none" w:sz="0" w:space="0" w:color="auto"/>
      </w:divBdr>
    </w:div>
    <w:div w:id="1257444972">
      <w:marLeft w:val="0"/>
      <w:marRight w:val="0"/>
      <w:marTop w:val="240"/>
      <w:marBottom w:val="0"/>
      <w:divBdr>
        <w:top w:val="none" w:sz="0" w:space="0" w:color="auto"/>
        <w:left w:val="none" w:sz="0" w:space="0" w:color="auto"/>
        <w:bottom w:val="none" w:sz="0" w:space="0" w:color="auto"/>
        <w:right w:val="none" w:sz="0" w:space="0" w:color="auto"/>
      </w:divBdr>
    </w:div>
    <w:div w:id="1270576897">
      <w:marLeft w:val="0"/>
      <w:marRight w:val="0"/>
      <w:marTop w:val="0"/>
      <w:marBottom w:val="0"/>
      <w:divBdr>
        <w:top w:val="none" w:sz="0" w:space="0" w:color="auto"/>
        <w:left w:val="none" w:sz="0" w:space="0" w:color="auto"/>
        <w:bottom w:val="none" w:sz="0" w:space="0" w:color="auto"/>
        <w:right w:val="none" w:sz="0" w:space="0" w:color="auto"/>
      </w:divBdr>
      <w:divsChild>
        <w:div w:id="1896160840">
          <w:marLeft w:val="0"/>
          <w:marRight w:val="0"/>
          <w:marTop w:val="0"/>
          <w:marBottom w:val="0"/>
          <w:divBdr>
            <w:top w:val="none" w:sz="0" w:space="0" w:color="auto"/>
            <w:left w:val="none" w:sz="0" w:space="0" w:color="auto"/>
            <w:bottom w:val="none" w:sz="0" w:space="0" w:color="auto"/>
            <w:right w:val="none" w:sz="0" w:space="0" w:color="auto"/>
          </w:divBdr>
        </w:div>
      </w:divsChild>
    </w:div>
    <w:div w:id="1272854765">
      <w:marLeft w:val="0"/>
      <w:marRight w:val="0"/>
      <w:marTop w:val="0"/>
      <w:marBottom w:val="0"/>
      <w:divBdr>
        <w:top w:val="none" w:sz="0" w:space="0" w:color="auto"/>
        <w:left w:val="none" w:sz="0" w:space="0" w:color="auto"/>
        <w:bottom w:val="none" w:sz="0" w:space="0" w:color="auto"/>
        <w:right w:val="none" w:sz="0" w:space="0" w:color="auto"/>
      </w:divBdr>
      <w:divsChild>
        <w:div w:id="1880512720">
          <w:marLeft w:val="0"/>
          <w:marRight w:val="0"/>
          <w:marTop w:val="0"/>
          <w:marBottom w:val="0"/>
          <w:divBdr>
            <w:top w:val="none" w:sz="0" w:space="0" w:color="auto"/>
            <w:left w:val="none" w:sz="0" w:space="0" w:color="auto"/>
            <w:bottom w:val="none" w:sz="0" w:space="0" w:color="auto"/>
            <w:right w:val="none" w:sz="0" w:space="0" w:color="auto"/>
          </w:divBdr>
        </w:div>
      </w:divsChild>
    </w:div>
    <w:div w:id="1279290664">
      <w:marLeft w:val="0"/>
      <w:marRight w:val="0"/>
      <w:marTop w:val="0"/>
      <w:marBottom w:val="240"/>
      <w:divBdr>
        <w:top w:val="none" w:sz="0" w:space="0" w:color="auto"/>
        <w:left w:val="none" w:sz="0" w:space="0" w:color="auto"/>
        <w:bottom w:val="none" w:sz="0" w:space="0" w:color="auto"/>
        <w:right w:val="none" w:sz="0" w:space="0" w:color="auto"/>
      </w:divBdr>
    </w:div>
    <w:div w:id="1282567365">
      <w:marLeft w:val="0"/>
      <w:marRight w:val="0"/>
      <w:marTop w:val="0"/>
      <w:marBottom w:val="240"/>
      <w:divBdr>
        <w:top w:val="none" w:sz="0" w:space="0" w:color="auto"/>
        <w:left w:val="none" w:sz="0" w:space="0" w:color="auto"/>
        <w:bottom w:val="none" w:sz="0" w:space="0" w:color="auto"/>
        <w:right w:val="none" w:sz="0" w:space="0" w:color="auto"/>
      </w:divBdr>
    </w:div>
    <w:div w:id="1285304541">
      <w:marLeft w:val="0"/>
      <w:marRight w:val="0"/>
      <w:marTop w:val="0"/>
      <w:marBottom w:val="0"/>
      <w:divBdr>
        <w:top w:val="none" w:sz="0" w:space="0" w:color="auto"/>
        <w:left w:val="none" w:sz="0" w:space="0" w:color="auto"/>
        <w:bottom w:val="none" w:sz="0" w:space="0" w:color="auto"/>
        <w:right w:val="none" w:sz="0" w:space="0" w:color="auto"/>
      </w:divBdr>
      <w:divsChild>
        <w:div w:id="803156854">
          <w:marLeft w:val="0"/>
          <w:marRight w:val="0"/>
          <w:marTop w:val="0"/>
          <w:marBottom w:val="0"/>
          <w:divBdr>
            <w:top w:val="none" w:sz="0" w:space="0" w:color="auto"/>
            <w:left w:val="none" w:sz="0" w:space="0" w:color="auto"/>
            <w:bottom w:val="none" w:sz="0" w:space="0" w:color="auto"/>
            <w:right w:val="none" w:sz="0" w:space="0" w:color="auto"/>
          </w:divBdr>
        </w:div>
      </w:divsChild>
    </w:div>
    <w:div w:id="1286933020">
      <w:marLeft w:val="0"/>
      <w:marRight w:val="0"/>
      <w:marTop w:val="0"/>
      <w:marBottom w:val="0"/>
      <w:divBdr>
        <w:top w:val="none" w:sz="0" w:space="0" w:color="auto"/>
        <w:left w:val="none" w:sz="0" w:space="0" w:color="auto"/>
        <w:bottom w:val="none" w:sz="0" w:space="0" w:color="auto"/>
        <w:right w:val="none" w:sz="0" w:space="0" w:color="auto"/>
      </w:divBdr>
      <w:divsChild>
        <w:div w:id="691147152">
          <w:marLeft w:val="0"/>
          <w:marRight w:val="0"/>
          <w:marTop w:val="0"/>
          <w:marBottom w:val="0"/>
          <w:divBdr>
            <w:top w:val="none" w:sz="0" w:space="0" w:color="auto"/>
            <w:left w:val="none" w:sz="0" w:space="0" w:color="auto"/>
            <w:bottom w:val="none" w:sz="0" w:space="0" w:color="auto"/>
            <w:right w:val="none" w:sz="0" w:space="0" w:color="auto"/>
          </w:divBdr>
        </w:div>
      </w:divsChild>
    </w:div>
    <w:div w:id="1289701321">
      <w:marLeft w:val="0"/>
      <w:marRight w:val="0"/>
      <w:marTop w:val="0"/>
      <w:marBottom w:val="0"/>
      <w:divBdr>
        <w:top w:val="none" w:sz="0" w:space="0" w:color="auto"/>
        <w:left w:val="none" w:sz="0" w:space="0" w:color="auto"/>
        <w:bottom w:val="none" w:sz="0" w:space="0" w:color="auto"/>
        <w:right w:val="none" w:sz="0" w:space="0" w:color="auto"/>
      </w:divBdr>
    </w:div>
    <w:div w:id="1294557145">
      <w:marLeft w:val="0"/>
      <w:marRight w:val="0"/>
      <w:marTop w:val="0"/>
      <w:marBottom w:val="240"/>
      <w:divBdr>
        <w:top w:val="none" w:sz="0" w:space="0" w:color="auto"/>
        <w:left w:val="none" w:sz="0" w:space="0" w:color="auto"/>
        <w:bottom w:val="none" w:sz="0" w:space="0" w:color="auto"/>
        <w:right w:val="none" w:sz="0" w:space="0" w:color="auto"/>
      </w:divBdr>
    </w:div>
    <w:div w:id="1295410433">
      <w:marLeft w:val="0"/>
      <w:marRight w:val="0"/>
      <w:marTop w:val="0"/>
      <w:marBottom w:val="0"/>
      <w:divBdr>
        <w:top w:val="none" w:sz="0" w:space="0" w:color="auto"/>
        <w:left w:val="none" w:sz="0" w:space="0" w:color="auto"/>
        <w:bottom w:val="none" w:sz="0" w:space="0" w:color="auto"/>
        <w:right w:val="none" w:sz="0" w:space="0" w:color="auto"/>
      </w:divBdr>
      <w:divsChild>
        <w:div w:id="1551334758">
          <w:marLeft w:val="0"/>
          <w:marRight w:val="0"/>
          <w:marTop w:val="0"/>
          <w:marBottom w:val="0"/>
          <w:divBdr>
            <w:top w:val="none" w:sz="0" w:space="0" w:color="auto"/>
            <w:left w:val="none" w:sz="0" w:space="0" w:color="auto"/>
            <w:bottom w:val="none" w:sz="0" w:space="0" w:color="auto"/>
            <w:right w:val="none" w:sz="0" w:space="0" w:color="auto"/>
          </w:divBdr>
        </w:div>
      </w:divsChild>
    </w:div>
    <w:div w:id="1299454027">
      <w:marLeft w:val="0"/>
      <w:marRight w:val="0"/>
      <w:marTop w:val="0"/>
      <w:marBottom w:val="240"/>
      <w:divBdr>
        <w:top w:val="none" w:sz="0" w:space="0" w:color="auto"/>
        <w:left w:val="none" w:sz="0" w:space="0" w:color="auto"/>
        <w:bottom w:val="none" w:sz="0" w:space="0" w:color="auto"/>
        <w:right w:val="none" w:sz="0" w:space="0" w:color="auto"/>
      </w:divBdr>
    </w:div>
    <w:div w:id="1301379309">
      <w:marLeft w:val="0"/>
      <w:marRight w:val="0"/>
      <w:marTop w:val="0"/>
      <w:marBottom w:val="0"/>
      <w:divBdr>
        <w:top w:val="none" w:sz="0" w:space="0" w:color="auto"/>
        <w:left w:val="none" w:sz="0" w:space="0" w:color="auto"/>
        <w:bottom w:val="none" w:sz="0" w:space="0" w:color="auto"/>
        <w:right w:val="none" w:sz="0" w:space="0" w:color="auto"/>
      </w:divBdr>
      <w:divsChild>
        <w:div w:id="351959484">
          <w:marLeft w:val="0"/>
          <w:marRight w:val="0"/>
          <w:marTop w:val="0"/>
          <w:marBottom w:val="0"/>
          <w:divBdr>
            <w:top w:val="none" w:sz="0" w:space="0" w:color="auto"/>
            <w:left w:val="none" w:sz="0" w:space="0" w:color="auto"/>
            <w:bottom w:val="none" w:sz="0" w:space="0" w:color="auto"/>
            <w:right w:val="none" w:sz="0" w:space="0" w:color="auto"/>
          </w:divBdr>
        </w:div>
      </w:divsChild>
    </w:div>
    <w:div w:id="1303458570">
      <w:marLeft w:val="0"/>
      <w:marRight w:val="0"/>
      <w:marTop w:val="0"/>
      <w:marBottom w:val="240"/>
      <w:divBdr>
        <w:top w:val="none" w:sz="0" w:space="0" w:color="auto"/>
        <w:left w:val="none" w:sz="0" w:space="0" w:color="auto"/>
        <w:bottom w:val="none" w:sz="0" w:space="0" w:color="auto"/>
        <w:right w:val="none" w:sz="0" w:space="0" w:color="auto"/>
      </w:divBdr>
    </w:div>
    <w:div w:id="1308431820">
      <w:marLeft w:val="0"/>
      <w:marRight w:val="0"/>
      <w:marTop w:val="240"/>
      <w:marBottom w:val="0"/>
      <w:divBdr>
        <w:top w:val="none" w:sz="0" w:space="0" w:color="auto"/>
        <w:left w:val="none" w:sz="0" w:space="0" w:color="auto"/>
        <w:bottom w:val="none" w:sz="0" w:space="0" w:color="auto"/>
        <w:right w:val="none" w:sz="0" w:space="0" w:color="auto"/>
      </w:divBdr>
    </w:div>
    <w:div w:id="1309507345">
      <w:marLeft w:val="0"/>
      <w:marRight w:val="0"/>
      <w:marTop w:val="0"/>
      <w:marBottom w:val="120"/>
      <w:divBdr>
        <w:top w:val="none" w:sz="0" w:space="0" w:color="auto"/>
        <w:left w:val="none" w:sz="0" w:space="0" w:color="auto"/>
        <w:bottom w:val="none" w:sz="0" w:space="0" w:color="auto"/>
        <w:right w:val="none" w:sz="0" w:space="0" w:color="auto"/>
      </w:divBdr>
    </w:div>
    <w:div w:id="1311179481">
      <w:marLeft w:val="0"/>
      <w:marRight w:val="0"/>
      <w:marTop w:val="240"/>
      <w:marBottom w:val="240"/>
      <w:divBdr>
        <w:top w:val="none" w:sz="0" w:space="0" w:color="auto"/>
        <w:left w:val="none" w:sz="0" w:space="0" w:color="auto"/>
        <w:bottom w:val="none" w:sz="0" w:space="0" w:color="auto"/>
        <w:right w:val="none" w:sz="0" w:space="0" w:color="auto"/>
      </w:divBdr>
    </w:div>
    <w:div w:id="1311328667">
      <w:marLeft w:val="0"/>
      <w:marRight w:val="0"/>
      <w:marTop w:val="0"/>
      <w:marBottom w:val="0"/>
      <w:divBdr>
        <w:top w:val="none" w:sz="0" w:space="0" w:color="auto"/>
        <w:left w:val="none" w:sz="0" w:space="0" w:color="auto"/>
        <w:bottom w:val="none" w:sz="0" w:space="0" w:color="auto"/>
        <w:right w:val="none" w:sz="0" w:space="0" w:color="auto"/>
      </w:divBdr>
    </w:div>
    <w:div w:id="1313485676">
      <w:marLeft w:val="0"/>
      <w:marRight w:val="0"/>
      <w:marTop w:val="0"/>
      <w:marBottom w:val="0"/>
      <w:divBdr>
        <w:top w:val="none" w:sz="0" w:space="0" w:color="auto"/>
        <w:left w:val="none" w:sz="0" w:space="0" w:color="auto"/>
        <w:bottom w:val="none" w:sz="0" w:space="0" w:color="auto"/>
        <w:right w:val="none" w:sz="0" w:space="0" w:color="auto"/>
      </w:divBdr>
    </w:div>
    <w:div w:id="1314673392">
      <w:marLeft w:val="0"/>
      <w:marRight w:val="0"/>
      <w:marTop w:val="0"/>
      <w:marBottom w:val="0"/>
      <w:divBdr>
        <w:top w:val="none" w:sz="0" w:space="0" w:color="auto"/>
        <w:left w:val="none" w:sz="0" w:space="0" w:color="auto"/>
        <w:bottom w:val="none" w:sz="0" w:space="0" w:color="auto"/>
        <w:right w:val="none" w:sz="0" w:space="0" w:color="auto"/>
      </w:divBdr>
    </w:div>
    <w:div w:id="1322660207">
      <w:marLeft w:val="0"/>
      <w:marRight w:val="0"/>
      <w:marTop w:val="0"/>
      <w:marBottom w:val="240"/>
      <w:divBdr>
        <w:top w:val="none" w:sz="0" w:space="0" w:color="auto"/>
        <w:left w:val="none" w:sz="0" w:space="0" w:color="auto"/>
        <w:bottom w:val="none" w:sz="0" w:space="0" w:color="auto"/>
        <w:right w:val="none" w:sz="0" w:space="0" w:color="auto"/>
      </w:divBdr>
    </w:div>
    <w:div w:id="1339581895">
      <w:marLeft w:val="0"/>
      <w:marRight w:val="0"/>
      <w:marTop w:val="0"/>
      <w:marBottom w:val="120"/>
      <w:divBdr>
        <w:top w:val="none" w:sz="0" w:space="0" w:color="auto"/>
        <w:left w:val="none" w:sz="0" w:space="0" w:color="auto"/>
        <w:bottom w:val="none" w:sz="0" w:space="0" w:color="auto"/>
        <w:right w:val="none" w:sz="0" w:space="0" w:color="auto"/>
      </w:divBdr>
    </w:div>
    <w:div w:id="1341736744">
      <w:marLeft w:val="0"/>
      <w:marRight w:val="0"/>
      <w:marTop w:val="120"/>
      <w:marBottom w:val="240"/>
      <w:divBdr>
        <w:top w:val="none" w:sz="0" w:space="0" w:color="auto"/>
        <w:left w:val="none" w:sz="0" w:space="0" w:color="auto"/>
        <w:bottom w:val="none" w:sz="0" w:space="0" w:color="auto"/>
        <w:right w:val="none" w:sz="0" w:space="0" w:color="auto"/>
      </w:divBdr>
    </w:div>
    <w:div w:id="1342589030">
      <w:marLeft w:val="0"/>
      <w:marRight w:val="0"/>
      <w:marTop w:val="0"/>
      <w:marBottom w:val="0"/>
      <w:divBdr>
        <w:top w:val="none" w:sz="0" w:space="0" w:color="auto"/>
        <w:left w:val="none" w:sz="0" w:space="0" w:color="auto"/>
        <w:bottom w:val="none" w:sz="0" w:space="0" w:color="auto"/>
        <w:right w:val="none" w:sz="0" w:space="0" w:color="auto"/>
      </w:divBdr>
      <w:divsChild>
        <w:div w:id="1391734305">
          <w:marLeft w:val="0"/>
          <w:marRight w:val="0"/>
          <w:marTop w:val="0"/>
          <w:marBottom w:val="0"/>
          <w:divBdr>
            <w:top w:val="none" w:sz="0" w:space="0" w:color="auto"/>
            <w:left w:val="none" w:sz="0" w:space="0" w:color="auto"/>
            <w:bottom w:val="none" w:sz="0" w:space="0" w:color="auto"/>
            <w:right w:val="none" w:sz="0" w:space="0" w:color="auto"/>
          </w:divBdr>
        </w:div>
      </w:divsChild>
    </w:div>
    <w:div w:id="1345476202">
      <w:marLeft w:val="0"/>
      <w:marRight w:val="0"/>
      <w:marTop w:val="0"/>
      <w:marBottom w:val="240"/>
      <w:divBdr>
        <w:top w:val="none" w:sz="0" w:space="0" w:color="auto"/>
        <w:left w:val="none" w:sz="0" w:space="0" w:color="auto"/>
        <w:bottom w:val="none" w:sz="0" w:space="0" w:color="auto"/>
        <w:right w:val="none" w:sz="0" w:space="0" w:color="auto"/>
      </w:divBdr>
    </w:div>
    <w:div w:id="1346596133">
      <w:marLeft w:val="0"/>
      <w:marRight w:val="0"/>
      <w:marTop w:val="240"/>
      <w:marBottom w:val="240"/>
      <w:divBdr>
        <w:top w:val="none" w:sz="0" w:space="0" w:color="auto"/>
        <w:left w:val="none" w:sz="0" w:space="0" w:color="auto"/>
        <w:bottom w:val="none" w:sz="0" w:space="0" w:color="auto"/>
        <w:right w:val="none" w:sz="0" w:space="0" w:color="auto"/>
      </w:divBdr>
    </w:div>
    <w:div w:id="1347555272">
      <w:marLeft w:val="0"/>
      <w:marRight w:val="0"/>
      <w:marTop w:val="0"/>
      <w:marBottom w:val="0"/>
      <w:divBdr>
        <w:top w:val="none" w:sz="0" w:space="0" w:color="auto"/>
        <w:left w:val="none" w:sz="0" w:space="0" w:color="auto"/>
        <w:bottom w:val="none" w:sz="0" w:space="0" w:color="auto"/>
        <w:right w:val="none" w:sz="0" w:space="0" w:color="auto"/>
      </w:divBdr>
      <w:divsChild>
        <w:div w:id="628243265">
          <w:marLeft w:val="0"/>
          <w:marRight w:val="0"/>
          <w:marTop w:val="0"/>
          <w:marBottom w:val="0"/>
          <w:divBdr>
            <w:top w:val="none" w:sz="0" w:space="0" w:color="auto"/>
            <w:left w:val="none" w:sz="0" w:space="0" w:color="auto"/>
            <w:bottom w:val="none" w:sz="0" w:space="0" w:color="auto"/>
            <w:right w:val="none" w:sz="0" w:space="0" w:color="auto"/>
          </w:divBdr>
        </w:div>
      </w:divsChild>
    </w:div>
    <w:div w:id="1350332456">
      <w:marLeft w:val="0"/>
      <w:marRight w:val="0"/>
      <w:marTop w:val="0"/>
      <w:marBottom w:val="240"/>
      <w:divBdr>
        <w:top w:val="none" w:sz="0" w:space="0" w:color="auto"/>
        <w:left w:val="none" w:sz="0" w:space="0" w:color="auto"/>
        <w:bottom w:val="none" w:sz="0" w:space="0" w:color="auto"/>
        <w:right w:val="none" w:sz="0" w:space="0" w:color="auto"/>
      </w:divBdr>
    </w:div>
    <w:div w:id="1363286392">
      <w:marLeft w:val="0"/>
      <w:marRight w:val="0"/>
      <w:marTop w:val="0"/>
      <w:marBottom w:val="240"/>
      <w:divBdr>
        <w:top w:val="none" w:sz="0" w:space="0" w:color="auto"/>
        <w:left w:val="none" w:sz="0" w:space="0" w:color="auto"/>
        <w:bottom w:val="none" w:sz="0" w:space="0" w:color="auto"/>
        <w:right w:val="none" w:sz="0" w:space="0" w:color="auto"/>
      </w:divBdr>
    </w:div>
    <w:div w:id="1370494824">
      <w:marLeft w:val="0"/>
      <w:marRight w:val="0"/>
      <w:marTop w:val="0"/>
      <w:marBottom w:val="240"/>
      <w:divBdr>
        <w:top w:val="none" w:sz="0" w:space="0" w:color="auto"/>
        <w:left w:val="none" w:sz="0" w:space="0" w:color="auto"/>
        <w:bottom w:val="none" w:sz="0" w:space="0" w:color="auto"/>
        <w:right w:val="none" w:sz="0" w:space="0" w:color="auto"/>
      </w:divBdr>
    </w:div>
    <w:div w:id="1370571113">
      <w:marLeft w:val="0"/>
      <w:marRight w:val="0"/>
      <w:marTop w:val="0"/>
      <w:marBottom w:val="0"/>
      <w:divBdr>
        <w:top w:val="none" w:sz="0" w:space="0" w:color="auto"/>
        <w:left w:val="none" w:sz="0" w:space="0" w:color="auto"/>
        <w:bottom w:val="none" w:sz="0" w:space="0" w:color="auto"/>
        <w:right w:val="none" w:sz="0" w:space="0" w:color="auto"/>
      </w:divBdr>
    </w:div>
    <w:div w:id="1373001038">
      <w:marLeft w:val="0"/>
      <w:marRight w:val="0"/>
      <w:marTop w:val="0"/>
      <w:marBottom w:val="0"/>
      <w:divBdr>
        <w:top w:val="none" w:sz="0" w:space="0" w:color="auto"/>
        <w:left w:val="none" w:sz="0" w:space="0" w:color="auto"/>
        <w:bottom w:val="none" w:sz="0" w:space="0" w:color="auto"/>
        <w:right w:val="none" w:sz="0" w:space="0" w:color="auto"/>
      </w:divBdr>
    </w:div>
    <w:div w:id="1377392871">
      <w:marLeft w:val="0"/>
      <w:marRight w:val="0"/>
      <w:marTop w:val="0"/>
      <w:marBottom w:val="240"/>
      <w:divBdr>
        <w:top w:val="none" w:sz="0" w:space="0" w:color="auto"/>
        <w:left w:val="none" w:sz="0" w:space="0" w:color="auto"/>
        <w:bottom w:val="none" w:sz="0" w:space="0" w:color="auto"/>
        <w:right w:val="none" w:sz="0" w:space="0" w:color="auto"/>
      </w:divBdr>
    </w:div>
    <w:div w:id="1377660991">
      <w:marLeft w:val="0"/>
      <w:marRight w:val="0"/>
      <w:marTop w:val="0"/>
      <w:marBottom w:val="0"/>
      <w:divBdr>
        <w:top w:val="none" w:sz="0" w:space="0" w:color="auto"/>
        <w:left w:val="none" w:sz="0" w:space="0" w:color="auto"/>
        <w:bottom w:val="none" w:sz="0" w:space="0" w:color="auto"/>
        <w:right w:val="none" w:sz="0" w:space="0" w:color="auto"/>
      </w:divBdr>
    </w:div>
    <w:div w:id="1381899139">
      <w:marLeft w:val="0"/>
      <w:marRight w:val="0"/>
      <w:marTop w:val="0"/>
      <w:marBottom w:val="240"/>
      <w:divBdr>
        <w:top w:val="none" w:sz="0" w:space="0" w:color="auto"/>
        <w:left w:val="none" w:sz="0" w:space="0" w:color="auto"/>
        <w:bottom w:val="none" w:sz="0" w:space="0" w:color="auto"/>
        <w:right w:val="none" w:sz="0" w:space="0" w:color="auto"/>
      </w:divBdr>
    </w:div>
    <w:div w:id="1382288460">
      <w:marLeft w:val="0"/>
      <w:marRight w:val="0"/>
      <w:marTop w:val="0"/>
      <w:marBottom w:val="240"/>
      <w:divBdr>
        <w:top w:val="none" w:sz="0" w:space="0" w:color="auto"/>
        <w:left w:val="none" w:sz="0" w:space="0" w:color="auto"/>
        <w:bottom w:val="none" w:sz="0" w:space="0" w:color="auto"/>
        <w:right w:val="none" w:sz="0" w:space="0" w:color="auto"/>
      </w:divBdr>
    </w:div>
    <w:div w:id="1396005502">
      <w:marLeft w:val="0"/>
      <w:marRight w:val="0"/>
      <w:marTop w:val="240"/>
      <w:marBottom w:val="0"/>
      <w:divBdr>
        <w:top w:val="none" w:sz="0" w:space="0" w:color="auto"/>
        <w:left w:val="none" w:sz="0" w:space="0" w:color="auto"/>
        <w:bottom w:val="none" w:sz="0" w:space="0" w:color="auto"/>
        <w:right w:val="none" w:sz="0" w:space="0" w:color="auto"/>
      </w:divBdr>
    </w:div>
    <w:div w:id="1397819289">
      <w:marLeft w:val="0"/>
      <w:marRight w:val="0"/>
      <w:marTop w:val="240"/>
      <w:marBottom w:val="120"/>
      <w:divBdr>
        <w:top w:val="none" w:sz="0" w:space="0" w:color="auto"/>
        <w:left w:val="none" w:sz="0" w:space="0" w:color="auto"/>
        <w:bottom w:val="none" w:sz="0" w:space="0" w:color="auto"/>
        <w:right w:val="none" w:sz="0" w:space="0" w:color="auto"/>
      </w:divBdr>
    </w:div>
    <w:div w:id="1398430350">
      <w:marLeft w:val="0"/>
      <w:marRight w:val="0"/>
      <w:marTop w:val="0"/>
      <w:marBottom w:val="0"/>
      <w:divBdr>
        <w:top w:val="none" w:sz="0" w:space="0" w:color="auto"/>
        <w:left w:val="none" w:sz="0" w:space="0" w:color="auto"/>
        <w:bottom w:val="none" w:sz="0" w:space="0" w:color="auto"/>
        <w:right w:val="none" w:sz="0" w:space="0" w:color="auto"/>
      </w:divBdr>
      <w:divsChild>
        <w:div w:id="1542934002">
          <w:marLeft w:val="0"/>
          <w:marRight w:val="0"/>
          <w:marTop w:val="0"/>
          <w:marBottom w:val="0"/>
          <w:divBdr>
            <w:top w:val="none" w:sz="0" w:space="0" w:color="auto"/>
            <w:left w:val="none" w:sz="0" w:space="0" w:color="auto"/>
            <w:bottom w:val="none" w:sz="0" w:space="0" w:color="auto"/>
            <w:right w:val="none" w:sz="0" w:space="0" w:color="auto"/>
          </w:divBdr>
        </w:div>
      </w:divsChild>
    </w:div>
    <w:div w:id="1401708974">
      <w:marLeft w:val="0"/>
      <w:marRight w:val="0"/>
      <w:marTop w:val="0"/>
      <w:marBottom w:val="0"/>
      <w:divBdr>
        <w:top w:val="none" w:sz="0" w:space="0" w:color="auto"/>
        <w:left w:val="none" w:sz="0" w:space="0" w:color="auto"/>
        <w:bottom w:val="none" w:sz="0" w:space="0" w:color="auto"/>
        <w:right w:val="none" w:sz="0" w:space="0" w:color="auto"/>
      </w:divBdr>
      <w:divsChild>
        <w:div w:id="1834032576">
          <w:marLeft w:val="0"/>
          <w:marRight w:val="0"/>
          <w:marTop w:val="0"/>
          <w:marBottom w:val="0"/>
          <w:divBdr>
            <w:top w:val="none" w:sz="0" w:space="0" w:color="auto"/>
            <w:left w:val="none" w:sz="0" w:space="0" w:color="auto"/>
            <w:bottom w:val="none" w:sz="0" w:space="0" w:color="auto"/>
            <w:right w:val="none" w:sz="0" w:space="0" w:color="auto"/>
          </w:divBdr>
        </w:div>
      </w:divsChild>
    </w:div>
    <w:div w:id="1411347320">
      <w:marLeft w:val="0"/>
      <w:marRight w:val="0"/>
      <w:marTop w:val="0"/>
      <w:marBottom w:val="0"/>
      <w:divBdr>
        <w:top w:val="none" w:sz="0" w:space="0" w:color="auto"/>
        <w:left w:val="none" w:sz="0" w:space="0" w:color="auto"/>
        <w:bottom w:val="none" w:sz="0" w:space="0" w:color="auto"/>
        <w:right w:val="none" w:sz="0" w:space="0" w:color="auto"/>
      </w:divBdr>
    </w:div>
    <w:div w:id="1413313485">
      <w:marLeft w:val="0"/>
      <w:marRight w:val="0"/>
      <w:marTop w:val="0"/>
      <w:marBottom w:val="240"/>
      <w:divBdr>
        <w:top w:val="none" w:sz="0" w:space="0" w:color="auto"/>
        <w:left w:val="none" w:sz="0" w:space="0" w:color="auto"/>
        <w:bottom w:val="none" w:sz="0" w:space="0" w:color="auto"/>
        <w:right w:val="none" w:sz="0" w:space="0" w:color="auto"/>
      </w:divBdr>
    </w:div>
    <w:div w:id="1414818723">
      <w:marLeft w:val="0"/>
      <w:marRight w:val="0"/>
      <w:marTop w:val="0"/>
      <w:marBottom w:val="240"/>
      <w:divBdr>
        <w:top w:val="none" w:sz="0" w:space="0" w:color="auto"/>
        <w:left w:val="none" w:sz="0" w:space="0" w:color="auto"/>
        <w:bottom w:val="none" w:sz="0" w:space="0" w:color="auto"/>
        <w:right w:val="none" w:sz="0" w:space="0" w:color="auto"/>
      </w:divBdr>
    </w:div>
    <w:div w:id="1420831937">
      <w:marLeft w:val="0"/>
      <w:marRight w:val="0"/>
      <w:marTop w:val="0"/>
      <w:marBottom w:val="240"/>
      <w:divBdr>
        <w:top w:val="none" w:sz="0" w:space="0" w:color="auto"/>
        <w:left w:val="none" w:sz="0" w:space="0" w:color="auto"/>
        <w:bottom w:val="none" w:sz="0" w:space="0" w:color="auto"/>
        <w:right w:val="none" w:sz="0" w:space="0" w:color="auto"/>
      </w:divBdr>
    </w:div>
    <w:div w:id="1429737205">
      <w:marLeft w:val="0"/>
      <w:marRight w:val="0"/>
      <w:marTop w:val="0"/>
      <w:marBottom w:val="0"/>
      <w:divBdr>
        <w:top w:val="none" w:sz="0" w:space="0" w:color="auto"/>
        <w:left w:val="none" w:sz="0" w:space="0" w:color="auto"/>
        <w:bottom w:val="none" w:sz="0" w:space="0" w:color="auto"/>
        <w:right w:val="none" w:sz="0" w:space="0" w:color="auto"/>
      </w:divBdr>
      <w:divsChild>
        <w:div w:id="2110158588">
          <w:marLeft w:val="0"/>
          <w:marRight w:val="0"/>
          <w:marTop w:val="0"/>
          <w:marBottom w:val="0"/>
          <w:divBdr>
            <w:top w:val="none" w:sz="0" w:space="0" w:color="auto"/>
            <w:left w:val="none" w:sz="0" w:space="0" w:color="auto"/>
            <w:bottom w:val="none" w:sz="0" w:space="0" w:color="auto"/>
            <w:right w:val="none" w:sz="0" w:space="0" w:color="auto"/>
          </w:divBdr>
        </w:div>
      </w:divsChild>
    </w:div>
    <w:div w:id="1430083209">
      <w:marLeft w:val="0"/>
      <w:marRight w:val="0"/>
      <w:marTop w:val="0"/>
      <w:marBottom w:val="0"/>
      <w:divBdr>
        <w:top w:val="none" w:sz="0" w:space="0" w:color="auto"/>
        <w:left w:val="none" w:sz="0" w:space="0" w:color="auto"/>
        <w:bottom w:val="none" w:sz="0" w:space="0" w:color="auto"/>
        <w:right w:val="none" w:sz="0" w:space="0" w:color="auto"/>
      </w:divBdr>
    </w:div>
    <w:div w:id="1431118372">
      <w:marLeft w:val="0"/>
      <w:marRight w:val="0"/>
      <w:marTop w:val="0"/>
      <w:marBottom w:val="240"/>
      <w:divBdr>
        <w:top w:val="none" w:sz="0" w:space="0" w:color="auto"/>
        <w:left w:val="none" w:sz="0" w:space="0" w:color="auto"/>
        <w:bottom w:val="none" w:sz="0" w:space="0" w:color="auto"/>
        <w:right w:val="none" w:sz="0" w:space="0" w:color="auto"/>
      </w:divBdr>
    </w:div>
    <w:div w:id="1432622530">
      <w:marLeft w:val="0"/>
      <w:marRight w:val="0"/>
      <w:marTop w:val="0"/>
      <w:marBottom w:val="240"/>
      <w:divBdr>
        <w:top w:val="none" w:sz="0" w:space="0" w:color="auto"/>
        <w:left w:val="none" w:sz="0" w:space="0" w:color="auto"/>
        <w:bottom w:val="none" w:sz="0" w:space="0" w:color="auto"/>
        <w:right w:val="none" w:sz="0" w:space="0" w:color="auto"/>
      </w:divBdr>
    </w:div>
    <w:div w:id="1433353773">
      <w:marLeft w:val="0"/>
      <w:marRight w:val="0"/>
      <w:marTop w:val="0"/>
      <w:marBottom w:val="240"/>
      <w:divBdr>
        <w:top w:val="none" w:sz="0" w:space="0" w:color="auto"/>
        <w:left w:val="none" w:sz="0" w:space="0" w:color="auto"/>
        <w:bottom w:val="none" w:sz="0" w:space="0" w:color="auto"/>
        <w:right w:val="none" w:sz="0" w:space="0" w:color="auto"/>
      </w:divBdr>
    </w:div>
    <w:div w:id="1436558413">
      <w:marLeft w:val="0"/>
      <w:marRight w:val="0"/>
      <w:marTop w:val="0"/>
      <w:marBottom w:val="0"/>
      <w:divBdr>
        <w:top w:val="none" w:sz="0" w:space="0" w:color="auto"/>
        <w:left w:val="none" w:sz="0" w:space="0" w:color="auto"/>
        <w:bottom w:val="none" w:sz="0" w:space="0" w:color="auto"/>
        <w:right w:val="none" w:sz="0" w:space="0" w:color="auto"/>
      </w:divBdr>
    </w:div>
    <w:div w:id="1436903490">
      <w:marLeft w:val="0"/>
      <w:marRight w:val="0"/>
      <w:marTop w:val="0"/>
      <w:marBottom w:val="240"/>
      <w:divBdr>
        <w:top w:val="none" w:sz="0" w:space="0" w:color="auto"/>
        <w:left w:val="none" w:sz="0" w:space="0" w:color="auto"/>
        <w:bottom w:val="none" w:sz="0" w:space="0" w:color="auto"/>
        <w:right w:val="none" w:sz="0" w:space="0" w:color="auto"/>
      </w:divBdr>
    </w:div>
    <w:div w:id="1442064222">
      <w:marLeft w:val="0"/>
      <w:marRight w:val="0"/>
      <w:marTop w:val="0"/>
      <w:marBottom w:val="240"/>
      <w:divBdr>
        <w:top w:val="none" w:sz="0" w:space="0" w:color="auto"/>
        <w:left w:val="none" w:sz="0" w:space="0" w:color="auto"/>
        <w:bottom w:val="none" w:sz="0" w:space="0" w:color="auto"/>
        <w:right w:val="none" w:sz="0" w:space="0" w:color="auto"/>
      </w:divBdr>
    </w:div>
    <w:div w:id="1463890589">
      <w:marLeft w:val="0"/>
      <w:marRight w:val="0"/>
      <w:marTop w:val="0"/>
      <w:marBottom w:val="0"/>
      <w:divBdr>
        <w:top w:val="none" w:sz="0" w:space="0" w:color="auto"/>
        <w:left w:val="none" w:sz="0" w:space="0" w:color="auto"/>
        <w:bottom w:val="none" w:sz="0" w:space="0" w:color="auto"/>
        <w:right w:val="none" w:sz="0" w:space="0" w:color="auto"/>
      </w:divBdr>
    </w:div>
    <w:div w:id="1468890443">
      <w:marLeft w:val="0"/>
      <w:marRight w:val="0"/>
      <w:marTop w:val="0"/>
      <w:marBottom w:val="0"/>
      <w:divBdr>
        <w:top w:val="none" w:sz="0" w:space="0" w:color="auto"/>
        <w:left w:val="none" w:sz="0" w:space="0" w:color="auto"/>
        <w:bottom w:val="none" w:sz="0" w:space="0" w:color="auto"/>
        <w:right w:val="none" w:sz="0" w:space="0" w:color="auto"/>
      </w:divBdr>
    </w:div>
    <w:div w:id="1473525308">
      <w:marLeft w:val="0"/>
      <w:marRight w:val="0"/>
      <w:marTop w:val="0"/>
      <w:marBottom w:val="240"/>
      <w:divBdr>
        <w:top w:val="none" w:sz="0" w:space="0" w:color="auto"/>
        <w:left w:val="none" w:sz="0" w:space="0" w:color="auto"/>
        <w:bottom w:val="none" w:sz="0" w:space="0" w:color="auto"/>
        <w:right w:val="none" w:sz="0" w:space="0" w:color="auto"/>
      </w:divBdr>
    </w:div>
    <w:div w:id="1474758598">
      <w:marLeft w:val="0"/>
      <w:marRight w:val="0"/>
      <w:marTop w:val="0"/>
      <w:marBottom w:val="0"/>
      <w:divBdr>
        <w:top w:val="none" w:sz="0" w:space="0" w:color="auto"/>
        <w:left w:val="none" w:sz="0" w:space="0" w:color="auto"/>
        <w:bottom w:val="none" w:sz="0" w:space="0" w:color="auto"/>
        <w:right w:val="none" w:sz="0" w:space="0" w:color="auto"/>
      </w:divBdr>
      <w:divsChild>
        <w:div w:id="2139715715">
          <w:marLeft w:val="0"/>
          <w:marRight w:val="0"/>
          <w:marTop w:val="0"/>
          <w:marBottom w:val="0"/>
          <w:divBdr>
            <w:top w:val="none" w:sz="0" w:space="0" w:color="auto"/>
            <w:left w:val="none" w:sz="0" w:space="0" w:color="auto"/>
            <w:bottom w:val="none" w:sz="0" w:space="0" w:color="auto"/>
            <w:right w:val="none" w:sz="0" w:space="0" w:color="auto"/>
          </w:divBdr>
        </w:div>
      </w:divsChild>
    </w:div>
    <w:div w:id="1481077170">
      <w:marLeft w:val="0"/>
      <w:marRight w:val="0"/>
      <w:marTop w:val="0"/>
      <w:marBottom w:val="0"/>
      <w:divBdr>
        <w:top w:val="none" w:sz="0" w:space="0" w:color="auto"/>
        <w:left w:val="none" w:sz="0" w:space="0" w:color="auto"/>
        <w:bottom w:val="none" w:sz="0" w:space="0" w:color="auto"/>
        <w:right w:val="none" w:sz="0" w:space="0" w:color="auto"/>
      </w:divBdr>
      <w:divsChild>
        <w:div w:id="94255774">
          <w:marLeft w:val="0"/>
          <w:marRight w:val="0"/>
          <w:marTop w:val="0"/>
          <w:marBottom w:val="0"/>
          <w:divBdr>
            <w:top w:val="none" w:sz="0" w:space="0" w:color="auto"/>
            <w:left w:val="none" w:sz="0" w:space="0" w:color="auto"/>
            <w:bottom w:val="none" w:sz="0" w:space="0" w:color="auto"/>
            <w:right w:val="none" w:sz="0" w:space="0" w:color="auto"/>
          </w:divBdr>
        </w:div>
      </w:divsChild>
    </w:div>
    <w:div w:id="1481507482">
      <w:marLeft w:val="0"/>
      <w:marRight w:val="0"/>
      <w:marTop w:val="0"/>
      <w:marBottom w:val="200"/>
      <w:divBdr>
        <w:top w:val="none" w:sz="0" w:space="0" w:color="auto"/>
        <w:left w:val="none" w:sz="0" w:space="0" w:color="auto"/>
        <w:bottom w:val="none" w:sz="0" w:space="0" w:color="auto"/>
        <w:right w:val="none" w:sz="0" w:space="0" w:color="auto"/>
      </w:divBdr>
    </w:div>
    <w:div w:id="1481993609">
      <w:marLeft w:val="0"/>
      <w:marRight w:val="0"/>
      <w:marTop w:val="0"/>
      <w:marBottom w:val="0"/>
      <w:divBdr>
        <w:top w:val="none" w:sz="0" w:space="0" w:color="auto"/>
        <w:left w:val="none" w:sz="0" w:space="0" w:color="auto"/>
        <w:bottom w:val="none" w:sz="0" w:space="0" w:color="auto"/>
        <w:right w:val="none" w:sz="0" w:space="0" w:color="auto"/>
      </w:divBdr>
    </w:div>
    <w:div w:id="1486045417">
      <w:marLeft w:val="0"/>
      <w:marRight w:val="0"/>
      <w:marTop w:val="0"/>
      <w:marBottom w:val="0"/>
      <w:divBdr>
        <w:top w:val="none" w:sz="0" w:space="0" w:color="auto"/>
        <w:left w:val="none" w:sz="0" w:space="0" w:color="auto"/>
        <w:bottom w:val="none" w:sz="0" w:space="0" w:color="auto"/>
        <w:right w:val="none" w:sz="0" w:space="0" w:color="auto"/>
      </w:divBdr>
      <w:divsChild>
        <w:div w:id="64838231">
          <w:marLeft w:val="0"/>
          <w:marRight w:val="0"/>
          <w:marTop w:val="0"/>
          <w:marBottom w:val="0"/>
          <w:divBdr>
            <w:top w:val="none" w:sz="0" w:space="0" w:color="auto"/>
            <w:left w:val="none" w:sz="0" w:space="0" w:color="auto"/>
            <w:bottom w:val="none" w:sz="0" w:space="0" w:color="auto"/>
            <w:right w:val="none" w:sz="0" w:space="0" w:color="auto"/>
          </w:divBdr>
        </w:div>
      </w:divsChild>
    </w:div>
    <w:div w:id="1488016268">
      <w:marLeft w:val="0"/>
      <w:marRight w:val="0"/>
      <w:marTop w:val="0"/>
      <w:marBottom w:val="240"/>
      <w:divBdr>
        <w:top w:val="none" w:sz="0" w:space="0" w:color="auto"/>
        <w:left w:val="none" w:sz="0" w:space="0" w:color="auto"/>
        <w:bottom w:val="none" w:sz="0" w:space="0" w:color="auto"/>
        <w:right w:val="none" w:sz="0" w:space="0" w:color="auto"/>
      </w:divBdr>
    </w:div>
    <w:div w:id="1490169818">
      <w:marLeft w:val="0"/>
      <w:marRight w:val="0"/>
      <w:marTop w:val="0"/>
      <w:marBottom w:val="0"/>
      <w:divBdr>
        <w:top w:val="none" w:sz="0" w:space="0" w:color="auto"/>
        <w:left w:val="none" w:sz="0" w:space="0" w:color="auto"/>
        <w:bottom w:val="none" w:sz="0" w:space="0" w:color="auto"/>
        <w:right w:val="none" w:sz="0" w:space="0" w:color="auto"/>
      </w:divBdr>
      <w:divsChild>
        <w:div w:id="1307204432">
          <w:marLeft w:val="0"/>
          <w:marRight w:val="0"/>
          <w:marTop w:val="0"/>
          <w:marBottom w:val="0"/>
          <w:divBdr>
            <w:top w:val="none" w:sz="0" w:space="0" w:color="auto"/>
            <w:left w:val="none" w:sz="0" w:space="0" w:color="auto"/>
            <w:bottom w:val="none" w:sz="0" w:space="0" w:color="auto"/>
            <w:right w:val="none" w:sz="0" w:space="0" w:color="auto"/>
          </w:divBdr>
        </w:div>
      </w:divsChild>
    </w:div>
    <w:div w:id="1490754144">
      <w:marLeft w:val="0"/>
      <w:marRight w:val="0"/>
      <w:marTop w:val="0"/>
      <w:marBottom w:val="0"/>
      <w:divBdr>
        <w:top w:val="none" w:sz="0" w:space="0" w:color="auto"/>
        <w:left w:val="none" w:sz="0" w:space="0" w:color="auto"/>
        <w:bottom w:val="none" w:sz="0" w:space="0" w:color="auto"/>
        <w:right w:val="none" w:sz="0" w:space="0" w:color="auto"/>
      </w:divBdr>
      <w:divsChild>
        <w:div w:id="186255876">
          <w:marLeft w:val="0"/>
          <w:marRight w:val="0"/>
          <w:marTop w:val="0"/>
          <w:marBottom w:val="0"/>
          <w:divBdr>
            <w:top w:val="none" w:sz="0" w:space="0" w:color="auto"/>
            <w:left w:val="none" w:sz="0" w:space="0" w:color="auto"/>
            <w:bottom w:val="none" w:sz="0" w:space="0" w:color="auto"/>
            <w:right w:val="none" w:sz="0" w:space="0" w:color="auto"/>
          </w:divBdr>
        </w:div>
      </w:divsChild>
    </w:div>
    <w:div w:id="1492867496">
      <w:marLeft w:val="0"/>
      <w:marRight w:val="0"/>
      <w:marTop w:val="0"/>
      <w:marBottom w:val="0"/>
      <w:divBdr>
        <w:top w:val="none" w:sz="0" w:space="0" w:color="auto"/>
        <w:left w:val="none" w:sz="0" w:space="0" w:color="auto"/>
        <w:bottom w:val="none" w:sz="0" w:space="0" w:color="auto"/>
        <w:right w:val="none" w:sz="0" w:space="0" w:color="auto"/>
      </w:divBdr>
      <w:divsChild>
        <w:div w:id="1039476994">
          <w:marLeft w:val="0"/>
          <w:marRight w:val="0"/>
          <w:marTop w:val="0"/>
          <w:marBottom w:val="0"/>
          <w:divBdr>
            <w:top w:val="none" w:sz="0" w:space="0" w:color="auto"/>
            <w:left w:val="none" w:sz="0" w:space="0" w:color="auto"/>
            <w:bottom w:val="none" w:sz="0" w:space="0" w:color="auto"/>
            <w:right w:val="none" w:sz="0" w:space="0" w:color="auto"/>
          </w:divBdr>
        </w:div>
      </w:divsChild>
    </w:div>
    <w:div w:id="1493908808">
      <w:marLeft w:val="0"/>
      <w:marRight w:val="0"/>
      <w:marTop w:val="0"/>
      <w:marBottom w:val="240"/>
      <w:divBdr>
        <w:top w:val="none" w:sz="0" w:space="0" w:color="auto"/>
        <w:left w:val="none" w:sz="0" w:space="0" w:color="auto"/>
        <w:bottom w:val="none" w:sz="0" w:space="0" w:color="auto"/>
        <w:right w:val="none" w:sz="0" w:space="0" w:color="auto"/>
      </w:divBdr>
    </w:div>
    <w:div w:id="1501430071">
      <w:marLeft w:val="0"/>
      <w:marRight w:val="0"/>
      <w:marTop w:val="0"/>
      <w:marBottom w:val="240"/>
      <w:divBdr>
        <w:top w:val="none" w:sz="0" w:space="0" w:color="auto"/>
        <w:left w:val="none" w:sz="0" w:space="0" w:color="auto"/>
        <w:bottom w:val="none" w:sz="0" w:space="0" w:color="auto"/>
        <w:right w:val="none" w:sz="0" w:space="0" w:color="auto"/>
      </w:divBdr>
    </w:div>
    <w:div w:id="1503469757">
      <w:marLeft w:val="0"/>
      <w:marRight w:val="0"/>
      <w:marTop w:val="0"/>
      <w:marBottom w:val="240"/>
      <w:divBdr>
        <w:top w:val="none" w:sz="0" w:space="0" w:color="auto"/>
        <w:left w:val="none" w:sz="0" w:space="0" w:color="auto"/>
        <w:bottom w:val="none" w:sz="0" w:space="0" w:color="auto"/>
        <w:right w:val="none" w:sz="0" w:space="0" w:color="auto"/>
      </w:divBdr>
    </w:div>
    <w:div w:id="1508253490">
      <w:marLeft w:val="0"/>
      <w:marRight w:val="0"/>
      <w:marTop w:val="0"/>
      <w:marBottom w:val="1"/>
      <w:divBdr>
        <w:top w:val="none" w:sz="0" w:space="0" w:color="auto"/>
        <w:left w:val="none" w:sz="0" w:space="0" w:color="auto"/>
        <w:bottom w:val="none" w:sz="0" w:space="0" w:color="auto"/>
        <w:right w:val="none" w:sz="0" w:space="0" w:color="auto"/>
      </w:divBdr>
    </w:div>
    <w:div w:id="1510289741">
      <w:marLeft w:val="0"/>
      <w:marRight w:val="0"/>
      <w:marTop w:val="240"/>
      <w:marBottom w:val="240"/>
      <w:divBdr>
        <w:top w:val="none" w:sz="0" w:space="0" w:color="auto"/>
        <w:left w:val="none" w:sz="0" w:space="0" w:color="auto"/>
        <w:bottom w:val="none" w:sz="0" w:space="0" w:color="auto"/>
        <w:right w:val="none" w:sz="0" w:space="0" w:color="auto"/>
      </w:divBdr>
    </w:div>
    <w:div w:id="1512640664">
      <w:marLeft w:val="0"/>
      <w:marRight w:val="0"/>
      <w:marTop w:val="0"/>
      <w:marBottom w:val="240"/>
      <w:divBdr>
        <w:top w:val="none" w:sz="0" w:space="0" w:color="auto"/>
        <w:left w:val="none" w:sz="0" w:space="0" w:color="auto"/>
        <w:bottom w:val="none" w:sz="0" w:space="0" w:color="auto"/>
        <w:right w:val="none" w:sz="0" w:space="0" w:color="auto"/>
      </w:divBdr>
    </w:div>
    <w:div w:id="1513765317">
      <w:marLeft w:val="0"/>
      <w:marRight w:val="0"/>
      <w:marTop w:val="240"/>
      <w:marBottom w:val="0"/>
      <w:divBdr>
        <w:top w:val="none" w:sz="0" w:space="0" w:color="auto"/>
        <w:left w:val="none" w:sz="0" w:space="0" w:color="auto"/>
        <w:bottom w:val="none" w:sz="0" w:space="0" w:color="auto"/>
        <w:right w:val="none" w:sz="0" w:space="0" w:color="auto"/>
      </w:divBdr>
    </w:div>
    <w:div w:id="1518079244">
      <w:marLeft w:val="0"/>
      <w:marRight w:val="0"/>
      <w:marTop w:val="0"/>
      <w:marBottom w:val="240"/>
      <w:divBdr>
        <w:top w:val="none" w:sz="0" w:space="0" w:color="auto"/>
        <w:left w:val="none" w:sz="0" w:space="0" w:color="auto"/>
        <w:bottom w:val="none" w:sz="0" w:space="0" w:color="auto"/>
        <w:right w:val="none" w:sz="0" w:space="0" w:color="auto"/>
      </w:divBdr>
    </w:div>
    <w:div w:id="1520702502">
      <w:marLeft w:val="0"/>
      <w:marRight w:val="0"/>
      <w:marTop w:val="240"/>
      <w:marBottom w:val="240"/>
      <w:divBdr>
        <w:top w:val="none" w:sz="0" w:space="0" w:color="auto"/>
        <w:left w:val="none" w:sz="0" w:space="0" w:color="auto"/>
        <w:bottom w:val="none" w:sz="0" w:space="0" w:color="auto"/>
        <w:right w:val="none" w:sz="0" w:space="0" w:color="auto"/>
      </w:divBdr>
    </w:div>
    <w:div w:id="1522620046">
      <w:marLeft w:val="0"/>
      <w:marRight w:val="0"/>
      <w:marTop w:val="0"/>
      <w:marBottom w:val="0"/>
      <w:divBdr>
        <w:top w:val="none" w:sz="0" w:space="0" w:color="auto"/>
        <w:left w:val="none" w:sz="0" w:space="0" w:color="auto"/>
        <w:bottom w:val="none" w:sz="0" w:space="0" w:color="auto"/>
        <w:right w:val="none" w:sz="0" w:space="0" w:color="auto"/>
      </w:divBdr>
      <w:divsChild>
        <w:div w:id="574899744">
          <w:marLeft w:val="0"/>
          <w:marRight w:val="0"/>
          <w:marTop w:val="0"/>
          <w:marBottom w:val="0"/>
          <w:divBdr>
            <w:top w:val="none" w:sz="0" w:space="0" w:color="auto"/>
            <w:left w:val="none" w:sz="0" w:space="0" w:color="auto"/>
            <w:bottom w:val="none" w:sz="0" w:space="0" w:color="auto"/>
            <w:right w:val="none" w:sz="0" w:space="0" w:color="auto"/>
          </w:divBdr>
        </w:div>
      </w:divsChild>
    </w:div>
    <w:div w:id="1525555707">
      <w:marLeft w:val="0"/>
      <w:marRight w:val="0"/>
      <w:marTop w:val="0"/>
      <w:marBottom w:val="240"/>
      <w:divBdr>
        <w:top w:val="none" w:sz="0" w:space="0" w:color="auto"/>
        <w:left w:val="none" w:sz="0" w:space="0" w:color="auto"/>
        <w:bottom w:val="none" w:sz="0" w:space="0" w:color="auto"/>
        <w:right w:val="none" w:sz="0" w:space="0" w:color="auto"/>
      </w:divBdr>
    </w:div>
    <w:div w:id="1528904293">
      <w:marLeft w:val="0"/>
      <w:marRight w:val="0"/>
      <w:marTop w:val="240"/>
      <w:marBottom w:val="240"/>
      <w:divBdr>
        <w:top w:val="none" w:sz="0" w:space="0" w:color="auto"/>
        <w:left w:val="none" w:sz="0" w:space="0" w:color="auto"/>
        <w:bottom w:val="none" w:sz="0" w:space="0" w:color="auto"/>
        <w:right w:val="none" w:sz="0" w:space="0" w:color="auto"/>
      </w:divBdr>
    </w:div>
    <w:div w:id="1532720748">
      <w:marLeft w:val="0"/>
      <w:marRight w:val="0"/>
      <w:marTop w:val="0"/>
      <w:marBottom w:val="240"/>
      <w:divBdr>
        <w:top w:val="none" w:sz="0" w:space="0" w:color="auto"/>
        <w:left w:val="none" w:sz="0" w:space="0" w:color="auto"/>
        <w:bottom w:val="none" w:sz="0" w:space="0" w:color="auto"/>
        <w:right w:val="none" w:sz="0" w:space="0" w:color="auto"/>
      </w:divBdr>
    </w:div>
    <w:div w:id="1534414570">
      <w:marLeft w:val="0"/>
      <w:marRight w:val="0"/>
      <w:marTop w:val="0"/>
      <w:marBottom w:val="0"/>
      <w:divBdr>
        <w:top w:val="none" w:sz="0" w:space="0" w:color="auto"/>
        <w:left w:val="none" w:sz="0" w:space="0" w:color="auto"/>
        <w:bottom w:val="none" w:sz="0" w:space="0" w:color="auto"/>
        <w:right w:val="none" w:sz="0" w:space="0" w:color="auto"/>
      </w:divBdr>
    </w:div>
    <w:div w:id="1541820442">
      <w:marLeft w:val="0"/>
      <w:marRight w:val="0"/>
      <w:marTop w:val="240"/>
      <w:marBottom w:val="240"/>
      <w:divBdr>
        <w:top w:val="none" w:sz="0" w:space="0" w:color="auto"/>
        <w:left w:val="none" w:sz="0" w:space="0" w:color="auto"/>
        <w:bottom w:val="none" w:sz="0" w:space="0" w:color="auto"/>
        <w:right w:val="none" w:sz="0" w:space="0" w:color="auto"/>
      </w:divBdr>
    </w:div>
    <w:div w:id="1547764476">
      <w:marLeft w:val="0"/>
      <w:marRight w:val="0"/>
      <w:marTop w:val="0"/>
      <w:marBottom w:val="0"/>
      <w:divBdr>
        <w:top w:val="none" w:sz="0" w:space="0" w:color="auto"/>
        <w:left w:val="none" w:sz="0" w:space="0" w:color="auto"/>
        <w:bottom w:val="none" w:sz="0" w:space="0" w:color="auto"/>
        <w:right w:val="none" w:sz="0" w:space="0" w:color="auto"/>
      </w:divBdr>
    </w:div>
    <w:div w:id="1548227381">
      <w:marLeft w:val="0"/>
      <w:marRight w:val="0"/>
      <w:marTop w:val="0"/>
      <w:marBottom w:val="240"/>
      <w:divBdr>
        <w:top w:val="none" w:sz="0" w:space="0" w:color="auto"/>
        <w:left w:val="none" w:sz="0" w:space="0" w:color="auto"/>
        <w:bottom w:val="none" w:sz="0" w:space="0" w:color="auto"/>
        <w:right w:val="none" w:sz="0" w:space="0" w:color="auto"/>
      </w:divBdr>
    </w:div>
    <w:div w:id="1549099404">
      <w:marLeft w:val="0"/>
      <w:marRight w:val="0"/>
      <w:marTop w:val="0"/>
      <w:marBottom w:val="0"/>
      <w:divBdr>
        <w:top w:val="none" w:sz="0" w:space="0" w:color="auto"/>
        <w:left w:val="none" w:sz="0" w:space="0" w:color="auto"/>
        <w:bottom w:val="none" w:sz="0" w:space="0" w:color="auto"/>
        <w:right w:val="none" w:sz="0" w:space="0" w:color="auto"/>
      </w:divBdr>
      <w:divsChild>
        <w:div w:id="727412226">
          <w:marLeft w:val="0"/>
          <w:marRight w:val="0"/>
          <w:marTop w:val="0"/>
          <w:marBottom w:val="0"/>
          <w:divBdr>
            <w:top w:val="none" w:sz="0" w:space="0" w:color="auto"/>
            <w:left w:val="none" w:sz="0" w:space="0" w:color="auto"/>
            <w:bottom w:val="none" w:sz="0" w:space="0" w:color="auto"/>
            <w:right w:val="none" w:sz="0" w:space="0" w:color="auto"/>
          </w:divBdr>
        </w:div>
      </w:divsChild>
    </w:div>
    <w:div w:id="1551841557">
      <w:marLeft w:val="0"/>
      <w:marRight w:val="0"/>
      <w:marTop w:val="0"/>
      <w:marBottom w:val="240"/>
      <w:divBdr>
        <w:top w:val="none" w:sz="0" w:space="0" w:color="auto"/>
        <w:left w:val="none" w:sz="0" w:space="0" w:color="auto"/>
        <w:bottom w:val="none" w:sz="0" w:space="0" w:color="auto"/>
        <w:right w:val="none" w:sz="0" w:space="0" w:color="auto"/>
      </w:divBdr>
    </w:div>
    <w:div w:id="1552494706">
      <w:marLeft w:val="0"/>
      <w:marRight w:val="0"/>
      <w:marTop w:val="0"/>
      <w:marBottom w:val="240"/>
      <w:divBdr>
        <w:top w:val="none" w:sz="0" w:space="0" w:color="auto"/>
        <w:left w:val="none" w:sz="0" w:space="0" w:color="auto"/>
        <w:bottom w:val="none" w:sz="0" w:space="0" w:color="auto"/>
        <w:right w:val="none" w:sz="0" w:space="0" w:color="auto"/>
      </w:divBdr>
    </w:div>
    <w:div w:id="1553733571">
      <w:marLeft w:val="0"/>
      <w:marRight w:val="0"/>
      <w:marTop w:val="0"/>
      <w:marBottom w:val="0"/>
      <w:divBdr>
        <w:top w:val="none" w:sz="0" w:space="0" w:color="auto"/>
        <w:left w:val="none" w:sz="0" w:space="0" w:color="auto"/>
        <w:bottom w:val="none" w:sz="0" w:space="0" w:color="auto"/>
        <w:right w:val="none" w:sz="0" w:space="0" w:color="auto"/>
      </w:divBdr>
    </w:div>
    <w:div w:id="1555893267">
      <w:marLeft w:val="0"/>
      <w:marRight w:val="0"/>
      <w:marTop w:val="0"/>
      <w:marBottom w:val="240"/>
      <w:divBdr>
        <w:top w:val="none" w:sz="0" w:space="0" w:color="auto"/>
        <w:left w:val="none" w:sz="0" w:space="0" w:color="auto"/>
        <w:bottom w:val="none" w:sz="0" w:space="0" w:color="auto"/>
        <w:right w:val="none" w:sz="0" w:space="0" w:color="auto"/>
      </w:divBdr>
    </w:div>
    <w:div w:id="1562251169">
      <w:marLeft w:val="0"/>
      <w:marRight w:val="0"/>
      <w:marTop w:val="0"/>
      <w:marBottom w:val="240"/>
      <w:divBdr>
        <w:top w:val="none" w:sz="0" w:space="0" w:color="auto"/>
        <w:left w:val="none" w:sz="0" w:space="0" w:color="auto"/>
        <w:bottom w:val="none" w:sz="0" w:space="0" w:color="auto"/>
        <w:right w:val="none" w:sz="0" w:space="0" w:color="auto"/>
      </w:divBdr>
    </w:div>
    <w:div w:id="1567453883">
      <w:marLeft w:val="0"/>
      <w:marRight w:val="0"/>
      <w:marTop w:val="0"/>
      <w:marBottom w:val="0"/>
      <w:divBdr>
        <w:top w:val="none" w:sz="0" w:space="0" w:color="auto"/>
        <w:left w:val="none" w:sz="0" w:space="0" w:color="auto"/>
        <w:bottom w:val="none" w:sz="0" w:space="0" w:color="auto"/>
        <w:right w:val="none" w:sz="0" w:space="0" w:color="auto"/>
      </w:divBdr>
      <w:divsChild>
        <w:div w:id="612397263">
          <w:marLeft w:val="0"/>
          <w:marRight w:val="0"/>
          <w:marTop w:val="0"/>
          <w:marBottom w:val="0"/>
          <w:divBdr>
            <w:top w:val="none" w:sz="0" w:space="0" w:color="auto"/>
            <w:left w:val="none" w:sz="0" w:space="0" w:color="auto"/>
            <w:bottom w:val="none" w:sz="0" w:space="0" w:color="auto"/>
            <w:right w:val="none" w:sz="0" w:space="0" w:color="auto"/>
          </w:divBdr>
        </w:div>
      </w:divsChild>
    </w:div>
    <w:div w:id="1570382570">
      <w:marLeft w:val="0"/>
      <w:marRight w:val="0"/>
      <w:marTop w:val="0"/>
      <w:marBottom w:val="240"/>
      <w:divBdr>
        <w:top w:val="none" w:sz="0" w:space="0" w:color="auto"/>
        <w:left w:val="none" w:sz="0" w:space="0" w:color="auto"/>
        <w:bottom w:val="none" w:sz="0" w:space="0" w:color="auto"/>
        <w:right w:val="none" w:sz="0" w:space="0" w:color="auto"/>
      </w:divBdr>
    </w:div>
    <w:div w:id="1576889669">
      <w:marLeft w:val="0"/>
      <w:marRight w:val="0"/>
      <w:marTop w:val="0"/>
      <w:marBottom w:val="0"/>
      <w:divBdr>
        <w:top w:val="none" w:sz="0" w:space="0" w:color="auto"/>
        <w:left w:val="none" w:sz="0" w:space="0" w:color="auto"/>
        <w:bottom w:val="none" w:sz="0" w:space="0" w:color="auto"/>
        <w:right w:val="none" w:sz="0" w:space="0" w:color="auto"/>
      </w:divBdr>
      <w:divsChild>
        <w:div w:id="839193727">
          <w:marLeft w:val="0"/>
          <w:marRight w:val="0"/>
          <w:marTop w:val="0"/>
          <w:marBottom w:val="0"/>
          <w:divBdr>
            <w:top w:val="none" w:sz="0" w:space="0" w:color="auto"/>
            <w:left w:val="none" w:sz="0" w:space="0" w:color="auto"/>
            <w:bottom w:val="none" w:sz="0" w:space="0" w:color="auto"/>
            <w:right w:val="none" w:sz="0" w:space="0" w:color="auto"/>
          </w:divBdr>
        </w:div>
      </w:divsChild>
    </w:div>
    <w:div w:id="1577007493">
      <w:marLeft w:val="0"/>
      <w:marRight w:val="0"/>
      <w:marTop w:val="0"/>
      <w:marBottom w:val="240"/>
      <w:divBdr>
        <w:top w:val="none" w:sz="0" w:space="0" w:color="auto"/>
        <w:left w:val="none" w:sz="0" w:space="0" w:color="auto"/>
        <w:bottom w:val="none" w:sz="0" w:space="0" w:color="auto"/>
        <w:right w:val="none" w:sz="0" w:space="0" w:color="auto"/>
      </w:divBdr>
    </w:div>
    <w:div w:id="1577713834">
      <w:marLeft w:val="0"/>
      <w:marRight w:val="0"/>
      <w:marTop w:val="0"/>
      <w:marBottom w:val="120"/>
      <w:divBdr>
        <w:top w:val="none" w:sz="0" w:space="0" w:color="auto"/>
        <w:left w:val="none" w:sz="0" w:space="0" w:color="auto"/>
        <w:bottom w:val="none" w:sz="0" w:space="0" w:color="auto"/>
        <w:right w:val="none" w:sz="0" w:space="0" w:color="auto"/>
      </w:divBdr>
    </w:div>
    <w:div w:id="1582328632">
      <w:marLeft w:val="0"/>
      <w:marRight w:val="0"/>
      <w:marTop w:val="0"/>
      <w:marBottom w:val="240"/>
      <w:divBdr>
        <w:top w:val="none" w:sz="0" w:space="0" w:color="auto"/>
        <w:left w:val="none" w:sz="0" w:space="0" w:color="auto"/>
        <w:bottom w:val="none" w:sz="0" w:space="0" w:color="auto"/>
        <w:right w:val="none" w:sz="0" w:space="0" w:color="auto"/>
      </w:divBdr>
    </w:div>
    <w:div w:id="1582789636">
      <w:marLeft w:val="0"/>
      <w:marRight w:val="0"/>
      <w:marTop w:val="0"/>
      <w:marBottom w:val="0"/>
      <w:divBdr>
        <w:top w:val="none" w:sz="0" w:space="0" w:color="auto"/>
        <w:left w:val="none" w:sz="0" w:space="0" w:color="auto"/>
        <w:bottom w:val="none" w:sz="0" w:space="0" w:color="auto"/>
        <w:right w:val="none" w:sz="0" w:space="0" w:color="auto"/>
      </w:divBdr>
    </w:div>
    <w:div w:id="1582829271">
      <w:marLeft w:val="0"/>
      <w:marRight w:val="0"/>
      <w:marTop w:val="0"/>
      <w:marBottom w:val="240"/>
      <w:divBdr>
        <w:top w:val="none" w:sz="0" w:space="0" w:color="auto"/>
        <w:left w:val="none" w:sz="0" w:space="0" w:color="auto"/>
        <w:bottom w:val="none" w:sz="0" w:space="0" w:color="auto"/>
        <w:right w:val="none" w:sz="0" w:space="0" w:color="auto"/>
      </w:divBdr>
    </w:div>
    <w:div w:id="1585644880">
      <w:marLeft w:val="0"/>
      <w:marRight w:val="0"/>
      <w:marTop w:val="240"/>
      <w:marBottom w:val="120"/>
      <w:divBdr>
        <w:top w:val="none" w:sz="0" w:space="0" w:color="auto"/>
        <w:left w:val="none" w:sz="0" w:space="0" w:color="auto"/>
        <w:bottom w:val="none" w:sz="0" w:space="0" w:color="auto"/>
        <w:right w:val="none" w:sz="0" w:space="0" w:color="auto"/>
      </w:divBdr>
    </w:div>
    <w:div w:id="1592853569">
      <w:marLeft w:val="0"/>
      <w:marRight w:val="0"/>
      <w:marTop w:val="0"/>
      <w:marBottom w:val="240"/>
      <w:divBdr>
        <w:top w:val="none" w:sz="0" w:space="0" w:color="auto"/>
        <w:left w:val="none" w:sz="0" w:space="0" w:color="auto"/>
        <w:bottom w:val="none" w:sz="0" w:space="0" w:color="auto"/>
        <w:right w:val="none" w:sz="0" w:space="0" w:color="auto"/>
      </w:divBdr>
    </w:div>
    <w:div w:id="1593050400">
      <w:marLeft w:val="0"/>
      <w:marRight w:val="0"/>
      <w:marTop w:val="0"/>
      <w:marBottom w:val="240"/>
      <w:divBdr>
        <w:top w:val="none" w:sz="0" w:space="0" w:color="auto"/>
        <w:left w:val="none" w:sz="0" w:space="0" w:color="auto"/>
        <w:bottom w:val="none" w:sz="0" w:space="0" w:color="auto"/>
        <w:right w:val="none" w:sz="0" w:space="0" w:color="auto"/>
      </w:divBdr>
    </w:div>
    <w:div w:id="1602032649">
      <w:marLeft w:val="0"/>
      <w:marRight w:val="0"/>
      <w:marTop w:val="0"/>
      <w:marBottom w:val="240"/>
      <w:divBdr>
        <w:top w:val="none" w:sz="0" w:space="0" w:color="auto"/>
        <w:left w:val="none" w:sz="0" w:space="0" w:color="auto"/>
        <w:bottom w:val="none" w:sz="0" w:space="0" w:color="auto"/>
        <w:right w:val="none" w:sz="0" w:space="0" w:color="auto"/>
      </w:divBdr>
    </w:div>
    <w:div w:id="1603493557">
      <w:marLeft w:val="0"/>
      <w:marRight w:val="0"/>
      <w:marTop w:val="0"/>
      <w:marBottom w:val="240"/>
      <w:divBdr>
        <w:top w:val="none" w:sz="0" w:space="0" w:color="auto"/>
        <w:left w:val="none" w:sz="0" w:space="0" w:color="auto"/>
        <w:bottom w:val="none" w:sz="0" w:space="0" w:color="auto"/>
        <w:right w:val="none" w:sz="0" w:space="0" w:color="auto"/>
      </w:divBdr>
    </w:div>
    <w:div w:id="1605652552">
      <w:marLeft w:val="0"/>
      <w:marRight w:val="0"/>
      <w:marTop w:val="0"/>
      <w:marBottom w:val="240"/>
      <w:divBdr>
        <w:top w:val="none" w:sz="0" w:space="0" w:color="auto"/>
        <w:left w:val="none" w:sz="0" w:space="0" w:color="auto"/>
        <w:bottom w:val="none" w:sz="0" w:space="0" w:color="auto"/>
        <w:right w:val="none" w:sz="0" w:space="0" w:color="auto"/>
      </w:divBdr>
    </w:div>
    <w:div w:id="1607541270">
      <w:marLeft w:val="0"/>
      <w:marRight w:val="0"/>
      <w:marTop w:val="0"/>
      <w:marBottom w:val="240"/>
      <w:divBdr>
        <w:top w:val="none" w:sz="0" w:space="0" w:color="auto"/>
        <w:left w:val="none" w:sz="0" w:space="0" w:color="auto"/>
        <w:bottom w:val="none" w:sz="0" w:space="0" w:color="auto"/>
        <w:right w:val="none" w:sz="0" w:space="0" w:color="auto"/>
      </w:divBdr>
    </w:div>
    <w:div w:id="1609577463">
      <w:marLeft w:val="0"/>
      <w:marRight w:val="0"/>
      <w:marTop w:val="0"/>
      <w:marBottom w:val="240"/>
      <w:divBdr>
        <w:top w:val="none" w:sz="0" w:space="0" w:color="auto"/>
        <w:left w:val="none" w:sz="0" w:space="0" w:color="auto"/>
        <w:bottom w:val="none" w:sz="0" w:space="0" w:color="auto"/>
        <w:right w:val="none" w:sz="0" w:space="0" w:color="auto"/>
      </w:divBdr>
    </w:div>
    <w:div w:id="1613365785">
      <w:marLeft w:val="0"/>
      <w:marRight w:val="0"/>
      <w:marTop w:val="0"/>
      <w:marBottom w:val="240"/>
      <w:divBdr>
        <w:top w:val="none" w:sz="0" w:space="0" w:color="auto"/>
        <w:left w:val="none" w:sz="0" w:space="0" w:color="auto"/>
        <w:bottom w:val="none" w:sz="0" w:space="0" w:color="auto"/>
        <w:right w:val="none" w:sz="0" w:space="0" w:color="auto"/>
      </w:divBdr>
    </w:div>
    <w:div w:id="1613779449">
      <w:marLeft w:val="0"/>
      <w:marRight w:val="0"/>
      <w:marTop w:val="0"/>
      <w:marBottom w:val="240"/>
      <w:divBdr>
        <w:top w:val="none" w:sz="0" w:space="0" w:color="auto"/>
        <w:left w:val="none" w:sz="0" w:space="0" w:color="auto"/>
        <w:bottom w:val="none" w:sz="0" w:space="0" w:color="auto"/>
        <w:right w:val="none" w:sz="0" w:space="0" w:color="auto"/>
      </w:divBdr>
    </w:div>
    <w:div w:id="1616862244">
      <w:marLeft w:val="0"/>
      <w:marRight w:val="0"/>
      <w:marTop w:val="0"/>
      <w:marBottom w:val="0"/>
      <w:divBdr>
        <w:top w:val="none" w:sz="0" w:space="0" w:color="auto"/>
        <w:left w:val="none" w:sz="0" w:space="0" w:color="auto"/>
        <w:bottom w:val="none" w:sz="0" w:space="0" w:color="auto"/>
        <w:right w:val="none" w:sz="0" w:space="0" w:color="auto"/>
      </w:divBdr>
    </w:div>
    <w:div w:id="1618290771">
      <w:marLeft w:val="0"/>
      <w:marRight w:val="0"/>
      <w:marTop w:val="0"/>
      <w:marBottom w:val="0"/>
      <w:divBdr>
        <w:top w:val="none" w:sz="0" w:space="0" w:color="auto"/>
        <w:left w:val="none" w:sz="0" w:space="0" w:color="auto"/>
        <w:bottom w:val="none" w:sz="0" w:space="0" w:color="auto"/>
        <w:right w:val="none" w:sz="0" w:space="0" w:color="auto"/>
      </w:divBdr>
    </w:div>
    <w:div w:id="1619407418">
      <w:marLeft w:val="0"/>
      <w:marRight w:val="0"/>
      <w:marTop w:val="0"/>
      <w:marBottom w:val="240"/>
      <w:divBdr>
        <w:top w:val="none" w:sz="0" w:space="0" w:color="auto"/>
        <w:left w:val="none" w:sz="0" w:space="0" w:color="auto"/>
        <w:bottom w:val="none" w:sz="0" w:space="0" w:color="auto"/>
        <w:right w:val="none" w:sz="0" w:space="0" w:color="auto"/>
      </w:divBdr>
    </w:div>
    <w:div w:id="1625963388">
      <w:marLeft w:val="0"/>
      <w:marRight w:val="0"/>
      <w:marTop w:val="0"/>
      <w:marBottom w:val="0"/>
      <w:divBdr>
        <w:top w:val="none" w:sz="0" w:space="0" w:color="auto"/>
        <w:left w:val="none" w:sz="0" w:space="0" w:color="auto"/>
        <w:bottom w:val="none" w:sz="0" w:space="0" w:color="auto"/>
        <w:right w:val="none" w:sz="0" w:space="0" w:color="auto"/>
      </w:divBdr>
    </w:div>
    <w:div w:id="1632635109">
      <w:marLeft w:val="0"/>
      <w:marRight w:val="0"/>
      <w:marTop w:val="0"/>
      <w:marBottom w:val="240"/>
      <w:divBdr>
        <w:top w:val="none" w:sz="0" w:space="0" w:color="auto"/>
        <w:left w:val="none" w:sz="0" w:space="0" w:color="auto"/>
        <w:bottom w:val="none" w:sz="0" w:space="0" w:color="auto"/>
        <w:right w:val="none" w:sz="0" w:space="0" w:color="auto"/>
      </w:divBdr>
    </w:div>
    <w:div w:id="1634286183">
      <w:marLeft w:val="0"/>
      <w:marRight w:val="0"/>
      <w:marTop w:val="0"/>
      <w:marBottom w:val="240"/>
      <w:divBdr>
        <w:top w:val="none" w:sz="0" w:space="0" w:color="auto"/>
        <w:left w:val="none" w:sz="0" w:space="0" w:color="auto"/>
        <w:bottom w:val="none" w:sz="0" w:space="0" w:color="auto"/>
        <w:right w:val="none" w:sz="0" w:space="0" w:color="auto"/>
      </w:divBdr>
    </w:div>
    <w:div w:id="1634291576">
      <w:marLeft w:val="0"/>
      <w:marRight w:val="0"/>
      <w:marTop w:val="0"/>
      <w:marBottom w:val="0"/>
      <w:divBdr>
        <w:top w:val="none" w:sz="0" w:space="0" w:color="auto"/>
        <w:left w:val="none" w:sz="0" w:space="0" w:color="auto"/>
        <w:bottom w:val="none" w:sz="0" w:space="0" w:color="auto"/>
        <w:right w:val="none" w:sz="0" w:space="0" w:color="auto"/>
      </w:divBdr>
      <w:divsChild>
        <w:div w:id="117646355">
          <w:marLeft w:val="0"/>
          <w:marRight w:val="0"/>
          <w:marTop w:val="0"/>
          <w:marBottom w:val="0"/>
          <w:divBdr>
            <w:top w:val="none" w:sz="0" w:space="0" w:color="auto"/>
            <w:left w:val="none" w:sz="0" w:space="0" w:color="auto"/>
            <w:bottom w:val="none" w:sz="0" w:space="0" w:color="auto"/>
            <w:right w:val="none" w:sz="0" w:space="0" w:color="auto"/>
          </w:divBdr>
        </w:div>
        <w:div w:id="11224306">
          <w:marLeft w:val="0"/>
          <w:marRight w:val="0"/>
          <w:marTop w:val="0"/>
          <w:marBottom w:val="0"/>
          <w:divBdr>
            <w:top w:val="none" w:sz="0" w:space="0" w:color="auto"/>
            <w:left w:val="none" w:sz="0" w:space="0" w:color="auto"/>
            <w:bottom w:val="none" w:sz="0" w:space="0" w:color="auto"/>
            <w:right w:val="none" w:sz="0" w:space="0" w:color="auto"/>
          </w:divBdr>
        </w:div>
        <w:div w:id="95759898">
          <w:marLeft w:val="0"/>
          <w:marRight w:val="0"/>
          <w:marTop w:val="0"/>
          <w:marBottom w:val="0"/>
          <w:divBdr>
            <w:top w:val="none" w:sz="0" w:space="0" w:color="auto"/>
            <w:left w:val="none" w:sz="0" w:space="0" w:color="auto"/>
            <w:bottom w:val="none" w:sz="0" w:space="0" w:color="auto"/>
            <w:right w:val="none" w:sz="0" w:space="0" w:color="auto"/>
          </w:divBdr>
        </w:div>
        <w:div w:id="523448202">
          <w:marLeft w:val="0"/>
          <w:marRight w:val="0"/>
          <w:marTop w:val="0"/>
          <w:marBottom w:val="0"/>
          <w:divBdr>
            <w:top w:val="none" w:sz="0" w:space="0" w:color="auto"/>
            <w:left w:val="none" w:sz="0" w:space="0" w:color="auto"/>
            <w:bottom w:val="none" w:sz="0" w:space="0" w:color="auto"/>
            <w:right w:val="none" w:sz="0" w:space="0" w:color="auto"/>
          </w:divBdr>
        </w:div>
        <w:div w:id="1418555450">
          <w:marLeft w:val="0"/>
          <w:marRight w:val="0"/>
          <w:marTop w:val="0"/>
          <w:marBottom w:val="0"/>
          <w:divBdr>
            <w:top w:val="none" w:sz="0" w:space="0" w:color="auto"/>
            <w:left w:val="none" w:sz="0" w:space="0" w:color="auto"/>
            <w:bottom w:val="none" w:sz="0" w:space="0" w:color="auto"/>
            <w:right w:val="none" w:sz="0" w:space="0" w:color="auto"/>
          </w:divBdr>
        </w:div>
        <w:div w:id="47725773">
          <w:marLeft w:val="0"/>
          <w:marRight w:val="0"/>
          <w:marTop w:val="0"/>
          <w:marBottom w:val="0"/>
          <w:divBdr>
            <w:top w:val="none" w:sz="0" w:space="0" w:color="auto"/>
            <w:left w:val="none" w:sz="0" w:space="0" w:color="auto"/>
            <w:bottom w:val="none" w:sz="0" w:space="0" w:color="auto"/>
            <w:right w:val="none" w:sz="0" w:space="0" w:color="auto"/>
          </w:divBdr>
        </w:div>
        <w:div w:id="292291103">
          <w:marLeft w:val="0"/>
          <w:marRight w:val="0"/>
          <w:marTop w:val="0"/>
          <w:marBottom w:val="0"/>
          <w:divBdr>
            <w:top w:val="none" w:sz="0" w:space="0" w:color="auto"/>
            <w:left w:val="none" w:sz="0" w:space="0" w:color="auto"/>
            <w:bottom w:val="none" w:sz="0" w:space="0" w:color="auto"/>
            <w:right w:val="none" w:sz="0" w:space="0" w:color="auto"/>
          </w:divBdr>
        </w:div>
        <w:div w:id="1848210488">
          <w:marLeft w:val="0"/>
          <w:marRight w:val="0"/>
          <w:marTop w:val="0"/>
          <w:marBottom w:val="0"/>
          <w:divBdr>
            <w:top w:val="none" w:sz="0" w:space="0" w:color="auto"/>
            <w:left w:val="none" w:sz="0" w:space="0" w:color="auto"/>
            <w:bottom w:val="none" w:sz="0" w:space="0" w:color="auto"/>
            <w:right w:val="none" w:sz="0" w:space="0" w:color="auto"/>
          </w:divBdr>
        </w:div>
        <w:div w:id="1161703333">
          <w:marLeft w:val="0"/>
          <w:marRight w:val="0"/>
          <w:marTop w:val="0"/>
          <w:marBottom w:val="0"/>
          <w:divBdr>
            <w:top w:val="none" w:sz="0" w:space="0" w:color="auto"/>
            <w:left w:val="none" w:sz="0" w:space="0" w:color="auto"/>
            <w:bottom w:val="none" w:sz="0" w:space="0" w:color="auto"/>
            <w:right w:val="none" w:sz="0" w:space="0" w:color="auto"/>
          </w:divBdr>
        </w:div>
        <w:div w:id="1774352530">
          <w:marLeft w:val="0"/>
          <w:marRight w:val="0"/>
          <w:marTop w:val="0"/>
          <w:marBottom w:val="0"/>
          <w:divBdr>
            <w:top w:val="none" w:sz="0" w:space="0" w:color="auto"/>
            <w:left w:val="none" w:sz="0" w:space="0" w:color="auto"/>
            <w:bottom w:val="none" w:sz="0" w:space="0" w:color="auto"/>
            <w:right w:val="none" w:sz="0" w:space="0" w:color="auto"/>
          </w:divBdr>
        </w:div>
        <w:div w:id="740104291">
          <w:marLeft w:val="0"/>
          <w:marRight w:val="0"/>
          <w:marTop w:val="0"/>
          <w:marBottom w:val="0"/>
          <w:divBdr>
            <w:top w:val="none" w:sz="0" w:space="0" w:color="auto"/>
            <w:left w:val="none" w:sz="0" w:space="0" w:color="auto"/>
            <w:bottom w:val="none" w:sz="0" w:space="0" w:color="auto"/>
            <w:right w:val="none" w:sz="0" w:space="0" w:color="auto"/>
          </w:divBdr>
        </w:div>
      </w:divsChild>
    </w:div>
    <w:div w:id="1635671251">
      <w:marLeft w:val="0"/>
      <w:marRight w:val="0"/>
      <w:marTop w:val="0"/>
      <w:marBottom w:val="0"/>
      <w:divBdr>
        <w:top w:val="none" w:sz="0" w:space="0" w:color="auto"/>
        <w:left w:val="none" w:sz="0" w:space="0" w:color="auto"/>
        <w:bottom w:val="none" w:sz="0" w:space="0" w:color="auto"/>
        <w:right w:val="none" w:sz="0" w:space="0" w:color="auto"/>
      </w:divBdr>
    </w:div>
    <w:div w:id="1639141969">
      <w:marLeft w:val="0"/>
      <w:marRight w:val="0"/>
      <w:marTop w:val="240"/>
      <w:marBottom w:val="240"/>
      <w:divBdr>
        <w:top w:val="none" w:sz="0" w:space="0" w:color="auto"/>
        <w:left w:val="none" w:sz="0" w:space="0" w:color="auto"/>
        <w:bottom w:val="none" w:sz="0" w:space="0" w:color="auto"/>
        <w:right w:val="none" w:sz="0" w:space="0" w:color="auto"/>
      </w:divBdr>
    </w:div>
    <w:div w:id="1640107144">
      <w:marLeft w:val="0"/>
      <w:marRight w:val="0"/>
      <w:marTop w:val="0"/>
      <w:marBottom w:val="240"/>
      <w:divBdr>
        <w:top w:val="none" w:sz="0" w:space="0" w:color="auto"/>
        <w:left w:val="none" w:sz="0" w:space="0" w:color="auto"/>
        <w:bottom w:val="none" w:sz="0" w:space="0" w:color="auto"/>
        <w:right w:val="none" w:sz="0" w:space="0" w:color="auto"/>
      </w:divBdr>
    </w:div>
    <w:div w:id="1641232025">
      <w:marLeft w:val="0"/>
      <w:marRight w:val="0"/>
      <w:marTop w:val="0"/>
      <w:marBottom w:val="0"/>
      <w:divBdr>
        <w:top w:val="none" w:sz="0" w:space="0" w:color="auto"/>
        <w:left w:val="none" w:sz="0" w:space="0" w:color="auto"/>
        <w:bottom w:val="none" w:sz="0" w:space="0" w:color="auto"/>
        <w:right w:val="none" w:sz="0" w:space="0" w:color="auto"/>
      </w:divBdr>
    </w:div>
    <w:div w:id="1653410743">
      <w:marLeft w:val="0"/>
      <w:marRight w:val="0"/>
      <w:marTop w:val="0"/>
      <w:marBottom w:val="240"/>
      <w:divBdr>
        <w:top w:val="none" w:sz="0" w:space="0" w:color="auto"/>
        <w:left w:val="none" w:sz="0" w:space="0" w:color="auto"/>
        <w:bottom w:val="none" w:sz="0" w:space="0" w:color="auto"/>
        <w:right w:val="none" w:sz="0" w:space="0" w:color="auto"/>
      </w:divBdr>
    </w:div>
    <w:div w:id="1653831337">
      <w:marLeft w:val="0"/>
      <w:marRight w:val="0"/>
      <w:marTop w:val="0"/>
      <w:marBottom w:val="0"/>
      <w:divBdr>
        <w:top w:val="none" w:sz="0" w:space="0" w:color="auto"/>
        <w:left w:val="none" w:sz="0" w:space="0" w:color="auto"/>
        <w:bottom w:val="none" w:sz="0" w:space="0" w:color="auto"/>
        <w:right w:val="none" w:sz="0" w:space="0" w:color="auto"/>
      </w:divBdr>
      <w:divsChild>
        <w:div w:id="1449859533">
          <w:marLeft w:val="0"/>
          <w:marRight w:val="0"/>
          <w:marTop w:val="0"/>
          <w:marBottom w:val="0"/>
          <w:divBdr>
            <w:top w:val="none" w:sz="0" w:space="0" w:color="auto"/>
            <w:left w:val="none" w:sz="0" w:space="0" w:color="auto"/>
            <w:bottom w:val="none" w:sz="0" w:space="0" w:color="auto"/>
            <w:right w:val="none" w:sz="0" w:space="0" w:color="auto"/>
          </w:divBdr>
        </w:div>
      </w:divsChild>
    </w:div>
    <w:div w:id="1656227293">
      <w:marLeft w:val="0"/>
      <w:marRight w:val="0"/>
      <w:marTop w:val="0"/>
      <w:marBottom w:val="120"/>
      <w:divBdr>
        <w:top w:val="none" w:sz="0" w:space="0" w:color="auto"/>
        <w:left w:val="none" w:sz="0" w:space="0" w:color="auto"/>
        <w:bottom w:val="none" w:sz="0" w:space="0" w:color="auto"/>
        <w:right w:val="none" w:sz="0" w:space="0" w:color="auto"/>
      </w:divBdr>
    </w:div>
    <w:div w:id="1657998748">
      <w:marLeft w:val="0"/>
      <w:marRight w:val="0"/>
      <w:marTop w:val="0"/>
      <w:marBottom w:val="0"/>
      <w:divBdr>
        <w:top w:val="none" w:sz="0" w:space="0" w:color="auto"/>
        <w:left w:val="none" w:sz="0" w:space="0" w:color="auto"/>
        <w:bottom w:val="none" w:sz="0" w:space="0" w:color="auto"/>
        <w:right w:val="none" w:sz="0" w:space="0" w:color="auto"/>
      </w:divBdr>
      <w:divsChild>
        <w:div w:id="1271469657">
          <w:marLeft w:val="0"/>
          <w:marRight w:val="0"/>
          <w:marTop w:val="0"/>
          <w:marBottom w:val="0"/>
          <w:divBdr>
            <w:top w:val="none" w:sz="0" w:space="0" w:color="auto"/>
            <w:left w:val="none" w:sz="0" w:space="0" w:color="auto"/>
            <w:bottom w:val="none" w:sz="0" w:space="0" w:color="auto"/>
            <w:right w:val="none" w:sz="0" w:space="0" w:color="auto"/>
          </w:divBdr>
        </w:div>
      </w:divsChild>
    </w:div>
    <w:div w:id="1658537475">
      <w:marLeft w:val="0"/>
      <w:marRight w:val="0"/>
      <w:marTop w:val="120"/>
      <w:marBottom w:val="240"/>
      <w:divBdr>
        <w:top w:val="none" w:sz="0" w:space="0" w:color="auto"/>
        <w:left w:val="none" w:sz="0" w:space="0" w:color="auto"/>
        <w:bottom w:val="none" w:sz="0" w:space="0" w:color="auto"/>
        <w:right w:val="none" w:sz="0" w:space="0" w:color="auto"/>
      </w:divBdr>
    </w:div>
    <w:div w:id="1660770518">
      <w:marLeft w:val="0"/>
      <w:marRight w:val="0"/>
      <w:marTop w:val="0"/>
      <w:marBottom w:val="0"/>
      <w:divBdr>
        <w:top w:val="none" w:sz="0" w:space="0" w:color="auto"/>
        <w:left w:val="none" w:sz="0" w:space="0" w:color="auto"/>
        <w:bottom w:val="none" w:sz="0" w:space="0" w:color="auto"/>
        <w:right w:val="none" w:sz="0" w:space="0" w:color="auto"/>
      </w:divBdr>
    </w:div>
    <w:div w:id="1663312662">
      <w:marLeft w:val="0"/>
      <w:marRight w:val="0"/>
      <w:marTop w:val="0"/>
      <w:marBottom w:val="0"/>
      <w:divBdr>
        <w:top w:val="none" w:sz="0" w:space="0" w:color="auto"/>
        <w:left w:val="none" w:sz="0" w:space="0" w:color="auto"/>
        <w:bottom w:val="none" w:sz="0" w:space="0" w:color="auto"/>
        <w:right w:val="none" w:sz="0" w:space="0" w:color="auto"/>
      </w:divBdr>
      <w:divsChild>
        <w:div w:id="482741946">
          <w:marLeft w:val="0"/>
          <w:marRight w:val="0"/>
          <w:marTop w:val="0"/>
          <w:marBottom w:val="0"/>
          <w:divBdr>
            <w:top w:val="none" w:sz="0" w:space="0" w:color="auto"/>
            <w:left w:val="none" w:sz="0" w:space="0" w:color="auto"/>
            <w:bottom w:val="none" w:sz="0" w:space="0" w:color="auto"/>
            <w:right w:val="none" w:sz="0" w:space="0" w:color="auto"/>
          </w:divBdr>
        </w:div>
        <w:div w:id="230503683">
          <w:marLeft w:val="0"/>
          <w:marRight w:val="0"/>
          <w:marTop w:val="0"/>
          <w:marBottom w:val="0"/>
          <w:divBdr>
            <w:top w:val="none" w:sz="0" w:space="0" w:color="auto"/>
            <w:left w:val="none" w:sz="0" w:space="0" w:color="auto"/>
            <w:bottom w:val="none" w:sz="0" w:space="0" w:color="auto"/>
            <w:right w:val="none" w:sz="0" w:space="0" w:color="auto"/>
          </w:divBdr>
        </w:div>
        <w:div w:id="1491141037">
          <w:marLeft w:val="0"/>
          <w:marRight w:val="0"/>
          <w:marTop w:val="0"/>
          <w:marBottom w:val="0"/>
          <w:divBdr>
            <w:top w:val="none" w:sz="0" w:space="0" w:color="auto"/>
            <w:left w:val="none" w:sz="0" w:space="0" w:color="auto"/>
            <w:bottom w:val="none" w:sz="0" w:space="0" w:color="auto"/>
            <w:right w:val="none" w:sz="0" w:space="0" w:color="auto"/>
          </w:divBdr>
        </w:div>
      </w:divsChild>
    </w:div>
    <w:div w:id="1665432274">
      <w:marLeft w:val="0"/>
      <w:marRight w:val="0"/>
      <w:marTop w:val="0"/>
      <w:marBottom w:val="0"/>
      <w:divBdr>
        <w:top w:val="none" w:sz="0" w:space="0" w:color="auto"/>
        <w:left w:val="none" w:sz="0" w:space="0" w:color="auto"/>
        <w:bottom w:val="none" w:sz="0" w:space="0" w:color="auto"/>
        <w:right w:val="none" w:sz="0" w:space="0" w:color="auto"/>
      </w:divBdr>
      <w:divsChild>
        <w:div w:id="1768649301">
          <w:marLeft w:val="0"/>
          <w:marRight w:val="0"/>
          <w:marTop w:val="0"/>
          <w:marBottom w:val="0"/>
          <w:divBdr>
            <w:top w:val="none" w:sz="0" w:space="0" w:color="auto"/>
            <w:left w:val="none" w:sz="0" w:space="0" w:color="auto"/>
            <w:bottom w:val="none" w:sz="0" w:space="0" w:color="auto"/>
            <w:right w:val="none" w:sz="0" w:space="0" w:color="auto"/>
          </w:divBdr>
        </w:div>
      </w:divsChild>
    </w:div>
    <w:div w:id="1665935662">
      <w:marLeft w:val="0"/>
      <w:marRight w:val="0"/>
      <w:marTop w:val="0"/>
      <w:marBottom w:val="240"/>
      <w:divBdr>
        <w:top w:val="none" w:sz="0" w:space="0" w:color="auto"/>
        <w:left w:val="none" w:sz="0" w:space="0" w:color="auto"/>
        <w:bottom w:val="none" w:sz="0" w:space="0" w:color="auto"/>
        <w:right w:val="none" w:sz="0" w:space="0" w:color="auto"/>
      </w:divBdr>
    </w:div>
    <w:div w:id="1666124566">
      <w:marLeft w:val="0"/>
      <w:marRight w:val="0"/>
      <w:marTop w:val="0"/>
      <w:marBottom w:val="240"/>
      <w:divBdr>
        <w:top w:val="none" w:sz="0" w:space="0" w:color="auto"/>
        <w:left w:val="none" w:sz="0" w:space="0" w:color="auto"/>
        <w:bottom w:val="none" w:sz="0" w:space="0" w:color="auto"/>
        <w:right w:val="none" w:sz="0" w:space="0" w:color="auto"/>
      </w:divBdr>
    </w:div>
    <w:div w:id="1671519047">
      <w:marLeft w:val="0"/>
      <w:marRight w:val="0"/>
      <w:marTop w:val="0"/>
      <w:marBottom w:val="120"/>
      <w:divBdr>
        <w:top w:val="none" w:sz="0" w:space="0" w:color="auto"/>
        <w:left w:val="none" w:sz="0" w:space="0" w:color="auto"/>
        <w:bottom w:val="none" w:sz="0" w:space="0" w:color="auto"/>
        <w:right w:val="none" w:sz="0" w:space="0" w:color="auto"/>
      </w:divBdr>
    </w:div>
    <w:div w:id="1671911843">
      <w:marLeft w:val="0"/>
      <w:marRight w:val="0"/>
      <w:marTop w:val="0"/>
      <w:marBottom w:val="0"/>
      <w:divBdr>
        <w:top w:val="none" w:sz="0" w:space="0" w:color="auto"/>
        <w:left w:val="none" w:sz="0" w:space="0" w:color="auto"/>
        <w:bottom w:val="none" w:sz="0" w:space="0" w:color="auto"/>
        <w:right w:val="none" w:sz="0" w:space="0" w:color="auto"/>
      </w:divBdr>
    </w:div>
    <w:div w:id="1675957052">
      <w:marLeft w:val="0"/>
      <w:marRight w:val="0"/>
      <w:marTop w:val="120"/>
      <w:marBottom w:val="240"/>
      <w:divBdr>
        <w:top w:val="none" w:sz="0" w:space="0" w:color="auto"/>
        <w:left w:val="none" w:sz="0" w:space="0" w:color="auto"/>
        <w:bottom w:val="none" w:sz="0" w:space="0" w:color="auto"/>
        <w:right w:val="none" w:sz="0" w:space="0" w:color="auto"/>
      </w:divBdr>
    </w:div>
    <w:div w:id="1679768819">
      <w:marLeft w:val="0"/>
      <w:marRight w:val="0"/>
      <w:marTop w:val="0"/>
      <w:marBottom w:val="240"/>
      <w:divBdr>
        <w:top w:val="none" w:sz="0" w:space="0" w:color="auto"/>
        <w:left w:val="none" w:sz="0" w:space="0" w:color="auto"/>
        <w:bottom w:val="none" w:sz="0" w:space="0" w:color="auto"/>
        <w:right w:val="none" w:sz="0" w:space="0" w:color="auto"/>
      </w:divBdr>
    </w:div>
    <w:div w:id="1681810574">
      <w:marLeft w:val="0"/>
      <w:marRight w:val="0"/>
      <w:marTop w:val="0"/>
      <w:marBottom w:val="0"/>
      <w:divBdr>
        <w:top w:val="none" w:sz="0" w:space="0" w:color="auto"/>
        <w:left w:val="none" w:sz="0" w:space="0" w:color="auto"/>
        <w:bottom w:val="none" w:sz="0" w:space="0" w:color="auto"/>
        <w:right w:val="none" w:sz="0" w:space="0" w:color="auto"/>
      </w:divBdr>
      <w:divsChild>
        <w:div w:id="1120877429">
          <w:marLeft w:val="0"/>
          <w:marRight w:val="0"/>
          <w:marTop w:val="0"/>
          <w:marBottom w:val="0"/>
          <w:divBdr>
            <w:top w:val="none" w:sz="0" w:space="0" w:color="auto"/>
            <w:left w:val="none" w:sz="0" w:space="0" w:color="auto"/>
            <w:bottom w:val="none" w:sz="0" w:space="0" w:color="auto"/>
            <w:right w:val="none" w:sz="0" w:space="0" w:color="auto"/>
          </w:divBdr>
        </w:div>
      </w:divsChild>
    </w:div>
    <w:div w:id="1688823383">
      <w:marLeft w:val="0"/>
      <w:marRight w:val="0"/>
      <w:marTop w:val="0"/>
      <w:marBottom w:val="0"/>
      <w:divBdr>
        <w:top w:val="none" w:sz="0" w:space="0" w:color="auto"/>
        <w:left w:val="none" w:sz="0" w:space="0" w:color="auto"/>
        <w:bottom w:val="none" w:sz="0" w:space="0" w:color="auto"/>
        <w:right w:val="none" w:sz="0" w:space="0" w:color="auto"/>
      </w:divBdr>
      <w:divsChild>
        <w:div w:id="1072237458">
          <w:marLeft w:val="0"/>
          <w:marRight w:val="0"/>
          <w:marTop w:val="0"/>
          <w:marBottom w:val="0"/>
          <w:divBdr>
            <w:top w:val="none" w:sz="0" w:space="0" w:color="auto"/>
            <w:left w:val="none" w:sz="0" w:space="0" w:color="auto"/>
            <w:bottom w:val="none" w:sz="0" w:space="0" w:color="auto"/>
            <w:right w:val="none" w:sz="0" w:space="0" w:color="auto"/>
          </w:divBdr>
        </w:div>
      </w:divsChild>
    </w:div>
    <w:div w:id="1693998312">
      <w:marLeft w:val="0"/>
      <w:marRight w:val="0"/>
      <w:marTop w:val="0"/>
      <w:marBottom w:val="240"/>
      <w:divBdr>
        <w:top w:val="none" w:sz="0" w:space="0" w:color="auto"/>
        <w:left w:val="none" w:sz="0" w:space="0" w:color="auto"/>
        <w:bottom w:val="none" w:sz="0" w:space="0" w:color="auto"/>
        <w:right w:val="none" w:sz="0" w:space="0" w:color="auto"/>
      </w:divBdr>
    </w:div>
    <w:div w:id="1695615007">
      <w:marLeft w:val="0"/>
      <w:marRight w:val="0"/>
      <w:marTop w:val="0"/>
      <w:marBottom w:val="0"/>
      <w:divBdr>
        <w:top w:val="none" w:sz="0" w:space="0" w:color="auto"/>
        <w:left w:val="none" w:sz="0" w:space="0" w:color="auto"/>
        <w:bottom w:val="none" w:sz="0" w:space="0" w:color="auto"/>
        <w:right w:val="none" w:sz="0" w:space="0" w:color="auto"/>
      </w:divBdr>
      <w:divsChild>
        <w:div w:id="179049009">
          <w:marLeft w:val="0"/>
          <w:marRight w:val="0"/>
          <w:marTop w:val="0"/>
          <w:marBottom w:val="0"/>
          <w:divBdr>
            <w:top w:val="none" w:sz="0" w:space="0" w:color="auto"/>
            <w:left w:val="none" w:sz="0" w:space="0" w:color="auto"/>
            <w:bottom w:val="none" w:sz="0" w:space="0" w:color="auto"/>
            <w:right w:val="none" w:sz="0" w:space="0" w:color="auto"/>
          </w:divBdr>
        </w:div>
      </w:divsChild>
    </w:div>
    <w:div w:id="1699505357">
      <w:marLeft w:val="0"/>
      <w:marRight w:val="0"/>
      <w:marTop w:val="0"/>
      <w:marBottom w:val="240"/>
      <w:divBdr>
        <w:top w:val="none" w:sz="0" w:space="0" w:color="auto"/>
        <w:left w:val="none" w:sz="0" w:space="0" w:color="auto"/>
        <w:bottom w:val="none" w:sz="0" w:space="0" w:color="auto"/>
        <w:right w:val="none" w:sz="0" w:space="0" w:color="auto"/>
      </w:divBdr>
    </w:div>
    <w:div w:id="1700736312">
      <w:marLeft w:val="0"/>
      <w:marRight w:val="0"/>
      <w:marTop w:val="240"/>
      <w:marBottom w:val="0"/>
      <w:divBdr>
        <w:top w:val="none" w:sz="0" w:space="0" w:color="auto"/>
        <w:left w:val="none" w:sz="0" w:space="0" w:color="auto"/>
        <w:bottom w:val="none" w:sz="0" w:space="0" w:color="auto"/>
        <w:right w:val="none" w:sz="0" w:space="0" w:color="auto"/>
      </w:divBdr>
    </w:div>
    <w:div w:id="1703676629">
      <w:marLeft w:val="0"/>
      <w:marRight w:val="0"/>
      <w:marTop w:val="0"/>
      <w:marBottom w:val="240"/>
      <w:divBdr>
        <w:top w:val="none" w:sz="0" w:space="0" w:color="auto"/>
        <w:left w:val="none" w:sz="0" w:space="0" w:color="auto"/>
        <w:bottom w:val="none" w:sz="0" w:space="0" w:color="auto"/>
        <w:right w:val="none" w:sz="0" w:space="0" w:color="auto"/>
      </w:divBdr>
    </w:div>
    <w:div w:id="1704284193">
      <w:marLeft w:val="0"/>
      <w:marRight w:val="0"/>
      <w:marTop w:val="0"/>
      <w:marBottom w:val="240"/>
      <w:divBdr>
        <w:top w:val="none" w:sz="0" w:space="0" w:color="auto"/>
        <w:left w:val="none" w:sz="0" w:space="0" w:color="auto"/>
        <w:bottom w:val="none" w:sz="0" w:space="0" w:color="auto"/>
        <w:right w:val="none" w:sz="0" w:space="0" w:color="auto"/>
      </w:divBdr>
    </w:div>
    <w:div w:id="1707556925">
      <w:marLeft w:val="0"/>
      <w:marRight w:val="0"/>
      <w:marTop w:val="240"/>
      <w:marBottom w:val="240"/>
      <w:divBdr>
        <w:top w:val="none" w:sz="0" w:space="0" w:color="auto"/>
        <w:left w:val="none" w:sz="0" w:space="0" w:color="auto"/>
        <w:bottom w:val="none" w:sz="0" w:space="0" w:color="auto"/>
        <w:right w:val="none" w:sz="0" w:space="0" w:color="auto"/>
      </w:divBdr>
    </w:div>
    <w:div w:id="1711879283">
      <w:marLeft w:val="0"/>
      <w:marRight w:val="0"/>
      <w:marTop w:val="0"/>
      <w:marBottom w:val="0"/>
      <w:divBdr>
        <w:top w:val="none" w:sz="0" w:space="0" w:color="auto"/>
        <w:left w:val="none" w:sz="0" w:space="0" w:color="auto"/>
        <w:bottom w:val="none" w:sz="0" w:space="0" w:color="auto"/>
        <w:right w:val="none" w:sz="0" w:space="0" w:color="auto"/>
      </w:divBdr>
    </w:div>
    <w:div w:id="1722244834">
      <w:marLeft w:val="0"/>
      <w:marRight w:val="0"/>
      <w:marTop w:val="0"/>
      <w:marBottom w:val="240"/>
      <w:divBdr>
        <w:top w:val="none" w:sz="0" w:space="0" w:color="auto"/>
        <w:left w:val="none" w:sz="0" w:space="0" w:color="auto"/>
        <w:bottom w:val="none" w:sz="0" w:space="0" w:color="auto"/>
        <w:right w:val="none" w:sz="0" w:space="0" w:color="auto"/>
      </w:divBdr>
    </w:div>
    <w:div w:id="1723164779">
      <w:marLeft w:val="0"/>
      <w:marRight w:val="0"/>
      <w:marTop w:val="140"/>
      <w:marBottom w:val="240"/>
      <w:divBdr>
        <w:top w:val="none" w:sz="0" w:space="0" w:color="auto"/>
        <w:left w:val="none" w:sz="0" w:space="0" w:color="auto"/>
        <w:bottom w:val="none" w:sz="0" w:space="0" w:color="auto"/>
        <w:right w:val="none" w:sz="0" w:space="0" w:color="auto"/>
      </w:divBdr>
    </w:div>
    <w:div w:id="1724593735">
      <w:marLeft w:val="0"/>
      <w:marRight w:val="0"/>
      <w:marTop w:val="0"/>
      <w:marBottom w:val="240"/>
      <w:divBdr>
        <w:top w:val="none" w:sz="0" w:space="0" w:color="auto"/>
        <w:left w:val="none" w:sz="0" w:space="0" w:color="auto"/>
        <w:bottom w:val="none" w:sz="0" w:space="0" w:color="auto"/>
        <w:right w:val="none" w:sz="0" w:space="0" w:color="auto"/>
      </w:divBdr>
    </w:div>
    <w:div w:id="1729496438">
      <w:marLeft w:val="0"/>
      <w:marRight w:val="0"/>
      <w:marTop w:val="240"/>
      <w:marBottom w:val="0"/>
      <w:divBdr>
        <w:top w:val="none" w:sz="0" w:space="0" w:color="auto"/>
        <w:left w:val="none" w:sz="0" w:space="0" w:color="auto"/>
        <w:bottom w:val="none" w:sz="0" w:space="0" w:color="auto"/>
        <w:right w:val="none" w:sz="0" w:space="0" w:color="auto"/>
      </w:divBdr>
    </w:div>
    <w:div w:id="1729570031">
      <w:marLeft w:val="0"/>
      <w:marRight w:val="0"/>
      <w:marTop w:val="0"/>
      <w:marBottom w:val="240"/>
      <w:divBdr>
        <w:top w:val="none" w:sz="0" w:space="0" w:color="auto"/>
        <w:left w:val="none" w:sz="0" w:space="0" w:color="auto"/>
        <w:bottom w:val="none" w:sz="0" w:space="0" w:color="auto"/>
        <w:right w:val="none" w:sz="0" w:space="0" w:color="auto"/>
      </w:divBdr>
    </w:div>
    <w:div w:id="1736049894">
      <w:marLeft w:val="0"/>
      <w:marRight w:val="0"/>
      <w:marTop w:val="0"/>
      <w:marBottom w:val="0"/>
      <w:divBdr>
        <w:top w:val="none" w:sz="0" w:space="0" w:color="auto"/>
        <w:left w:val="none" w:sz="0" w:space="0" w:color="auto"/>
        <w:bottom w:val="none" w:sz="0" w:space="0" w:color="auto"/>
        <w:right w:val="none" w:sz="0" w:space="0" w:color="auto"/>
      </w:divBdr>
      <w:divsChild>
        <w:div w:id="989595267">
          <w:marLeft w:val="0"/>
          <w:marRight w:val="0"/>
          <w:marTop w:val="0"/>
          <w:marBottom w:val="0"/>
          <w:divBdr>
            <w:top w:val="none" w:sz="0" w:space="0" w:color="auto"/>
            <w:left w:val="none" w:sz="0" w:space="0" w:color="auto"/>
            <w:bottom w:val="none" w:sz="0" w:space="0" w:color="auto"/>
            <w:right w:val="none" w:sz="0" w:space="0" w:color="auto"/>
          </w:divBdr>
        </w:div>
      </w:divsChild>
    </w:div>
    <w:div w:id="1738816707">
      <w:marLeft w:val="0"/>
      <w:marRight w:val="0"/>
      <w:marTop w:val="240"/>
      <w:marBottom w:val="0"/>
      <w:divBdr>
        <w:top w:val="none" w:sz="0" w:space="0" w:color="auto"/>
        <w:left w:val="none" w:sz="0" w:space="0" w:color="auto"/>
        <w:bottom w:val="none" w:sz="0" w:space="0" w:color="auto"/>
        <w:right w:val="none" w:sz="0" w:space="0" w:color="auto"/>
      </w:divBdr>
    </w:div>
    <w:div w:id="1740131083">
      <w:marLeft w:val="0"/>
      <w:marRight w:val="0"/>
      <w:marTop w:val="0"/>
      <w:marBottom w:val="240"/>
      <w:divBdr>
        <w:top w:val="none" w:sz="0" w:space="0" w:color="auto"/>
        <w:left w:val="none" w:sz="0" w:space="0" w:color="auto"/>
        <w:bottom w:val="none" w:sz="0" w:space="0" w:color="auto"/>
        <w:right w:val="none" w:sz="0" w:space="0" w:color="auto"/>
      </w:divBdr>
    </w:div>
    <w:div w:id="1741319677">
      <w:marLeft w:val="0"/>
      <w:marRight w:val="0"/>
      <w:marTop w:val="0"/>
      <w:marBottom w:val="0"/>
      <w:divBdr>
        <w:top w:val="none" w:sz="0" w:space="0" w:color="auto"/>
        <w:left w:val="none" w:sz="0" w:space="0" w:color="auto"/>
        <w:bottom w:val="none" w:sz="0" w:space="0" w:color="auto"/>
        <w:right w:val="none" w:sz="0" w:space="0" w:color="auto"/>
      </w:divBdr>
      <w:divsChild>
        <w:div w:id="1961765810">
          <w:marLeft w:val="0"/>
          <w:marRight w:val="0"/>
          <w:marTop w:val="0"/>
          <w:marBottom w:val="0"/>
          <w:divBdr>
            <w:top w:val="none" w:sz="0" w:space="0" w:color="auto"/>
            <w:left w:val="none" w:sz="0" w:space="0" w:color="auto"/>
            <w:bottom w:val="none" w:sz="0" w:space="0" w:color="auto"/>
            <w:right w:val="none" w:sz="0" w:space="0" w:color="auto"/>
          </w:divBdr>
        </w:div>
      </w:divsChild>
    </w:div>
    <w:div w:id="1745486627">
      <w:marLeft w:val="0"/>
      <w:marRight w:val="0"/>
      <w:marTop w:val="0"/>
      <w:marBottom w:val="240"/>
      <w:divBdr>
        <w:top w:val="none" w:sz="0" w:space="0" w:color="auto"/>
        <w:left w:val="none" w:sz="0" w:space="0" w:color="auto"/>
        <w:bottom w:val="none" w:sz="0" w:space="0" w:color="auto"/>
        <w:right w:val="none" w:sz="0" w:space="0" w:color="auto"/>
      </w:divBdr>
    </w:div>
    <w:div w:id="1745569806">
      <w:marLeft w:val="0"/>
      <w:marRight w:val="0"/>
      <w:marTop w:val="0"/>
      <w:marBottom w:val="240"/>
      <w:divBdr>
        <w:top w:val="none" w:sz="0" w:space="0" w:color="auto"/>
        <w:left w:val="none" w:sz="0" w:space="0" w:color="auto"/>
        <w:bottom w:val="none" w:sz="0" w:space="0" w:color="auto"/>
        <w:right w:val="none" w:sz="0" w:space="0" w:color="auto"/>
      </w:divBdr>
    </w:div>
    <w:div w:id="1754007641">
      <w:marLeft w:val="0"/>
      <w:marRight w:val="0"/>
      <w:marTop w:val="120"/>
      <w:marBottom w:val="120"/>
      <w:divBdr>
        <w:top w:val="none" w:sz="0" w:space="0" w:color="auto"/>
        <w:left w:val="none" w:sz="0" w:space="0" w:color="auto"/>
        <w:bottom w:val="none" w:sz="0" w:space="0" w:color="auto"/>
        <w:right w:val="none" w:sz="0" w:space="0" w:color="auto"/>
      </w:divBdr>
    </w:div>
    <w:div w:id="1754551373">
      <w:marLeft w:val="0"/>
      <w:marRight w:val="0"/>
      <w:marTop w:val="0"/>
      <w:marBottom w:val="0"/>
      <w:divBdr>
        <w:top w:val="none" w:sz="0" w:space="0" w:color="auto"/>
        <w:left w:val="none" w:sz="0" w:space="0" w:color="auto"/>
        <w:bottom w:val="none" w:sz="0" w:space="0" w:color="auto"/>
        <w:right w:val="none" w:sz="0" w:space="0" w:color="auto"/>
      </w:divBdr>
      <w:divsChild>
        <w:div w:id="1024672355">
          <w:marLeft w:val="0"/>
          <w:marRight w:val="0"/>
          <w:marTop w:val="0"/>
          <w:marBottom w:val="0"/>
          <w:divBdr>
            <w:top w:val="none" w:sz="0" w:space="0" w:color="auto"/>
            <w:left w:val="none" w:sz="0" w:space="0" w:color="auto"/>
            <w:bottom w:val="none" w:sz="0" w:space="0" w:color="auto"/>
            <w:right w:val="none" w:sz="0" w:space="0" w:color="auto"/>
          </w:divBdr>
        </w:div>
      </w:divsChild>
    </w:div>
    <w:div w:id="1761833012">
      <w:marLeft w:val="0"/>
      <w:marRight w:val="0"/>
      <w:marTop w:val="0"/>
      <w:marBottom w:val="240"/>
      <w:divBdr>
        <w:top w:val="none" w:sz="0" w:space="0" w:color="auto"/>
        <w:left w:val="none" w:sz="0" w:space="0" w:color="auto"/>
        <w:bottom w:val="none" w:sz="0" w:space="0" w:color="auto"/>
        <w:right w:val="none" w:sz="0" w:space="0" w:color="auto"/>
      </w:divBdr>
    </w:div>
    <w:div w:id="1762599216">
      <w:marLeft w:val="0"/>
      <w:marRight w:val="0"/>
      <w:marTop w:val="0"/>
      <w:marBottom w:val="240"/>
      <w:divBdr>
        <w:top w:val="none" w:sz="0" w:space="0" w:color="auto"/>
        <w:left w:val="none" w:sz="0" w:space="0" w:color="auto"/>
        <w:bottom w:val="none" w:sz="0" w:space="0" w:color="auto"/>
        <w:right w:val="none" w:sz="0" w:space="0" w:color="auto"/>
      </w:divBdr>
    </w:div>
    <w:div w:id="1768111550">
      <w:marLeft w:val="0"/>
      <w:marRight w:val="0"/>
      <w:marTop w:val="0"/>
      <w:marBottom w:val="0"/>
      <w:divBdr>
        <w:top w:val="none" w:sz="0" w:space="0" w:color="auto"/>
        <w:left w:val="none" w:sz="0" w:space="0" w:color="auto"/>
        <w:bottom w:val="none" w:sz="0" w:space="0" w:color="auto"/>
        <w:right w:val="none" w:sz="0" w:space="0" w:color="auto"/>
      </w:divBdr>
    </w:div>
    <w:div w:id="1773011184">
      <w:marLeft w:val="0"/>
      <w:marRight w:val="0"/>
      <w:marTop w:val="120"/>
      <w:marBottom w:val="240"/>
      <w:divBdr>
        <w:top w:val="none" w:sz="0" w:space="0" w:color="auto"/>
        <w:left w:val="none" w:sz="0" w:space="0" w:color="auto"/>
        <w:bottom w:val="none" w:sz="0" w:space="0" w:color="auto"/>
        <w:right w:val="none" w:sz="0" w:space="0" w:color="auto"/>
      </w:divBdr>
    </w:div>
    <w:div w:id="1783499586">
      <w:marLeft w:val="0"/>
      <w:marRight w:val="0"/>
      <w:marTop w:val="0"/>
      <w:marBottom w:val="0"/>
      <w:divBdr>
        <w:top w:val="none" w:sz="0" w:space="0" w:color="auto"/>
        <w:left w:val="none" w:sz="0" w:space="0" w:color="auto"/>
        <w:bottom w:val="none" w:sz="0" w:space="0" w:color="auto"/>
        <w:right w:val="none" w:sz="0" w:space="0" w:color="auto"/>
      </w:divBdr>
    </w:div>
    <w:div w:id="1784038315">
      <w:marLeft w:val="0"/>
      <w:marRight w:val="0"/>
      <w:marTop w:val="0"/>
      <w:marBottom w:val="240"/>
      <w:divBdr>
        <w:top w:val="none" w:sz="0" w:space="0" w:color="auto"/>
        <w:left w:val="none" w:sz="0" w:space="0" w:color="auto"/>
        <w:bottom w:val="none" w:sz="0" w:space="0" w:color="auto"/>
        <w:right w:val="none" w:sz="0" w:space="0" w:color="auto"/>
      </w:divBdr>
    </w:div>
    <w:div w:id="1784835618">
      <w:marLeft w:val="0"/>
      <w:marRight w:val="0"/>
      <w:marTop w:val="0"/>
      <w:marBottom w:val="240"/>
      <w:divBdr>
        <w:top w:val="none" w:sz="0" w:space="0" w:color="auto"/>
        <w:left w:val="none" w:sz="0" w:space="0" w:color="auto"/>
        <w:bottom w:val="none" w:sz="0" w:space="0" w:color="auto"/>
        <w:right w:val="none" w:sz="0" w:space="0" w:color="auto"/>
      </w:divBdr>
    </w:div>
    <w:div w:id="1788962825">
      <w:marLeft w:val="0"/>
      <w:marRight w:val="0"/>
      <w:marTop w:val="0"/>
      <w:marBottom w:val="0"/>
      <w:divBdr>
        <w:top w:val="none" w:sz="0" w:space="0" w:color="auto"/>
        <w:left w:val="none" w:sz="0" w:space="0" w:color="auto"/>
        <w:bottom w:val="none" w:sz="0" w:space="0" w:color="auto"/>
        <w:right w:val="none" w:sz="0" w:space="0" w:color="auto"/>
      </w:divBdr>
    </w:div>
    <w:div w:id="1791776013">
      <w:marLeft w:val="0"/>
      <w:marRight w:val="0"/>
      <w:marTop w:val="0"/>
      <w:marBottom w:val="0"/>
      <w:divBdr>
        <w:top w:val="none" w:sz="0" w:space="0" w:color="auto"/>
        <w:left w:val="none" w:sz="0" w:space="0" w:color="auto"/>
        <w:bottom w:val="none" w:sz="0" w:space="0" w:color="auto"/>
        <w:right w:val="none" w:sz="0" w:space="0" w:color="auto"/>
      </w:divBdr>
      <w:divsChild>
        <w:div w:id="1903784330">
          <w:marLeft w:val="0"/>
          <w:marRight w:val="0"/>
          <w:marTop w:val="0"/>
          <w:marBottom w:val="0"/>
          <w:divBdr>
            <w:top w:val="none" w:sz="0" w:space="0" w:color="auto"/>
            <w:left w:val="none" w:sz="0" w:space="0" w:color="auto"/>
            <w:bottom w:val="none" w:sz="0" w:space="0" w:color="auto"/>
            <w:right w:val="none" w:sz="0" w:space="0" w:color="auto"/>
          </w:divBdr>
        </w:div>
      </w:divsChild>
    </w:div>
    <w:div w:id="1793088864">
      <w:marLeft w:val="0"/>
      <w:marRight w:val="0"/>
      <w:marTop w:val="0"/>
      <w:marBottom w:val="240"/>
      <w:divBdr>
        <w:top w:val="none" w:sz="0" w:space="0" w:color="auto"/>
        <w:left w:val="none" w:sz="0" w:space="0" w:color="auto"/>
        <w:bottom w:val="none" w:sz="0" w:space="0" w:color="auto"/>
        <w:right w:val="none" w:sz="0" w:space="0" w:color="auto"/>
      </w:divBdr>
    </w:div>
    <w:div w:id="1796481434">
      <w:marLeft w:val="0"/>
      <w:marRight w:val="0"/>
      <w:marTop w:val="240"/>
      <w:marBottom w:val="0"/>
      <w:divBdr>
        <w:top w:val="none" w:sz="0" w:space="0" w:color="auto"/>
        <w:left w:val="none" w:sz="0" w:space="0" w:color="auto"/>
        <w:bottom w:val="none" w:sz="0" w:space="0" w:color="auto"/>
        <w:right w:val="none" w:sz="0" w:space="0" w:color="auto"/>
      </w:divBdr>
    </w:div>
    <w:div w:id="1797020852">
      <w:marLeft w:val="0"/>
      <w:marRight w:val="0"/>
      <w:marTop w:val="0"/>
      <w:marBottom w:val="240"/>
      <w:divBdr>
        <w:top w:val="none" w:sz="0" w:space="0" w:color="auto"/>
        <w:left w:val="none" w:sz="0" w:space="0" w:color="auto"/>
        <w:bottom w:val="none" w:sz="0" w:space="0" w:color="auto"/>
        <w:right w:val="none" w:sz="0" w:space="0" w:color="auto"/>
      </w:divBdr>
    </w:div>
    <w:div w:id="1797916910">
      <w:marLeft w:val="0"/>
      <w:marRight w:val="0"/>
      <w:marTop w:val="0"/>
      <w:marBottom w:val="0"/>
      <w:divBdr>
        <w:top w:val="none" w:sz="0" w:space="0" w:color="auto"/>
        <w:left w:val="none" w:sz="0" w:space="0" w:color="auto"/>
        <w:bottom w:val="none" w:sz="0" w:space="0" w:color="auto"/>
        <w:right w:val="none" w:sz="0" w:space="0" w:color="auto"/>
      </w:divBdr>
    </w:div>
    <w:div w:id="1803620109">
      <w:marLeft w:val="0"/>
      <w:marRight w:val="0"/>
      <w:marTop w:val="0"/>
      <w:marBottom w:val="240"/>
      <w:divBdr>
        <w:top w:val="none" w:sz="0" w:space="0" w:color="auto"/>
        <w:left w:val="none" w:sz="0" w:space="0" w:color="auto"/>
        <w:bottom w:val="none" w:sz="0" w:space="0" w:color="auto"/>
        <w:right w:val="none" w:sz="0" w:space="0" w:color="auto"/>
      </w:divBdr>
    </w:div>
    <w:div w:id="1805613265">
      <w:marLeft w:val="0"/>
      <w:marRight w:val="0"/>
      <w:marTop w:val="0"/>
      <w:marBottom w:val="240"/>
      <w:divBdr>
        <w:top w:val="none" w:sz="0" w:space="0" w:color="auto"/>
        <w:left w:val="none" w:sz="0" w:space="0" w:color="auto"/>
        <w:bottom w:val="none" w:sz="0" w:space="0" w:color="auto"/>
        <w:right w:val="none" w:sz="0" w:space="0" w:color="auto"/>
      </w:divBdr>
    </w:div>
    <w:div w:id="1808888340">
      <w:marLeft w:val="0"/>
      <w:marRight w:val="0"/>
      <w:marTop w:val="0"/>
      <w:marBottom w:val="0"/>
      <w:divBdr>
        <w:top w:val="none" w:sz="0" w:space="0" w:color="auto"/>
        <w:left w:val="none" w:sz="0" w:space="0" w:color="auto"/>
        <w:bottom w:val="none" w:sz="0" w:space="0" w:color="auto"/>
        <w:right w:val="none" w:sz="0" w:space="0" w:color="auto"/>
      </w:divBdr>
    </w:div>
    <w:div w:id="1812208151">
      <w:marLeft w:val="0"/>
      <w:marRight w:val="0"/>
      <w:marTop w:val="0"/>
      <w:marBottom w:val="240"/>
      <w:divBdr>
        <w:top w:val="none" w:sz="0" w:space="0" w:color="auto"/>
        <w:left w:val="none" w:sz="0" w:space="0" w:color="auto"/>
        <w:bottom w:val="none" w:sz="0" w:space="0" w:color="auto"/>
        <w:right w:val="none" w:sz="0" w:space="0" w:color="auto"/>
      </w:divBdr>
    </w:div>
    <w:div w:id="1817145552">
      <w:marLeft w:val="0"/>
      <w:marRight w:val="0"/>
      <w:marTop w:val="0"/>
      <w:marBottom w:val="0"/>
      <w:divBdr>
        <w:top w:val="none" w:sz="0" w:space="0" w:color="auto"/>
        <w:left w:val="none" w:sz="0" w:space="0" w:color="auto"/>
        <w:bottom w:val="none" w:sz="0" w:space="0" w:color="auto"/>
        <w:right w:val="none" w:sz="0" w:space="0" w:color="auto"/>
      </w:divBdr>
      <w:divsChild>
        <w:div w:id="327632530">
          <w:marLeft w:val="0"/>
          <w:marRight w:val="0"/>
          <w:marTop w:val="0"/>
          <w:marBottom w:val="0"/>
          <w:divBdr>
            <w:top w:val="none" w:sz="0" w:space="0" w:color="auto"/>
            <w:left w:val="none" w:sz="0" w:space="0" w:color="auto"/>
            <w:bottom w:val="none" w:sz="0" w:space="0" w:color="auto"/>
            <w:right w:val="none" w:sz="0" w:space="0" w:color="auto"/>
          </w:divBdr>
        </w:div>
      </w:divsChild>
    </w:div>
    <w:div w:id="1818178958">
      <w:marLeft w:val="0"/>
      <w:marRight w:val="0"/>
      <w:marTop w:val="0"/>
      <w:marBottom w:val="0"/>
      <w:divBdr>
        <w:top w:val="none" w:sz="0" w:space="0" w:color="auto"/>
        <w:left w:val="none" w:sz="0" w:space="0" w:color="auto"/>
        <w:bottom w:val="none" w:sz="0" w:space="0" w:color="auto"/>
        <w:right w:val="none" w:sz="0" w:space="0" w:color="auto"/>
      </w:divBdr>
    </w:div>
    <w:div w:id="1820685891">
      <w:marLeft w:val="0"/>
      <w:marRight w:val="0"/>
      <w:marTop w:val="0"/>
      <w:marBottom w:val="0"/>
      <w:divBdr>
        <w:top w:val="none" w:sz="0" w:space="0" w:color="auto"/>
        <w:left w:val="none" w:sz="0" w:space="0" w:color="auto"/>
        <w:bottom w:val="none" w:sz="0" w:space="0" w:color="auto"/>
        <w:right w:val="none" w:sz="0" w:space="0" w:color="auto"/>
      </w:divBdr>
      <w:divsChild>
        <w:div w:id="400907156">
          <w:marLeft w:val="0"/>
          <w:marRight w:val="0"/>
          <w:marTop w:val="0"/>
          <w:marBottom w:val="0"/>
          <w:divBdr>
            <w:top w:val="none" w:sz="0" w:space="0" w:color="auto"/>
            <w:left w:val="none" w:sz="0" w:space="0" w:color="auto"/>
            <w:bottom w:val="none" w:sz="0" w:space="0" w:color="auto"/>
            <w:right w:val="none" w:sz="0" w:space="0" w:color="auto"/>
          </w:divBdr>
        </w:div>
      </w:divsChild>
    </w:div>
    <w:div w:id="1823620281">
      <w:marLeft w:val="0"/>
      <w:marRight w:val="0"/>
      <w:marTop w:val="0"/>
      <w:marBottom w:val="200"/>
      <w:divBdr>
        <w:top w:val="none" w:sz="0" w:space="0" w:color="auto"/>
        <w:left w:val="none" w:sz="0" w:space="0" w:color="auto"/>
        <w:bottom w:val="none" w:sz="0" w:space="0" w:color="auto"/>
        <w:right w:val="none" w:sz="0" w:space="0" w:color="auto"/>
      </w:divBdr>
    </w:div>
    <w:div w:id="1825930445">
      <w:marLeft w:val="0"/>
      <w:marRight w:val="0"/>
      <w:marTop w:val="0"/>
      <w:marBottom w:val="240"/>
      <w:divBdr>
        <w:top w:val="none" w:sz="0" w:space="0" w:color="auto"/>
        <w:left w:val="none" w:sz="0" w:space="0" w:color="auto"/>
        <w:bottom w:val="none" w:sz="0" w:space="0" w:color="auto"/>
        <w:right w:val="none" w:sz="0" w:space="0" w:color="auto"/>
      </w:divBdr>
    </w:div>
    <w:div w:id="1826701606">
      <w:marLeft w:val="0"/>
      <w:marRight w:val="0"/>
      <w:marTop w:val="0"/>
      <w:marBottom w:val="240"/>
      <w:divBdr>
        <w:top w:val="none" w:sz="0" w:space="0" w:color="auto"/>
        <w:left w:val="none" w:sz="0" w:space="0" w:color="auto"/>
        <w:bottom w:val="none" w:sz="0" w:space="0" w:color="auto"/>
        <w:right w:val="none" w:sz="0" w:space="0" w:color="auto"/>
      </w:divBdr>
    </w:div>
    <w:div w:id="1827281834">
      <w:marLeft w:val="0"/>
      <w:marRight w:val="0"/>
      <w:marTop w:val="240"/>
      <w:marBottom w:val="140"/>
      <w:divBdr>
        <w:top w:val="none" w:sz="0" w:space="0" w:color="auto"/>
        <w:left w:val="none" w:sz="0" w:space="0" w:color="auto"/>
        <w:bottom w:val="none" w:sz="0" w:space="0" w:color="auto"/>
        <w:right w:val="none" w:sz="0" w:space="0" w:color="auto"/>
      </w:divBdr>
    </w:div>
    <w:div w:id="1828521941">
      <w:marLeft w:val="0"/>
      <w:marRight w:val="0"/>
      <w:marTop w:val="0"/>
      <w:marBottom w:val="0"/>
      <w:divBdr>
        <w:top w:val="none" w:sz="0" w:space="0" w:color="auto"/>
        <w:left w:val="none" w:sz="0" w:space="0" w:color="auto"/>
        <w:bottom w:val="none" w:sz="0" w:space="0" w:color="auto"/>
        <w:right w:val="none" w:sz="0" w:space="0" w:color="auto"/>
      </w:divBdr>
      <w:divsChild>
        <w:div w:id="1320382331">
          <w:marLeft w:val="0"/>
          <w:marRight w:val="0"/>
          <w:marTop w:val="0"/>
          <w:marBottom w:val="0"/>
          <w:divBdr>
            <w:top w:val="none" w:sz="0" w:space="0" w:color="auto"/>
            <w:left w:val="none" w:sz="0" w:space="0" w:color="auto"/>
            <w:bottom w:val="none" w:sz="0" w:space="0" w:color="auto"/>
            <w:right w:val="none" w:sz="0" w:space="0" w:color="auto"/>
          </w:divBdr>
        </w:div>
      </w:divsChild>
    </w:div>
    <w:div w:id="1828663572">
      <w:marLeft w:val="0"/>
      <w:marRight w:val="0"/>
      <w:marTop w:val="0"/>
      <w:marBottom w:val="0"/>
      <w:divBdr>
        <w:top w:val="none" w:sz="0" w:space="0" w:color="auto"/>
        <w:left w:val="none" w:sz="0" w:space="0" w:color="auto"/>
        <w:bottom w:val="none" w:sz="0" w:space="0" w:color="auto"/>
        <w:right w:val="none" w:sz="0" w:space="0" w:color="auto"/>
      </w:divBdr>
      <w:divsChild>
        <w:div w:id="1728534307">
          <w:marLeft w:val="0"/>
          <w:marRight w:val="0"/>
          <w:marTop w:val="0"/>
          <w:marBottom w:val="0"/>
          <w:divBdr>
            <w:top w:val="none" w:sz="0" w:space="0" w:color="auto"/>
            <w:left w:val="none" w:sz="0" w:space="0" w:color="auto"/>
            <w:bottom w:val="none" w:sz="0" w:space="0" w:color="auto"/>
            <w:right w:val="none" w:sz="0" w:space="0" w:color="auto"/>
          </w:divBdr>
        </w:div>
      </w:divsChild>
    </w:div>
    <w:div w:id="1828739461">
      <w:marLeft w:val="0"/>
      <w:marRight w:val="0"/>
      <w:marTop w:val="0"/>
      <w:marBottom w:val="0"/>
      <w:divBdr>
        <w:top w:val="none" w:sz="0" w:space="0" w:color="auto"/>
        <w:left w:val="none" w:sz="0" w:space="0" w:color="auto"/>
        <w:bottom w:val="none" w:sz="0" w:space="0" w:color="auto"/>
        <w:right w:val="none" w:sz="0" w:space="0" w:color="auto"/>
      </w:divBdr>
    </w:div>
    <w:div w:id="1831486392">
      <w:marLeft w:val="0"/>
      <w:marRight w:val="0"/>
      <w:marTop w:val="0"/>
      <w:marBottom w:val="240"/>
      <w:divBdr>
        <w:top w:val="none" w:sz="0" w:space="0" w:color="auto"/>
        <w:left w:val="none" w:sz="0" w:space="0" w:color="auto"/>
        <w:bottom w:val="none" w:sz="0" w:space="0" w:color="auto"/>
        <w:right w:val="none" w:sz="0" w:space="0" w:color="auto"/>
      </w:divBdr>
    </w:div>
    <w:div w:id="1832599918">
      <w:marLeft w:val="0"/>
      <w:marRight w:val="0"/>
      <w:marTop w:val="240"/>
      <w:marBottom w:val="240"/>
      <w:divBdr>
        <w:top w:val="none" w:sz="0" w:space="0" w:color="auto"/>
        <w:left w:val="none" w:sz="0" w:space="0" w:color="auto"/>
        <w:bottom w:val="none" w:sz="0" w:space="0" w:color="auto"/>
        <w:right w:val="none" w:sz="0" w:space="0" w:color="auto"/>
      </w:divBdr>
    </w:div>
    <w:div w:id="1832981433">
      <w:marLeft w:val="0"/>
      <w:marRight w:val="0"/>
      <w:marTop w:val="0"/>
      <w:marBottom w:val="240"/>
      <w:divBdr>
        <w:top w:val="none" w:sz="0" w:space="0" w:color="auto"/>
        <w:left w:val="none" w:sz="0" w:space="0" w:color="auto"/>
        <w:bottom w:val="none" w:sz="0" w:space="0" w:color="auto"/>
        <w:right w:val="none" w:sz="0" w:space="0" w:color="auto"/>
      </w:divBdr>
    </w:div>
    <w:div w:id="1837070249">
      <w:marLeft w:val="0"/>
      <w:marRight w:val="0"/>
      <w:marTop w:val="0"/>
      <w:marBottom w:val="240"/>
      <w:divBdr>
        <w:top w:val="none" w:sz="0" w:space="0" w:color="auto"/>
        <w:left w:val="none" w:sz="0" w:space="0" w:color="auto"/>
        <w:bottom w:val="none" w:sz="0" w:space="0" w:color="auto"/>
        <w:right w:val="none" w:sz="0" w:space="0" w:color="auto"/>
      </w:divBdr>
    </w:div>
    <w:div w:id="1840806885">
      <w:marLeft w:val="0"/>
      <w:marRight w:val="0"/>
      <w:marTop w:val="0"/>
      <w:marBottom w:val="120"/>
      <w:divBdr>
        <w:top w:val="none" w:sz="0" w:space="0" w:color="auto"/>
        <w:left w:val="none" w:sz="0" w:space="0" w:color="auto"/>
        <w:bottom w:val="none" w:sz="0" w:space="0" w:color="auto"/>
        <w:right w:val="none" w:sz="0" w:space="0" w:color="auto"/>
      </w:divBdr>
    </w:div>
    <w:div w:id="1848446715">
      <w:marLeft w:val="0"/>
      <w:marRight w:val="0"/>
      <w:marTop w:val="0"/>
      <w:marBottom w:val="240"/>
      <w:divBdr>
        <w:top w:val="none" w:sz="0" w:space="0" w:color="auto"/>
        <w:left w:val="none" w:sz="0" w:space="0" w:color="auto"/>
        <w:bottom w:val="none" w:sz="0" w:space="0" w:color="auto"/>
        <w:right w:val="none" w:sz="0" w:space="0" w:color="auto"/>
      </w:divBdr>
    </w:div>
    <w:div w:id="1852721197">
      <w:marLeft w:val="0"/>
      <w:marRight w:val="0"/>
      <w:marTop w:val="0"/>
      <w:marBottom w:val="0"/>
      <w:divBdr>
        <w:top w:val="none" w:sz="0" w:space="0" w:color="auto"/>
        <w:left w:val="none" w:sz="0" w:space="0" w:color="auto"/>
        <w:bottom w:val="none" w:sz="0" w:space="0" w:color="auto"/>
        <w:right w:val="none" w:sz="0" w:space="0" w:color="auto"/>
      </w:divBdr>
      <w:divsChild>
        <w:div w:id="1480344577">
          <w:marLeft w:val="0"/>
          <w:marRight w:val="0"/>
          <w:marTop w:val="0"/>
          <w:marBottom w:val="0"/>
          <w:divBdr>
            <w:top w:val="none" w:sz="0" w:space="0" w:color="auto"/>
            <w:left w:val="none" w:sz="0" w:space="0" w:color="auto"/>
            <w:bottom w:val="none" w:sz="0" w:space="0" w:color="auto"/>
            <w:right w:val="none" w:sz="0" w:space="0" w:color="auto"/>
          </w:divBdr>
        </w:div>
      </w:divsChild>
    </w:div>
    <w:div w:id="1854176571">
      <w:marLeft w:val="0"/>
      <w:marRight w:val="0"/>
      <w:marTop w:val="240"/>
      <w:marBottom w:val="240"/>
      <w:divBdr>
        <w:top w:val="none" w:sz="0" w:space="0" w:color="auto"/>
        <w:left w:val="none" w:sz="0" w:space="0" w:color="auto"/>
        <w:bottom w:val="none" w:sz="0" w:space="0" w:color="auto"/>
        <w:right w:val="none" w:sz="0" w:space="0" w:color="auto"/>
      </w:divBdr>
    </w:div>
    <w:div w:id="1863591314">
      <w:marLeft w:val="0"/>
      <w:marRight w:val="0"/>
      <w:marTop w:val="0"/>
      <w:marBottom w:val="0"/>
      <w:divBdr>
        <w:top w:val="none" w:sz="0" w:space="0" w:color="auto"/>
        <w:left w:val="none" w:sz="0" w:space="0" w:color="auto"/>
        <w:bottom w:val="none" w:sz="0" w:space="0" w:color="auto"/>
        <w:right w:val="none" w:sz="0" w:space="0" w:color="auto"/>
      </w:divBdr>
    </w:div>
    <w:div w:id="1866598423">
      <w:marLeft w:val="0"/>
      <w:marRight w:val="0"/>
      <w:marTop w:val="0"/>
      <w:marBottom w:val="240"/>
      <w:divBdr>
        <w:top w:val="none" w:sz="0" w:space="0" w:color="auto"/>
        <w:left w:val="none" w:sz="0" w:space="0" w:color="auto"/>
        <w:bottom w:val="none" w:sz="0" w:space="0" w:color="auto"/>
        <w:right w:val="none" w:sz="0" w:space="0" w:color="auto"/>
      </w:divBdr>
    </w:div>
    <w:div w:id="1868449292">
      <w:marLeft w:val="0"/>
      <w:marRight w:val="0"/>
      <w:marTop w:val="0"/>
      <w:marBottom w:val="0"/>
      <w:divBdr>
        <w:top w:val="none" w:sz="0" w:space="0" w:color="auto"/>
        <w:left w:val="none" w:sz="0" w:space="0" w:color="auto"/>
        <w:bottom w:val="none" w:sz="0" w:space="0" w:color="auto"/>
        <w:right w:val="none" w:sz="0" w:space="0" w:color="auto"/>
      </w:divBdr>
    </w:div>
    <w:div w:id="1870869733">
      <w:marLeft w:val="0"/>
      <w:marRight w:val="0"/>
      <w:marTop w:val="240"/>
      <w:marBottom w:val="240"/>
      <w:divBdr>
        <w:top w:val="none" w:sz="0" w:space="0" w:color="auto"/>
        <w:left w:val="none" w:sz="0" w:space="0" w:color="auto"/>
        <w:bottom w:val="none" w:sz="0" w:space="0" w:color="auto"/>
        <w:right w:val="none" w:sz="0" w:space="0" w:color="auto"/>
      </w:divBdr>
    </w:div>
    <w:div w:id="1877542417">
      <w:marLeft w:val="0"/>
      <w:marRight w:val="0"/>
      <w:marTop w:val="240"/>
      <w:marBottom w:val="240"/>
      <w:divBdr>
        <w:top w:val="none" w:sz="0" w:space="0" w:color="auto"/>
        <w:left w:val="none" w:sz="0" w:space="0" w:color="auto"/>
        <w:bottom w:val="none" w:sz="0" w:space="0" w:color="auto"/>
        <w:right w:val="none" w:sz="0" w:space="0" w:color="auto"/>
      </w:divBdr>
    </w:div>
    <w:div w:id="1884055560">
      <w:marLeft w:val="0"/>
      <w:marRight w:val="0"/>
      <w:marTop w:val="0"/>
      <w:marBottom w:val="120"/>
      <w:divBdr>
        <w:top w:val="none" w:sz="0" w:space="0" w:color="auto"/>
        <w:left w:val="none" w:sz="0" w:space="0" w:color="auto"/>
        <w:bottom w:val="none" w:sz="0" w:space="0" w:color="auto"/>
        <w:right w:val="none" w:sz="0" w:space="0" w:color="auto"/>
      </w:divBdr>
    </w:div>
    <w:div w:id="1886522527">
      <w:marLeft w:val="0"/>
      <w:marRight w:val="0"/>
      <w:marTop w:val="0"/>
      <w:marBottom w:val="120"/>
      <w:divBdr>
        <w:top w:val="none" w:sz="0" w:space="0" w:color="auto"/>
        <w:left w:val="none" w:sz="0" w:space="0" w:color="auto"/>
        <w:bottom w:val="none" w:sz="0" w:space="0" w:color="auto"/>
        <w:right w:val="none" w:sz="0" w:space="0" w:color="auto"/>
      </w:divBdr>
    </w:div>
    <w:div w:id="1888181876">
      <w:marLeft w:val="0"/>
      <w:marRight w:val="0"/>
      <w:marTop w:val="0"/>
      <w:marBottom w:val="0"/>
      <w:divBdr>
        <w:top w:val="none" w:sz="0" w:space="0" w:color="auto"/>
        <w:left w:val="none" w:sz="0" w:space="0" w:color="auto"/>
        <w:bottom w:val="none" w:sz="0" w:space="0" w:color="auto"/>
        <w:right w:val="none" w:sz="0" w:space="0" w:color="auto"/>
      </w:divBdr>
    </w:div>
    <w:div w:id="1889873093">
      <w:marLeft w:val="0"/>
      <w:marRight w:val="0"/>
      <w:marTop w:val="0"/>
      <w:marBottom w:val="240"/>
      <w:divBdr>
        <w:top w:val="none" w:sz="0" w:space="0" w:color="auto"/>
        <w:left w:val="none" w:sz="0" w:space="0" w:color="auto"/>
        <w:bottom w:val="none" w:sz="0" w:space="0" w:color="auto"/>
        <w:right w:val="none" w:sz="0" w:space="0" w:color="auto"/>
      </w:divBdr>
    </w:div>
    <w:div w:id="1891112017">
      <w:marLeft w:val="0"/>
      <w:marRight w:val="0"/>
      <w:marTop w:val="0"/>
      <w:marBottom w:val="0"/>
      <w:divBdr>
        <w:top w:val="none" w:sz="0" w:space="0" w:color="auto"/>
        <w:left w:val="none" w:sz="0" w:space="0" w:color="auto"/>
        <w:bottom w:val="none" w:sz="0" w:space="0" w:color="auto"/>
        <w:right w:val="none" w:sz="0" w:space="0" w:color="auto"/>
      </w:divBdr>
    </w:div>
    <w:div w:id="1892499438">
      <w:marLeft w:val="0"/>
      <w:marRight w:val="0"/>
      <w:marTop w:val="0"/>
      <w:marBottom w:val="0"/>
      <w:divBdr>
        <w:top w:val="none" w:sz="0" w:space="0" w:color="auto"/>
        <w:left w:val="none" w:sz="0" w:space="0" w:color="auto"/>
        <w:bottom w:val="none" w:sz="0" w:space="0" w:color="auto"/>
        <w:right w:val="none" w:sz="0" w:space="0" w:color="auto"/>
      </w:divBdr>
      <w:divsChild>
        <w:div w:id="1881438132">
          <w:marLeft w:val="0"/>
          <w:marRight w:val="0"/>
          <w:marTop w:val="0"/>
          <w:marBottom w:val="0"/>
          <w:divBdr>
            <w:top w:val="none" w:sz="0" w:space="0" w:color="auto"/>
            <w:left w:val="none" w:sz="0" w:space="0" w:color="auto"/>
            <w:bottom w:val="none" w:sz="0" w:space="0" w:color="auto"/>
            <w:right w:val="none" w:sz="0" w:space="0" w:color="auto"/>
          </w:divBdr>
        </w:div>
      </w:divsChild>
    </w:div>
    <w:div w:id="1895118665">
      <w:marLeft w:val="0"/>
      <w:marRight w:val="0"/>
      <w:marTop w:val="0"/>
      <w:marBottom w:val="240"/>
      <w:divBdr>
        <w:top w:val="none" w:sz="0" w:space="0" w:color="auto"/>
        <w:left w:val="none" w:sz="0" w:space="0" w:color="auto"/>
        <w:bottom w:val="none" w:sz="0" w:space="0" w:color="auto"/>
        <w:right w:val="none" w:sz="0" w:space="0" w:color="auto"/>
      </w:divBdr>
    </w:div>
    <w:div w:id="1896775446">
      <w:marLeft w:val="0"/>
      <w:marRight w:val="0"/>
      <w:marTop w:val="240"/>
      <w:marBottom w:val="240"/>
      <w:divBdr>
        <w:top w:val="none" w:sz="0" w:space="0" w:color="auto"/>
        <w:left w:val="none" w:sz="0" w:space="0" w:color="auto"/>
        <w:bottom w:val="none" w:sz="0" w:space="0" w:color="auto"/>
        <w:right w:val="none" w:sz="0" w:space="0" w:color="auto"/>
      </w:divBdr>
    </w:div>
    <w:div w:id="1902672254">
      <w:marLeft w:val="0"/>
      <w:marRight w:val="0"/>
      <w:marTop w:val="0"/>
      <w:marBottom w:val="240"/>
      <w:divBdr>
        <w:top w:val="none" w:sz="0" w:space="0" w:color="auto"/>
        <w:left w:val="none" w:sz="0" w:space="0" w:color="auto"/>
        <w:bottom w:val="none" w:sz="0" w:space="0" w:color="auto"/>
        <w:right w:val="none" w:sz="0" w:space="0" w:color="auto"/>
      </w:divBdr>
    </w:div>
    <w:div w:id="1909657285">
      <w:marLeft w:val="0"/>
      <w:marRight w:val="0"/>
      <w:marTop w:val="0"/>
      <w:marBottom w:val="150"/>
      <w:divBdr>
        <w:top w:val="none" w:sz="0" w:space="0" w:color="auto"/>
        <w:left w:val="none" w:sz="0" w:space="0" w:color="auto"/>
        <w:bottom w:val="none" w:sz="0" w:space="0" w:color="auto"/>
        <w:right w:val="none" w:sz="0" w:space="0" w:color="auto"/>
      </w:divBdr>
    </w:div>
    <w:div w:id="1913002947">
      <w:marLeft w:val="0"/>
      <w:marRight w:val="0"/>
      <w:marTop w:val="120"/>
      <w:marBottom w:val="240"/>
      <w:divBdr>
        <w:top w:val="none" w:sz="0" w:space="0" w:color="auto"/>
        <w:left w:val="none" w:sz="0" w:space="0" w:color="auto"/>
        <w:bottom w:val="none" w:sz="0" w:space="0" w:color="auto"/>
        <w:right w:val="none" w:sz="0" w:space="0" w:color="auto"/>
      </w:divBdr>
    </w:div>
    <w:div w:id="1913082825">
      <w:marLeft w:val="0"/>
      <w:marRight w:val="0"/>
      <w:marTop w:val="120"/>
      <w:marBottom w:val="120"/>
      <w:divBdr>
        <w:top w:val="none" w:sz="0" w:space="0" w:color="auto"/>
        <w:left w:val="none" w:sz="0" w:space="0" w:color="auto"/>
        <w:bottom w:val="none" w:sz="0" w:space="0" w:color="auto"/>
        <w:right w:val="none" w:sz="0" w:space="0" w:color="auto"/>
      </w:divBdr>
    </w:div>
    <w:div w:id="1916545257">
      <w:marLeft w:val="0"/>
      <w:marRight w:val="0"/>
      <w:marTop w:val="240"/>
      <w:marBottom w:val="240"/>
      <w:divBdr>
        <w:top w:val="none" w:sz="0" w:space="0" w:color="auto"/>
        <w:left w:val="none" w:sz="0" w:space="0" w:color="auto"/>
        <w:bottom w:val="none" w:sz="0" w:space="0" w:color="auto"/>
        <w:right w:val="none" w:sz="0" w:space="0" w:color="auto"/>
      </w:divBdr>
    </w:div>
    <w:div w:id="1919973837">
      <w:marLeft w:val="0"/>
      <w:marRight w:val="0"/>
      <w:marTop w:val="0"/>
      <w:marBottom w:val="120"/>
      <w:divBdr>
        <w:top w:val="none" w:sz="0" w:space="0" w:color="auto"/>
        <w:left w:val="none" w:sz="0" w:space="0" w:color="auto"/>
        <w:bottom w:val="none" w:sz="0" w:space="0" w:color="auto"/>
        <w:right w:val="none" w:sz="0" w:space="0" w:color="auto"/>
      </w:divBdr>
    </w:div>
    <w:div w:id="1922447159">
      <w:marLeft w:val="0"/>
      <w:marRight w:val="0"/>
      <w:marTop w:val="0"/>
      <w:marBottom w:val="0"/>
      <w:divBdr>
        <w:top w:val="none" w:sz="0" w:space="0" w:color="auto"/>
        <w:left w:val="none" w:sz="0" w:space="0" w:color="auto"/>
        <w:bottom w:val="none" w:sz="0" w:space="0" w:color="auto"/>
        <w:right w:val="none" w:sz="0" w:space="0" w:color="auto"/>
      </w:divBdr>
      <w:divsChild>
        <w:div w:id="131875037">
          <w:marLeft w:val="0"/>
          <w:marRight w:val="0"/>
          <w:marTop w:val="0"/>
          <w:marBottom w:val="0"/>
          <w:divBdr>
            <w:top w:val="none" w:sz="0" w:space="0" w:color="auto"/>
            <w:left w:val="none" w:sz="0" w:space="0" w:color="auto"/>
            <w:bottom w:val="none" w:sz="0" w:space="0" w:color="auto"/>
            <w:right w:val="none" w:sz="0" w:space="0" w:color="auto"/>
          </w:divBdr>
        </w:div>
      </w:divsChild>
    </w:div>
    <w:div w:id="1923369955">
      <w:marLeft w:val="0"/>
      <w:marRight w:val="0"/>
      <w:marTop w:val="0"/>
      <w:marBottom w:val="0"/>
      <w:divBdr>
        <w:top w:val="none" w:sz="0" w:space="0" w:color="auto"/>
        <w:left w:val="none" w:sz="0" w:space="0" w:color="auto"/>
        <w:bottom w:val="none" w:sz="0" w:space="0" w:color="auto"/>
        <w:right w:val="none" w:sz="0" w:space="0" w:color="auto"/>
      </w:divBdr>
      <w:divsChild>
        <w:div w:id="2007200462">
          <w:marLeft w:val="0"/>
          <w:marRight w:val="0"/>
          <w:marTop w:val="0"/>
          <w:marBottom w:val="0"/>
          <w:divBdr>
            <w:top w:val="none" w:sz="0" w:space="0" w:color="auto"/>
            <w:left w:val="none" w:sz="0" w:space="0" w:color="auto"/>
            <w:bottom w:val="none" w:sz="0" w:space="0" w:color="auto"/>
            <w:right w:val="none" w:sz="0" w:space="0" w:color="auto"/>
          </w:divBdr>
        </w:div>
      </w:divsChild>
    </w:div>
    <w:div w:id="1933735570">
      <w:marLeft w:val="0"/>
      <w:marRight w:val="0"/>
      <w:marTop w:val="0"/>
      <w:marBottom w:val="0"/>
      <w:divBdr>
        <w:top w:val="none" w:sz="0" w:space="0" w:color="auto"/>
        <w:left w:val="none" w:sz="0" w:space="0" w:color="auto"/>
        <w:bottom w:val="none" w:sz="0" w:space="0" w:color="auto"/>
        <w:right w:val="none" w:sz="0" w:space="0" w:color="auto"/>
      </w:divBdr>
      <w:divsChild>
        <w:div w:id="1529222649">
          <w:marLeft w:val="0"/>
          <w:marRight w:val="0"/>
          <w:marTop w:val="0"/>
          <w:marBottom w:val="0"/>
          <w:divBdr>
            <w:top w:val="none" w:sz="0" w:space="0" w:color="auto"/>
            <w:left w:val="none" w:sz="0" w:space="0" w:color="auto"/>
            <w:bottom w:val="none" w:sz="0" w:space="0" w:color="auto"/>
            <w:right w:val="none" w:sz="0" w:space="0" w:color="auto"/>
          </w:divBdr>
        </w:div>
      </w:divsChild>
    </w:div>
    <w:div w:id="1935898056">
      <w:marLeft w:val="0"/>
      <w:marRight w:val="0"/>
      <w:marTop w:val="0"/>
      <w:marBottom w:val="240"/>
      <w:divBdr>
        <w:top w:val="none" w:sz="0" w:space="0" w:color="auto"/>
        <w:left w:val="none" w:sz="0" w:space="0" w:color="auto"/>
        <w:bottom w:val="none" w:sz="0" w:space="0" w:color="auto"/>
        <w:right w:val="none" w:sz="0" w:space="0" w:color="auto"/>
      </w:divBdr>
    </w:div>
    <w:div w:id="1936353635">
      <w:marLeft w:val="0"/>
      <w:marRight w:val="0"/>
      <w:marTop w:val="0"/>
      <w:marBottom w:val="0"/>
      <w:divBdr>
        <w:top w:val="none" w:sz="0" w:space="0" w:color="auto"/>
        <w:left w:val="none" w:sz="0" w:space="0" w:color="auto"/>
        <w:bottom w:val="none" w:sz="0" w:space="0" w:color="auto"/>
        <w:right w:val="none" w:sz="0" w:space="0" w:color="auto"/>
      </w:divBdr>
    </w:div>
    <w:div w:id="1938904428">
      <w:marLeft w:val="0"/>
      <w:marRight w:val="0"/>
      <w:marTop w:val="0"/>
      <w:marBottom w:val="240"/>
      <w:divBdr>
        <w:top w:val="none" w:sz="0" w:space="0" w:color="auto"/>
        <w:left w:val="none" w:sz="0" w:space="0" w:color="auto"/>
        <w:bottom w:val="none" w:sz="0" w:space="0" w:color="auto"/>
        <w:right w:val="none" w:sz="0" w:space="0" w:color="auto"/>
      </w:divBdr>
    </w:div>
    <w:div w:id="1942298209">
      <w:marLeft w:val="0"/>
      <w:marRight w:val="0"/>
      <w:marTop w:val="0"/>
      <w:marBottom w:val="240"/>
      <w:divBdr>
        <w:top w:val="none" w:sz="0" w:space="0" w:color="auto"/>
        <w:left w:val="none" w:sz="0" w:space="0" w:color="auto"/>
        <w:bottom w:val="none" w:sz="0" w:space="0" w:color="auto"/>
        <w:right w:val="none" w:sz="0" w:space="0" w:color="auto"/>
      </w:divBdr>
    </w:div>
    <w:div w:id="1942569587">
      <w:marLeft w:val="0"/>
      <w:marRight w:val="0"/>
      <w:marTop w:val="0"/>
      <w:marBottom w:val="0"/>
      <w:divBdr>
        <w:top w:val="none" w:sz="0" w:space="0" w:color="auto"/>
        <w:left w:val="none" w:sz="0" w:space="0" w:color="auto"/>
        <w:bottom w:val="none" w:sz="0" w:space="0" w:color="auto"/>
        <w:right w:val="none" w:sz="0" w:space="0" w:color="auto"/>
      </w:divBdr>
    </w:div>
    <w:div w:id="1942834905">
      <w:marLeft w:val="0"/>
      <w:marRight w:val="0"/>
      <w:marTop w:val="0"/>
      <w:marBottom w:val="0"/>
      <w:divBdr>
        <w:top w:val="none" w:sz="0" w:space="0" w:color="auto"/>
        <w:left w:val="none" w:sz="0" w:space="0" w:color="auto"/>
        <w:bottom w:val="none" w:sz="0" w:space="0" w:color="auto"/>
        <w:right w:val="none" w:sz="0" w:space="0" w:color="auto"/>
      </w:divBdr>
    </w:div>
    <w:div w:id="1944069715">
      <w:marLeft w:val="0"/>
      <w:marRight w:val="0"/>
      <w:marTop w:val="0"/>
      <w:marBottom w:val="240"/>
      <w:divBdr>
        <w:top w:val="none" w:sz="0" w:space="0" w:color="auto"/>
        <w:left w:val="none" w:sz="0" w:space="0" w:color="auto"/>
        <w:bottom w:val="none" w:sz="0" w:space="0" w:color="auto"/>
        <w:right w:val="none" w:sz="0" w:space="0" w:color="auto"/>
      </w:divBdr>
    </w:div>
    <w:div w:id="1944721770">
      <w:marLeft w:val="0"/>
      <w:marRight w:val="0"/>
      <w:marTop w:val="0"/>
      <w:marBottom w:val="240"/>
      <w:divBdr>
        <w:top w:val="none" w:sz="0" w:space="0" w:color="auto"/>
        <w:left w:val="none" w:sz="0" w:space="0" w:color="auto"/>
        <w:bottom w:val="none" w:sz="0" w:space="0" w:color="auto"/>
        <w:right w:val="none" w:sz="0" w:space="0" w:color="auto"/>
      </w:divBdr>
    </w:div>
    <w:div w:id="1945841446">
      <w:marLeft w:val="0"/>
      <w:marRight w:val="0"/>
      <w:marTop w:val="0"/>
      <w:marBottom w:val="240"/>
      <w:divBdr>
        <w:top w:val="none" w:sz="0" w:space="0" w:color="auto"/>
        <w:left w:val="none" w:sz="0" w:space="0" w:color="auto"/>
        <w:bottom w:val="none" w:sz="0" w:space="0" w:color="auto"/>
        <w:right w:val="none" w:sz="0" w:space="0" w:color="auto"/>
      </w:divBdr>
    </w:div>
    <w:div w:id="1948923670">
      <w:marLeft w:val="0"/>
      <w:marRight w:val="0"/>
      <w:marTop w:val="0"/>
      <w:marBottom w:val="240"/>
      <w:divBdr>
        <w:top w:val="none" w:sz="0" w:space="0" w:color="auto"/>
        <w:left w:val="none" w:sz="0" w:space="0" w:color="auto"/>
        <w:bottom w:val="none" w:sz="0" w:space="0" w:color="auto"/>
        <w:right w:val="none" w:sz="0" w:space="0" w:color="auto"/>
      </w:divBdr>
    </w:div>
    <w:div w:id="1949582447">
      <w:marLeft w:val="0"/>
      <w:marRight w:val="0"/>
      <w:marTop w:val="0"/>
      <w:marBottom w:val="240"/>
      <w:divBdr>
        <w:top w:val="none" w:sz="0" w:space="0" w:color="auto"/>
        <w:left w:val="none" w:sz="0" w:space="0" w:color="auto"/>
        <w:bottom w:val="none" w:sz="0" w:space="0" w:color="auto"/>
        <w:right w:val="none" w:sz="0" w:space="0" w:color="auto"/>
      </w:divBdr>
    </w:div>
    <w:div w:id="1958752654">
      <w:marLeft w:val="0"/>
      <w:marRight w:val="0"/>
      <w:marTop w:val="120"/>
      <w:marBottom w:val="0"/>
      <w:divBdr>
        <w:top w:val="none" w:sz="0" w:space="0" w:color="auto"/>
        <w:left w:val="none" w:sz="0" w:space="0" w:color="auto"/>
        <w:bottom w:val="none" w:sz="0" w:space="0" w:color="auto"/>
        <w:right w:val="none" w:sz="0" w:space="0" w:color="auto"/>
      </w:divBdr>
    </w:div>
    <w:div w:id="1962228665">
      <w:marLeft w:val="0"/>
      <w:marRight w:val="0"/>
      <w:marTop w:val="0"/>
      <w:marBottom w:val="0"/>
      <w:divBdr>
        <w:top w:val="none" w:sz="0" w:space="0" w:color="auto"/>
        <w:left w:val="none" w:sz="0" w:space="0" w:color="auto"/>
        <w:bottom w:val="none" w:sz="0" w:space="0" w:color="auto"/>
        <w:right w:val="none" w:sz="0" w:space="0" w:color="auto"/>
      </w:divBdr>
    </w:div>
    <w:div w:id="1965772303">
      <w:marLeft w:val="0"/>
      <w:marRight w:val="0"/>
      <w:marTop w:val="0"/>
      <w:marBottom w:val="120"/>
      <w:divBdr>
        <w:top w:val="none" w:sz="0" w:space="0" w:color="auto"/>
        <w:left w:val="none" w:sz="0" w:space="0" w:color="auto"/>
        <w:bottom w:val="none" w:sz="0" w:space="0" w:color="auto"/>
        <w:right w:val="none" w:sz="0" w:space="0" w:color="auto"/>
      </w:divBdr>
    </w:div>
    <w:div w:id="1970475357">
      <w:marLeft w:val="0"/>
      <w:marRight w:val="0"/>
      <w:marTop w:val="0"/>
      <w:marBottom w:val="0"/>
      <w:divBdr>
        <w:top w:val="none" w:sz="0" w:space="0" w:color="auto"/>
        <w:left w:val="none" w:sz="0" w:space="0" w:color="auto"/>
        <w:bottom w:val="none" w:sz="0" w:space="0" w:color="auto"/>
        <w:right w:val="none" w:sz="0" w:space="0" w:color="auto"/>
      </w:divBdr>
    </w:div>
    <w:div w:id="1974141781">
      <w:marLeft w:val="0"/>
      <w:marRight w:val="0"/>
      <w:marTop w:val="0"/>
      <w:marBottom w:val="240"/>
      <w:divBdr>
        <w:top w:val="none" w:sz="0" w:space="0" w:color="auto"/>
        <w:left w:val="none" w:sz="0" w:space="0" w:color="auto"/>
        <w:bottom w:val="none" w:sz="0" w:space="0" w:color="auto"/>
        <w:right w:val="none" w:sz="0" w:space="0" w:color="auto"/>
      </w:divBdr>
    </w:div>
    <w:div w:id="1976372693">
      <w:marLeft w:val="0"/>
      <w:marRight w:val="0"/>
      <w:marTop w:val="0"/>
      <w:marBottom w:val="240"/>
      <w:divBdr>
        <w:top w:val="none" w:sz="0" w:space="0" w:color="auto"/>
        <w:left w:val="none" w:sz="0" w:space="0" w:color="auto"/>
        <w:bottom w:val="none" w:sz="0" w:space="0" w:color="auto"/>
        <w:right w:val="none" w:sz="0" w:space="0" w:color="auto"/>
      </w:divBdr>
    </w:div>
    <w:div w:id="1978367186">
      <w:marLeft w:val="0"/>
      <w:marRight w:val="0"/>
      <w:marTop w:val="240"/>
      <w:marBottom w:val="0"/>
      <w:divBdr>
        <w:top w:val="none" w:sz="0" w:space="0" w:color="auto"/>
        <w:left w:val="none" w:sz="0" w:space="0" w:color="auto"/>
        <w:bottom w:val="none" w:sz="0" w:space="0" w:color="auto"/>
        <w:right w:val="none" w:sz="0" w:space="0" w:color="auto"/>
      </w:divBdr>
    </w:div>
    <w:div w:id="1979262689">
      <w:marLeft w:val="0"/>
      <w:marRight w:val="0"/>
      <w:marTop w:val="120"/>
      <w:marBottom w:val="240"/>
      <w:divBdr>
        <w:top w:val="none" w:sz="0" w:space="0" w:color="auto"/>
        <w:left w:val="none" w:sz="0" w:space="0" w:color="auto"/>
        <w:bottom w:val="none" w:sz="0" w:space="0" w:color="auto"/>
        <w:right w:val="none" w:sz="0" w:space="0" w:color="auto"/>
      </w:divBdr>
    </w:div>
    <w:div w:id="1983727253">
      <w:marLeft w:val="0"/>
      <w:marRight w:val="0"/>
      <w:marTop w:val="0"/>
      <w:marBottom w:val="240"/>
      <w:divBdr>
        <w:top w:val="none" w:sz="0" w:space="0" w:color="auto"/>
        <w:left w:val="none" w:sz="0" w:space="0" w:color="auto"/>
        <w:bottom w:val="none" w:sz="0" w:space="0" w:color="auto"/>
        <w:right w:val="none" w:sz="0" w:space="0" w:color="auto"/>
      </w:divBdr>
    </w:div>
    <w:div w:id="1993173584">
      <w:marLeft w:val="0"/>
      <w:marRight w:val="0"/>
      <w:marTop w:val="0"/>
      <w:marBottom w:val="240"/>
      <w:divBdr>
        <w:top w:val="none" w:sz="0" w:space="0" w:color="auto"/>
        <w:left w:val="none" w:sz="0" w:space="0" w:color="auto"/>
        <w:bottom w:val="none" w:sz="0" w:space="0" w:color="auto"/>
        <w:right w:val="none" w:sz="0" w:space="0" w:color="auto"/>
      </w:divBdr>
    </w:div>
    <w:div w:id="2000112202">
      <w:marLeft w:val="0"/>
      <w:marRight w:val="0"/>
      <w:marTop w:val="0"/>
      <w:marBottom w:val="120"/>
      <w:divBdr>
        <w:top w:val="none" w:sz="0" w:space="0" w:color="auto"/>
        <w:left w:val="none" w:sz="0" w:space="0" w:color="auto"/>
        <w:bottom w:val="none" w:sz="0" w:space="0" w:color="auto"/>
        <w:right w:val="none" w:sz="0" w:space="0" w:color="auto"/>
      </w:divBdr>
    </w:div>
    <w:div w:id="2000498843">
      <w:marLeft w:val="0"/>
      <w:marRight w:val="0"/>
      <w:marTop w:val="0"/>
      <w:marBottom w:val="0"/>
      <w:divBdr>
        <w:top w:val="none" w:sz="0" w:space="0" w:color="auto"/>
        <w:left w:val="none" w:sz="0" w:space="0" w:color="auto"/>
        <w:bottom w:val="none" w:sz="0" w:space="0" w:color="auto"/>
        <w:right w:val="none" w:sz="0" w:space="0" w:color="auto"/>
      </w:divBdr>
      <w:divsChild>
        <w:div w:id="1108695890">
          <w:marLeft w:val="0"/>
          <w:marRight w:val="0"/>
          <w:marTop w:val="0"/>
          <w:marBottom w:val="0"/>
          <w:divBdr>
            <w:top w:val="none" w:sz="0" w:space="0" w:color="auto"/>
            <w:left w:val="none" w:sz="0" w:space="0" w:color="auto"/>
            <w:bottom w:val="none" w:sz="0" w:space="0" w:color="auto"/>
            <w:right w:val="none" w:sz="0" w:space="0" w:color="auto"/>
          </w:divBdr>
        </w:div>
      </w:divsChild>
    </w:div>
    <w:div w:id="2001426605">
      <w:marLeft w:val="0"/>
      <w:marRight w:val="0"/>
      <w:marTop w:val="0"/>
      <w:marBottom w:val="240"/>
      <w:divBdr>
        <w:top w:val="none" w:sz="0" w:space="0" w:color="auto"/>
        <w:left w:val="none" w:sz="0" w:space="0" w:color="auto"/>
        <w:bottom w:val="none" w:sz="0" w:space="0" w:color="auto"/>
        <w:right w:val="none" w:sz="0" w:space="0" w:color="auto"/>
      </w:divBdr>
    </w:div>
    <w:div w:id="2001692424">
      <w:marLeft w:val="0"/>
      <w:marRight w:val="0"/>
      <w:marTop w:val="120"/>
      <w:marBottom w:val="0"/>
      <w:divBdr>
        <w:top w:val="none" w:sz="0" w:space="0" w:color="auto"/>
        <w:left w:val="none" w:sz="0" w:space="0" w:color="auto"/>
        <w:bottom w:val="none" w:sz="0" w:space="0" w:color="auto"/>
        <w:right w:val="none" w:sz="0" w:space="0" w:color="auto"/>
      </w:divBdr>
    </w:div>
    <w:div w:id="2006518063">
      <w:marLeft w:val="0"/>
      <w:marRight w:val="0"/>
      <w:marTop w:val="0"/>
      <w:marBottom w:val="1"/>
      <w:divBdr>
        <w:top w:val="none" w:sz="0" w:space="0" w:color="auto"/>
        <w:left w:val="none" w:sz="0" w:space="0" w:color="auto"/>
        <w:bottom w:val="none" w:sz="0" w:space="0" w:color="auto"/>
        <w:right w:val="none" w:sz="0" w:space="0" w:color="auto"/>
      </w:divBdr>
    </w:div>
    <w:div w:id="2008166325">
      <w:marLeft w:val="0"/>
      <w:marRight w:val="0"/>
      <w:marTop w:val="0"/>
      <w:marBottom w:val="0"/>
      <w:divBdr>
        <w:top w:val="none" w:sz="0" w:space="0" w:color="auto"/>
        <w:left w:val="none" w:sz="0" w:space="0" w:color="auto"/>
        <w:bottom w:val="none" w:sz="0" w:space="0" w:color="auto"/>
        <w:right w:val="none" w:sz="0" w:space="0" w:color="auto"/>
      </w:divBdr>
      <w:divsChild>
        <w:div w:id="1008293080">
          <w:marLeft w:val="0"/>
          <w:marRight w:val="0"/>
          <w:marTop w:val="0"/>
          <w:marBottom w:val="0"/>
          <w:divBdr>
            <w:top w:val="none" w:sz="0" w:space="0" w:color="auto"/>
            <w:left w:val="none" w:sz="0" w:space="0" w:color="auto"/>
            <w:bottom w:val="none" w:sz="0" w:space="0" w:color="auto"/>
            <w:right w:val="none" w:sz="0" w:space="0" w:color="auto"/>
          </w:divBdr>
        </w:div>
      </w:divsChild>
    </w:div>
    <w:div w:id="2008511400">
      <w:marLeft w:val="0"/>
      <w:marRight w:val="0"/>
      <w:marTop w:val="0"/>
      <w:marBottom w:val="240"/>
      <w:divBdr>
        <w:top w:val="none" w:sz="0" w:space="0" w:color="auto"/>
        <w:left w:val="none" w:sz="0" w:space="0" w:color="auto"/>
        <w:bottom w:val="none" w:sz="0" w:space="0" w:color="auto"/>
        <w:right w:val="none" w:sz="0" w:space="0" w:color="auto"/>
      </w:divBdr>
    </w:div>
    <w:div w:id="2013794402">
      <w:marLeft w:val="0"/>
      <w:marRight w:val="0"/>
      <w:marTop w:val="0"/>
      <w:marBottom w:val="0"/>
      <w:divBdr>
        <w:top w:val="none" w:sz="0" w:space="0" w:color="auto"/>
        <w:left w:val="none" w:sz="0" w:space="0" w:color="auto"/>
        <w:bottom w:val="none" w:sz="0" w:space="0" w:color="auto"/>
        <w:right w:val="none" w:sz="0" w:space="0" w:color="auto"/>
      </w:divBdr>
    </w:div>
    <w:div w:id="2023117502">
      <w:marLeft w:val="0"/>
      <w:marRight w:val="0"/>
      <w:marTop w:val="0"/>
      <w:marBottom w:val="0"/>
      <w:divBdr>
        <w:top w:val="none" w:sz="0" w:space="0" w:color="auto"/>
        <w:left w:val="none" w:sz="0" w:space="0" w:color="auto"/>
        <w:bottom w:val="none" w:sz="0" w:space="0" w:color="auto"/>
        <w:right w:val="none" w:sz="0" w:space="0" w:color="auto"/>
      </w:divBdr>
    </w:div>
    <w:div w:id="2026859772">
      <w:marLeft w:val="0"/>
      <w:marRight w:val="0"/>
      <w:marTop w:val="0"/>
      <w:marBottom w:val="240"/>
      <w:divBdr>
        <w:top w:val="none" w:sz="0" w:space="0" w:color="auto"/>
        <w:left w:val="none" w:sz="0" w:space="0" w:color="auto"/>
        <w:bottom w:val="none" w:sz="0" w:space="0" w:color="auto"/>
        <w:right w:val="none" w:sz="0" w:space="0" w:color="auto"/>
      </w:divBdr>
    </w:div>
    <w:div w:id="2027977504">
      <w:marLeft w:val="0"/>
      <w:marRight w:val="0"/>
      <w:marTop w:val="120"/>
      <w:marBottom w:val="0"/>
      <w:divBdr>
        <w:top w:val="none" w:sz="0" w:space="0" w:color="auto"/>
        <w:left w:val="none" w:sz="0" w:space="0" w:color="auto"/>
        <w:bottom w:val="none" w:sz="0" w:space="0" w:color="auto"/>
        <w:right w:val="none" w:sz="0" w:space="0" w:color="auto"/>
      </w:divBdr>
    </w:div>
    <w:div w:id="2038846278">
      <w:marLeft w:val="0"/>
      <w:marRight w:val="0"/>
      <w:marTop w:val="0"/>
      <w:marBottom w:val="200"/>
      <w:divBdr>
        <w:top w:val="none" w:sz="0" w:space="0" w:color="auto"/>
        <w:left w:val="none" w:sz="0" w:space="0" w:color="auto"/>
        <w:bottom w:val="none" w:sz="0" w:space="0" w:color="auto"/>
        <w:right w:val="none" w:sz="0" w:space="0" w:color="auto"/>
      </w:divBdr>
    </w:div>
    <w:div w:id="2039887043">
      <w:marLeft w:val="0"/>
      <w:marRight w:val="0"/>
      <w:marTop w:val="0"/>
      <w:marBottom w:val="240"/>
      <w:divBdr>
        <w:top w:val="none" w:sz="0" w:space="0" w:color="auto"/>
        <w:left w:val="none" w:sz="0" w:space="0" w:color="auto"/>
        <w:bottom w:val="none" w:sz="0" w:space="0" w:color="auto"/>
        <w:right w:val="none" w:sz="0" w:space="0" w:color="auto"/>
      </w:divBdr>
    </w:div>
    <w:div w:id="2043092719">
      <w:marLeft w:val="0"/>
      <w:marRight w:val="0"/>
      <w:marTop w:val="0"/>
      <w:marBottom w:val="0"/>
      <w:divBdr>
        <w:top w:val="none" w:sz="0" w:space="0" w:color="auto"/>
        <w:left w:val="none" w:sz="0" w:space="0" w:color="auto"/>
        <w:bottom w:val="none" w:sz="0" w:space="0" w:color="auto"/>
        <w:right w:val="none" w:sz="0" w:space="0" w:color="auto"/>
      </w:divBdr>
      <w:divsChild>
        <w:div w:id="691034899">
          <w:marLeft w:val="0"/>
          <w:marRight w:val="0"/>
          <w:marTop w:val="0"/>
          <w:marBottom w:val="0"/>
          <w:divBdr>
            <w:top w:val="none" w:sz="0" w:space="0" w:color="auto"/>
            <w:left w:val="none" w:sz="0" w:space="0" w:color="auto"/>
            <w:bottom w:val="none" w:sz="0" w:space="0" w:color="auto"/>
            <w:right w:val="none" w:sz="0" w:space="0" w:color="auto"/>
          </w:divBdr>
        </w:div>
      </w:divsChild>
    </w:div>
    <w:div w:id="2043165875">
      <w:marLeft w:val="0"/>
      <w:marRight w:val="0"/>
      <w:marTop w:val="0"/>
      <w:marBottom w:val="240"/>
      <w:divBdr>
        <w:top w:val="none" w:sz="0" w:space="0" w:color="auto"/>
        <w:left w:val="none" w:sz="0" w:space="0" w:color="auto"/>
        <w:bottom w:val="none" w:sz="0" w:space="0" w:color="auto"/>
        <w:right w:val="none" w:sz="0" w:space="0" w:color="auto"/>
      </w:divBdr>
    </w:div>
    <w:div w:id="2048676596">
      <w:marLeft w:val="0"/>
      <w:marRight w:val="0"/>
      <w:marTop w:val="0"/>
      <w:marBottom w:val="240"/>
      <w:divBdr>
        <w:top w:val="none" w:sz="0" w:space="0" w:color="auto"/>
        <w:left w:val="none" w:sz="0" w:space="0" w:color="auto"/>
        <w:bottom w:val="none" w:sz="0" w:space="0" w:color="auto"/>
        <w:right w:val="none" w:sz="0" w:space="0" w:color="auto"/>
      </w:divBdr>
    </w:div>
    <w:div w:id="2053191257">
      <w:marLeft w:val="0"/>
      <w:marRight w:val="0"/>
      <w:marTop w:val="0"/>
      <w:marBottom w:val="240"/>
      <w:divBdr>
        <w:top w:val="none" w:sz="0" w:space="0" w:color="auto"/>
        <w:left w:val="none" w:sz="0" w:space="0" w:color="auto"/>
        <w:bottom w:val="none" w:sz="0" w:space="0" w:color="auto"/>
        <w:right w:val="none" w:sz="0" w:space="0" w:color="auto"/>
      </w:divBdr>
    </w:div>
    <w:div w:id="2058355137">
      <w:marLeft w:val="0"/>
      <w:marRight w:val="0"/>
      <w:marTop w:val="240"/>
      <w:marBottom w:val="240"/>
      <w:divBdr>
        <w:top w:val="none" w:sz="0" w:space="0" w:color="auto"/>
        <w:left w:val="none" w:sz="0" w:space="0" w:color="auto"/>
        <w:bottom w:val="none" w:sz="0" w:space="0" w:color="auto"/>
        <w:right w:val="none" w:sz="0" w:space="0" w:color="auto"/>
      </w:divBdr>
    </w:div>
    <w:div w:id="2061439931">
      <w:marLeft w:val="0"/>
      <w:marRight w:val="0"/>
      <w:marTop w:val="0"/>
      <w:marBottom w:val="0"/>
      <w:divBdr>
        <w:top w:val="none" w:sz="0" w:space="0" w:color="auto"/>
        <w:left w:val="none" w:sz="0" w:space="0" w:color="auto"/>
        <w:bottom w:val="none" w:sz="0" w:space="0" w:color="auto"/>
        <w:right w:val="none" w:sz="0" w:space="0" w:color="auto"/>
      </w:divBdr>
      <w:divsChild>
        <w:div w:id="1498377857">
          <w:marLeft w:val="0"/>
          <w:marRight w:val="0"/>
          <w:marTop w:val="0"/>
          <w:marBottom w:val="0"/>
          <w:divBdr>
            <w:top w:val="none" w:sz="0" w:space="0" w:color="auto"/>
            <w:left w:val="none" w:sz="0" w:space="0" w:color="auto"/>
            <w:bottom w:val="none" w:sz="0" w:space="0" w:color="auto"/>
            <w:right w:val="none" w:sz="0" w:space="0" w:color="auto"/>
          </w:divBdr>
        </w:div>
      </w:divsChild>
    </w:div>
    <w:div w:id="2066878990">
      <w:marLeft w:val="0"/>
      <w:marRight w:val="0"/>
      <w:marTop w:val="0"/>
      <w:marBottom w:val="240"/>
      <w:divBdr>
        <w:top w:val="none" w:sz="0" w:space="0" w:color="auto"/>
        <w:left w:val="none" w:sz="0" w:space="0" w:color="auto"/>
        <w:bottom w:val="none" w:sz="0" w:space="0" w:color="auto"/>
        <w:right w:val="none" w:sz="0" w:space="0" w:color="auto"/>
      </w:divBdr>
    </w:div>
    <w:div w:id="2068990176">
      <w:marLeft w:val="0"/>
      <w:marRight w:val="0"/>
      <w:marTop w:val="0"/>
      <w:marBottom w:val="0"/>
      <w:divBdr>
        <w:top w:val="none" w:sz="0" w:space="0" w:color="auto"/>
        <w:left w:val="none" w:sz="0" w:space="0" w:color="auto"/>
        <w:bottom w:val="none" w:sz="0" w:space="0" w:color="auto"/>
        <w:right w:val="none" w:sz="0" w:space="0" w:color="auto"/>
      </w:divBdr>
    </w:div>
    <w:div w:id="2070882808">
      <w:marLeft w:val="0"/>
      <w:marRight w:val="0"/>
      <w:marTop w:val="0"/>
      <w:marBottom w:val="240"/>
      <w:divBdr>
        <w:top w:val="none" w:sz="0" w:space="0" w:color="auto"/>
        <w:left w:val="none" w:sz="0" w:space="0" w:color="auto"/>
        <w:bottom w:val="none" w:sz="0" w:space="0" w:color="auto"/>
        <w:right w:val="none" w:sz="0" w:space="0" w:color="auto"/>
      </w:divBdr>
    </w:div>
    <w:div w:id="2073772101">
      <w:marLeft w:val="0"/>
      <w:marRight w:val="0"/>
      <w:marTop w:val="0"/>
      <w:marBottom w:val="240"/>
      <w:divBdr>
        <w:top w:val="none" w:sz="0" w:space="0" w:color="auto"/>
        <w:left w:val="none" w:sz="0" w:space="0" w:color="auto"/>
        <w:bottom w:val="none" w:sz="0" w:space="0" w:color="auto"/>
        <w:right w:val="none" w:sz="0" w:space="0" w:color="auto"/>
      </w:divBdr>
    </w:div>
    <w:div w:id="2073775503">
      <w:marLeft w:val="0"/>
      <w:marRight w:val="0"/>
      <w:marTop w:val="0"/>
      <w:marBottom w:val="0"/>
      <w:divBdr>
        <w:top w:val="none" w:sz="0" w:space="0" w:color="auto"/>
        <w:left w:val="none" w:sz="0" w:space="0" w:color="auto"/>
        <w:bottom w:val="none" w:sz="0" w:space="0" w:color="auto"/>
        <w:right w:val="none" w:sz="0" w:space="0" w:color="auto"/>
      </w:divBdr>
      <w:divsChild>
        <w:div w:id="636689350">
          <w:marLeft w:val="0"/>
          <w:marRight w:val="0"/>
          <w:marTop w:val="0"/>
          <w:marBottom w:val="0"/>
          <w:divBdr>
            <w:top w:val="none" w:sz="0" w:space="0" w:color="auto"/>
            <w:left w:val="none" w:sz="0" w:space="0" w:color="auto"/>
            <w:bottom w:val="none" w:sz="0" w:space="0" w:color="auto"/>
            <w:right w:val="none" w:sz="0" w:space="0" w:color="auto"/>
          </w:divBdr>
        </w:div>
      </w:divsChild>
    </w:div>
    <w:div w:id="2080201688">
      <w:marLeft w:val="0"/>
      <w:marRight w:val="0"/>
      <w:marTop w:val="0"/>
      <w:marBottom w:val="0"/>
      <w:divBdr>
        <w:top w:val="none" w:sz="0" w:space="0" w:color="auto"/>
        <w:left w:val="none" w:sz="0" w:space="0" w:color="auto"/>
        <w:bottom w:val="none" w:sz="0" w:space="0" w:color="auto"/>
        <w:right w:val="none" w:sz="0" w:space="0" w:color="auto"/>
      </w:divBdr>
    </w:div>
    <w:div w:id="2087652839">
      <w:marLeft w:val="0"/>
      <w:marRight w:val="0"/>
      <w:marTop w:val="0"/>
      <w:marBottom w:val="240"/>
      <w:divBdr>
        <w:top w:val="none" w:sz="0" w:space="0" w:color="auto"/>
        <w:left w:val="none" w:sz="0" w:space="0" w:color="auto"/>
        <w:bottom w:val="none" w:sz="0" w:space="0" w:color="auto"/>
        <w:right w:val="none" w:sz="0" w:space="0" w:color="auto"/>
      </w:divBdr>
    </w:div>
    <w:div w:id="2088188021">
      <w:marLeft w:val="0"/>
      <w:marRight w:val="0"/>
      <w:marTop w:val="0"/>
      <w:marBottom w:val="0"/>
      <w:divBdr>
        <w:top w:val="none" w:sz="0" w:space="0" w:color="auto"/>
        <w:left w:val="none" w:sz="0" w:space="0" w:color="auto"/>
        <w:bottom w:val="none" w:sz="0" w:space="0" w:color="auto"/>
        <w:right w:val="none" w:sz="0" w:space="0" w:color="auto"/>
      </w:divBdr>
      <w:divsChild>
        <w:div w:id="2089573846">
          <w:marLeft w:val="0"/>
          <w:marRight w:val="0"/>
          <w:marTop w:val="0"/>
          <w:marBottom w:val="0"/>
          <w:divBdr>
            <w:top w:val="none" w:sz="0" w:space="0" w:color="auto"/>
            <w:left w:val="none" w:sz="0" w:space="0" w:color="auto"/>
            <w:bottom w:val="none" w:sz="0" w:space="0" w:color="auto"/>
            <w:right w:val="none" w:sz="0" w:space="0" w:color="auto"/>
          </w:divBdr>
        </w:div>
      </w:divsChild>
    </w:div>
    <w:div w:id="2088306814">
      <w:marLeft w:val="0"/>
      <w:marRight w:val="0"/>
      <w:marTop w:val="0"/>
      <w:marBottom w:val="0"/>
      <w:divBdr>
        <w:top w:val="none" w:sz="0" w:space="0" w:color="auto"/>
        <w:left w:val="none" w:sz="0" w:space="0" w:color="auto"/>
        <w:bottom w:val="none" w:sz="0" w:space="0" w:color="auto"/>
        <w:right w:val="none" w:sz="0" w:space="0" w:color="auto"/>
      </w:divBdr>
      <w:divsChild>
        <w:div w:id="1296326779">
          <w:marLeft w:val="0"/>
          <w:marRight w:val="0"/>
          <w:marTop w:val="0"/>
          <w:marBottom w:val="0"/>
          <w:divBdr>
            <w:top w:val="none" w:sz="0" w:space="0" w:color="auto"/>
            <w:left w:val="none" w:sz="0" w:space="0" w:color="auto"/>
            <w:bottom w:val="none" w:sz="0" w:space="0" w:color="auto"/>
            <w:right w:val="none" w:sz="0" w:space="0" w:color="auto"/>
          </w:divBdr>
        </w:div>
      </w:divsChild>
    </w:div>
    <w:div w:id="2088960588">
      <w:marLeft w:val="0"/>
      <w:marRight w:val="0"/>
      <w:marTop w:val="0"/>
      <w:marBottom w:val="240"/>
      <w:divBdr>
        <w:top w:val="none" w:sz="0" w:space="0" w:color="auto"/>
        <w:left w:val="none" w:sz="0" w:space="0" w:color="auto"/>
        <w:bottom w:val="none" w:sz="0" w:space="0" w:color="auto"/>
        <w:right w:val="none" w:sz="0" w:space="0" w:color="auto"/>
      </w:divBdr>
    </w:div>
    <w:div w:id="2091611058">
      <w:marLeft w:val="0"/>
      <w:marRight w:val="0"/>
      <w:marTop w:val="0"/>
      <w:marBottom w:val="240"/>
      <w:divBdr>
        <w:top w:val="none" w:sz="0" w:space="0" w:color="auto"/>
        <w:left w:val="none" w:sz="0" w:space="0" w:color="auto"/>
        <w:bottom w:val="none" w:sz="0" w:space="0" w:color="auto"/>
        <w:right w:val="none" w:sz="0" w:space="0" w:color="auto"/>
      </w:divBdr>
    </w:div>
    <w:div w:id="2091733646">
      <w:marLeft w:val="0"/>
      <w:marRight w:val="0"/>
      <w:marTop w:val="0"/>
      <w:marBottom w:val="240"/>
      <w:divBdr>
        <w:top w:val="none" w:sz="0" w:space="0" w:color="auto"/>
        <w:left w:val="none" w:sz="0" w:space="0" w:color="auto"/>
        <w:bottom w:val="none" w:sz="0" w:space="0" w:color="auto"/>
        <w:right w:val="none" w:sz="0" w:space="0" w:color="auto"/>
      </w:divBdr>
    </w:div>
    <w:div w:id="2092386227">
      <w:marLeft w:val="0"/>
      <w:marRight w:val="0"/>
      <w:marTop w:val="0"/>
      <w:marBottom w:val="240"/>
      <w:divBdr>
        <w:top w:val="none" w:sz="0" w:space="0" w:color="auto"/>
        <w:left w:val="none" w:sz="0" w:space="0" w:color="auto"/>
        <w:bottom w:val="none" w:sz="0" w:space="0" w:color="auto"/>
        <w:right w:val="none" w:sz="0" w:space="0" w:color="auto"/>
      </w:divBdr>
    </w:div>
    <w:div w:id="2099056687">
      <w:marLeft w:val="0"/>
      <w:marRight w:val="0"/>
      <w:marTop w:val="0"/>
      <w:marBottom w:val="240"/>
      <w:divBdr>
        <w:top w:val="none" w:sz="0" w:space="0" w:color="auto"/>
        <w:left w:val="none" w:sz="0" w:space="0" w:color="auto"/>
        <w:bottom w:val="none" w:sz="0" w:space="0" w:color="auto"/>
        <w:right w:val="none" w:sz="0" w:space="0" w:color="auto"/>
      </w:divBdr>
    </w:div>
    <w:div w:id="2101561594">
      <w:marLeft w:val="0"/>
      <w:marRight w:val="0"/>
      <w:marTop w:val="0"/>
      <w:marBottom w:val="0"/>
      <w:divBdr>
        <w:top w:val="none" w:sz="0" w:space="0" w:color="auto"/>
        <w:left w:val="none" w:sz="0" w:space="0" w:color="auto"/>
        <w:bottom w:val="none" w:sz="0" w:space="0" w:color="auto"/>
        <w:right w:val="none" w:sz="0" w:space="0" w:color="auto"/>
      </w:divBdr>
    </w:div>
    <w:div w:id="2104646429">
      <w:marLeft w:val="0"/>
      <w:marRight w:val="0"/>
      <w:marTop w:val="240"/>
      <w:marBottom w:val="0"/>
      <w:divBdr>
        <w:top w:val="none" w:sz="0" w:space="0" w:color="auto"/>
        <w:left w:val="none" w:sz="0" w:space="0" w:color="auto"/>
        <w:bottom w:val="none" w:sz="0" w:space="0" w:color="auto"/>
        <w:right w:val="none" w:sz="0" w:space="0" w:color="auto"/>
      </w:divBdr>
    </w:div>
    <w:div w:id="2112360071">
      <w:marLeft w:val="0"/>
      <w:marRight w:val="0"/>
      <w:marTop w:val="0"/>
      <w:marBottom w:val="240"/>
      <w:divBdr>
        <w:top w:val="none" w:sz="0" w:space="0" w:color="auto"/>
        <w:left w:val="none" w:sz="0" w:space="0" w:color="auto"/>
        <w:bottom w:val="none" w:sz="0" w:space="0" w:color="auto"/>
        <w:right w:val="none" w:sz="0" w:space="0" w:color="auto"/>
      </w:divBdr>
    </w:div>
    <w:div w:id="2113470687">
      <w:marLeft w:val="0"/>
      <w:marRight w:val="0"/>
      <w:marTop w:val="0"/>
      <w:marBottom w:val="240"/>
      <w:divBdr>
        <w:top w:val="none" w:sz="0" w:space="0" w:color="auto"/>
        <w:left w:val="none" w:sz="0" w:space="0" w:color="auto"/>
        <w:bottom w:val="none" w:sz="0" w:space="0" w:color="auto"/>
        <w:right w:val="none" w:sz="0" w:space="0" w:color="auto"/>
      </w:divBdr>
    </w:div>
    <w:div w:id="2121141218">
      <w:marLeft w:val="0"/>
      <w:marRight w:val="0"/>
      <w:marTop w:val="0"/>
      <w:marBottom w:val="240"/>
      <w:divBdr>
        <w:top w:val="none" w:sz="0" w:space="0" w:color="auto"/>
        <w:left w:val="none" w:sz="0" w:space="0" w:color="auto"/>
        <w:bottom w:val="none" w:sz="0" w:space="0" w:color="auto"/>
        <w:right w:val="none" w:sz="0" w:space="0" w:color="auto"/>
      </w:divBdr>
    </w:div>
    <w:div w:id="2124642808">
      <w:marLeft w:val="0"/>
      <w:marRight w:val="0"/>
      <w:marTop w:val="0"/>
      <w:marBottom w:val="0"/>
      <w:divBdr>
        <w:top w:val="none" w:sz="0" w:space="0" w:color="auto"/>
        <w:left w:val="none" w:sz="0" w:space="0" w:color="auto"/>
        <w:bottom w:val="none" w:sz="0" w:space="0" w:color="auto"/>
        <w:right w:val="none" w:sz="0" w:space="0" w:color="auto"/>
      </w:divBdr>
      <w:divsChild>
        <w:div w:id="228931574">
          <w:marLeft w:val="0"/>
          <w:marRight w:val="0"/>
          <w:marTop w:val="0"/>
          <w:marBottom w:val="0"/>
          <w:divBdr>
            <w:top w:val="none" w:sz="0" w:space="0" w:color="auto"/>
            <w:left w:val="none" w:sz="0" w:space="0" w:color="auto"/>
            <w:bottom w:val="none" w:sz="0" w:space="0" w:color="auto"/>
            <w:right w:val="none" w:sz="0" w:space="0" w:color="auto"/>
          </w:divBdr>
        </w:div>
      </w:divsChild>
    </w:div>
    <w:div w:id="2126610197">
      <w:marLeft w:val="0"/>
      <w:marRight w:val="0"/>
      <w:marTop w:val="240"/>
      <w:marBottom w:val="0"/>
      <w:divBdr>
        <w:top w:val="none" w:sz="0" w:space="0" w:color="auto"/>
        <w:left w:val="none" w:sz="0" w:space="0" w:color="auto"/>
        <w:bottom w:val="none" w:sz="0" w:space="0" w:color="auto"/>
        <w:right w:val="none" w:sz="0" w:space="0" w:color="auto"/>
      </w:divBdr>
    </w:div>
    <w:div w:id="2127195419">
      <w:marLeft w:val="0"/>
      <w:marRight w:val="0"/>
      <w:marTop w:val="240"/>
      <w:marBottom w:val="240"/>
      <w:divBdr>
        <w:top w:val="none" w:sz="0" w:space="0" w:color="auto"/>
        <w:left w:val="none" w:sz="0" w:space="0" w:color="auto"/>
        <w:bottom w:val="none" w:sz="0" w:space="0" w:color="auto"/>
        <w:right w:val="none" w:sz="0" w:space="0" w:color="auto"/>
      </w:divBdr>
    </w:div>
    <w:div w:id="2128115779">
      <w:marLeft w:val="0"/>
      <w:marRight w:val="0"/>
      <w:marTop w:val="0"/>
      <w:marBottom w:val="0"/>
      <w:divBdr>
        <w:top w:val="none" w:sz="0" w:space="0" w:color="auto"/>
        <w:left w:val="none" w:sz="0" w:space="0" w:color="auto"/>
        <w:bottom w:val="none" w:sz="0" w:space="0" w:color="auto"/>
        <w:right w:val="none" w:sz="0" w:space="0" w:color="auto"/>
      </w:divBdr>
      <w:divsChild>
        <w:div w:id="875315158">
          <w:marLeft w:val="0"/>
          <w:marRight w:val="0"/>
          <w:marTop w:val="0"/>
          <w:marBottom w:val="0"/>
          <w:divBdr>
            <w:top w:val="none" w:sz="0" w:space="0" w:color="auto"/>
            <w:left w:val="none" w:sz="0" w:space="0" w:color="auto"/>
            <w:bottom w:val="none" w:sz="0" w:space="0" w:color="auto"/>
            <w:right w:val="none" w:sz="0" w:space="0" w:color="auto"/>
          </w:divBdr>
        </w:div>
      </w:divsChild>
    </w:div>
    <w:div w:id="2128232552">
      <w:marLeft w:val="0"/>
      <w:marRight w:val="0"/>
      <w:marTop w:val="0"/>
      <w:marBottom w:val="240"/>
      <w:divBdr>
        <w:top w:val="none" w:sz="0" w:space="0" w:color="auto"/>
        <w:left w:val="none" w:sz="0" w:space="0" w:color="auto"/>
        <w:bottom w:val="none" w:sz="0" w:space="0" w:color="auto"/>
        <w:right w:val="none" w:sz="0" w:space="0" w:color="auto"/>
      </w:divBdr>
    </w:div>
    <w:div w:id="2128892220">
      <w:marLeft w:val="0"/>
      <w:marRight w:val="0"/>
      <w:marTop w:val="0"/>
      <w:marBottom w:val="0"/>
      <w:divBdr>
        <w:top w:val="none" w:sz="0" w:space="0" w:color="auto"/>
        <w:left w:val="none" w:sz="0" w:space="0" w:color="auto"/>
        <w:bottom w:val="none" w:sz="0" w:space="0" w:color="auto"/>
        <w:right w:val="none" w:sz="0" w:space="0" w:color="auto"/>
      </w:divBdr>
      <w:divsChild>
        <w:div w:id="1572882554">
          <w:marLeft w:val="0"/>
          <w:marRight w:val="0"/>
          <w:marTop w:val="0"/>
          <w:marBottom w:val="0"/>
          <w:divBdr>
            <w:top w:val="none" w:sz="0" w:space="0" w:color="auto"/>
            <w:left w:val="none" w:sz="0" w:space="0" w:color="auto"/>
            <w:bottom w:val="none" w:sz="0" w:space="0" w:color="auto"/>
            <w:right w:val="none" w:sz="0" w:space="0" w:color="auto"/>
          </w:divBdr>
        </w:div>
      </w:divsChild>
    </w:div>
    <w:div w:id="2129464656">
      <w:marLeft w:val="0"/>
      <w:marRight w:val="0"/>
      <w:marTop w:val="0"/>
      <w:marBottom w:val="0"/>
      <w:divBdr>
        <w:top w:val="none" w:sz="0" w:space="0" w:color="auto"/>
        <w:left w:val="none" w:sz="0" w:space="0" w:color="auto"/>
        <w:bottom w:val="none" w:sz="0" w:space="0" w:color="auto"/>
        <w:right w:val="none" w:sz="0" w:space="0" w:color="auto"/>
      </w:divBdr>
      <w:divsChild>
        <w:div w:id="1623195725">
          <w:marLeft w:val="0"/>
          <w:marRight w:val="0"/>
          <w:marTop w:val="0"/>
          <w:marBottom w:val="0"/>
          <w:divBdr>
            <w:top w:val="none" w:sz="0" w:space="0" w:color="auto"/>
            <w:left w:val="none" w:sz="0" w:space="0" w:color="auto"/>
            <w:bottom w:val="none" w:sz="0" w:space="0" w:color="auto"/>
            <w:right w:val="none" w:sz="0" w:space="0" w:color="auto"/>
          </w:divBdr>
        </w:div>
      </w:divsChild>
    </w:div>
    <w:div w:id="2132164188">
      <w:marLeft w:val="0"/>
      <w:marRight w:val="0"/>
      <w:marTop w:val="240"/>
      <w:marBottom w:val="240"/>
      <w:divBdr>
        <w:top w:val="none" w:sz="0" w:space="0" w:color="auto"/>
        <w:left w:val="none" w:sz="0" w:space="0" w:color="auto"/>
        <w:bottom w:val="none" w:sz="0" w:space="0" w:color="auto"/>
        <w:right w:val="none" w:sz="0" w:space="0" w:color="auto"/>
      </w:divBdr>
    </w:div>
    <w:div w:id="2137285018">
      <w:marLeft w:val="0"/>
      <w:marRight w:val="0"/>
      <w:marTop w:val="120"/>
      <w:marBottom w:val="240"/>
      <w:divBdr>
        <w:top w:val="none" w:sz="0" w:space="0" w:color="auto"/>
        <w:left w:val="none" w:sz="0" w:space="0" w:color="auto"/>
        <w:bottom w:val="none" w:sz="0" w:space="0" w:color="auto"/>
        <w:right w:val="none" w:sz="0" w:space="0" w:color="auto"/>
      </w:divBdr>
    </w:div>
    <w:div w:id="2144302435">
      <w:marLeft w:val="0"/>
      <w:marRight w:val="0"/>
      <w:marTop w:val="0"/>
      <w:marBottom w:val="240"/>
      <w:divBdr>
        <w:top w:val="none" w:sz="0" w:space="0" w:color="auto"/>
        <w:left w:val="none" w:sz="0" w:space="0" w:color="auto"/>
        <w:bottom w:val="none" w:sz="0" w:space="0" w:color="auto"/>
        <w:right w:val="none" w:sz="0" w:space="0" w:color="auto"/>
      </w:divBdr>
    </w:div>
    <w:div w:id="2145538180">
      <w:marLeft w:val="0"/>
      <w:marRight w:val="0"/>
      <w:marTop w:val="120"/>
      <w:marBottom w:val="240"/>
      <w:divBdr>
        <w:top w:val="none" w:sz="0" w:space="0" w:color="auto"/>
        <w:left w:val="none" w:sz="0" w:space="0" w:color="auto"/>
        <w:bottom w:val="none" w:sz="0" w:space="0" w:color="auto"/>
        <w:right w:val="none" w:sz="0" w:space="0" w:color="auto"/>
      </w:divBdr>
    </w:div>
    <w:div w:id="21468946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sa-093021x10qex312.htm" TargetMode="External"/><Relationship Id="rId3" Type="http://schemas.openxmlformats.org/officeDocument/2006/relationships/webSettings" Target="webSettings.xml"/><Relationship Id="rId7" Type="http://schemas.openxmlformats.org/officeDocument/2006/relationships/hyperlink" Target="psa-093021x10q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393311/000119312521268821/d228573dex42.htm" TargetMode="External"/><Relationship Id="rId11" Type="http://schemas.openxmlformats.org/officeDocument/2006/relationships/theme" Target="theme/theme1.xml"/><Relationship Id="rId5" Type="http://schemas.openxmlformats.org/officeDocument/2006/relationships/hyperlink" Target="https://www.sec.gov/Archives/edgar/data/1393311/000119312521268821/d228573dex42.htm" TargetMode="External"/><Relationship Id="rId10" Type="http://schemas.openxmlformats.org/officeDocument/2006/relationships/fontTable" Target="fontTable.xml"/><Relationship Id="rId4" Type="http://schemas.openxmlformats.org/officeDocument/2006/relationships/hyperlink" Target="https://www.sec.gov/Archives/edgar/data/1393311/000119312521243371/d187599dex31.htm" TargetMode="External"/><Relationship Id="rId9" Type="http://schemas.openxmlformats.org/officeDocument/2006/relationships/hyperlink" Target="psa-093021x10q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33853</Words>
  <Characters>192963</Characters>
  <Application>Microsoft Office Word</Application>
  <DocSecurity>0</DocSecurity>
  <Lines>1608</Lines>
  <Paragraphs>452</Paragraphs>
  <ScaleCrop>false</ScaleCrop>
  <Company/>
  <LinksUpToDate>false</LinksUpToDate>
  <CharactersWithSpaces>226364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psa-20210930</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